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23C25FC" w14:textId="77777777" w:rsidR="009D54AF" w:rsidRPr="00C30551" w:rsidRDefault="00000000" w:rsidP="00C30551">
      <w:pPr>
        <w:pStyle w:val="Title"/>
        <w:spacing w:line="223" w:lineRule="auto"/>
        <w:ind w:right="4257"/>
        <w:rPr>
          <w:sz w:val="72"/>
          <w:szCs w:val="72"/>
        </w:rPr>
      </w:pPr>
      <w:r w:rsidRPr="00C30551">
        <w:rPr>
          <w:spacing w:val="-4"/>
          <w:sz w:val="72"/>
          <w:szCs w:val="72"/>
        </w:rPr>
        <w:t>Annual</w:t>
      </w:r>
      <w:r w:rsidRPr="00C30551">
        <w:rPr>
          <w:spacing w:val="-38"/>
          <w:sz w:val="72"/>
          <w:szCs w:val="72"/>
        </w:rPr>
        <w:t xml:space="preserve"> </w:t>
      </w:r>
      <w:r w:rsidRPr="00C30551">
        <w:rPr>
          <w:spacing w:val="-4"/>
          <w:sz w:val="72"/>
          <w:szCs w:val="72"/>
        </w:rPr>
        <w:t xml:space="preserve">Report </w:t>
      </w:r>
      <w:r w:rsidRPr="00C30551">
        <w:rPr>
          <w:spacing w:val="-2"/>
          <w:sz w:val="72"/>
          <w:szCs w:val="72"/>
        </w:rPr>
        <w:t>2025–26</w:t>
      </w:r>
    </w:p>
    <w:p w14:paraId="088A253E" w14:textId="77777777" w:rsidR="009D54AF" w:rsidRDefault="009D54AF">
      <w:pPr>
        <w:pStyle w:val="Title"/>
        <w:spacing w:line="223" w:lineRule="auto"/>
        <w:sectPr w:rsidR="009D54AF" w:rsidSect="00C30551">
          <w:footerReference w:type="default" r:id="rId8"/>
          <w:headerReference w:type="first" r:id="rId9"/>
          <w:footerReference w:type="first" r:id="rId10"/>
          <w:type w:val="continuous"/>
          <w:pgSz w:w="11910" w:h="16840"/>
          <w:pgMar w:top="5322" w:right="708" w:bottom="280" w:left="708" w:header="720" w:footer="720" w:gutter="0"/>
          <w:cols w:space="720"/>
          <w:titlePg/>
          <w:docGrid w:linePitch="299"/>
        </w:sectPr>
      </w:pPr>
    </w:p>
    <w:p w14:paraId="36C37631" w14:textId="77777777" w:rsidR="009D54AF" w:rsidRDefault="00000000">
      <w:pPr>
        <w:pStyle w:val="BodyText"/>
        <w:spacing w:before="68"/>
        <w:ind w:left="142"/>
      </w:pPr>
      <w:r>
        <w:lastRenderedPageBreak/>
        <w:t>Published</w:t>
      </w:r>
      <w:r>
        <w:rPr>
          <w:spacing w:val="-2"/>
        </w:rPr>
        <w:t xml:space="preserve"> </w:t>
      </w:r>
      <w:r>
        <w:t>by</w:t>
      </w:r>
      <w:r>
        <w:rPr>
          <w:spacing w:val="-1"/>
        </w:rPr>
        <w:t xml:space="preserve"> </w:t>
      </w:r>
      <w:r>
        <w:t>the</w:t>
      </w:r>
      <w:r>
        <w:rPr>
          <w:spacing w:val="-2"/>
        </w:rPr>
        <w:t xml:space="preserve"> </w:t>
      </w:r>
      <w:r>
        <w:t>Australian</w:t>
      </w:r>
      <w:r>
        <w:rPr>
          <w:spacing w:val="-1"/>
        </w:rPr>
        <w:t xml:space="preserve"> </w:t>
      </w:r>
      <w:r>
        <w:t>Commission</w:t>
      </w:r>
      <w:r>
        <w:rPr>
          <w:spacing w:val="-1"/>
        </w:rPr>
        <w:t xml:space="preserve"> </w:t>
      </w:r>
      <w:r>
        <w:t>on</w:t>
      </w:r>
      <w:r>
        <w:rPr>
          <w:spacing w:val="-2"/>
        </w:rPr>
        <w:t xml:space="preserve"> </w:t>
      </w:r>
      <w:r>
        <w:t>Safety</w:t>
      </w:r>
      <w:r>
        <w:rPr>
          <w:spacing w:val="-1"/>
        </w:rPr>
        <w:t xml:space="preserve"> </w:t>
      </w:r>
      <w:r>
        <w:t>and</w:t>
      </w:r>
      <w:r>
        <w:rPr>
          <w:spacing w:val="-1"/>
        </w:rPr>
        <w:t xml:space="preserve"> </w:t>
      </w:r>
      <w:r>
        <w:t>Quality</w:t>
      </w:r>
      <w:r>
        <w:rPr>
          <w:spacing w:val="-2"/>
        </w:rPr>
        <w:t xml:space="preserve"> </w:t>
      </w:r>
      <w:r>
        <w:t>in</w:t>
      </w:r>
      <w:r>
        <w:rPr>
          <w:spacing w:val="-1"/>
        </w:rPr>
        <w:t xml:space="preserve"> </w:t>
      </w:r>
      <w:r>
        <w:t>Health</w:t>
      </w:r>
      <w:r>
        <w:rPr>
          <w:spacing w:val="-1"/>
        </w:rPr>
        <w:t xml:space="preserve"> </w:t>
      </w:r>
      <w:r>
        <w:rPr>
          <w:spacing w:val="-4"/>
        </w:rPr>
        <w:t>Care</w:t>
      </w:r>
    </w:p>
    <w:p w14:paraId="039A1843" w14:textId="77777777" w:rsidR="009D54AF" w:rsidRDefault="00000000">
      <w:pPr>
        <w:pStyle w:val="BodyText"/>
        <w:spacing w:before="124"/>
        <w:ind w:left="142"/>
      </w:pPr>
      <w:r>
        <w:t>Level</w:t>
      </w:r>
      <w:r>
        <w:rPr>
          <w:spacing w:val="-5"/>
        </w:rPr>
        <w:t xml:space="preserve"> </w:t>
      </w:r>
      <w:r>
        <w:t>5,</w:t>
      </w:r>
      <w:r>
        <w:rPr>
          <w:spacing w:val="-4"/>
        </w:rPr>
        <w:t xml:space="preserve"> </w:t>
      </w:r>
      <w:r>
        <w:t>255</w:t>
      </w:r>
      <w:r>
        <w:rPr>
          <w:spacing w:val="-4"/>
        </w:rPr>
        <w:t xml:space="preserve"> </w:t>
      </w:r>
      <w:r>
        <w:t>Elizabeth</w:t>
      </w:r>
      <w:r>
        <w:rPr>
          <w:spacing w:val="-5"/>
        </w:rPr>
        <w:t xml:space="preserve"> </w:t>
      </w:r>
      <w:r>
        <w:t>Street,</w:t>
      </w:r>
      <w:r>
        <w:rPr>
          <w:spacing w:val="-4"/>
        </w:rPr>
        <w:t xml:space="preserve"> </w:t>
      </w:r>
      <w:r>
        <w:t>Sydney</w:t>
      </w:r>
      <w:r>
        <w:rPr>
          <w:spacing w:val="-4"/>
        </w:rPr>
        <w:t xml:space="preserve"> </w:t>
      </w:r>
      <w:r>
        <w:t>NSW</w:t>
      </w:r>
      <w:r>
        <w:rPr>
          <w:spacing w:val="-4"/>
        </w:rPr>
        <w:t xml:space="preserve"> 2000</w:t>
      </w:r>
    </w:p>
    <w:p w14:paraId="49A16961" w14:textId="77777777" w:rsidR="009D54AF" w:rsidRDefault="00000000">
      <w:pPr>
        <w:pStyle w:val="BodyText"/>
        <w:spacing w:before="38"/>
        <w:ind w:left="142"/>
      </w:pPr>
      <w:r>
        <w:t>Phone:</w:t>
      </w:r>
      <w:r>
        <w:rPr>
          <w:spacing w:val="-15"/>
        </w:rPr>
        <w:t xml:space="preserve"> </w:t>
      </w:r>
      <w:r>
        <w:t>(02)</w:t>
      </w:r>
      <w:r>
        <w:rPr>
          <w:spacing w:val="-12"/>
        </w:rPr>
        <w:t xml:space="preserve"> </w:t>
      </w:r>
      <w:r>
        <w:t>9126</w:t>
      </w:r>
      <w:r>
        <w:rPr>
          <w:spacing w:val="-12"/>
        </w:rPr>
        <w:t xml:space="preserve"> </w:t>
      </w:r>
      <w:r>
        <w:rPr>
          <w:spacing w:val="-4"/>
        </w:rPr>
        <w:t>3600</w:t>
      </w:r>
    </w:p>
    <w:p w14:paraId="50547A11" w14:textId="77777777" w:rsidR="009D54AF" w:rsidRDefault="00000000">
      <w:pPr>
        <w:pStyle w:val="BodyText"/>
        <w:spacing w:before="124" w:line="278" w:lineRule="auto"/>
        <w:ind w:left="142" w:right="6600"/>
      </w:pPr>
      <w:r>
        <w:t xml:space="preserve">Email: </w:t>
      </w:r>
      <w:hyperlink r:id="rId11">
        <w:r>
          <w:rPr>
            <w:u w:val="single"/>
          </w:rPr>
          <w:t>mail@safetyandquality.gov.au</w:t>
        </w:r>
      </w:hyperlink>
      <w:r>
        <w:t xml:space="preserve"> </w:t>
      </w:r>
      <w:r>
        <w:rPr>
          <w:spacing w:val="-2"/>
        </w:rPr>
        <w:t xml:space="preserve">Website: </w:t>
      </w:r>
      <w:hyperlink r:id="rId12">
        <w:r>
          <w:rPr>
            <w:spacing w:val="-2"/>
            <w:u w:val="single"/>
          </w:rPr>
          <w:t>www.safetyandquality.gov.au</w:t>
        </w:r>
      </w:hyperlink>
    </w:p>
    <w:p w14:paraId="53DBB11F" w14:textId="77777777" w:rsidR="009D54AF" w:rsidRDefault="00000000">
      <w:pPr>
        <w:pStyle w:val="BodyText"/>
        <w:spacing w:before="85"/>
        <w:ind w:left="142"/>
      </w:pPr>
      <w:r>
        <w:t>ISBN</w:t>
      </w:r>
      <w:r>
        <w:rPr>
          <w:spacing w:val="5"/>
        </w:rPr>
        <w:t xml:space="preserve"> </w:t>
      </w:r>
      <w:r>
        <w:t>(print):</w:t>
      </w:r>
      <w:r>
        <w:rPr>
          <w:spacing w:val="6"/>
        </w:rPr>
        <w:t xml:space="preserve"> </w:t>
      </w:r>
      <w:r>
        <w:t>978-1-923353-60-</w:t>
      </w:r>
      <w:r>
        <w:rPr>
          <w:spacing w:val="-10"/>
        </w:rPr>
        <w:t>2</w:t>
      </w:r>
    </w:p>
    <w:p w14:paraId="2E26CF06" w14:textId="77777777" w:rsidR="009D54AF" w:rsidRDefault="00000000">
      <w:pPr>
        <w:pStyle w:val="BodyText"/>
        <w:spacing w:before="38"/>
        <w:ind w:left="142"/>
      </w:pPr>
      <w:r>
        <w:t>ISBN</w:t>
      </w:r>
      <w:r>
        <w:rPr>
          <w:spacing w:val="-11"/>
        </w:rPr>
        <w:t xml:space="preserve"> </w:t>
      </w:r>
      <w:r>
        <w:t>(online):</w:t>
      </w:r>
      <w:r>
        <w:rPr>
          <w:spacing w:val="-11"/>
        </w:rPr>
        <w:t xml:space="preserve"> </w:t>
      </w:r>
      <w:r>
        <w:t>978-1-923353-61-</w:t>
      </w:r>
      <w:r>
        <w:rPr>
          <w:spacing w:val="-10"/>
        </w:rPr>
        <w:t>9</w:t>
      </w:r>
    </w:p>
    <w:p w14:paraId="21E0EE13" w14:textId="77777777" w:rsidR="009D54AF" w:rsidRDefault="00000000">
      <w:pPr>
        <w:pStyle w:val="BodyText"/>
        <w:spacing w:before="124"/>
        <w:ind w:left="142"/>
      </w:pPr>
      <w:r>
        <w:t>©</w:t>
      </w:r>
      <w:r>
        <w:rPr>
          <w:spacing w:val="-1"/>
        </w:rPr>
        <w:t xml:space="preserve"> </w:t>
      </w:r>
      <w:r>
        <w:t>Australian</w:t>
      </w:r>
      <w:r>
        <w:rPr>
          <w:spacing w:val="-1"/>
        </w:rPr>
        <w:t xml:space="preserve"> </w:t>
      </w:r>
      <w:r>
        <w:t>Commission</w:t>
      </w:r>
      <w:r>
        <w:rPr>
          <w:spacing w:val="-1"/>
        </w:rPr>
        <w:t xml:space="preserve"> </w:t>
      </w:r>
      <w:r>
        <w:t>on</w:t>
      </w:r>
      <w:r>
        <w:rPr>
          <w:spacing w:val="-1"/>
        </w:rPr>
        <w:t xml:space="preserve"> </w:t>
      </w:r>
      <w:r>
        <w:t>Safety and</w:t>
      </w:r>
      <w:r>
        <w:rPr>
          <w:spacing w:val="-1"/>
        </w:rPr>
        <w:t xml:space="preserve"> </w:t>
      </w:r>
      <w:r>
        <w:t>Quality</w:t>
      </w:r>
      <w:r>
        <w:rPr>
          <w:spacing w:val="-1"/>
        </w:rPr>
        <w:t xml:space="preserve"> </w:t>
      </w:r>
      <w:r>
        <w:t>in</w:t>
      </w:r>
      <w:r>
        <w:rPr>
          <w:spacing w:val="-1"/>
        </w:rPr>
        <w:t xml:space="preserve"> </w:t>
      </w:r>
      <w:r>
        <w:t>Health</w:t>
      </w:r>
      <w:r>
        <w:rPr>
          <w:spacing w:val="-1"/>
        </w:rPr>
        <w:t xml:space="preserve"> </w:t>
      </w:r>
      <w:r>
        <w:t xml:space="preserve">Care </w:t>
      </w:r>
      <w:r>
        <w:rPr>
          <w:spacing w:val="-4"/>
        </w:rPr>
        <w:t>2026</w:t>
      </w:r>
    </w:p>
    <w:p w14:paraId="4D1A2106" w14:textId="77777777" w:rsidR="009D54AF" w:rsidRDefault="00000000">
      <w:pPr>
        <w:pStyle w:val="BodyText"/>
        <w:spacing w:before="123" w:line="278" w:lineRule="auto"/>
        <w:ind w:left="142" w:right="285"/>
      </w:pPr>
      <w:r>
        <w:t>All material and work produced by the Australian Commission on Safety and Quality in Health Care is protected</w:t>
      </w:r>
      <w:r>
        <w:rPr>
          <w:spacing w:val="-1"/>
        </w:rPr>
        <w:t xml:space="preserve"> </w:t>
      </w:r>
      <w:r>
        <w:t>by</w:t>
      </w:r>
      <w:r>
        <w:rPr>
          <w:spacing w:val="-1"/>
        </w:rPr>
        <w:t xml:space="preserve"> </w:t>
      </w:r>
      <w:r>
        <w:t>copyright.</w:t>
      </w:r>
      <w:r>
        <w:rPr>
          <w:spacing w:val="-1"/>
        </w:rPr>
        <w:t xml:space="preserve"> </w:t>
      </w:r>
      <w:r>
        <w:t>The</w:t>
      </w:r>
      <w:r>
        <w:rPr>
          <w:spacing w:val="-1"/>
        </w:rPr>
        <w:t xml:space="preserve"> </w:t>
      </w:r>
      <w:r>
        <w:t>Commission</w:t>
      </w:r>
      <w:r>
        <w:rPr>
          <w:spacing w:val="-1"/>
        </w:rPr>
        <w:t xml:space="preserve"> </w:t>
      </w:r>
      <w:r>
        <w:t>reserves</w:t>
      </w:r>
      <w:r>
        <w:rPr>
          <w:spacing w:val="-1"/>
        </w:rPr>
        <w:t xml:space="preserve"> </w:t>
      </w:r>
      <w:r>
        <w:t>the</w:t>
      </w:r>
      <w:r>
        <w:rPr>
          <w:spacing w:val="-1"/>
        </w:rPr>
        <w:t xml:space="preserve"> </w:t>
      </w:r>
      <w:r>
        <w:t>right</w:t>
      </w:r>
      <w:r>
        <w:rPr>
          <w:spacing w:val="-1"/>
        </w:rPr>
        <w:t xml:space="preserve"> </w:t>
      </w:r>
      <w:r>
        <w:t>to</w:t>
      </w:r>
      <w:r>
        <w:rPr>
          <w:spacing w:val="-1"/>
        </w:rPr>
        <w:t xml:space="preserve"> </w:t>
      </w:r>
      <w:r>
        <w:t>set</w:t>
      </w:r>
      <w:r>
        <w:rPr>
          <w:spacing w:val="-1"/>
        </w:rPr>
        <w:t xml:space="preserve"> </w:t>
      </w:r>
      <w:r>
        <w:t>out</w:t>
      </w:r>
      <w:r>
        <w:rPr>
          <w:spacing w:val="-1"/>
        </w:rPr>
        <w:t xml:space="preserve"> </w:t>
      </w:r>
      <w:r>
        <w:t>the</w:t>
      </w:r>
      <w:r>
        <w:rPr>
          <w:spacing w:val="-1"/>
        </w:rPr>
        <w:t xml:space="preserve"> </w:t>
      </w:r>
      <w:r>
        <w:t>terms</w:t>
      </w:r>
      <w:r>
        <w:rPr>
          <w:spacing w:val="-1"/>
        </w:rPr>
        <w:t xml:space="preserve"> </w:t>
      </w:r>
      <w:r>
        <w:t>and</w:t>
      </w:r>
      <w:r>
        <w:rPr>
          <w:spacing w:val="-1"/>
        </w:rPr>
        <w:t xml:space="preserve"> </w:t>
      </w:r>
      <w:r>
        <w:t>conditions</w:t>
      </w:r>
      <w:r>
        <w:rPr>
          <w:spacing w:val="-1"/>
        </w:rPr>
        <w:t xml:space="preserve"> </w:t>
      </w:r>
      <w:r>
        <w:t>for</w:t>
      </w:r>
      <w:r>
        <w:rPr>
          <w:spacing w:val="-1"/>
        </w:rPr>
        <w:t xml:space="preserve"> </w:t>
      </w:r>
      <w:r>
        <w:t>the</w:t>
      </w:r>
      <w:r>
        <w:rPr>
          <w:spacing w:val="-1"/>
        </w:rPr>
        <w:t xml:space="preserve"> </w:t>
      </w:r>
      <w:r>
        <w:t>use</w:t>
      </w:r>
      <w:r>
        <w:rPr>
          <w:spacing w:val="-1"/>
        </w:rPr>
        <w:t xml:space="preserve"> </w:t>
      </w:r>
      <w:r>
        <w:t>of such material.</w:t>
      </w:r>
    </w:p>
    <w:p w14:paraId="7E71C003" w14:textId="77777777" w:rsidR="009D54AF" w:rsidRDefault="00000000">
      <w:pPr>
        <w:pStyle w:val="BodyText"/>
        <w:spacing w:before="85" w:line="278" w:lineRule="auto"/>
        <w:ind w:left="142" w:right="581"/>
      </w:pPr>
      <w:r>
        <w:t>As far as practicable, material for which the copyright is owned by a third party will be clearly labelled. The</w:t>
      </w:r>
      <w:r>
        <w:rPr>
          <w:spacing w:val="-1"/>
        </w:rPr>
        <w:t xml:space="preserve"> </w:t>
      </w:r>
      <w:r>
        <w:t>Commission</w:t>
      </w:r>
      <w:r>
        <w:rPr>
          <w:spacing w:val="-1"/>
        </w:rPr>
        <w:t xml:space="preserve"> </w:t>
      </w:r>
      <w:r>
        <w:t>has</w:t>
      </w:r>
      <w:r>
        <w:rPr>
          <w:spacing w:val="-1"/>
        </w:rPr>
        <w:t xml:space="preserve"> </w:t>
      </w:r>
      <w:r>
        <w:t>made</w:t>
      </w:r>
      <w:r>
        <w:rPr>
          <w:spacing w:val="-1"/>
        </w:rPr>
        <w:t xml:space="preserve"> </w:t>
      </w:r>
      <w:r>
        <w:t>all</w:t>
      </w:r>
      <w:r>
        <w:rPr>
          <w:spacing w:val="-1"/>
        </w:rPr>
        <w:t xml:space="preserve"> </w:t>
      </w:r>
      <w:r>
        <w:t>reasonable</w:t>
      </w:r>
      <w:r>
        <w:rPr>
          <w:spacing w:val="-1"/>
        </w:rPr>
        <w:t xml:space="preserve"> </w:t>
      </w:r>
      <w:r>
        <w:t>efforts</w:t>
      </w:r>
      <w:r>
        <w:rPr>
          <w:spacing w:val="-1"/>
        </w:rPr>
        <w:t xml:space="preserve"> </w:t>
      </w:r>
      <w:r>
        <w:t>to</w:t>
      </w:r>
      <w:r>
        <w:rPr>
          <w:spacing w:val="-1"/>
        </w:rPr>
        <w:t xml:space="preserve"> </w:t>
      </w:r>
      <w:r>
        <w:t>ensure</w:t>
      </w:r>
      <w:r>
        <w:rPr>
          <w:spacing w:val="-1"/>
        </w:rPr>
        <w:t xml:space="preserve"> </w:t>
      </w:r>
      <w:r>
        <w:t>that</w:t>
      </w:r>
      <w:r>
        <w:rPr>
          <w:spacing w:val="-1"/>
        </w:rPr>
        <w:t xml:space="preserve"> </w:t>
      </w:r>
      <w:r>
        <w:t>this</w:t>
      </w:r>
      <w:r>
        <w:rPr>
          <w:spacing w:val="-1"/>
        </w:rPr>
        <w:t xml:space="preserve"> </w:t>
      </w:r>
      <w:r>
        <w:t>material</w:t>
      </w:r>
      <w:r>
        <w:rPr>
          <w:spacing w:val="-1"/>
        </w:rPr>
        <w:t xml:space="preserve"> </w:t>
      </w:r>
      <w:r>
        <w:t>has</w:t>
      </w:r>
      <w:r>
        <w:rPr>
          <w:spacing w:val="-1"/>
        </w:rPr>
        <w:t xml:space="preserve"> </w:t>
      </w:r>
      <w:r>
        <w:t>been</w:t>
      </w:r>
      <w:r>
        <w:rPr>
          <w:spacing w:val="-1"/>
        </w:rPr>
        <w:t xml:space="preserve"> </w:t>
      </w:r>
      <w:r>
        <w:t>reproduced</w:t>
      </w:r>
      <w:r>
        <w:rPr>
          <w:spacing w:val="-1"/>
        </w:rPr>
        <w:t xml:space="preserve"> </w:t>
      </w:r>
      <w:r>
        <w:t>in</w:t>
      </w:r>
      <w:r>
        <w:rPr>
          <w:spacing w:val="-1"/>
        </w:rPr>
        <w:t xml:space="preserve"> </w:t>
      </w:r>
      <w:r>
        <w:t>this publication with the full consent of the copyright owners.</w:t>
      </w:r>
    </w:p>
    <w:p w14:paraId="6CE03550" w14:textId="77777777" w:rsidR="009D54AF" w:rsidRDefault="00000000">
      <w:pPr>
        <w:pStyle w:val="BodyText"/>
        <w:spacing w:before="85" w:line="278" w:lineRule="auto"/>
        <w:ind w:left="142"/>
      </w:pPr>
      <w:r>
        <w:t>With</w:t>
      </w:r>
      <w:r>
        <w:rPr>
          <w:spacing w:val="-3"/>
        </w:rPr>
        <w:t xml:space="preserve"> </w:t>
      </w:r>
      <w:r>
        <w:t>the</w:t>
      </w:r>
      <w:r>
        <w:rPr>
          <w:spacing w:val="-3"/>
        </w:rPr>
        <w:t xml:space="preserve"> </w:t>
      </w:r>
      <w:r>
        <w:t>exception</w:t>
      </w:r>
      <w:r>
        <w:rPr>
          <w:spacing w:val="-3"/>
        </w:rPr>
        <w:t xml:space="preserve"> </w:t>
      </w:r>
      <w:r>
        <w:t>of</w:t>
      </w:r>
      <w:r>
        <w:rPr>
          <w:spacing w:val="-3"/>
        </w:rPr>
        <w:t xml:space="preserve"> </w:t>
      </w:r>
      <w:r>
        <w:t>any</w:t>
      </w:r>
      <w:r>
        <w:rPr>
          <w:spacing w:val="-3"/>
        </w:rPr>
        <w:t xml:space="preserve"> </w:t>
      </w:r>
      <w:r>
        <w:t>material</w:t>
      </w:r>
      <w:r>
        <w:rPr>
          <w:spacing w:val="-3"/>
        </w:rPr>
        <w:t xml:space="preserve"> </w:t>
      </w:r>
      <w:r>
        <w:t>protected</w:t>
      </w:r>
      <w:r>
        <w:rPr>
          <w:spacing w:val="-3"/>
        </w:rPr>
        <w:t xml:space="preserve"> </w:t>
      </w:r>
      <w:r>
        <w:t>by</w:t>
      </w:r>
      <w:r>
        <w:rPr>
          <w:spacing w:val="-3"/>
        </w:rPr>
        <w:t xml:space="preserve"> </w:t>
      </w:r>
      <w:r>
        <w:t>a</w:t>
      </w:r>
      <w:r>
        <w:rPr>
          <w:spacing w:val="-3"/>
        </w:rPr>
        <w:t xml:space="preserve"> </w:t>
      </w:r>
      <w:r>
        <w:t>trademark,</w:t>
      </w:r>
      <w:r>
        <w:rPr>
          <w:spacing w:val="-3"/>
        </w:rPr>
        <w:t xml:space="preserve"> </w:t>
      </w:r>
      <w:r>
        <w:t>any</w:t>
      </w:r>
      <w:r>
        <w:rPr>
          <w:spacing w:val="-3"/>
        </w:rPr>
        <w:t xml:space="preserve"> </w:t>
      </w:r>
      <w:r>
        <w:t>content</w:t>
      </w:r>
      <w:r>
        <w:rPr>
          <w:spacing w:val="-3"/>
        </w:rPr>
        <w:t xml:space="preserve"> </w:t>
      </w:r>
      <w:r>
        <w:t>provided</w:t>
      </w:r>
      <w:r>
        <w:rPr>
          <w:spacing w:val="-3"/>
        </w:rPr>
        <w:t xml:space="preserve"> </w:t>
      </w:r>
      <w:r>
        <w:t>by</w:t>
      </w:r>
      <w:r>
        <w:rPr>
          <w:spacing w:val="-3"/>
        </w:rPr>
        <w:t xml:space="preserve"> </w:t>
      </w:r>
      <w:r>
        <w:t>third</w:t>
      </w:r>
      <w:r>
        <w:rPr>
          <w:spacing w:val="-3"/>
        </w:rPr>
        <w:t xml:space="preserve"> </w:t>
      </w:r>
      <w:r>
        <w:t>parties,</w:t>
      </w:r>
      <w:r>
        <w:rPr>
          <w:spacing w:val="-3"/>
        </w:rPr>
        <w:t xml:space="preserve"> </w:t>
      </w:r>
      <w:r>
        <w:t>and</w:t>
      </w:r>
      <w:r>
        <w:rPr>
          <w:spacing w:val="-3"/>
        </w:rPr>
        <w:t xml:space="preserve"> </w:t>
      </w:r>
      <w:r>
        <w:t>where otherwise noted, all material presented in this publication is licensed under a Creative Commons Attribution-</w:t>
      </w:r>
      <w:proofErr w:type="spellStart"/>
      <w:r>
        <w:t>NonCommercial</w:t>
      </w:r>
      <w:proofErr w:type="spellEnd"/>
      <w:r>
        <w:t xml:space="preserve"> – </w:t>
      </w:r>
      <w:proofErr w:type="spellStart"/>
      <w:r>
        <w:t>NoDerivatives</w:t>
      </w:r>
      <w:proofErr w:type="spellEnd"/>
      <w:r>
        <w:t xml:space="preserve"> 4.0 International </w:t>
      </w:r>
      <w:proofErr w:type="spellStart"/>
      <w:r>
        <w:t>licence</w:t>
      </w:r>
      <w:proofErr w:type="spellEnd"/>
      <w:r>
        <w:t>.</w:t>
      </w:r>
    </w:p>
    <w:p w14:paraId="706A3293" w14:textId="77777777" w:rsidR="009D54AF" w:rsidRDefault="00000000">
      <w:pPr>
        <w:pStyle w:val="BodyText"/>
        <w:spacing w:before="8"/>
        <w:rPr>
          <w:sz w:val="6"/>
        </w:rPr>
      </w:pPr>
      <w:r>
        <w:rPr>
          <w:noProof/>
          <w:sz w:val="6"/>
        </w:rPr>
        <mc:AlternateContent>
          <mc:Choice Requires="wpg">
            <w:drawing>
              <wp:anchor distT="0" distB="0" distL="0" distR="0" simplePos="0" relativeHeight="487588864" behindDoc="1" locked="0" layoutInCell="1" allowOverlap="1" wp14:anchorId="204C2380" wp14:editId="5AAA329A">
                <wp:simplePos x="0" y="0"/>
                <wp:positionH relativeFrom="page">
                  <wp:posOffset>539568</wp:posOffset>
                </wp:positionH>
                <wp:positionV relativeFrom="paragraph">
                  <wp:posOffset>64603</wp:posOffset>
                </wp:positionV>
                <wp:extent cx="1294765" cy="243204"/>
                <wp:effectExtent l="0" t="0" r="0" b="0"/>
                <wp:wrapTopAndBottom/>
                <wp:docPr id="8" name="Group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94765" cy="243204"/>
                          <a:chOff x="0" y="0"/>
                          <a:chExt cx="1294765" cy="243204"/>
                        </a:xfrm>
                      </wpg:grpSpPr>
                      <wps:wsp>
                        <wps:cNvPr id="9" name="Graphic 9"/>
                        <wps:cNvSpPr/>
                        <wps:spPr>
                          <a:xfrm>
                            <a:off x="8418" y="8418"/>
                            <a:ext cx="1277620" cy="226695"/>
                          </a:xfrm>
                          <a:custGeom>
                            <a:avLst/>
                            <a:gdLst/>
                            <a:ahLst/>
                            <a:cxnLst/>
                            <a:rect l="l" t="t" r="r" b="b"/>
                            <a:pathLst>
                              <a:path w="1277620" h="226695">
                                <a:moveTo>
                                  <a:pt x="0" y="0"/>
                                </a:moveTo>
                                <a:lnTo>
                                  <a:pt x="1277326" y="0"/>
                                </a:lnTo>
                                <a:lnTo>
                                  <a:pt x="1277326" y="226205"/>
                                </a:lnTo>
                                <a:lnTo>
                                  <a:pt x="0" y="226205"/>
                                </a:lnTo>
                                <a:lnTo>
                                  <a:pt x="0" y="0"/>
                                </a:lnTo>
                                <a:close/>
                              </a:path>
                            </a:pathLst>
                          </a:custGeom>
                          <a:ln w="16836">
                            <a:solidFill>
                              <a:srgbClr val="000000"/>
                            </a:solidFill>
                            <a:prstDash val="solid"/>
                          </a:ln>
                        </wps:spPr>
                        <wps:bodyPr wrap="square" lIns="0" tIns="0" rIns="0" bIns="0" rtlCol="0">
                          <a:prstTxWarp prst="textNoShape">
                            <a:avLst/>
                          </a:prstTxWarp>
                          <a:noAutofit/>
                        </wps:bodyPr>
                      </wps:wsp>
                      <wps:wsp>
                        <wps:cNvPr id="10" name="Graphic 10"/>
                        <wps:cNvSpPr/>
                        <wps:spPr>
                          <a:xfrm>
                            <a:off x="32364" y="31038"/>
                            <a:ext cx="1229995" cy="180975"/>
                          </a:xfrm>
                          <a:custGeom>
                            <a:avLst/>
                            <a:gdLst/>
                            <a:ahLst/>
                            <a:cxnLst/>
                            <a:rect l="l" t="t" r="r" b="b"/>
                            <a:pathLst>
                              <a:path w="1229995" h="180975">
                                <a:moveTo>
                                  <a:pt x="1229418" y="180964"/>
                                </a:moveTo>
                                <a:lnTo>
                                  <a:pt x="0" y="180964"/>
                                </a:lnTo>
                                <a:lnTo>
                                  <a:pt x="0" y="0"/>
                                </a:lnTo>
                                <a:lnTo>
                                  <a:pt x="1229418" y="0"/>
                                </a:lnTo>
                                <a:lnTo>
                                  <a:pt x="1229418" y="180964"/>
                                </a:lnTo>
                                <a:close/>
                              </a:path>
                            </a:pathLst>
                          </a:custGeom>
                          <a:solidFill>
                            <a:srgbClr val="000000"/>
                          </a:solidFill>
                        </wps:spPr>
                        <wps:bodyPr wrap="square" lIns="0" tIns="0" rIns="0" bIns="0" rtlCol="0">
                          <a:prstTxWarp prst="textNoShape">
                            <a:avLst/>
                          </a:prstTxWarp>
                          <a:noAutofit/>
                        </wps:bodyPr>
                      </wps:wsp>
                      <wps:wsp>
                        <wps:cNvPr id="11" name="Graphic 11"/>
                        <wps:cNvSpPr/>
                        <wps:spPr>
                          <a:xfrm>
                            <a:off x="32365" y="31237"/>
                            <a:ext cx="360045" cy="180975"/>
                          </a:xfrm>
                          <a:custGeom>
                            <a:avLst/>
                            <a:gdLst/>
                            <a:ahLst/>
                            <a:cxnLst/>
                            <a:rect l="l" t="t" r="r" b="b"/>
                            <a:pathLst>
                              <a:path w="360045" h="180975">
                                <a:moveTo>
                                  <a:pt x="324683" y="180964"/>
                                </a:moveTo>
                                <a:lnTo>
                                  <a:pt x="0" y="180964"/>
                                </a:lnTo>
                                <a:lnTo>
                                  <a:pt x="0" y="0"/>
                                </a:lnTo>
                                <a:lnTo>
                                  <a:pt x="325168" y="0"/>
                                </a:lnTo>
                                <a:lnTo>
                                  <a:pt x="339270" y="20554"/>
                                </a:lnTo>
                                <a:lnTo>
                                  <a:pt x="350163" y="42647"/>
                                </a:lnTo>
                                <a:lnTo>
                                  <a:pt x="357184" y="66037"/>
                                </a:lnTo>
                                <a:lnTo>
                                  <a:pt x="359672" y="90482"/>
                                </a:lnTo>
                                <a:lnTo>
                                  <a:pt x="357143" y="115003"/>
                                </a:lnTo>
                                <a:lnTo>
                                  <a:pt x="350011" y="138353"/>
                                </a:lnTo>
                                <a:lnTo>
                                  <a:pt x="338963" y="160387"/>
                                </a:lnTo>
                                <a:lnTo>
                                  <a:pt x="324683" y="180964"/>
                                </a:lnTo>
                                <a:close/>
                              </a:path>
                            </a:pathLst>
                          </a:custGeom>
                          <a:solidFill>
                            <a:srgbClr val="ABB1AA"/>
                          </a:solidFill>
                        </wps:spPr>
                        <wps:bodyPr wrap="square" lIns="0" tIns="0" rIns="0" bIns="0" rtlCol="0">
                          <a:prstTxWarp prst="textNoShape">
                            <a:avLst/>
                          </a:prstTxWarp>
                          <a:noAutofit/>
                        </wps:bodyPr>
                      </wps:wsp>
                      <pic:pic xmlns:pic="http://schemas.openxmlformats.org/drawingml/2006/picture">
                        <pic:nvPicPr>
                          <pic:cNvPr id="12" name="Image 12"/>
                          <pic:cNvPicPr/>
                        </pic:nvPicPr>
                        <pic:blipFill>
                          <a:blip r:embed="rId13" cstate="print"/>
                          <a:stretch>
                            <a:fillRect/>
                          </a:stretch>
                        </pic:blipFill>
                        <pic:spPr>
                          <a:xfrm>
                            <a:off x="80276" y="31030"/>
                            <a:ext cx="247779" cy="180962"/>
                          </a:xfrm>
                          <a:prstGeom prst="rect">
                            <a:avLst/>
                          </a:prstGeom>
                        </pic:spPr>
                      </pic:pic>
                      <wps:wsp>
                        <wps:cNvPr id="13" name="Graphic 13"/>
                        <wps:cNvSpPr/>
                        <wps:spPr>
                          <a:xfrm>
                            <a:off x="431533" y="74638"/>
                            <a:ext cx="690245" cy="93980"/>
                          </a:xfrm>
                          <a:custGeom>
                            <a:avLst/>
                            <a:gdLst/>
                            <a:ahLst/>
                            <a:cxnLst/>
                            <a:rect l="l" t="t" r="r" b="b"/>
                            <a:pathLst>
                              <a:path w="690245" h="93980">
                                <a:moveTo>
                                  <a:pt x="41278" y="92146"/>
                                </a:moveTo>
                                <a:lnTo>
                                  <a:pt x="0" y="92146"/>
                                </a:lnTo>
                                <a:lnTo>
                                  <a:pt x="0" y="1648"/>
                                </a:lnTo>
                                <a:lnTo>
                                  <a:pt x="37333" y="1648"/>
                                </a:lnTo>
                                <a:lnTo>
                                  <a:pt x="46689" y="2002"/>
                                </a:lnTo>
                                <a:lnTo>
                                  <a:pt x="75459" y="17223"/>
                                </a:lnTo>
                                <a:lnTo>
                                  <a:pt x="75459" y="17514"/>
                                </a:lnTo>
                                <a:lnTo>
                                  <a:pt x="24867" y="17514"/>
                                </a:lnTo>
                                <a:lnTo>
                                  <a:pt x="24867" y="36677"/>
                                </a:lnTo>
                                <a:lnTo>
                                  <a:pt x="72275" y="36677"/>
                                </a:lnTo>
                                <a:lnTo>
                                  <a:pt x="69961" y="39925"/>
                                </a:lnTo>
                                <a:lnTo>
                                  <a:pt x="66776" y="42219"/>
                                </a:lnTo>
                                <a:lnTo>
                                  <a:pt x="62605" y="43706"/>
                                </a:lnTo>
                                <a:lnTo>
                                  <a:pt x="67940" y="45160"/>
                                </a:lnTo>
                                <a:lnTo>
                                  <a:pt x="72080" y="47842"/>
                                </a:lnTo>
                                <a:lnTo>
                                  <a:pt x="75596" y="52560"/>
                                </a:lnTo>
                                <a:lnTo>
                                  <a:pt x="24867" y="52560"/>
                                </a:lnTo>
                                <a:lnTo>
                                  <a:pt x="24867" y="76247"/>
                                </a:lnTo>
                                <a:lnTo>
                                  <a:pt x="78743" y="76247"/>
                                </a:lnTo>
                                <a:lnTo>
                                  <a:pt x="76251" y="81434"/>
                                </a:lnTo>
                                <a:lnTo>
                                  <a:pt x="69961" y="85699"/>
                                </a:lnTo>
                                <a:lnTo>
                                  <a:pt x="64632" y="88520"/>
                                </a:lnTo>
                                <a:lnTo>
                                  <a:pt x="58075" y="90534"/>
                                </a:lnTo>
                                <a:lnTo>
                                  <a:pt x="50291" y="91743"/>
                                </a:lnTo>
                                <a:lnTo>
                                  <a:pt x="41278" y="92146"/>
                                </a:lnTo>
                                <a:close/>
                              </a:path>
                              <a:path w="690245" h="93980">
                                <a:moveTo>
                                  <a:pt x="138872" y="92146"/>
                                </a:moveTo>
                                <a:lnTo>
                                  <a:pt x="113989" y="92146"/>
                                </a:lnTo>
                                <a:lnTo>
                                  <a:pt x="113989" y="54014"/>
                                </a:lnTo>
                                <a:lnTo>
                                  <a:pt x="77237" y="1648"/>
                                </a:lnTo>
                                <a:lnTo>
                                  <a:pt x="104433" y="1648"/>
                                </a:lnTo>
                                <a:lnTo>
                                  <a:pt x="126307" y="33753"/>
                                </a:lnTo>
                                <a:lnTo>
                                  <a:pt x="126406" y="33898"/>
                                </a:lnTo>
                                <a:lnTo>
                                  <a:pt x="152990" y="33898"/>
                                </a:lnTo>
                                <a:lnTo>
                                  <a:pt x="138872" y="54014"/>
                                </a:lnTo>
                                <a:lnTo>
                                  <a:pt x="138872" y="92146"/>
                                </a:lnTo>
                                <a:close/>
                              </a:path>
                              <a:path w="690245" h="93980">
                                <a:moveTo>
                                  <a:pt x="152990" y="33898"/>
                                </a:moveTo>
                                <a:lnTo>
                                  <a:pt x="126406" y="33898"/>
                                </a:lnTo>
                                <a:lnTo>
                                  <a:pt x="148363" y="1648"/>
                                </a:lnTo>
                                <a:lnTo>
                                  <a:pt x="175624" y="1648"/>
                                </a:lnTo>
                                <a:lnTo>
                                  <a:pt x="153092" y="33753"/>
                                </a:lnTo>
                                <a:lnTo>
                                  <a:pt x="152990" y="33898"/>
                                </a:lnTo>
                                <a:close/>
                              </a:path>
                              <a:path w="690245" h="93980">
                                <a:moveTo>
                                  <a:pt x="72275" y="36677"/>
                                </a:moveTo>
                                <a:lnTo>
                                  <a:pt x="42555" y="36677"/>
                                </a:lnTo>
                                <a:lnTo>
                                  <a:pt x="45514" y="35869"/>
                                </a:lnTo>
                                <a:lnTo>
                                  <a:pt x="49573" y="32638"/>
                                </a:lnTo>
                                <a:lnTo>
                                  <a:pt x="50575" y="30263"/>
                                </a:lnTo>
                                <a:lnTo>
                                  <a:pt x="50575" y="23993"/>
                                </a:lnTo>
                                <a:lnTo>
                                  <a:pt x="49573" y="21618"/>
                                </a:lnTo>
                                <a:lnTo>
                                  <a:pt x="47552" y="20019"/>
                                </a:lnTo>
                                <a:lnTo>
                                  <a:pt x="45514" y="18354"/>
                                </a:lnTo>
                                <a:lnTo>
                                  <a:pt x="42555" y="17514"/>
                                </a:lnTo>
                                <a:lnTo>
                                  <a:pt x="75459" y="17514"/>
                                </a:lnTo>
                                <a:lnTo>
                                  <a:pt x="75379" y="30263"/>
                                </a:lnTo>
                                <a:lnTo>
                                  <a:pt x="74359" y="33753"/>
                                </a:lnTo>
                                <a:lnTo>
                                  <a:pt x="72275" y="36677"/>
                                </a:lnTo>
                                <a:close/>
                              </a:path>
                              <a:path w="690245" h="93980">
                                <a:moveTo>
                                  <a:pt x="202755" y="65211"/>
                                </a:moveTo>
                                <a:lnTo>
                                  <a:pt x="162188" y="65211"/>
                                </a:lnTo>
                                <a:lnTo>
                                  <a:pt x="162188" y="47583"/>
                                </a:lnTo>
                                <a:lnTo>
                                  <a:pt x="202755" y="47583"/>
                                </a:lnTo>
                                <a:lnTo>
                                  <a:pt x="202755" y="65211"/>
                                </a:lnTo>
                                <a:close/>
                              </a:path>
                              <a:path w="690245" h="93980">
                                <a:moveTo>
                                  <a:pt x="78743" y="76247"/>
                                </a:moveTo>
                                <a:lnTo>
                                  <a:pt x="44463" y="76247"/>
                                </a:lnTo>
                                <a:lnTo>
                                  <a:pt x="48215" y="75261"/>
                                </a:lnTo>
                                <a:lnTo>
                                  <a:pt x="50705" y="73290"/>
                                </a:lnTo>
                                <a:lnTo>
                                  <a:pt x="53259" y="71303"/>
                                </a:lnTo>
                                <a:lnTo>
                                  <a:pt x="54520" y="68314"/>
                                </a:lnTo>
                                <a:lnTo>
                                  <a:pt x="54520" y="60396"/>
                                </a:lnTo>
                                <a:lnTo>
                                  <a:pt x="53275" y="57456"/>
                                </a:lnTo>
                                <a:lnTo>
                                  <a:pt x="50769" y="55533"/>
                                </a:lnTo>
                                <a:lnTo>
                                  <a:pt x="48279" y="53546"/>
                                </a:lnTo>
                                <a:lnTo>
                                  <a:pt x="44512" y="52560"/>
                                </a:lnTo>
                                <a:lnTo>
                                  <a:pt x="75596" y="52560"/>
                                </a:lnTo>
                                <a:lnTo>
                                  <a:pt x="77812" y="55533"/>
                                </a:lnTo>
                                <a:lnTo>
                                  <a:pt x="77933" y="55695"/>
                                </a:lnTo>
                                <a:lnTo>
                                  <a:pt x="79358" y="60396"/>
                                </a:lnTo>
                                <a:lnTo>
                                  <a:pt x="79388" y="74906"/>
                                </a:lnTo>
                                <a:lnTo>
                                  <a:pt x="78743" y="76247"/>
                                </a:lnTo>
                                <a:close/>
                              </a:path>
                              <a:path w="690245" h="93980">
                                <a:moveTo>
                                  <a:pt x="245796" y="92146"/>
                                </a:moveTo>
                                <a:lnTo>
                                  <a:pt x="222222" y="92146"/>
                                </a:lnTo>
                                <a:lnTo>
                                  <a:pt x="222222" y="1648"/>
                                </a:lnTo>
                                <a:lnTo>
                                  <a:pt x="249984" y="1648"/>
                                </a:lnTo>
                                <a:lnTo>
                                  <a:pt x="266051" y="30069"/>
                                </a:lnTo>
                                <a:lnTo>
                                  <a:pt x="245796" y="30069"/>
                                </a:lnTo>
                                <a:lnTo>
                                  <a:pt x="245796" y="92146"/>
                                </a:lnTo>
                                <a:close/>
                              </a:path>
                              <a:path w="690245" h="93980">
                                <a:moveTo>
                                  <a:pt x="308644" y="63709"/>
                                </a:moveTo>
                                <a:lnTo>
                                  <a:pt x="285070" y="63709"/>
                                </a:lnTo>
                                <a:lnTo>
                                  <a:pt x="285070" y="1648"/>
                                </a:lnTo>
                                <a:lnTo>
                                  <a:pt x="308644" y="1648"/>
                                </a:lnTo>
                                <a:lnTo>
                                  <a:pt x="308644" y="63709"/>
                                </a:lnTo>
                                <a:close/>
                              </a:path>
                              <a:path w="690245" h="93980">
                                <a:moveTo>
                                  <a:pt x="308644" y="92146"/>
                                </a:moveTo>
                                <a:lnTo>
                                  <a:pt x="280866" y="92146"/>
                                </a:lnTo>
                                <a:lnTo>
                                  <a:pt x="245796" y="30069"/>
                                </a:lnTo>
                                <a:lnTo>
                                  <a:pt x="266051" y="30069"/>
                                </a:lnTo>
                                <a:lnTo>
                                  <a:pt x="285070" y="63709"/>
                                </a:lnTo>
                                <a:lnTo>
                                  <a:pt x="308644" y="63709"/>
                                </a:lnTo>
                                <a:lnTo>
                                  <a:pt x="308644" y="92146"/>
                                </a:lnTo>
                                <a:close/>
                              </a:path>
                              <a:path w="690245" h="93980">
                                <a:moveTo>
                                  <a:pt x="385170" y="93891"/>
                                </a:moveTo>
                                <a:lnTo>
                                  <a:pt x="379802" y="93891"/>
                                </a:lnTo>
                                <a:lnTo>
                                  <a:pt x="368366" y="93101"/>
                                </a:lnTo>
                                <a:lnTo>
                                  <a:pt x="331031" y="66373"/>
                                </a:lnTo>
                                <a:lnTo>
                                  <a:pt x="327512" y="46986"/>
                                </a:lnTo>
                                <a:lnTo>
                                  <a:pt x="328314" y="37614"/>
                                </a:lnTo>
                                <a:lnTo>
                                  <a:pt x="358188" y="3172"/>
                                </a:lnTo>
                                <a:lnTo>
                                  <a:pt x="379802" y="0"/>
                                </a:lnTo>
                                <a:lnTo>
                                  <a:pt x="385170" y="0"/>
                                </a:lnTo>
                                <a:lnTo>
                                  <a:pt x="390344" y="581"/>
                                </a:lnTo>
                                <a:lnTo>
                                  <a:pt x="400239" y="2843"/>
                                </a:lnTo>
                                <a:lnTo>
                                  <a:pt x="404993" y="4524"/>
                                </a:lnTo>
                                <a:lnTo>
                                  <a:pt x="409569" y="6737"/>
                                </a:lnTo>
                                <a:lnTo>
                                  <a:pt x="409569" y="16916"/>
                                </a:lnTo>
                                <a:lnTo>
                                  <a:pt x="372914" y="16916"/>
                                </a:lnTo>
                                <a:lnTo>
                                  <a:pt x="366010" y="19552"/>
                                </a:lnTo>
                                <a:lnTo>
                                  <a:pt x="365191" y="20358"/>
                                </a:lnTo>
                                <a:lnTo>
                                  <a:pt x="355759" y="30263"/>
                                </a:lnTo>
                                <a:lnTo>
                                  <a:pt x="353237" y="37614"/>
                                </a:lnTo>
                                <a:lnTo>
                                  <a:pt x="353237" y="56325"/>
                                </a:lnTo>
                                <a:lnTo>
                                  <a:pt x="355759" y="63644"/>
                                </a:lnTo>
                                <a:lnTo>
                                  <a:pt x="365929" y="74308"/>
                                </a:lnTo>
                                <a:lnTo>
                                  <a:pt x="372914" y="76974"/>
                                </a:lnTo>
                                <a:lnTo>
                                  <a:pt x="409569" y="76974"/>
                                </a:lnTo>
                                <a:lnTo>
                                  <a:pt x="409569" y="87153"/>
                                </a:lnTo>
                                <a:lnTo>
                                  <a:pt x="404993" y="89399"/>
                                </a:lnTo>
                                <a:lnTo>
                                  <a:pt x="400239" y="91063"/>
                                </a:lnTo>
                                <a:lnTo>
                                  <a:pt x="390344" y="93326"/>
                                </a:lnTo>
                                <a:lnTo>
                                  <a:pt x="385170" y="93891"/>
                                </a:lnTo>
                                <a:close/>
                              </a:path>
                              <a:path w="690245" h="93980">
                                <a:moveTo>
                                  <a:pt x="409569" y="25464"/>
                                </a:moveTo>
                                <a:lnTo>
                                  <a:pt x="404960" y="22523"/>
                                </a:lnTo>
                                <a:lnTo>
                                  <a:pt x="400417" y="20358"/>
                                </a:lnTo>
                                <a:lnTo>
                                  <a:pt x="391443" y="17611"/>
                                </a:lnTo>
                                <a:lnTo>
                                  <a:pt x="386738" y="16916"/>
                                </a:lnTo>
                                <a:lnTo>
                                  <a:pt x="409569" y="16916"/>
                                </a:lnTo>
                                <a:lnTo>
                                  <a:pt x="409569" y="25464"/>
                                </a:lnTo>
                                <a:close/>
                              </a:path>
                              <a:path w="690245" h="93980">
                                <a:moveTo>
                                  <a:pt x="409569" y="76974"/>
                                </a:moveTo>
                                <a:lnTo>
                                  <a:pt x="386738" y="76974"/>
                                </a:lnTo>
                                <a:lnTo>
                                  <a:pt x="391443" y="76295"/>
                                </a:lnTo>
                                <a:lnTo>
                                  <a:pt x="400417" y="73549"/>
                                </a:lnTo>
                                <a:lnTo>
                                  <a:pt x="404960" y="71367"/>
                                </a:lnTo>
                                <a:lnTo>
                                  <a:pt x="409569" y="68443"/>
                                </a:lnTo>
                                <a:lnTo>
                                  <a:pt x="409569" y="76974"/>
                                </a:lnTo>
                                <a:close/>
                              </a:path>
                              <a:path w="690245" h="93980">
                                <a:moveTo>
                                  <a:pt x="468956" y="65211"/>
                                </a:moveTo>
                                <a:lnTo>
                                  <a:pt x="428373" y="65211"/>
                                </a:lnTo>
                                <a:lnTo>
                                  <a:pt x="428373" y="47583"/>
                                </a:lnTo>
                                <a:lnTo>
                                  <a:pt x="468956" y="47583"/>
                                </a:lnTo>
                                <a:lnTo>
                                  <a:pt x="468956" y="65211"/>
                                </a:lnTo>
                                <a:close/>
                              </a:path>
                              <a:path w="690245" h="93980">
                                <a:moveTo>
                                  <a:pt x="511965" y="92146"/>
                                </a:moveTo>
                                <a:lnTo>
                                  <a:pt x="488391" y="92146"/>
                                </a:lnTo>
                                <a:lnTo>
                                  <a:pt x="488391" y="1648"/>
                                </a:lnTo>
                                <a:lnTo>
                                  <a:pt x="516169" y="1648"/>
                                </a:lnTo>
                                <a:lnTo>
                                  <a:pt x="532229" y="30069"/>
                                </a:lnTo>
                                <a:lnTo>
                                  <a:pt x="511965" y="30069"/>
                                </a:lnTo>
                                <a:lnTo>
                                  <a:pt x="511965" y="92146"/>
                                </a:lnTo>
                                <a:close/>
                              </a:path>
                              <a:path w="690245" h="93980">
                                <a:moveTo>
                                  <a:pt x="574829" y="63709"/>
                                </a:moveTo>
                                <a:lnTo>
                                  <a:pt x="551239" y="63709"/>
                                </a:lnTo>
                                <a:lnTo>
                                  <a:pt x="551239" y="1648"/>
                                </a:lnTo>
                                <a:lnTo>
                                  <a:pt x="574829" y="1648"/>
                                </a:lnTo>
                                <a:lnTo>
                                  <a:pt x="574829" y="63709"/>
                                </a:lnTo>
                                <a:close/>
                              </a:path>
                              <a:path w="690245" h="93980">
                                <a:moveTo>
                                  <a:pt x="574829" y="92146"/>
                                </a:moveTo>
                                <a:lnTo>
                                  <a:pt x="547035" y="92146"/>
                                </a:lnTo>
                                <a:lnTo>
                                  <a:pt x="511965" y="30069"/>
                                </a:lnTo>
                                <a:lnTo>
                                  <a:pt x="532229" y="30069"/>
                                </a:lnTo>
                                <a:lnTo>
                                  <a:pt x="551239" y="63709"/>
                                </a:lnTo>
                                <a:lnTo>
                                  <a:pt x="574829" y="63709"/>
                                </a:lnTo>
                                <a:lnTo>
                                  <a:pt x="574829" y="92146"/>
                                </a:lnTo>
                                <a:close/>
                              </a:path>
                              <a:path w="690245" h="93980">
                                <a:moveTo>
                                  <a:pt x="625485" y="92146"/>
                                </a:moveTo>
                                <a:lnTo>
                                  <a:pt x="599243" y="92146"/>
                                </a:lnTo>
                                <a:lnTo>
                                  <a:pt x="599243" y="1648"/>
                                </a:lnTo>
                                <a:lnTo>
                                  <a:pt x="625485" y="1648"/>
                                </a:lnTo>
                                <a:lnTo>
                                  <a:pt x="635761" y="1833"/>
                                </a:lnTo>
                                <a:lnTo>
                                  <a:pt x="676643" y="14557"/>
                                </a:lnTo>
                                <a:lnTo>
                                  <a:pt x="681170" y="18629"/>
                                </a:lnTo>
                                <a:lnTo>
                                  <a:pt x="681631" y="19275"/>
                                </a:lnTo>
                                <a:lnTo>
                                  <a:pt x="624127" y="19275"/>
                                </a:lnTo>
                                <a:lnTo>
                                  <a:pt x="624127" y="74502"/>
                                </a:lnTo>
                                <a:lnTo>
                                  <a:pt x="681621" y="74502"/>
                                </a:lnTo>
                                <a:lnTo>
                                  <a:pt x="681170" y="75132"/>
                                </a:lnTo>
                                <a:lnTo>
                                  <a:pt x="644471" y="91411"/>
                                </a:lnTo>
                                <a:lnTo>
                                  <a:pt x="635653" y="91962"/>
                                </a:lnTo>
                                <a:lnTo>
                                  <a:pt x="625485" y="92146"/>
                                </a:lnTo>
                                <a:close/>
                              </a:path>
                              <a:path w="690245" h="93980">
                                <a:moveTo>
                                  <a:pt x="681621" y="74502"/>
                                </a:moveTo>
                                <a:lnTo>
                                  <a:pt x="643206" y="74502"/>
                                </a:lnTo>
                                <a:lnTo>
                                  <a:pt x="650967" y="72127"/>
                                </a:lnTo>
                                <a:lnTo>
                                  <a:pt x="661671" y="62675"/>
                                </a:lnTo>
                                <a:lnTo>
                                  <a:pt x="664371" y="55808"/>
                                </a:lnTo>
                                <a:lnTo>
                                  <a:pt x="664371" y="37824"/>
                                </a:lnTo>
                                <a:lnTo>
                                  <a:pt x="661703" y="30990"/>
                                </a:lnTo>
                                <a:lnTo>
                                  <a:pt x="651032" y="21618"/>
                                </a:lnTo>
                                <a:lnTo>
                                  <a:pt x="643238" y="19275"/>
                                </a:lnTo>
                                <a:lnTo>
                                  <a:pt x="681631" y="19275"/>
                                </a:lnTo>
                                <a:lnTo>
                                  <a:pt x="684533" y="23347"/>
                                </a:lnTo>
                                <a:lnTo>
                                  <a:pt x="686716" y="28679"/>
                                </a:lnTo>
                                <a:lnTo>
                                  <a:pt x="688931" y="34011"/>
                                </a:lnTo>
                                <a:lnTo>
                                  <a:pt x="690031" y="40054"/>
                                </a:lnTo>
                                <a:lnTo>
                                  <a:pt x="690031" y="53626"/>
                                </a:lnTo>
                                <a:lnTo>
                                  <a:pt x="688931" y="59734"/>
                                </a:lnTo>
                                <a:lnTo>
                                  <a:pt x="684533" y="70430"/>
                                </a:lnTo>
                                <a:lnTo>
                                  <a:pt x="681621" y="74502"/>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w14:anchorId="2FC0BC43" id="Group 8" o:spid="_x0000_s1026" alt="&quot;&quot;" style="position:absolute;margin-left:42.5pt;margin-top:5.1pt;width:101.95pt;height:19.15pt;z-index:-15727616;mso-wrap-distance-left:0;mso-wrap-distance-right:0;mso-position-horizontal-relative:page" coordsize="12947,2432"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">
                <v:shape id="Graphic 9" o:spid="_x0000_s1027" style="position:absolute;left:84;top:84;width:12776;height:2267;visibility:visible;mso-wrap-style:square;v-text-anchor:top" coordsize="1277620,22669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" path="m,l1277326,r,226205l,226205,,xe" filled="f" strokeweight=".46767mm">
                  <v:path arrowok="t"/>
                </v:shape>
                <v:shape id="Graphic 10" o:spid="_x0000_s1028" style="position:absolute;left:323;top:310;width:12300;height:1810;visibility:visible;mso-wrap-style:square;v-text-anchor:top" coordsize="1229995,18097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" path="m1229418,180964l,180964,,,1229418,r,180964xe" fillcolor="black" stroked="f">
                  <v:path arrowok="t"/>
                </v:shape>
                <v:shape id="Graphic 11" o:spid="_x0000_s1029" style="position:absolute;left:323;top:312;width:3601;height:1810;visibility:visible;mso-wrap-style:square;v-text-anchor:top" coordsize="360045,18097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" path="m324683,180964l,180964,,,325168,r14102,20554l350163,42647r7021,23390l359672,90482r-2529,24521l350011,138353r-11048,22034l324683,180964xe" fillcolor="#abb1aa"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2" o:spid="_x0000_s1030" type="#_x0000_t75" style="position:absolute;left:802;top:310;width:2478;height:180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">
                  <v:imagedata r:id="rId14" o:title=""/>
                </v:shape>
                <v:shape id="Graphic 13" o:spid="_x0000_s1031" style="position:absolute;left:4315;top:746;width:6902;height:940;visibility:visible;mso-wrap-style:square;v-text-anchor:top" coordsize="690245,9398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" path="m41278,92146l,92146,,1648r37333,l46689,2002,75459,17223r,291l24867,17514r,19163l72275,36677r-2314,3248l66776,42219r-4171,1487l67940,45160r4140,2682l75596,52560r-50729,l24867,76247r53876,l76251,81434r-6290,4265l64632,88520r-6557,2014l50291,91743r-9013,403xem138872,92146r-24883,l113989,54014,77237,1648r27196,l126307,33753r99,145l152990,33898,138872,54014r,38132xem152990,33898r-26584,l148363,1648r27261,l153092,33753r-102,145xem72275,36677r-29720,l45514,35869r4059,-3231l50575,30263r,-6270l49573,21618,47552,20019,45514,18354r-2959,-840l75459,17514r-80,12749l74359,33753r-2084,2924xem202755,65211r-40567,l162188,47583r40567,l202755,65211xem78743,76247r-34280,l48215,75261r2490,-1971l53259,71303r1261,-2989l54520,60396,53275,57456,50769,55533,48279,53546r-3767,-986l75596,52560r2216,2973l77933,55695r1425,4701l79388,74906r-645,1341xem245796,92146r-23574,l222222,1648r27762,l266051,30069r-20255,l245796,92146xem308644,63709r-23574,l285070,1648r23574,l308644,63709xem308644,92146r-27778,l245796,30069r20255,l285070,63709r23574,l308644,92146xem385170,93891r-5368,l368366,93101,331031,66373,327512,46986r802,-9372l358188,3172,379802,r5368,l390344,581r9895,2262l404993,4524r4576,2213l409569,16916r-36655,l366010,19552r-819,806l355759,30263r-2522,7351l353237,56325r2522,7319l365929,74308r6985,2666l409569,76974r,10179l404993,89399r-4754,1664l390344,93326r-5174,565xem409569,25464r-4609,-2941l400417,20358r-8974,-2747l386738,16916r22831,l409569,25464xem409569,76974r-22831,l391443,76295r8974,-2746l404960,71367r4609,-2924l409569,76974xem468956,65211r-40583,l428373,47583r40583,l468956,65211xem511965,92146r-23574,l488391,1648r27778,l532229,30069r-20264,l511965,92146xem574829,63709r-23590,l551239,1648r23590,l574829,63709xem574829,92146r-27794,l511965,30069r20264,l551239,63709r23590,l574829,92146xem625485,92146r-26242,l599243,1648r26242,l635761,1833r40882,12724l681170,18629r461,646l624127,19275r,55227l681621,74502r-451,630l644471,91411r-8818,551l625485,92146xem681621,74502r-38415,l650967,72127r10704,-9452l664371,55808r,-17984l661703,30990,651032,21618r-7794,-2343l681631,19275r2902,4072l686716,28679r2215,5332l690031,40054r,13572l688931,59734r-4398,10696l681621,74502xe" stroked="f">
                  <v:path arrowok="t"/>
                </v:shape>
                <w10:wrap type="topAndBottom" anchorx="page"/>
              </v:group>
            </w:pict>
          </mc:Fallback>
        </mc:AlternateContent>
      </w:r>
    </w:p>
    <w:p w14:paraId="35231CA0" w14:textId="77777777" w:rsidR="009D54AF" w:rsidRDefault="009D54AF">
      <w:pPr>
        <w:pStyle w:val="BodyText"/>
        <w:spacing w:before="17"/>
      </w:pPr>
    </w:p>
    <w:p w14:paraId="1F0DFD45" w14:textId="77777777" w:rsidR="009D54AF" w:rsidRDefault="00000000">
      <w:pPr>
        <w:pStyle w:val="BodyText"/>
        <w:spacing w:line="278" w:lineRule="auto"/>
        <w:ind w:left="142"/>
      </w:pPr>
      <w:r>
        <w:t>Enquiries</w:t>
      </w:r>
      <w:r>
        <w:rPr>
          <w:spacing w:val="-2"/>
        </w:rPr>
        <w:t xml:space="preserve"> </w:t>
      </w:r>
      <w:r>
        <w:t>about</w:t>
      </w:r>
      <w:r>
        <w:rPr>
          <w:spacing w:val="-2"/>
        </w:rPr>
        <w:t xml:space="preserve"> </w:t>
      </w:r>
      <w:r>
        <w:t>the</w:t>
      </w:r>
      <w:r>
        <w:rPr>
          <w:spacing w:val="-2"/>
        </w:rPr>
        <w:t xml:space="preserve"> </w:t>
      </w:r>
      <w:proofErr w:type="spellStart"/>
      <w:r>
        <w:t>licence</w:t>
      </w:r>
      <w:proofErr w:type="spellEnd"/>
      <w:r>
        <w:rPr>
          <w:spacing w:val="-2"/>
        </w:rPr>
        <w:t xml:space="preserve"> </w:t>
      </w:r>
      <w:r>
        <w:t>and</w:t>
      </w:r>
      <w:r>
        <w:rPr>
          <w:spacing w:val="-2"/>
        </w:rPr>
        <w:t xml:space="preserve"> </w:t>
      </w:r>
      <w:r>
        <w:t>any</w:t>
      </w:r>
      <w:r>
        <w:rPr>
          <w:spacing w:val="-2"/>
        </w:rPr>
        <w:t xml:space="preserve"> </w:t>
      </w:r>
      <w:r>
        <w:t>use</w:t>
      </w:r>
      <w:r>
        <w:rPr>
          <w:spacing w:val="-2"/>
        </w:rPr>
        <w:t xml:space="preserve"> </w:t>
      </w:r>
      <w:r>
        <w:t>of</w:t>
      </w:r>
      <w:r>
        <w:rPr>
          <w:spacing w:val="-2"/>
        </w:rPr>
        <w:t xml:space="preserve"> </w:t>
      </w:r>
      <w:r>
        <w:t>this</w:t>
      </w:r>
      <w:r>
        <w:rPr>
          <w:spacing w:val="-2"/>
        </w:rPr>
        <w:t xml:space="preserve"> </w:t>
      </w:r>
      <w:r>
        <w:t>publication</w:t>
      </w:r>
      <w:r>
        <w:rPr>
          <w:spacing w:val="-2"/>
        </w:rPr>
        <w:t xml:space="preserve"> </w:t>
      </w:r>
      <w:r>
        <w:t>are</w:t>
      </w:r>
      <w:r>
        <w:rPr>
          <w:spacing w:val="-2"/>
        </w:rPr>
        <w:t xml:space="preserve"> </w:t>
      </w:r>
      <w:r>
        <w:t>welcome</w:t>
      </w:r>
      <w:r>
        <w:rPr>
          <w:spacing w:val="-2"/>
        </w:rPr>
        <w:t xml:space="preserve"> </w:t>
      </w:r>
      <w:r>
        <w:t>and</w:t>
      </w:r>
      <w:r>
        <w:rPr>
          <w:spacing w:val="-2"/>
        </w:rPr>
        <w:t xml:space="preserve"> </w:t>
      </w:r>
      <w:r>
        <w:t>can</w:t>
      </w:r>
      <w:r>
        <w:rPr>
          <w:spacing w:val="-2"/>
        </w:rPr>
        <w:t xml:space="preserve"> </w:t>
      </w:r>
      <w:r>
        <w:t>be</w:t>
      </w:r>
      <w:r>
        <w:rPr>
          <w:spacing w:val="-2"/>
        </w:rPr>
        <w:t xml:space="preserve"> </w:t>
      </w:r>
      <w:r>
        <w:t>sent</w:t>
      </w:r>
      <w:r>
        <w:rPr>
          <w:spacing w:val="-2"/>
        </w:rPr>
        <w:t xml:space="preserve"> </w:t>
      </w:r>
      <w:r>
        <w:t xml:space="preserve">to </w:t>
      </w:r>
      <w:hyperlink r:id="rId15">
        <w:r>
          <w:rPr>
            <w:spacing w:val="-2"/>
            <w:u w:val="single"/>
          </w:rPr>
          <w:t>communications@safetyandquality.gov.au</w:t>
        </w:r>
        <w:r>
          <w:rPr>
            <w:spacing w:val="-2"/>
          </w:rPr>
          <w:t>.</w:t>
        </w:r>
      </w:hyperlink>
    </w:p>
    <w:p w14:paraId="76B9FD0E" w14:textId="77777777" w:rsidR="009D54AF" w:rsidRDefault="00000000">
      <w:pPr>
        <w:pStyle w:val="BodyText"/>
        <w:spacing w:before="85" w:line="278" w:lineRule="auto"/>
        <w:ind w:left="142"/>
      </w:pPr>
      <w:r>
        <w:t>The</w:t>
      </w:r>
      <w:r>
        <w:rPr>
          <w:spacing w:val="-3"/>
        </w:rPr>
        <w:t xml:space="preserve"> </w:t>
      </w:r>
      <w:r>
        <w:t>Commission’s</w:t>
      </w:r>
      <w:r>
        <w:rPr>
          <w:spacing w:val="-3"/>
        </w:rPr>
        <w:t xml:space="preserve"> </w:t>
      </w:r>
      <w:r>
        <w:t>preference</w:t>
      </w:r>
      <w:r>
        <w:rPr>
          <w:spacing w:val="-3"/>
        </w:rPr>
        <w:t xml:space="preserve"> </w:t>
      </w:r>
      <w:r>
        <w:t>is</w:t>
      </w:r>
      <w:r>
        <w:rPr>
          <w:spacing w:val="-3"/>
        </w:rPr>
        <w:t xml:space="preserve"> </w:t>
      </w:r>
      <w:r>
        <w:t>that</w:t>
      </w:r>
      <w:r>
        <w:rPr>
          <w:spacing w:val="-3"/>
        </w:rPr>
        <w:t xml:space="preserve"> </w:t>
      </w:r>
      <w:r>
        <w:t>you</w:t>
      </w:r>
      <w:r>
        <w:rPr>
          <w:spacing w:val="-3"/>
        </w:rPr>
        <w:t xml:space="preserve"> </w:t>
      </w:r>
      <w:r>
        <w:t>attribute</w:t>
      </w:r>
      <w:r>
        <w:rPr>
          <w:spacing w:val="-3"/>
        </w:rPr>
        <w:t xml:space="preserve"> </w:t>
      </w:r>
      <w:r>
        <w:t>this</w:t>
      </w:r>
      <w:r>
        <w:rPr>
          <w:spacing w:val="-3"/>
        </w:rPr>
        <w:t xml:space="preserve"> </w:t>
      </w:r>
      <w:r>
        <w:t>publication</w:t>
      </w:r>
      <w:r>
        <w:rPr>
          <w:spacing w:val="-3"/>
        </w:rPr>
        <w:t xml:space="preserve"> </w:t>
      </w:r>
      <w:r>
        <w:t>(and</w:t>
      </w:r>
      <w:r>
        <w:rPr>
          <w:spacing w:val="-3"/>
        </w:rPr>
        <w:t xml:space="preserve"> </w:t>
      </w:r>
      <w:r>
        <w:t>any</w:t>
      </w:r>
      <w:r>
        <w:rPr>
          <w:spacing w:val="-3"/>
        </w:rPr>
        <w:t xml:space="preserve"> </w:t>
      </w:r>
      <w:r>
        <w:t>material</w:t>
      </w:r>
      <w:r>
        <w:rPr>
          <w:spacing w:val="-3"/>
        </w:rPr>
        <w:t xml:space="preserve"> </w:t>
      </w:r>
      <w:r>
        <w:t>sourced</w:t>
      </w:r>
      <w:r>
        <w:rPr>
          <w:spacing w:val="-3"/>
        </w:rPr>
        <w:t xml:space="preserve"> </w:t>
      </w:r>
      <w:r>
        <w:t>from</w:t>
      </w:r>
      <w:r>
        <w:rPr>
          <w:spacing w:val="-3"/>
        </w:rPr>
        <w:t xml:space="preserve"> </w:t>
      </w:r>
      <w:r>
        <w:t>it)</w:t>
      </w:r>
      <w:r>
        <w:rPr>
          <w:spacing w:val="-3"/>
        </w:rPr>
        <w:t xml:space="preserve"> </w:t>
      </w:r>
      <w:r>
        <w:t>using</w:t>
      </w:r>
      <w:r>
        <w:rPr>
          <w:spacing w:val="-3"/>
        </w:rPr>
        <w:t xml:space="preserve"> </w:t>
      </w:r>
      <w:r>
        <w:t>the following citation:</w:t>
      </w:r>
    </w:p>
    <w:p w14:paraId="582DFCBE" w14:textId="77777777" w:rsidR="009D54AF" w:rsidRDefault="00000000">
      <w:pPr>
        <w:pStyle w:val="BodyText"/>
        <w:spacing w:before="85" w:line="278" w:lineRule="auto"/>
        <w:ind w:left="142" w:right="285"/>
      </w:pPr>
      <w:r>
        <w:t>Australian</w:t>
      </w:r>
      <w:r>
        <w:rPr>
          <w:spacing w:val="-1"/>
        </w:rPr>
        <w:t xml:space="preserve"> </w:t>
      </w:r>
      <w:r>
        <w:t>Commission</w:t>
      </w:r>
      <w:r>
        <w:rPr>
          <w:spacing w:val="-1"/>
        </w:rPr>
        <w:t xml:space="preserve"> </w:t>
      </w:r>
      <w:r>
        <w:t>on</w:t>
      </w:r>
      <w:r>
        <w:rPr>
          <w:spacing w:val="-1"/>
        </w:rPr>
        <w:t xml:space="preserve"> </w:t>
      </w:r>
      <w:r>
        <w:t>Safety</w:t>
      </w:r>
      <w:r>
        <w:rPr>
          <w:spacing w:val="-1"/>
        </w:rPr>
        <w:t xml:space="preserve"> </w:t>
      </w:r>
      <w:r>
        <w:t>and</w:t>
      </w:r>
      <w:r>
        <w:rPr>
          <w:spacing w:val="-1"/>
        </w:rPr>
        <w:t xml:space="preserve"> </w:t>
      </w:r>
      <w:r>
        <w:t>Quality</w:t>
      </w:r>
      <w:r>
        <w:rPr>
          <w:spacing w:val="-1"/>
        </w:rPr>
        <w:t xml:space="preserve"> </w:t>
      </w:r>
      <w:r>
        <w:t>in</w:t>
      </w:r>
      <w:r>
        <w:rPr>
          <w:spacing w:val="-1"/>
        </w:rPr>
        <w:t xml:space="preserve"> </w:t>
      </w:r>
      <w:r>
        <w:t>Health</w:t>
      </w:r>
      <w:r>
        <w:rPr>
          <w:spacing w:val="-1"/>
        </w:rPr>
        <w:t xml:space="preserve"> </w:t>
      </w:r>
      <w:r>
        <w:t>Care</w:t>
      </w:r>
      <w:r>
        <w:rPr>
          <w:spacing w:val="-1"/>
        </w:rPr>
        <w:t xml:space="preserve"> </w:t>
      </w:r>
      <w:r>
        <w:t>Annual</w:t>
      </w:r>
      <w:r>
        <w:rPr>
          <w:spacing w:val="-1"/>
        </w:rPr>
        <w:t xml:space="preserve"> </w:t>
      </w:r>
      <w:r>
        <w:t>Report</w:t>
      </w:r>
      <w:r>
        <w:rPr>
          <w:spacing w:val="-1"/>
        </w:rPr>
        <w:t xml:space="preserve"> </w:t>
      </w:r>
      <w:r>
        <w:t>2025–26.</w:t>
      </w:r>
      <w:r>
        <w:rPr>
          <w:spacing w:val="-1"/>
        </w:rPr>
        <w:t xml:space="preserve"> </w:t>
      </w:r>
      <w:r>
        <w:t>Sydney;</w:t>
      </w:r>
      <w:r>
        <w:rPr>
          <w:spacing w:val="-1"/>
        </w:rPr>
        <w:t xml:space="preserve"> </w:t>
      </w:r>
      <w:r>
        <w:t xml:space="preserve">ACSQHC, </w:t>
      </w:r>
      <w:r>
        <w:rPr>
          <w:spacing w:val="-2"/>
        </w:rPr>
        <w:t>2026.</w:t>
      </w:r>
    </w:p>
    <w:p w14:paraId="7745EC32" w14:textId="77777777" w:rsidR="009D54AF" w:rsidRDefault="00000000">
      <w:pPr>
        <w:spacing w:before="198"/>
        <w:ind w:left="142"/>
        <w:rPr>
          <w:b/>
          <w:sz w:val="21"/>
        </w:rPr>
      </w:pPr>
      <w:r>
        <w:rPr>
          <w:b/>
          <w:spacing w:val="-2"/>
          <w:sz w:val="21"/>
        </w:rPr>
        <w:t>Disclaimer</w:t>
      </w:r>
    </w:p>
    <w:p w14:paraId="50833EF0" w14:textId="77777777" w:rsidR="009D54AF" w:rsidRDefault="00000000">
      <w:pPr>
        <w:pStyle w:val="BodyText"/>
        <w:spacing w:before="124" w:line="278" w:lineRule="auto"/>
        <w:ind w:left="142" w:right="285"/>
      </w:pPr>
      <w:r>
        <w:t>The</w:t>
      </w:r>
      <w:r>
        <w:rPr>
          <w:spacing w:val="-2"/>
        </w:rPr>
        <w:t xml:space="preserve"> </w:t>
      </w:r>
      <w:r>
        <w:t>content</w:t>
      </w:r>
      <w:r>
        <w:rPr>
          <w:spacing w:val="-2"/>
        </w:rPr>
        <w:t xml:space="preserve"> </w:t>
      </w:r>
      <w:r>
        <w:t>of</w:t>
      </w:r>
      <w:r>
        <w:rPr>
          <w:spacing w:val="-2"/>
        </w:rPr>
        <w:t xml:space="preserve"> </w:t>
      </w:r>
      <w:r>
        <w:t>this</w:t>
      </w:r>
      <w:r>
        <w:rPr>
          <w:spacing w:val="-2"/>
        </w:rPr>
        <w:t xml:space="preserve"> </w:t>
      </w:r>
      <w:r>
        <w:t>document</w:t>
      </w:r>
      <w:r>
        <w:rPr>
          <w:spacing w:val="-2"/>
        </w:rPr>
        <w:t xml:space="preserve"> </w:t>
      </w:r>
      <w:r>
        <w:t>is</w:t>
      </w:r>
      <w:r>
        <w:rPr>
          <w:spacing w:val="-2"/>
        </w:rPr>
        <w:t xml:space="preserve"> </w:t>
      </w:r>
      <w:r>
        <w:t>published</w:t>
      </w:r>
      <w:r>
        <w:rPr>
          <w:spacing w:val="-2"/>
        </w:rPr>
        <w:t xml:space="preserve"> </w:t>
      </w:r>
      <w:r>
        <w:t>in</w:t>
      </w:r>
      <w:r>
        <w:rPr>
          <w:spacing w:val="-2"/>
        </w:rPr>
        <w:t xml:space="preserve"> </w:t>
      </w:r>
      <w:r>
        <w:t>good</w:t>
      </w:r>
      <w:r>
        <w:rPr>
          <w:spacing w:val="-2"/>
        </w:rPr>
        <w:t xml:space="preserve"> </w:t>
      </w:r>
      <w:r>
        <w:t>faith</w:t>
      </w:r>
      <w:r>
        <w:rPr>
          <w:spacing w:val="-2"/>
        </w:rPr>
        <w:t xml:space="preserve"> </w:t>
      </w:r>
      <w:r>
        <w:t>by</w:t>
      </w:r>
      <w:r>
        <w:rPr>
          <w:spacing w:val="-2"/>
        </w:rPr>
        <w:t xml:space="preserve"> </w:t>
      </w:r>
      <w:r>
        <w:t>the</w:t>
      </w:r>
      <w:r>
        <w:rPr>
          <w:spacing w:val="-2"/>
        </w:rPr>
        <w:t xml:space="preserve"> </w:t>
      </w:r>
      <w:r>
        <w:t>Australian</w:t>
      </w:r>
      <w:r>
        <w:rPr>
          <w:spacing w:val="-2"/>
        </w:rPr>
        <w:t xml:space="preserve"> </w:t>
      </w:r>
      <w:r>
        <w:t>Commission</w:t>
      </w:r>
      <w:r>
        <w:rPr>
          <w:spacing w:val="-2"/>
        </w:rPr>
        <w:t xml:space="preserve"> </w:t>
      </w:r>
      <w:r>
        <w:t>on</w:t>
      </w:r>
      <w:r>
        <w:rPr>
          <w:spacing w:val="-2"/>
        </w:rPr>
        <w:t xml:space="preserve"> </w:t>
      </w:r>
      <w:r>
        <w:t>Safety</w:t>
      </w:r>
      <w:r>
        <w:rPr>
          <w:spacing w:val="-2"/>
        </w:rPr>
        <w:t xml:space="preserve"> </w:t>
      </w:r>
      <w:r>
        <w:t>and</w:t>
      </w:r>
      <w:r>
        <w:rPr>
          <w:spacing w:val="-2"/>
        </w:rPr>
        <w:t xml:space="preserve"> </w:t>
      </w:r>
      <w:r>
        <w:t>Quality in Health Care for information purposes.</w:t>
      </w:r>
    </w:p>
    <w:p w14:paraId="561251EE" w14:textId="77777777" w:rsidR="009D54AF" w:rsidRDefault="00000000">
      <w:pPr>
        <w:pStyle w:val="BodyText"/>
        <w:spacing w:before="85" w:line="278" w:lineRule="auto"/>
        <w:ind w:left="142"/>
      </w:pPr>
      <w:r>
        <w:t>The</w:t>
      </w:r>
      <w:r>
        <w:rPr>
          <w:spacing w:val="-2"/>
        </w:rPr>
        <w:t xml:space="preserve"> </w:t>
      </w:r>
      <w:r>
        <w:t>Commission</w:t>
      </w:r>
      <w:r>
        <w:rPr>
          <w:spacing w:val="-2"/>
        </w:rPr>
        <w:t xml:space="preserve"> </w:t>
      </w:r>
      <w:r>
        <w:t>does</w:t>
      </w:r>
      <w:r>
        <w:rPr>
          <w:spacing w:val="-2"/>
        </w:rPr>
        <w:t xml:space="preserve"> </w:t>
      </w:r>
      <w:r>
        <w:t>not</w:t>
      </w:r>
      <w:r>
        <w:rPr>
          <w:spacing w:val="-2"/>
        </w:rPr>
        <w:t xml:space="preserve"> </w:t>
      </w:r>
      <w:r>
        <w:t>accept</w:t>
      </w:r>
      <w:r>
        <w:rPr>
          <w:spacing w:val="-2"/>
        </w:rPr>
        <w:t xml:space="preserve"> </w:t>
      </w:r>
      <w:r>
        <w:t>any</w:t>
      </w:r>
      <w:r>
        <w:rPr>
          <w:spacing w:val="-2"/>
        </w:rPr>
        <w:t xml:space="preserve"> </w:t>
      </w:r>
      <w:r>
        <w:t>legal</w:t>
      </w:r>
      <w:r>
        <w:rPr>
          <w:spacing w:val="-2"/>
        </w:rPr>
        <w:t xml:space="preserve"> </w:t>
      </w:r>
      <w:r>
        <w:t>liability</w:t>
      </w:r>
      <w:r>
        <w:rPr>
          <w:spacing w:val="-2"/>
        </w:rPr>
        <w:t xml:space="preserve"> </w:t>
      </w:r>
      <w:r>
        <w:t>for</w:t>
      </w:r>
      <w:r>
        <w:rPr>
          <w:spacing w:val="-2"/>
        </w:rPr>
        <w:t xml:space="preserve"> </w:t>
      </w:r>
      <w:r>
        <w:t>any</w:t>
      </w:r>
      <w:r>
        <w:rPr>
          <w:spacing w:val="-2"/>
        </w:rPr>
        <w:t xml:space="preserve"> </w:t>
      </w:r>
      <w:r>
        <w:t>injury,</w:t>
      </w:r>
      <w:r>
        <w:rPr>
          <w:spacing w:val="-2"/>
        </w:rPr>
        <w:t xml:space="preserve"> </w:t>
      </w:r>
      <w:r>
        <w:t>loss</w:t>
      </w:r>
      <w:r>
        <w:rPr>
          <w:spacing w:val="-2"/>
        </w:rPr>
        <w:t xml:space="preserve"> </w:t>
      </w:r>
      <w:r>
        <w:t>or</w:t>
      </w:r>
      <w:r>
        <w:rPr>
          <w:spacing w:val="-2"/>
        </w:rPr>
        <w:t xml:space="preserve"> </w:t>
      </w:r>
      <w:r>
        <w:t>damage</w:t>
      </w:r>
      <w:r>
        <w:rPr>
          <w:spacing w:val="-2"/>
        </w:rPr>
        <w:t xml:space="preserve"> </w:t>
      </w:r>
      <w:r>
        <w:t>incurred</w:t>
      </w:r>
      <w:r>
        <w:rPr>
          <w:spacing w:val="-2"/>
        </w:rPr>
        <w:t xml:space="preserve"> </w:t>
      </w:r>
      <w:r>
        <w:t>by</w:t>
      </w:r>
      <w:r>
        <w:rPr>
          <w:spacing w:val="-2"/>
        </w:rPr>
        <w:t xml:space="preserve"> </w:t>
      </w:r>
      <w:r>
        <w:t>the</w:t>
      </w:r>
      <w:r>
        <w:rPr>
          <w:spacing w:val="-2"/>
        </w:rPr>
        <w:t xml:space="preserve"> </w:t>
      </w:r>
      <w:r>
        <w:t>use</w:t>
      </w:r>
      <w:r>
        <w:rPr>
          <w:spacing w:val="-2"/>
        </w:rPr>
        <w:t xml:space="preserve"> </w:t>
      </w:r>
      <w:r>
        <w:t>of,</w:t>
      </w:r>
      <w:r>
        <w:rPr>
          <w:spacing w:val="-2"/>
        </w:rPr>
        <w:t xml:space="preserve"> </w:t>
      </w:r>
      <w:r>
        <w:t>or reliance on, this document.</w:t>
      </w:r>
    </w:p>
    <w:p w14:paraId="17DE0203" w14:textId="77777777" w:rsidR="009D54AF" w:rsidRDefault="009D54AF">
      <w:pPr>
        <w:pStyle w:val="BodyText"/>
        <w:spacing w:line="278" w:lineRule="auto"/>
        <w:sectPr w:rsidR="009D54AF" w:rsidSect="00C30551">
          <w:pgSz w:w="11910" w:h="16840"/>
          <w:pgMar w:top="720" w:right="708" w:bottom="280" w:left="708" w:header="720" w:footer="720" w:gutter="0"/>
          <w:cols w:space="720"/>
          <w:docGrid w:linePitch="299"/>
        </w:sectPr>
      </w:pPr>
    </w:p>
    <w:p w14:paraId="3AFFEBCE" w14:textId="77777777" w:rsidR="009D54AF" w:rsidRDefault="00000000" w:rsidP="001160E8">
      <w:pPr>
        <w:pStyle w:val="Heading1"/>
      </w:pPr>
      <w:bookmarkStart w:id="0" w:name="_Toc243037262"/>
      <w:r>
        <w:lastRenderedPageBreak/>
        <w:t>Acknowledgement</w:t>
      </w:r>
      <w:r>
        <w:rPr>
          <w:spacing w:val="-21"/>
        </w:rPr>
        <w:t xml:space="preserve"> </w:t>
      </w:r>
      <w:r>
        <w:t>of</w:t>
      </w:r>
      <w:r>
        <w:rPr>
          <w:spacing w:val="-18"/>
        </w:rPr>
        <w:t xml:space="preserve"> </w:t>
      </w:r>
      <w:r>
        <w:t>Country</w:t>
      </w:r>
      <w:bookmarkEnd w:id="0"/>
    </w:p>
    <w:p w14:paraId="070618F4" w14:textId="77777777" w:rsidR="009D54AF" w:rsidRDefault="00000000">
      <w:pPr>
        <w:pStyle w:val="BodyText"/>
        <w:spacing w:before="169" w:line="278" w:lineRule="auto"/>
        <w:ind w:left="142" w:right="285"/>
      </w:pPr>
      <w:r>
        <w:t>We, the Australian Commission on Safety and Quality in Health Care, acknowledge the Traditional Owners and</w:t>
      </w:r>
      <w:r>
        <w:rPr>
          <w:spacing w:val="-2"/>
        </w:rPr>
        <w:t xml:space="preserve"> </w:t>
      </w:r>
      <w:r>
        <w:t>Custodians</w:t>
      </w:r>
      <w:r>
        <w:rPr>
          <w:spacing w:val="-2"/>
        </w:rPr>
        <w:t xml:space="preserve"> </w:t>
      </w:r>
      <w:r>
        <w:t>of</w:t>
      </w:r>
      <w:r>
        <w:rPr>
          <w:spacing w:val="-2"/>
        </w:rPr>
        <w:t xml:space="preserve"> </w:t>
      </w:r>
      <w:r>
        <w:t>Country</w:t>
      </w:r>
      <w:r>
        <w:rPr>
          <w:spacing w:val="-2"/>
        </w:rPr>
        <w:t xml:space="preserve"> </w:t>
      </w:r>
      <w:r>
        <w:t>throughout</w:t>
      </w:r>
      <w:r>
        <w:rPr>
          <w:spacing w:val="-2"/>
        </w:rPr>
        <w:t xml:space="preserve"> </w:t>
      </w:r>
      <w:r>
        <w:t>Australia</w:t>
      </w:r>
      <w:r>
        <w:rPr>
          <w:spacing w:val="-2"/>
        </w:rPr>
        <w:t xml:space="preserve"> </w:t>
      </w:r>
      <w:r>
        <w:t>and</w:t>
      </w:r>
      <w:r>
        <w:rPr>
          <w:spacing w:val="-2"/>
        </w:rPr>
        <w:t xml:space="preserve"> </w:t>
      </w:r>
      <w:r>
        <w:t>pay</w:t>
      </w:r>
      <w:r>
        <w:rPr>
          <w:spacing w:val="-2"/>
        </w:rPr>
        <w:t xml:space="preserve"> </w:t>
      </w:r>
      <w:r>
        <w:t>respect</w:t>
      </w:r>
      <w:r>
        <w:rPr>
          <w:spacing w:val="-2"/>
        </w:rPr>
        <w:t xml:space="preserve"> </w:t>
      </w:r>
      <w:r>
        <w:t>to</w:t>
      </w:r>
      <w:r>
        <w:rPr>
          <w:spacing w:val="-2"/>
        </w:rPr>
        <w:t xml:space="preserve"> </w:t>
      </w:r>
      <w:r>
        <w:t>those</w:t>
      </w:r>
      <w:r>
        <w:rPr>
          <w:spacing w:val="-2"/>
        </w:rPr>
        <w:t xml:space="preserve"> </w:t>
      </w:r>
      <w:r>
        <w:t>who</w:t>
      </w:r>
      <w:r>
        <w:rPr>
          <w:spacing w:val="-2"/>
        </w:rPr>
        <w:t xml:space="preserve"> </w:t>
      </w:r>
      <w:r>
        <w:t>have</w:t>
      </w:r>
      <w:r>
        <w:rPr>
          <w:spacing w:val="-2"/>
        </w:rPr>
        <w:t xml:space="preserve"> </w:t>
      </w:r>
      <w:r>
        <w:t>preserved</w:t>
      </w:r>
      <w:r>
        <w:rPr>
          <w:spacing w:val="-2"/>
        </w:rPr>
        <w:t xml:space="preserve"> </w:t>
      </w:r>
      <w:r>
        <w:t>and</w:t>
      </w:r>
      <w:r>
        <w:rPr>
          <w:spacing w:val="-2"/>
        </w:rPr>
        <w:t xml:space="preserve"> </w:t>
      </w:r>
      <w:r>
        <w:t>cared</w:t>
      </w:r>
      <w:r>
        <w:rPr>
          <w:spacing w:val="-2"/>
        </w:rPr>
        <w:t xml:space="preserve"> </w:t>
      </w:r>
      <w:r>
        <w:t>for the lands on which we live and work, and from which we benefit each day.</w:t>
      </w:r>
    </w:p>
    <w:p w14:paraId="0FF7F753" w14:textId="77777777" w:rsidR="009D54AF" w:rsidRDefault="00000000">
      <w:pPr>
        <w:pStyle w:val="BodyText"/>
        <w:spacing w:before="141" w:line="278" w:lineRule="auto"/>
        <w:ind w:left="142" w:right="285"/>
      </w:pPr>
      <w:r>
        <w:t>We</w:t>
      </w:r>
      <w:r>
        <w:rPr>
          <w:spacing w:val="-2"/>
        </w:rPr>
        <w:t xml:space="preserve"> </w:t>
      </w:r>
      <w:proofErr w:type="spellStart"/>
      <w:r>
        <w:t>recognise</w:t>
      </w:r>
      <w:proofErr w:type="spellEnd"/>
      <w:r>
        <w:rPr>
          <w:spacing w:val="-2"/>
        </w:rPr>
        <w:t xml:space="preserve"> </w:t>
      </w:r>
      <w:r>
        <w:t>the</w:t>
      </w:r>
      <w:r>
        <w:rPr>
          <w:spacing w:val="-2"/>
        </w:rPr>
        <w:t xml:space="preserve"> </w:t>
      </w:r>
      <w:r>
        <w:t>strength</w:t>
      </w:r>
      <w:r>
        <w:rPr>
          <w:spacing w:val="-2"/>
        </w:rPr>
        <w:t xml:space="preserve"> </w:t>
      </w:r>
      <w:r>
        <w:t>and</w:t>
      </w:r>
      <w:r>
        <w:rPr>
          <w:spacing w:val="-2"/>
        </w:rPr>
        <w:t xml:space="preserve"> </w:t>
      </w:r>
      <w:r>
        <w:t>resilience</w:t>
      </w:r>
      <w:r>
        <w:rPr>
          <w:spacing w:val="-2"/>
        </w:rPr>
        <w:t xml:space="preserve"> </w:t>
      </w:r>
      <w:r>
        <w:t>of</w:t>
      </w:r>
      <w:r>
        <w:rPr>
          <w:spacing w:val="-2"/>
        </w:rPr>
        <w:t xml:space="preserve"> </w:t>
      </w:r>
      <w:r>
        <w:t>First</w:t>
      </w:r>
      <w:r>
        <w:rPr>
          <w:spacing w:val="-2"/>
        </w:rPr>
        <w:t xml:space="preserve"> </w:t>
      </w:r>
      <w:r>
        <w:t>Nations</w:t>
      </w:r>
      <w:r>
        <w:rPr>
          <w:spacing w:val="-2"/>
        </w:rPr>
        <w:t xml:space="preserve"> </w:t>
      </w:r>
      <w:r>
        <w:t>people</w:t>
      </w:r>
      <w:r>
        <w:rPr>
          <w:spacing w:val="-2"/>
        </w:rPr>
        <w:t xml:space="preserve"> </w:t>
      </w:r>
      <w:r>
        <w:t>and</w:t>
      </w:r>
      <w:r>
        <w:rPr>
          <w:spacing w:val="-2"/>
        </w:rPr>
        <w:t xml:space="preserve"> </w:t>
      </w:r>
      <w:r>
        <w:t>acknowledge</w:t>
      </w:r>
      <w:r>
        <w:rPr>
          <w:spacing w:val="-2"/>
        </w:rPr>
        <w:t xml:space="preserve"> </w:t>
      </w:r>
      <w:r>
        <w:t>and</w:t>
      </w:r>
      <w:r>
        <w:rPr>
          <w:spacing w:val="-2"/>
        </w:rPr>
        <w:t xml:space="preserve"> </w:t>
      </w:r>
      <w:r>
        <w:t>respect</w:t>
      </w:r>
      <w:r>
        <w:rPr>
          <w:spacing w:val="-2"/>
        </w:rPr>
        <w:t xml:space="preserve"> </w:t>
      </w:r>
      <w:r>
        <w:t>their continuing connections and relationships with country, rivers, land and sea.</w:t>
      </w:r>
    </w:p>
    <w:p w14:paraId="36D7E4D9" w14:textId="77777777" w:rsidR="009D54AF" w:rsidRDefault="00000000">
      <w:pPr>
        <w:pStyle w:val="BodyText"/>
        <w:spacing w:before="142" w:line="278" w:lineRule="auto"/>
        <w:ind w:left="142"/>
      </w:pPr>
      <w:r>
        <w:t>We acknowledge the ongoing contribution First Nations people make across the health system and wider community.</w:t>
      </w:r>
      <w:r>
        <w:rPr>
          <w:spacing w:val="-4"/>
        </w:rPr>
        <w:t xml:space="preserve"> </w:t>
      </w:r>
      <w:r>
        <w:t>We</w:t>
      </w:r>
      <w:r>
        <w:rPr>
          <w:spacing w:val="-4"/>
        </w:rPr>
        <w:t xml:space="preserve"> </w:t>
      </w:r>
      <w:r>
        <w:t>also</w:t>
      </w:r>
      <w:r>
        <w:rPr>
          <w:spacing w:val="-4"/>
        </w:rPr>
        <w:t xml:space="preserve"> </w:t>
      </w:r>
      <w:r>
        <w:t>pay</w:t>
      </w:r>
      <w:r>
        <w:rPr>
          <w:spacing w:val="-4"/>
        </w:rPr>
        <w:t xml:space="preserve"> </w:t>
      </w:r>
      <w:r>
        <w:t>our</w:t>
      </w:r>
      <w:r>
        <w:rPr>
          <w:spacing w:val="-4"/>
        </w:rPr>
        <w:t xml:space="preserve"> </w:t>
      </w:r>
      <w:r>
        <w:t>respects</w:t>
      </w:r>
      <w:r>
        <w:rPr>
          <w:spacing w:val="-4"/>
        </w:rPr>
        <w:t xml:space="preserve"> </w:t>
      </w:r>
      <w:r>
        <w:t>to</w:t>
      </w:r>
      <w:r>
        <w:rPr>
          <w:spacing w:val="-4"/>
        </w:rPr>
        <w:t xml:space="preserve"> </w:t>
      </w:r>
      <w:r>
        <w:t>Elders</w:t>
      </w:r>
      <w:r>
        <w:rPr>
          <w:spacing w:val="-4"/>
        </w:rPr>
        <w:t xml:space="preserve"> </w:t>
      </w:r>
      <w:r>
        <w:t>past</w:t>
      </w:r>
      <w:r>
        <w:rPr>
          <w:spacing w:val="-4"/>
        </w:rPr>
        <w:t xml:space="preserve"> </w:t>
      </w:r>
      <w:r>
        <w:t>and</w:t>
      </w:r>
      <w:r>
        <w:rPr>
          <w:spacing w:val="-4"/>
        </w:rPr>
        <w:t xml:space="preserve"> </w:t>
      </w:r>
      <w:r>
        <w:t>present,</w:t>
      </w:r>
      <w:r>
        <w:rPr>
          <w:spacing w:val="-4"/>
        </w:rPr>
        <w:t xml:space="preserve"> </w:t>
      </w:r>
      <w:r>
        <w:t>and</w:t>
      </w:r>
      <w:r>
        <w:rPr>
          <w:spacing w:val="-4"/>
        </w:rPr>
        <w:t xml:space="preserve"> </w:t>
      </w:r>
      <w:r>
        <w:t>extend</w:t>
      </w:r>
      <w:r>
        <w:rPr>
          <w:spacing w:val="-4"/>
        </w:rPr>
        <w:t xml:space="preserve"> </w:t>
      </w:r>
      <w:r>
        <w:t>that</w:t>
      </w:r>
      <w:r>
        <w:rPr>
          <w:spacing w:val="-4"/>
        </w:rPr>
        <w:t xml:space="preserve"> </w:t>
      </w:r>
      <w:r>
        <w:t>respect</w:t>
      </w:r>
      <w:r>
        <w:rPr>
          <w:spacing w:val="-4"/>
        </w:rPr>
        <w:t xml:space="preserve"> </w:t>
      </w:r>
      <w:r>
        <w:t>to</w:t>
      </w:r>
      <w:r>
        <w:rPr>
          <w:spacing w:val="-4"/>
        </w:rPr>
        <w:t xml:space="preserve"> </w:t>
      </w:r>
      <w:r>
        <w:t>all</w:t>
      </w:r>
      <w:r>
        <w:rPr>
          <w:spacing w:val="-4"/>
        </w:rPr>
        <w:t xml:space="preserve"> </w:t>
      </w:r>
      <w:r>
        <w:t>Traditional Custodians of this land.</w:t>
      </w:r>
    </w:p>
    <w:p w14:paraId="13732D6E" w14:textId="77777777" w:rsidR="009D54AF" w:rsidRDefault="00000000">
      <w:pPr>
        <w:pStyle w:val="BodyText"/>
        <w:spacing w:before="141" w:line="278" w:lineRule="auto"/>
        <w:ind w:left="142" w:right="285"/>
      </w:pPr>
      <w:r>
        <w:t>We</w:t>
      </w:r>
      <w:r>
        <w:rPr>
          <w:spacing w:val="-4"/>
        </w:rPr>
        <w:t xml:space="preserve"> </w:t>
      </w:r>
      <w:r>
        <w:t>acknowledge</w:t>
      </w:r>
      <w:r>
        <w:rPr>
          <w:spacing w:val="-4"/>
        </w:rPr>
        <w:t xml:space="preserve"> </w:t>
      </w:r>
      <w:r>
        <w:t>and</w:t>
      </w:r>
      <w:r>
        <w:rPr>
          <w:spacing w:val="-4"/>
        </w:rPr>
        <w:t xml:space="preserve"> </w:t>
      </w:r>
      <w:r>
        <w:t>respect</w:t>
      </w:r>
      <w:r>
        <w:rPr>
          <w:spacing w:val="-4"/>
        </w:rPr>
        <w:t xml:space="preserve"> </w:t>
      </w:r>
      <w:r>
        <w:t>the</w:t>
      </w:r>
      <w:r>
        <w:rPr>
          <w:spacing w:val="-4"/>
        </w:rPr>
        <w:t xml:space="preserve"> </w:t>
      </w:r>
      <w:r>
        <w:t>Gadigal</w:t>
      </w:r>
      <w:r>
        <w:rPr>
          <w:spacing w:val="-4"/>
        </w:rPr>
        <w:t xml:space="preserve"> </w:t>
      </w:r>
      <w:r>
        <w:t>people,</w:t>
      </w:r>
      <w:r>
        <w:rPr>
          <w:spacing w:val="-4"/>
        </w:rPr>
        <w:t xml:space="preserve"> </w:t>
      </w:r>
      <w:r>
        <w:t>Traditional</w:t>
      </w:r>
      <w:r>
        <w:rPr>
          <w:spacing w:val="-4"/>
        </w:rPr>
        <w:t xml:space="preserve"> </w:t>
      </w:r>
      <w:r>
        <w:t>Custodians</w:t>
      </w:r>
      <w:r>
        <w:rPr>
          <w:spacing w:val="-4"/>
        </w:rPr>
        <w:t xml:space="preserve"> </w:t>
      </w:r>
      <w:r>
        <w:t>of</w:t>
      </w:r>
      <w:r>
        <w:rPr>
          <w:spacing w:val="-4"/>
        </w:rPr>
        <w:t xml:space="preserve"> </w:t>
      </w:r>
      <w:r>
        <w:t>the</w:t>
      </w:r>
      <w:r>
        <w:rPr>
          <w:spacing w:val="-4"/>
        </w:rPr>
        <w:t xml:space="preserve"> </w:t>
      </w:r>
      <w:r>
        <w:t>ancestral</w:t>
      </w:r>
      <w:r>
        <w:rPr>
          <w:spacing w:val="-4"/>
        </w:rPr>
        <w:t xml:space="preserve"> </w:t>
      </w:r>
      <w:r>
        <w:t>lands</w:t>
      </w:r>
      <w:r>
        <w:rPr>
          <w:spacing w:val="-4"/>
        </w:rPr>
        <w:t xml:space="preserve"> </w:t>
      </w:r>
      <w:r>
        <w:t>where</w:t>
      </w:r>
      <w:r>
        <w:rPr>
          <w:spacing w:val="-4"/>
        </w:rPr>
        <w:t xml:space="preserve"> </w:t>
      </w:r>
      <w:r>
        <w:t>our office is located.</w:t>
      </w:r>
    </w:p>
    <w:p w14:paraId="44A28B36" w14:textId="77777777" w:rsidR="009D54AF" w:rsidRDefault="009D54AF">
      <w:pPr>
        <w:pStyle w:val="BodyText"/>
        <w:spacing w:line="278" w:lineRule="auto"/>
        <w:sectPr w:rsidR="009D54AF">
          <w:pgSz w:w="11910" w:h="16840"/>
          <w:pgMar w:top="680" w:right="708" w:bottom="280" w:left="708" w:header="720" w:footer="720" w:gutter="0"/>
          <w:cols w:space="720"/>
        </w:sectPr>
      </w:pPr>
    </w:p>
    <w:p w14:paraId="2AC35D93" w14:textId="77777777" w:rsidR="009D54AF" w:rsidRDefault="00000000" w:rsidP="001160E8">
      <w:pPr>
        <w:pStyle w:val="Heading1"/>
      </w:pPr>
      <w:bookmarkStart w:id="1" w:name="_Toc243037263"/>
      <w:r>
        <w:lastRenderedPageBreak/>
        <w:t>Letter</w:t>
      </w:r>
      <w:r>
        <w:rPr>
          <w:spacing w:val="-24"/>
        </w:rPr>
        <w:t xml:space="preserve"> </w:t>
      </w:r>
      <w:r>
        <w:t>of</w:t>
      </w:r>
      <w:r>
        <w:rPr>
          <w:spacing w:val="-23"/>
        </w:rPr>
        <w:t xml:space="preserve"> </w:t>
      </w:r>
      <w:r>
        <w:t>transmittal</w:t>
      </w:r>
      <w:bookmarkEnd w:id="1"/>
    </w:p>
    <w:p w14:paraId="23E9AAC5" w14:textId="77777777" w:rsidR="009D54AF" w:rsidRDefault="00000000">
      <w:pPr>
        <w:pStyle w:val="BodyText"/>
        <w:spacing w:before="169" w:line="278" w:lineRule="auto"/>
        <w:ind w:left="142" w:right="6889"/>
      </w:pPr>
      <w:r>
        <w:t>The</w:t>
      </w:r>
      <w:r>
        <w:rPr>
          <w:spacing w:val="-5"/>
        </w:rPr>
        <w:t xml:space="preserve"> </w:t>
      </w:r>
      <w:proofErr w:type="spellStart"/>
      <w:r>
        <w:t>Honourable</w:t>
      </w:r>
      <w:proofErr w:type="spellEnd"/>
      <w:r>
        <w:rPr>
          <w:spacing w:val="-5"/>
        </w:rPr>
        <w:t xml:space="preserve"> </w:t>
      </w:r>
      <w:r>
        <w:t>Mark</w:t>
      </w:r>
      <w:r>
        <w:rPr>
          <w:spacing w:val="-5"/>
        </w:rPr>
        <w:t xml:space="preserve"> </w:t>
      </w:r>
      <w:r>
        <w:t>Butler</w:t>
      </w:r>
      <w:r>
        <w:rPr>
          <w:spacing w:val="-5"/>
        </w:rPr>
        <w:t xml:space="preserve"> </w:t>
      </w:r>
      <w:r>
        <w:t>MP Minister for Health and Ageing</w:t>
      </w:r>
    </w:p>
    <w:p w14:paraId="5648FD4A" w14:textId="77777777" w:rsidR="009D54AF" w:rsidRDefault="00000000">
      <w:pPr>
        <w:pStyle w:val="BodyText"/>
        <w:spacing w:line="278" w:lineRule="auto"/>
        <w:ind w:left="142" w:right="3321"/>
      </w:pPr>
      <w:r>
        <w:t>Minister</w:t>
      </w:r>
      <w:r>
        <w:rPr>
          <w:spacing w:val="-2"/>
        </w:rPr>
        <w:t xml:space="preserve"> </w:t>
      </w:r>
      <w:r>
        <w:t>for</w:t>
      </w:r>
      <w:r>
        <w:rPr>
          <w:spacing w:val="-2"/>
        </w:rPr>
        <w:t xml:space="preserve"> </w:t>
      </w:r>
      <w:r>
        <w:t>Disability</w:t>
      </w:r>
      <w:r>
        <w:rPr>
          <w:spacing w:val="-2"/>
        </w:rPr>
        <w:t xml:space="preserve"> </w:t>
      </w:r>
      <w:r>
        <w:t>and</w:t>
      </w:r>
      <w:r>
        <w:rPr>
          <w:spacing w:val="-2"/>
        </w:rPr>
        <w:t xml:space="preserve"> </w:t>
      </w:r>
      <w:r>
        <w:t>the</w:t>
      </w:r>
      <w:r>
        <w:rPr>
          <w:spacing w:val="-2"/>
        </w:rPr>
        <w:t xml:space="preserve"> </w:t>
      </w:r>
      <w:r>
        <w:t>National</w:t>
      </w:r>
      <w:r>
        <w:rPr>
          <w:spacing w:val="-2"/>
        </w:rPr>
        <w:t xml:space="preserve"> </w:t>
      </w:r>
      <w:r>
        <w:t>Disability</w:t>
      </w:r>
      <w:r>
        <w:rPr>
          <w:spacing w:val="-2"/>
        </w:rPr>
        <w:t xml:space="preserve"> </w:t>
      </w:r>
      <w:r>
        <w:t>Insurance</w:t>
      </w:r>
      <w:r>
        <w:rPr>
          <w:spacing w:val="-2"/>
        </w:rPr>
        <w:t xml:space="preserve"> </w:t>
      </w:r>
      <w:r>
        <w:t>Scheme Parliament House</w:t>
      </w:r>
    </w:p>
    <w:p w14:paraId="4929E2CA" w14:textId="77777777" w:rsidR="009D54AF" w:rsidRDefault="00000000">
      <w:pPr>
        <w:pStyle w:val="BodyText"/>
        <w:spacing w:line="241" w:lineRule="exact"/>
        <w:ind w:left="142"/>
      </w:pPr>
      <w:r>
        <w:t>CANBERRA</w:t>
      </w:r>
      <w:r>
        <w:rPr>
          <w:spacing w:val="1"/>
        </w:rPr>
        <w:t xml:space="preserve"> </w:t>
      </w:r>
      <w:r>
        <w:t>ACT</w:t>
      </w:r>
      <w:r>
        <w:rPr>
          <w:spacing w:val="3"/>
        </w:rPr>
        <w:t xml:space="preserve"> </w:t>
      </w:r>
      <w:r>
        <w:rPr>
          <w:spacing w:val="-4"/>
        </w:rPr>
        <w:t>2600</w:t>
      </w:r>
    </w:p>
    <w:p w14:paraId="66EE303A" w14:textId="77777777" w:rsidR="009D54AF" w:rsidRDefault="009D54AF">
      <w:pPr>
        <w:pStyle w:val="BodyText"/>
        <w:spacing w:before="80"/>
      </w:pPr>
    </w:p>
    <w:p w14:paraId="5ABD20E6" w14:textId="77777777" w:rsidR="009D54AF" w:rsidRDefault="00000000">
      <w:pPr>
        <w:pStyle w:val="BodyText"/>
        <w:ind w:left="142"/>
      </w:pPr>
      <w:r>
        <w:t>Dear</w:t>
      </w:r>
      <w:r>
        <w:rPr>
          <w:spacing w:val="-2"/>
        </w:rPr>
        <w:t xml:space="preserve"> </w:t>
      </w:r>
      <w:r>
        <w:t>Minister</w:t>
      </w:r>
      <w:r>
        <w:rPr>
          <w:spacing w:val="-2"/>
        </w:rPr>
        <w:t xml:space="preserve"> Butler</w:t>
      </w:r>
    </w:p>
    <w:p w14:paraId="24A3ECC0" w14:textId="77777777" w:rsidR="009D54AF" w:rsidRDefault="00000000">
      <w:pPr>
        <w:pStyle w:val="BodyText"/>
        <w:spacing w:before="124" w:line="278" w:lineRule="auto"/>
        <w:ind w:left="142" w:right="214"/>
      </w:pPr>
      <w:r>
        <w:t>On</w:t>
      </w:r>
      <w:r>
        <w:rPr>
          <w:spacing w:val="-2"/>
        </w:rPr>
        <w:t xml:space="preserve"> </w:t>
      </w:r>
      <w:r>
        <w:t>behalf</w:t>
      </w:r>
      <w:r>
        <w:rPr>
          <w:spacing w:val="-2"/>
        </w:rPr>
        <w:t xml:space="preserve"> </w:t>
      </w:r>
      <w:r>
        <w:t>of</w:t>
      </w:r>
      <w:r>
        <w:rPr>
          <w:spacing w:val="-2"/>
        </w:rPr>
        <w:t xml:space="preserve"> </w:t>
      </w:r>
      <w:r>
        <w:t>the</w:t>
      </w:r>
      <w:r>
        <w:rPr>
          <w:spacing w:val="-2"/>
        </w:rPr>
        <w:t xml:space="preserve"> </w:t>
      </w:r>
      <w:r>
        <w:t>Board</w:t>
      </w:r>
      <w:r>
        <w:rPr>
          <w:spacing w:val="-2"/>
        </w:rPr>
        <w:t xml:space="preserve"> </w:t>
      </w:r>
      <w:r>
        <w:t>of</w:t>
      </w:r>
      <w:r>
        <w:rPr>
          <w:spacing w:val="-2"/>
        </w:rPr>
        <w:t xml:space="preserve"> </w:t>
      </w:r>
      <w:r>
        <w:t>the</w:t>
      </w:r>
      <w:r>
        <w:rPr>
          <w:spacing w:val="-2"/>
        </w:rPr>
        <w:t xml:space="preserve"> </w:t>
      </w:r>
      <w:r>
        <w:t>Australian</w:t>
      </w:r>
      <w:r>
        <w:rPr>
          <w:spacing w:val="-2"/>
        </w:rPr>
        <w:t xml:space="preserve"> </w:t>
      </w:r>
      <w:r>
        <w:t>Commission</w:t>
      </w:r>
      <w:r>
        <w:rPr>
          <w:spacing w:val="-2"/>
        </w:rPr>
        <w:t xml:space="preserve"> </w:t>
      </w:r>
      <w:r>
        <w:t>on</w:t>
      </w:r>
      <w:r>
        <w:rPr>
          <w:spacing w:val="-2"/>
        </w:rPr>
        <w:t xml:space="preserve"> </w:t>
      </w:r>
      <w:r>
        <w:t>Safety</w:t>
      </w:r>
      <w:r>
        <w:rPr>
          <w:spacing w:val="-2"/>
        </w:rPr>
        <w:t xml:space="preserve"> </w:t>
      </w:r>
      <w:r>
        <w:t>and</w:t>
      </w:r>
      <w:r>
        <w:rPr>
          <w:spacing w:val="-2"/>
        </w:rPr>
        <w:t xml:space="preserve"> </w:t>
      </w:r>
      <w:r>
        <w:t>Quality</w:t>
      </w:r>
      <w:r>
        <w:rPr>
          <w:spacing w:val="-2"/>
        </w:rPr>
        <w:t xml:space="preserve"> </w:t>
      </w:r>
      <w:r>
        <w:t>in</w:t>
      </w:r>
      <w:r>
        <w:rPr>
          <w:spacing w:val="-2"/>
        </w:rPr>
        <w:t xml:space="preserve"> </w:t>
      </w:r>
      <w:r>
        <w:t>Health</w:t>
      </w:r>
      <w:r>
        <w:rPr>
          <w:spacing w:val="-2"/>
        </w:rPr>
        <w:t xml:space="preserve"> </w:t>
      </w:r>
      <w:r>
        <w:t>Care</w:t>
      </w:r>
      <w:r>
        <w:rPr>
          <w:spacing w:val="-2"/>
        </w:rPr>
        <w:t xml:space="preserve"> </w:t>
      </w:r>
      <w:r>
        <w:t>(the</w:t>
      </w:r>
      <w:r>
        <w:rPr>
          <w:spacing w:val="-2"/>
        </w:rPr>
        <w:t xml:space="preserve"> </w:t>
      </w:r>
      <w:r>
        <w:t>Commission), I am pleased to submit our annual report for the financial year ending 30 June 2026.</w:t>
      </w:r>
    </w:p>
    <w:p w14:paraId="3FBE4962" w14:textId="77777777" w:rsidR="009D54AF" w:rsidRDefault="00000000">
      <w:pPr>
        <w:spacing w:before="84" w:line="278" w:lineRule="auto"/>
        <w:ind w:left="142"/>
        <w:rPr>
          <w:sz w:val="21"/>
        </w:rPr>
      </w:pPr>
      <w:r>
        <w:rPr>
          <w:sz w:val="21"/>
        </w:rPr>
        <w:t>This</w:t>
      </w:r>
      <w:r>
        <w:rPr>
          <w:spacing w:val="-2"/>
          <w:sz w:val="21"/>
        </w:rPr>
        <w:t xml:space="preserve"> </w:t>
      </w:r>
      <w:r>
        <w:rPr>
          <w:sz w:val="21"/>
        </w:rPr>
        <w:t>report</w:t>
      </w:r>
      <w:r>
        <w:rPr>
          <w:spacing w:val="-2"/>
          <w:sz w:val="21"/>
        </w:rPr>
        <w:t xml:space="preserve"> </w:t>
      </w:r>
      <w:r>
        <w:rPr>
          <w:sz w:val="21"/>
        </w:rPr>
        <w:t>was</w:t>
      </w:r>
      <w:r>
        <w:rPr>
          <w:spacing w:val="-2"/>
          <w:sz w:val="21"/>
        </w:rPr>
        <w:t xml:space="preserve"> </w:t>
      </w:r>
      <w:r>
        <w:rPr>
          <w:sz w:val="21"/>
        </w:rPr>
        <w:t>prepared</w:t>
      </w:r>
      <w:r>
        <w:rPr>
          <w:spacing w:val="-2"/>
          <w:sz w:val="21"/>
        </w:rPr>
        <w:t xml:space="preserve"> </w:t>
      </w:r>
      <w:r>
        <w:rPr>
          <w:sz w:val="21"/>
        </w:rPr>
        <w:t>in</w:t>
      </w:r>
      <w:r>
        <w:rPr>
          <w:spacing w:val="-2"/>
          <w:sz w:val="21"/>
        </w:rPr>
        <w:t xml:space="preserve"> </w:t>
      </w:r>
      <w:r>
        <w:rPr>
          <w:sz w:val="21"/>
        </w:rPr>
        <w:t>accordance</w:t>
      </w:r>
      <w:r>
        <w:rPr>
          <w:spacing w:val="-2"/>
          <w:sz w:val="21"/>
        </w:rPr>
        <w:t xml:space="preserve"> </w:t>
      </w:r>
      <w:r>
        <w:rPr>
          <w:sz w:val="21"/>
        </w:rPr>
        <w:t>with</w:t>
      </w:r>
      <w:r>
        <w:rPr>
          <w:spacing w:val="-2"/>
          <w:sz w:val="21"/>
        </w:rPr>
        <w:t xml:space="preserve"> </w:t>
      </w:r>
      <w:r>
        <w:rPr>
          <w:sz w:val="21"/>
        </w:rPr>
        <w:t>the</w:t>
      </w:r>
      <w:r>
        <w:rPr>
          <w:spacing w:val="-2"/>
          <w:sz w:val="21"/>
        </w:rPr>
        <w:t xml:space="preserve"> </w:t>
      </w:r>
      <w:r>
        <w:rPr>
          <w:sz w:val="21"/>
        </w:rPr>
        <w:t>requirements</w:t>
      </w:r>
      <w:r>
        <w:rPr>
          <w:spacing w:val="-2"/>
          <w:sz w:val="21"/>
        </w:rPr>
        <w:t xml:space="preserve"> </w:t>
      </w:r>
      <w:r>
        <w:rPr>
          <w:sz w:val="21"/>
        </w:rPr>
        <w:t>of</w:t>
      </w:r>
      <w:r>
        <w:rPr>
          <w:spacing w:val="-2"/>
          <w:sz w:val="21"/>
        </w:rPr>
        <w:t xml:space="preserve"> </w:t>
      </w:r>
      <w:r>
        <w:rPr>
          <w:sz w:val="21"/>
        </w:rPr>
        <w:t>the</w:t>
      </w:r>
      <w:r>
        <w:rPr>
          <w:spacing w:val="-3"/>
          <w:sz w:val="21"/>
        </w:rPr>
        <w:t xml:space="preserve"> </w:t>
      </w:r>
      <w:r>
        <w:rPr>
          <w:i/>
          <w:sz w:val="21"/>
        </w:rPr>
        <w:t>National</w:t>
      </w:r>
      <w:r>
        <w:rPr>
          <w:i/>
          <w:spacing w:val="-2"/>
          <w:sz w:val="21"/>
        </w:rPr>
        <w:t xml:space="preserve"> </w:t>
      </w:r>
      <w:r>
        <w:rPr>
          <w:i/>
          <w:sz w:val="21"/>
        </w:rPr>
        <w:t>Health</w:t>
      </w:r>
      <w:r>
        <w:rPr>
          <w:i/>
          <w:spacing w:val="-2"/>
          <w:sz w:val="21"/>
        </w:rPr>
        <w:t xml:space="preserve"> </w:t>
      </w:r>
      <w:r>
        <w:rPr>
          <w:i/>
          <w:sz w:val="21"/>
        </w:rPr>
        <w:t>Reform</w:t>
      </w:r>
      <w:r>
        <w:rPr>
          <w:i/>
          <w:spacing w:val="-2"/>
          <w:sz w:val="21"/>
        </w:rPr>
        <w:t xml:space="preserve"> </w:t>
      </w:r>
      <w:r>
        <w:rPr>
          <w:i/>
          <w:sz w:val="21"/>
        </w:rPr>
        <w:t>Act</w:t>
      </w:r>
      <w:r>
        <w:rPr>
          <w:i/>
          <w:spacing w:val="-2"/>
          <w:sz w:val="21"/>
        </w:rPr>
        <w:t xml:space="preserve"> </w:t>
      </w:r>
      <w:r>
        <w:rPr>
          <w:i/>
          <w:sz w:val="21"/>
        </w:rPr>
        <w:t>2011</w:t>
      </w:r>
      <w:r>
        <w:rPr>
          <w:i/>
          <w:spacing w:val="-2"/>
          <w:sz w:val="21"/>
        </w:rPr>
        <w:t xml:space="preserve"> </w:t>
      </w:r>
      <w:r>
        <w:rPr>
          <w:sz w:val="21"/>
        </w:rPr>
        <w:t xml:space="preserve">and section 46 of the </w:t>
      </w:r>
      <w:r>
        <w:rPr>
          <w:i/>
          <w:sz w:val="21"/>
        </w:rPr>
        <w:t>Public Governance, Performance and Accountability Act 2013</w:t>
      </w:r>
      <w:r>
        <w:rPr>
          <w:sz w:val="21"/>
        </w:rPr>
        <w:t>.</w:t>
      </w:r>
    </w:p>
    <w:p w14:paraId="021200F5" w14:textId="77777777" w:rsidR="009D54AF" w:rsidRDefault="00000000">
      <w:pPr>
        <w:spacing w:before="85" w:line="278" w:lineRule="auto"/>
        <w:ind w:left="142"/>
        <w:rPr>
          <w:sz w:val="21"/>
        </w:rPr>
      </w:pPr>
      <w:r>
        <w:rPr>
          <w:sz w:val="21"/>
        </w:rPr>
        <w:t>The</w:t>
      </w:r>
      <w:r>
        <w:rPr>
          <w:spacing w:val="-2"/>
          <w:sz w:val="21"/>
        </w:rPr>
        <w:t xml:space="preserve"> </w:t>
      </w:r>
      <w:r>
        <w:rPr>
          <w:sz w:val="21"/>
        </w:rPr>
        <w:t>report</w:t>
      </w:r>
      <w:r>
        <w:rPr>
          <w:spacing w:val="-2"/>
          <w:sz w:val="21"/>
        </w:rPr>
        <w:t xml:space="preserve"> </w:t>
      </w:r>
      <w:r>
        <w:rPr>
          <w:sz w:val="21"/>
        </w:rPr>
        <w:t>includes</w:t>
      </w:r>
      <w:r>
        <w:rPr>
          <w:spacing w:val="-2"/>
          <w:sz w:val="21"/>
        </w:rPr>
        <w:t xml:space="preserve"> </w:t>
      </w:r>
      <w:r>
        <w:rPr>
          <w:sz w:val="21"/>
        </w:rPr>
        <w:t>the</w:t>
      </w:r>
      <w:r>
        <w:rPr>
          <w:spacing w:val="-2"/>
          <w:sz w:val="21"/>
        </w:rPr>
        <w:t xml:space="preserve"> </w:t>
      </w:r>
      <w:r>
        <w:rPr>
          <w:sz w:val="21"/>
        </w:rPr>
        <w:t>Commission’s</w:t>
      </w:r>
      <w:r>
        <w:rPr>
          <w:spacing w:val="-2"/>
          <w:sz w:val="21"/>
        </w:rPr>
        <w:t xml:space="preserve"> </w:t>
      </w:r>
      <w:r>
        <w:rPr>
          <w:sz w:val="21"/>
        </w:rPr>
        <w:t>audited</w:t>
      </w:r>
      <w:r>
        <w:rPr>
          <w:spacing w:val="-2"/>
          <w:sz w:val="21"/>
        </w:rPr>
        <w:t xml:space="preserve"> </w:t>
      </w:r>
      <w:r>
        <w:rPr>
          <w:sz w:val="21"/>
        </w:rPr>
        <w:t>financial</w:t>
      </w:r>
      <w:r>
        <w:rPr>
          <w:spacing w:val="-2"/>
          <w:sz w:val="21"/>
        </w:rPr>
        <w:t xml:space="preserve"> </w:t>
      </w:r>
      <w:r>
        <w:rPr>
          <w:sz w:val="21"/>
        </w:rPr>
        <w:t>statements,</w:t>
      </w:r>
      <w:r>
        <w:rPr>
          <w:spacing w:val="-2"/>
          <w:sz w:val="21"/>
        </w:rPr>
        <w:t xml:space="preserve"> </w:t>
      </w:r>
      <w:r>
        <w:rPr>
          <w:sz w:val="21"/>
        </w:rPr>
        <w:t>as</w:t>
      </w:r>
      <w:r>
        <w:rPr>
          <w:spacing w:val="-2"/>
          <w:sz w:val="21"/>
        </w:rPr>
        <w:t xml:space="preserve"> </w:t>
      </w:r>
      <w:r>
        <w:rPr>
          <w:sz w:val="21"/>
        </w:rPr>
        <w:t>required</w:t>
      </w:r>
      <w:r>
        <w:rPr>
          <w:spacing w:val="-2"/>
          <w:sz w:val="21"/>
        </w:rPr>
        <w:t xml:space="preserve"> </w:t>
      </w:r>
      <w:r>
        <w:rPr>
          <w:sz w:val="21"/>
        </w:rPr>
        <w:t>by</w:t>
      </w:r>
      <w:r>
        <w:rPr>
          <w:spacing w:val="-2"/>
          <w:sz w:val="21"/>
        </w:rPr>
        <w:t xml:space="preserve"> </w:t>
      </w:r>
      <w:r>
        <w:rPr>
          <w:sz w:val="21"/>
        </w:rPr>
        <w:t>section</w:t>
      </w:r>
      <w:r>
        <w:rPr>
          <w:spacing w:val="-2"/>
          <w:sz w:val="21"/>
        </w:rPr>
        <w:t xml:space="preserve"> </w:t>
      </w:r>
      <w:r>
        <w:rPr>
          <w:sz w:val="21"/>
        </w:rPr>
        <w:t>42</w:t>
      </w:r>
      <w:r>
        <w:rPr>
          <w:spacing w:val="-2"/>
          <w:sz w:val="21"/>
        </w:rPr>
        <w:t xml:space="preserve"> </w:t>
      </w:r>
      <w:r>
        <w:rPr>
          <w:sz w:val="21"/>
        </w:rPr>
        <w:t>of</w:t>
      </w:r>
      <w:r>
        <w:rPr>
          <w:spacing w:val="-2"/>
          <w:sz w:val="21"/>
        </w:rPr>
        <w:t xml:space="preserve"> </w:t>
      </w:r>
      <w:r>
        <w:rPr>
          <w:sz w:val="21"/>
        </w:rPr>
        <w:t>the</w:t>
      </w:r>
      <w:r>
        <w:rPr>
          <w:spacing w:val="-3"/>
          <w:sz w:val="21"/>
        </w:rPr>
        <w:t xml:space="preserve"> </w:t>
      </w:r>
      <w:r>
        <w:rPr>
          <w:i/>
          <w:sz w:val="21"/>
        </w:rPr>
        <w:t>Public Governance, Performance and Accountability Act 2013</w:t>
      </w:r>
      <w:r>
        <w:rPr>
          <w:sz w:val="21"/>
        </w:rPr>
        <w:t>.</w:t>
      </w:r>
    </w:p>
    <w:p w14:paraId="07BB6E01" w14:textId="77777777" w:rsidR="009D54AF" w:rsidRDefault="00000000">
      <w:pPr>
        <w:spacing w:before="85" w:line="278" w:lineRule="auto"/>
        <w:ind w:left="142" w:right="613"/>
        <w:rPr>
          <w:sz w:val="21"/>
        </w:rPr>
      </w:pPr>
      <w:r>
        <w:rPr>
          <w:sz w:val="21"/>
        </w:rPr>
        <w:t>The Commission’s annual performance statements were prepared in accordance with the requirements of</w:t>
      </w:r>
      <w:r>
        <w:rPr>
          <w:spacing w:val="-2"/>
          <w:sz w:val="21"/>
        </w:rPr>
        <w:t xml:space="preserve"> </w:t>
      </w:r>
      <w:r>
        <w:rPr>
          <w:sz w:val="21"/>
        </w:rPr>
        <w:t>section</w:t>
      </w:r>
      <w:r>
        <w:rPr>
          <w:spacing w:val="-2"/>
          <w:sz w:val="21"/>
        </w:rPr>
        <w:t xml:space="preserve"> </w:t>
      </w:r>
      <w:r>
        <w:rPr>
          <w:sz w:val="21"/>
        </w:rPr>
        <w:t>39</w:t>
      </w:r>
      <w:r>
        <w:rPr>
          <w:spacing w:val="-2"/>
          <w:sz w:val="21"/>
        </w:rPr>
        <w:t xml:space="preserve"> </w:t>
      </w:r>
      <w:r>
        <w:rPr>
          <w:sz w:val="21"/>
        </w:rPr>
        <w:t>of</w:t>
      </w:r>
      <w:r>
        <w:rPr>
          <w:spacing w:val="-2"/>
          <w:sz w:val="21"/>
        </w:rPr>
        <w:t xml:space="preserve"> </w:t>
      </w:r>
      <w:r>
        <w:rPr>
          <w:sz w:val="21"/>
        </w:rPr>
        <w:t>the</w:t>
      </w:r>
      <w:r>
        <w:rPr>
          <w:spacing w:val="-2"/>
          <w:sz w:val="21"/>
        </w:rPr>
        <w:t xml:space="preserve"> </w:t>
      </w:r>
      <w:r>
        <w:rPr>
          <w:i/>
          <w:sz w:val="21"/>
        </w:rPr>
        <w:t>Public</w:t>
      </w:r>
      <w:r>
        <w:rPr>
          <w:i/>
          <w:spacing w:val="-2"/>
          <w:sz w:val="21"/>
        </w:rPr>
        <w:t xml:space="preserve"> </w:t>
      </w:r>
      <w:r>
        <w:rPr>
          <w:i/>
          <w:sz w:val="21"/>
        </w:rPr>
        <w:t>Governance,</w:t>
      </w:r>
      <w:r>
        <w:rPr>
          <w:i/>
          <w:spacing w:val="-2"/>
          <w:sz w:val="21"/>
        </w:rPr>
        <w:t xml:space="preserve"> </w:t>
      </w:r>
      <w:r>
        <w:rPr>
          <w:i/>
          <w:sz w:val="21"/>
        </w:rPr>
        <w:t>Performance</w:t>
      </w:r>
      <w:r>
        <w:rPr>
          <w:i/>
          <w:spacing w:val="-2"/>
          <w:sz w:val="21"/>
        </w:rPr>
        <w:t xml:space="preserve"> </w:t>
      </w:r>
      <w:r>
        <w:rPr>
          <w:i/>
          <w:sz w:val="21"/>
        </w:rPr>
        <w:t>Accountability</w:t>
      </w:r>
      <w:r>
        <w:rPr>
          <w:i/>
          <w:spacing w:val="-2"/>
          <w:sz w:val="21"/>
        </w:rPr>
        <w:t xml:space="preserve"> </w:t>
      </w:r>
      <w:r>
        <w:rPr>
          <w:i/>
          <w:sz w:val="21"/>
        </w:rPr>
        <w:t>Act</w:t>
      </w:r>
      <w:r>
        <w:rPr>
          <w:i/>
          <w:spacing w:val="-2"/>
          <w:sz w:val="21"/>
        </w:rPr>
        <w:t xml:space="preserve"> </w:t>
      </w:r>
      <w:r>
        <w:rPr>
          <w:i/>
          <w:sz w:val="21"/>
        </w:rPr>
        <w:t>2013</w:t>
      </w:r>
      <w:r>
        <w:rPr>
          <w:i/>
          <w:spacing w:val="-3"/>
          <w:sz w:val="21"/>
        </w:rPr>
        <w:t xml:space="preserve"> </w:t>
      </w:r>
      <w:r>
        <w:rPr>
          <w:sz w:val="21"/>
        </w:rPr>
        <w:t>and</w:t>
      </w:r>
      <w:r>
        <w:rPr>
          <w:spacing w:val="-2"/>
          <w:sz w:val="21"/>
        </w:rPr>
        <w:t xml:space="preserve"> </w:t>
      </w:r>
      <w:r>
        <w:rPr>
          <w:sz w:val="21"/>
        </w:rPr>
        <w:t>accurately</w:t>
      </w:r>
      <w:r>
        <w:rPr>
          <w:spacing w:val="-2"/>
          <w:sz w:val="21"/>
        </w:rPr>
        <w:t xml:space="preserve"> </w:t>
      </w:r>
      <w:r>
        <w:rPr>
          <w:sz w:val="21"/>
        </w:rPr>
        <w:t>present</w:t>
      </w:r>
      <w:r>
        <w:rPr>
          <w:spacing w:val="-2"/>
          <w:sz w:val="21"/>
        </w:rPr>
        <w:t xml:space="preserve"> </w:t>
      </w:r>
      <w:r>
        <w:rPr>
          <w:sz w:val="21"/>
        </w:rPr>
        <w:t>the Commission’s performance from 1 July 2025 to 30 June 2026.</w:t>
      </w:r>
    </w:p>
    <w:p w14:paraId="3C77DC48" w14:textId="77777777" w:rsidR="009D54AF" w:rsidRDefault="00000000">
      <w:pPr>
        <w:pStyle w:val="BodyText"/>
        <w:spacing w:before="85" w:line="278" w:lineRule="auto"/>
        <w:ind w:left="142"/>
      </w:pPr>
      <w:r>
        <w:t>As</w:t>
      </w:r>
      <w:r>
        <w:rPr>
          <w:spacing w:val="-1"/>
        </w:rPr>
        <w:t xml:space="preserve"> </w:t>
      </w:r>
      <w:r>
        <w:t>required</w:t>
      </w:r>
      <w:r>
        <w:rPr>
          <w:spacing w:val="-1"/>
        </w:rPr>
        <w:t xml:space="preserve"> </w:t>
      </w:r>
      <w:r>
        <w:t>by</w:t>
      </w:r>
      <w:r>
        <w:rPr>
          <w:spacing w:val="-1"/>
        </w:rPr>
        <w:t xml:space="preserve"> </w:t>
      </w:r>
      <w:r>
        <w:t>section</w:t>
      </w:r>
      <w:r>
        <w:rPr>
          <w:spacing w:val="-2"/>
        </w:rPr>
        <w:t xml:space="preserve"> </w:t>
      </w:r>
      <w:r>
        <w:t>10</w:t>
      </w:r>
      <w:r>
        <w:rPr>
          <w:spacing w:val="-1"/>
        </w:rPr>
        <w:t xml:space="preserve"> </w:t>
      </w:r>
      <w:r>
        <w:t>of</w:t>
      </w:r>
      <w:r>
        <w:rPr>
          <w:spacing w:val="-1"/>
        </w:rPr>
        <w:t xml:space="preserve"> </w:t>
      </w:r>
      <w:r>
        <w:t>the</w:t>
      </w:r>
      <w:r>
        <w:rPr>
          <w:spacing w:val="-1"/>
        </w:rPr>
        <w:t xml:space="preserve"> </w:t>
      </w:r>
      <w:r>
        <w:t>Public</w:t>
      </w:r>
      <w:r>
        <w:rPr>
          <w:spacing w:val="-2"/>
        </w:rPr>
        <w:t xml:space="preserve"> </w:t>
      </w:r>
      <w:r>
        <w:t>Governance,</w:t>
      </w:r>
      <w:r>
        <w:rPr>
          <w:spacing w:val="-1"/>
        </w:rPr>
        <w:t xml:space="preserve"> </w:t>
      </w:r>
      <w:r>
        <w:t>Performance</w:t>
      </w:r>
      <w:r>
        <w:rPr>
          <w:spacing w:val="-1"/>
        </w:rPr>
        <w:t xml:space="preserve"> </w:t>
      </w:r>
      <w:r>
        <w:t>and</w:t>
      </w:r>
      <w:r>
        <w:rPr>
          <w:spacing w:val="-1"/>
        </w:rPr>
        <w:t xml:space="preserve"> </w:t>
      </w:r>
      <w:r>
        <w:t>Accountability</w:t>
      </w:r>
      <w:r>
        <w:rPr>
          <w:spacing w:val="-2"/>
        </w:rPr>
        <w:t xml:space="preserve"> </w:t>
      </w:r>
      <w:r>
        <w:t>Rule</w:t>
      </w:r>
      <w:r>
        <w:rPr>
          <w:spacing w:val="-1"/>
        </w:rPr>
        <w:t xml:space="preserve"> </w:t>
      </w:r>
      <w:r>
        <w:t>2014,</w:t>
      </w:r>
      <w:r>
        <w:rPr>
          <w:spacing w:val="-1"/>
        </w:rPr>
        <w:t xml:space="preserve"> </w:t>
      </w:r>
      <w:r>
        <w:t>I</w:t>
      </w:r>
      <w:r>
        <w:rPr>
          <w:spacing w:val="-1"/>
        </w:rPr>
        <w:t xml:space="preserve"> </w:t>
      </w:r>
      <w:r>
        <w:t>certify</w:t>
      </w:r>
      <w:r>
        <w:rPr>
          <w:spacing w:val="-2"/>
        </w:rPr>
        <w:t xml:space="preserve"> </w:t>
      </w:r>
      <w:r>
        <w:t>on behalf of the Board that:</w:t>
      </w:r>
    </w:p>
    <w:p w14:paraId="5D4A7E4D" w14:textId="77777777" w:rsidR="009D54AF" w:rsidRDefault="00000000">
      <w:pPr>
        <w:pStyle w:val="ListParagraph"/>
        <w:numPr>
          <w:ilvl w:val="0"/>
          <w:numId w:val="39"/>
        </w:numPr>
        <w:tabs>
          <w:tab w:val="left" w:pos="424"/>
        </w:tabs>
        <w:spacing w:before="56"/>
        <w:ind w:left="424" w:hanging="268"/>
        <w:rPr>
          <w:sz w:val="21"/>
        </w:rPr>
      </w:pPr>
      <w:r>
        <w:rPr>
          <w:sz w:val="21"/>
        </w:rPr>
        <w:t>the</w:t>
      </w:r>
      <w:r>
        <w:rPr>
          <w:spacing w:val="-1"/>
          <w:sz w:val="21"/>
        </w:rPr>
        <w:t xml:space="preserve"> </w:t>
      </w:r>
      <w:r>
        <w:rPr>
          <w:sz w:val="21"/>
        </w:rPr>
        <w:t>Commission has</w:t>
      </w:r>
      <w:r>
        <w:rPr>
          <w:spacing w:val="-1"/>
          <w:sz w:val="21"/>
        </w:rPr>
        <w:t xml:space="preserve"> </w:t>
      </w:r>
      <w:r>
        <w:rPr>
          <w:sz w:val="21"/>
        </w:rPr>
        <w:t>prepared fraud</w:t>
      </w:r>
      <w:r>
        <w:rPr>
          <w:spacing w:val="-1"/>
          <w:sz w:val="21"/>
        </w:rPr>
        <w:t xml:space="preserve"> </w:t>
      </w:r>
      <w:r>
        <w:rPr>
          <w:sz w:val="21"/>
        </w:rPr>
        <w:t>risk assessments</w:t>
      </w:r>
      <w:r>
        <w:rPr>
          <w:spacing w:val="-1"/>
          <w:sz w:val="21"/>
        </w:rPr>
        <w:t xml:space="preserve"> </w:t>
      </w:r>
      <w:r>
        <w:rPr>
          <w:sz w:val="21"/>
        </w:rPr>
        <w:t>and fraud</w:t>
      </w:r>
      <w:r>
        <w:rPr>
          <w:spacing w:val="-1"/>
          <w:sz w:val="21"/>
        </w:rPr>
        <w:t xml:space="preserve"> </w:t>
      </w:r>
      <w:r>
        <w:rPr>
          <w:sz w:val="21"/>
        </w:rPr>
        <w:t xml:space="preserve">control </w:t>
      </w:r>
      <w:r>
        <w:rPr>
          <w:spacing w:val="-2"/>
          <w:sz w:val="21"/>
        </w:rPr>
        <w:t>plans</w:t>
      </w:r>
    </w:p>
    <w:p w14:paraId="0DDC3DD2" w14:textId="77777777" w:rsidR="009D54AF" w:rsidRDefault="00000000">
      <w:pPr>
        <w:pStyle w:val="ListParagraph"/>
        <w:numPr>
          <w:ilvl w:val="0"/>
          <w:numId w:val="39"/>
        </w:numPr>
        <w:tabs>
          <w:tab w:val="left" w:pos="424"/>
        </w:tabs>
        <w:spacing w:before="67"/>
        <w:ind w:left="424" w:hanging="268"/>
        <w:rPr>
          <w:sz w:val="21"/>
        </w:rPr>
      </w:pPr>
      <w:r>
        <w:rPr>
          <w:sz w:val="21"/>
        </w:rPr>
        <w:t>the</w:t>
      </w:r>
      <w:r>
        <w:rPr>
          <w:spacing w:val="-3"/>
          <w:sz w:val="21"/>
        </w:rPr>
        <w:t xml:space="preserve"> </w:t>
      </w:r>
      <w:r>
        <w:rPr>
          <w:sz w:val="21"/>
        </w:rPr>
        <w:t>Commission has in</w:t>
      </w:r>
      <w:r>
        <w:rPr>
          <w:spacing w:val="-1"/>
          <w:sz w:val="21"/>
        </w:rPr>
        <w:t xml:space="preserve"> </w:t>
      </w:r>
      <w:r>
        <w:rPr>
          <w:sz w:val="21"/>
        </w:rPr>
        <w:t>place appropriate fraud</w:t>
      </w:r>
      <w:r>
        <w:rPr>
          <w:spacing w:val="-1"/>
          <w:sz w:val="21"/>
        </w:rPr>
        <w:t xml:space="preserve"> </w:t>
      </w:r>
      <w:r>
        <w:rPr>
          <w:sz w:val="21"/>
        </w:rPr>
        <w:t>control mechanisms that</w:t>
      </w:r>
      <w:r>
        <w:rPr>
          <w:spacing w:val="-1"/>
          <w:sz w:val="21"/>
        </w:rPr>
        <w:t xml:space="preserve"> </w:t>
      </w:r>
      <w:r>
        <w:rPr>
          <w:sz w:val="21"/>
        </w:rPr>
        <w:t xml:space="preserve">meet its specific </w:t>
      </w:r>
      <w:r>
        <w:rPr>
          <w:spacing w:val="-2"/>
          <w:sz w:val="21"/>
        </w:rPr>
        <w:t>needs</w:t>
      </w:r>
    </w:p>
    <w:p w14:paraId="553C5FB4" w14:textId="77777777" w:rsidR="009D54AF" w:rsidRDefault="00000000">
      <w:pPr>
        <w:pStyle w:val="ListParagraph"/>
        <w:numPr>
          <w:ilvl w:val="0"/>
          <w:numId w:val="39"/>
        </w:numPr>
        <w:tabs>
          <w:tab w:val="left" w:pos="424"/>
        </w:tabs>
        <w:spacing w:before="67"/>
        <w:ind w:left="424" w:hanging="268"/>
        <w:rPr>
          <w:sz w:val="21"/>
        </w:rPr>
      </w:pPr>
      <w:r>
        <w:rPr>
          <w:sz w:val="21"/>
        </w:rPr>
        <w:t>all</w:t>
      </w:r>
      <w:r>
        <w:rPr>
          <w:spacing w:val="-5"/>
          <w:sz w:val="21"/>
        </w:rPr>
        <w:t xml:space="preserve"> </w:t>
      </w:r>
      <w:r>
        <w:rPr>
          <w:sz w:val="21"/>
        </w:rPr>
        <w:t>reasonable</w:t>
      </w:r>
      <w:r>
        <w:rPr>
          <w:spacing w:val="-3"/>
          <w:sz w:val="21"/>
        </w:rPr>
        <w:t xml:space="preserve"> </w:t>
      </w:r>
      <w:r>
        <w:rPr>
          <w:sz w:val="21"/>
        </w:rPr>
        <w:t>measures</w:t>
      </w:r>
      <w:r>
        <w:rPr>
          <w:spacing w:val="-3"/>
          <w:sz w:val="21"/>
        </w:rPr>
        <w:t xml:space="preserve"> </w:t>
      </w:r>
      <w:r>
        <w:rPr>
          <w:sz w:val="21"/>
        </w:rPr>
        <w:t>have</w:t>
      </w:r>
      <w:r>
        <w:rPr>
          <w:spacing w:val="-3"/>
          <w:sz w:val="21"/>
        </w:rPr>
        <w:t xml:space="preserve"> </w:t>
      </w:r>
      <w:r>
        <w:rPr>
          <w:sz w:val="21"/>
        </w:rPr>
        <w:t>been</w:t>
      </w:r>
      <w:r>
        <w:rPr>
          <w:spacing w:val="-3"/>
          <w:sz w:val="21"/>
        </w:rPr>
        <w:t xml:space="preserve"> </w:t>
      </w:r>
      <w:r>
        <w:rPr>
          <w:sz w:val="21"/>
        </w:rPr>
        <w:t>taken</w:t>
      </w:r>
      <w:r>
        <w:rPr>
          <w:spacing w:val="-3"/>
          <w:sz w:val="21"/>
        </w:rPr>
        <w:t xml:space="preserve"> </w:t>
      </w:r>
      <w:r>
        <w:rPr>
          <w:sz w:val="21"/>
        </w:rPr>
        <w:t>to</w:t>
      </w:r>
      <w:r>
        <w:rPr>
          <w:spacing w:val="-2"/>
          <w:sz w:val="21"/>
        </w:rPr>
        <w:t xml:space="preserve"> </w:t>
      </w:r>
      <w:r>
        <w:rPr>
          <w:sz w:val="21"/>
        </w:rPr>
        <w:t>appropriately</w:t>
      </w:r>
      <w:r>
        <w:rPr>
          <w:spacing w:val="-3"/>
          <w:sz w:val="21"/>
        </w:rPr>
        <w:t xml:space="preserve"> </w:t>
      </w:r>
      <w:r>
        <w:rPr>
          <w:sz w:val="21"/>
        </w:rPr>
        <w:t>deal</w:t>
      </w:r>
      <w:r>
        <w:rPr>
          <w:spacing w:val="-3"/>
          <w:sz w:val="21"/>
        </w:rPr>
        <w:t xml:space="preserve"> </w:t>
      </w:r>
      <w:r>
        <w:rPr>
          <w:sz w:val="21"/>
        </w:rPr>
        <w:t>with</w:t>
      </w:r>
      <w:r>
        <w:rPr>
          <w:spacing w:val="-3"/>
          <w:sz w:val="21"/>
        </w:rPr>
        <w:t xml:space="preserve"> </w:t>
      </w:r>
      <w:r>
        <w:rPr>
          <w:sz w:val="21"/>
        </w:rPr>
        <w:t>fraud</w:t>
      </w:r>
      <w:r>
        <w:rPr>
          <w:spacing w:val="-3"/>
          <w:sz w:val="21"/>
        </w:rPr>
        <w:t xml:space="preserve"> </w:t>
      </w:r>
      <w:r>
        <w:rPr>
          <w:sz w:val="21"/>
        </w:rPr>
        <w:t>relating</w:t>
      </w:r>
      <w:r>
        <w:rPr>
          <w:spacing w:val="-3"/>
          <w:sz w:val="21"/>
        </w:rPr>
        <w:t xml:space="preserve"> </w:t>
      </w:r>
      <w:r>
        <w:rPr>
          <w:sz w:val="21"/>
        </w:rPr>
        <w:t>to</w:t>
      </w:r>
      <w:r>
        <w:rPr>
          <w:spacing w:val="-3"/>
          <w:sz w:val="21"/>
        </w:rPr>
        <w:t xml:space="preserve"> </w:t>
      </w:r>
      <w:r>
        <w:rPr>
          <w:sz w:val="21"/>
        </w:rPr>
        <w:t>the</w:t>
      </w:r>
      <w:r>
        <w:rPr>
          <w:spacing w:val="-2"/>
          <w:sz w:val="21"/>
        </w:rPr>
        <w:t xml:space="preserve"> Commission.</w:t>
      </w:r>
    </w:p>
    <w:p w14:paraId="083061FF" w14:textId="77777777" w:rsidR="009D54AF" w:rsidRDefault="00000000">
      <w:pPr>
        <w:pStyle w:val="BodyText"/>
        <w:spacing w:before="123" w:line="278" w:lineRule="auto"/>
        <w:ind w:left="142" w:right="1372"/>
      </w:pPr>
      <w:r>
        <w:t>This</w:t>
      </w:r>
      <w:r>
        <w:rPr>
          <w:spacing w:val="-1"/>
        </w:rPr>
        <w:t xml:space="preserve"> </w:t>
      </w:r>
      <w:r>
        <w:t>report</w:t>
      </w:r>
      <w:r>
        <w:rPr>
          <w:spacing w:val="-1"/>
        </w:rPr>
        <w:t xml:space="preserve"> </w:t>
      </w:r>
      <w:r>
        <w:t>was</w:t>
      </w:r>
      <w:r>
        <w:rPr>
          <w:spacing w:val="-1"/>
        </w:rPr>
        <w:t xml:space="preserve"> </w:t>
      </w:r>
      <w:r>
        <w:t>approved</w:t>
      </w:r>
      <w:r>
        <w:rPr>
          <w:spacing w:val="-1"/>
        </w:rPr>
        <w:t xml:space="preserve"> </w:t>
      </w:r>
      <w:r>
        <w:t>for</w:t>
      </w:r>
      <w:r>
        <w:rPr>
          <w:spacing w:val="-1"/>
        </w:rPr>
        <w:t xml:space="preserve"> </w:t>
      </w:r>
      <w:r>
        <w:t>presentation</w:t>
      </w:r>
      <w:r>
        <w:rPr>
          <w:spacing w:val="-1"/>
        </w:rPr>
        <w:t xml:space="preserve"> </w:t>
      </w:r>
      <w:r>
        <w:t>to</w:t>
      </w:r>
      <w:r>
        <w:rPr>
          <w:spacing w:val="-1"/>
        </w:rPr>
        <w:t xml:space="preserve"> </w:t>
      </w:r>
      <w:r>
        <w:t>you</w:t>
      </w:r>
      <w:r>
        <w:rPr>
          <w:spacing w:val="-1"/>
        </w:rPr>
        <w:t xml:space="preserve"> </w:t>
      </w:r>
      <w:r>
        <w:t>in</w:t>
      </w:r>
      <w:r>
        <w:rPr>
          <w:spacing w:val="-1"/>
        </w:rPr>
        <w:t xml:space="preserve"> </w:t>
      </w:r>
      <w:r>
        <w:t>accordance</w:t>
      </w:r>
      <w:r>
        <w:rPr>
          <w:spacing w:val="-1"/>
        </w:rPr>
        <w:t xml:space="preserve"> </w:t>
      </w:r>
      <w:r>
        <w:t>with</w:t>
      </w:r>
      <w:r>
        <w:rPr>
          <w:spacing w:val="-1"/>
        </w:rPr>
        <w:t xml:space="preserve"> </w:t>
      </w:r>
      <w:r>
        <w:t>a</w:t>
      </w:r>
      <w:r>
        <w:rPr>
          <w:spacing w:val="-1"/>
        </w:rPr>
        <w:t xml:space="preserve"> </w:t>
      </w:r>
      <w:r>
        <w:t>resolution</w:t>
      </w:r>
      <w:r>
        <w:rPr>
          <w:spacing w:val="-1"/>
        </w:rPr>
        <w:t xml:space="preserve"> </w:t>
      </w:r>
      <w:r>
        <w:t>of</w:t>
      </w:r>
      <w:r>
        <w:rPr>
          <w:spacing w:val="-1"/>
        </w:rPr>
        <w:t xml:space="preserve"> </w:t>
      </w:r>
      <w:r>
        <w:t>the</w:t>
      </w:r>
      <w:r>
        <w:rPr>
          <w:spacing w:val="-1"/>
        </w:rPr>
        <w:t xml:space="preserve"> </w:t>
      </w:r>
      <w:r>
        <w:t>Board</w:t>
      </w:r>
      <w:r>
        <w:rPr>
          <w:spacing w:val="-1"/>
        </w:rPr>
        <w:t xml:space="preserve"> </w:t>
      </w:r>
      <w:r>
        <w:t>on 9 September 2026.</w:t>
      </w:r>
    </w:p>
    <w:p w14:paraId="432C32CD" w14:textId="77777777" w:rsidR="009D54AF" w:rsidRDefault="00000000">
      <w:pPr>
        <w:pStyle w:val="BodyText"/>
        <w:spacing w:before="85" w:line="362" w:lineRule="auto"/>
        <w:ind w:left="142" w:right="2542"/>
      </w:pPr>
      <w:r>
        <w:rPr>
          <w:noProof/>
        </w:rPr>
        <w:drawing>
          <wp:anchor distT="0" distB="0" distL="0" distR="0" simplePos="0" relativeHeight="487589376" behindDoc="1" locked="0" layoutInCell="1" allowOverlap="1" wp14:anchorId="6426CE50" wp14:editId="594161E1">
            <wp:simplePos x="0" y="0"/>
            <wp:positionH relativeFrom="page">
              <wp:posOffset>558979</wp:posOffset>
            </wp:positionH>
            <wp:positionV relativeFrom="paragraph">
              <wp:posOffset>553197</wp:posOffset>
            </wp:positionV>
            <wp:extent cx="2146652" cy="477774"/>
            <wp:effectExtent l="0" t="0" r="0" b="5080"/>
            <wp:wrapTopAndBottom/>
            <wp:docPr id="14" name="Image 1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a:extLst>
                        <a:ext uri="{C183D7F6-B498-43B3-948B-1728B52AA6E4}">
                          <adec:decorative xmlns:adec="http://schemas.microsoft.com/office/drawing/2017/decorative" val="1"/>
                        </a:ext>
                      </a:extLst>
                    </pic:cNvPr>
                    <pic:cNvPicPr/>
                  </pic:nvPicPr>
                  <pic:blipFill>
                    <a:blip r:embed="rId16" cstate="print"/>
                    <a:stretch>
                      <a:fillRect/>
                    </a:stretch>
                  </pic:blipFill>
                  <pic:spPr>
                    <a:xfrm>
                      <a:off x="0" y="0"/>
                      <a:ext cx="2146652" cy="477774"/>
                    </a:xfrm>
                    <a:prstGeom prst="rect">
                      <a:avLst/>
                    </a:prstGeom>
                  </pic:spPr>
                </pic:pic>
              </a:graphicData>
            </a:graphic>
          </wp:anchor>
        </w:drawing>
      </w:r>
      <w:r>
        <w:t>I</w:t>
      </w:r>
      <w:r>
        <w:rPr>
          <w:spacing w:val="-2"/>
        </w:rPr>
        <w:t xml:space="preserve"> </w:t>
      </w:r>
      <w:r>
        <w:t>commend</w:t>
      </w:r>
      <w:r>
        <w:rPr>
          <w:spacing w:val="-2"/>
        </w:rPr>
        <w:t xml:space="preserve"> </w:t>
      </w:r>
      <w:r>
        <w:t>this</w:t>
      </w:r>
      <w:r>
        <w:rPr>
          <w:spacing w:val="-2"/>
        </w:rPr>
        <w:t xml:space="preserve"> </w:t>
      </w:r>
      <w:r>
        <w:t>report</w:t>
      </w:r>
      <w:r>
        <w:rPr>
          <w:spacing w:val="-2"/>
        </w:rPr>
        <w:t xml:space="preserve"> </w:t>
      </w:r>
      <w:r>
        <w:t>to</w:t>
      </w:r>
      <w:r>
        <w:rPr>
          <w:spacing w:val="-2"/>
        </w:rPr>
        <w:t xml:space="preserve"> </w:t>
      </w:r>
      <w:r>
        <w:t>you</w:t>
      </w:r>
      <w:r>
        <w:rPr>
          <w:spacing w:val="-2"/>
        </w:rPr>
        <w:t xml:space="preserve"> </w:t>
      </w:r>
      <w:r>
        <w:t>as</w:t>
      </w:r>
      <w:r>
        <w:rPr>
          <w:spacing w:val="-2"/>
        </w:rPr>
        <w:t xml:space="preserve"> </w:t>
      </w:r>
      <w:r>
        <w:t>a</w:t>
      </w:r>
      <w:r>
        <w:rPr>
          <w:spacing w:val="-2"/>
        </w:rPr>
        <w:t xml:space="preserve"> </w:t>
      </w:r>
      <w:r>
        <w:t>record</w:t>
      </w:r>
      <w:r>
        <w:rPr>
          <w:spacing w:val="-2"/>
        </w:rPr>
        <w:t xml:space="preserve"> </w:t>
      </w:r>
      <w:r>
        <w:t>of</w:t>
      </w:r>
      <w:r>
        <w:rPr>
          <w:spacing w:val="-2"/>
        </w:rPr>
        <w:t xml:space="preserve"> </w:t>
      </w:r>
      <w:r>
        <w:t>our</w:t>
      </w:r>
      <w:r>
        <w:rPr>
          <w:spacing w:val="-2"/>
        </w:rPr>
        <w:t xml:space="preserve"> </w:t>
      </w:r>
      <w:r>
        <w:t>achievements</w:t>
      </w:r>
      <w:r>
        <w:rPr>
          <w:spacing w:val="-2"/>
        </w:rPr>
        <w:t xml:space="preserve"> </w:t>
      </w:r>
      <w:r>
        <w:t>and</w:t>
      </w:r>
      <w:r>
        <w:rPr>
          <w:spacing w:val="-2"/>
        </w:rPr>
        <w:t xml:space="preserve"> </w:t>
      </w:r>
      <w:r>
        <w:t>compliance. Yours sincerely</w:t>
      </w:r>
    </w:p>
    <w:p w14:paraId="11A5C109" w14:textId="77777777" w:rsidR="009D54AF" w:rsidRDefault="009D54AF">
      <w:pPr>
        <w:pStyle w:val="BodyText"/>
        <w:spacing w:before="4"/>
      </w:pPr>
    </w:p>
    <w:p w14:paraId="1EEB3297" w14:textId="77777777" w:rsidR="009D54AF" w:rsidRDefault="00000000">
      <w:pPr>
        <w:spacing w:line="278" w:lineRule="auto"/>
        <w:ind w:left="142" w:right="6600"/>
        <w:rPr>
          <w:b/>
          <w:sz w:val="21"/>
        </w:rPr>
      </w:pPr>
      <w:r>
        <w:rPr>
          <w:b/>
          <w:sz w:val="21"/>
        </w:rPr>
        <w:t>Professor</w:t>
      </w:r>
      <w:r>
        <w:rPr>
          <w:b/>
          <w:spacing w:val="-2"/>
          <w:sz w:val="21"/>
        </w:rPr>
        <w:t xml:space="preserve"> </w:t>
      </w:r>
      <w:r>
        <w:rPr>
          <w:b/>
          <w:sz w:val="21"/>
        </w:rPr>
        <w:t>Christine</w:t>
      </w:r>
      <w:r>
        <w:rPr>
          <w:b/>
          <w:spacing w:val="-2"/>
          <w:sz w:val="21"/>
        </w:rPr>
        <w:t xml:space="preserve"> </w:t>
      </w:r>
      <w:r>
        <w:rPr>
          <w:b/>
          <w:sz w:val="21"/>
        </w:rPr>
        <w:t>Kilpatrick</w:t>
      </w:r>
      <w:r>
        <w:rPr>
          <w:b/>
          <w:spacing w:val="-2"/>
          <w:sz w:val="21"/>
        </w:rPr>
        <w:t xml:space="preserve"> </w:t>
      </w:r>
      <w:r>
        <w:rPr>
          <w:b/>
          <w:sz w:val="21"/>
        </w:rPr>
        <w:t xml:space="preserve">AO </w:t>
      </w:r>
      <w:r>
        <w:rPr>
          <w:b/>
          <w:spacing w:val="-2"/>
          <w:sz w:val="21"/>
        </w:rPr>
        <w:t>Chair</w:t>
      </w:r>
    </w:p>
    <w:p w14:paraId="400086CC" w14:textId="77777777" w:rsidR="009D54AF" w:rsidRDefault="00000000">
      <w:pPr>
        <w:spacing w:line="221" w:lineRule="exact"/>
        <w:ind w:left="142"/>
        <w:rPr>
          <w:b/>
          <w:sz w:val="21"/>
        </w:rPr>
      </w:pPr>
      <w:r>
        <w:rPr>
          <w:b/>
          <w:sz w:val="21"/>
        </w:rPr>
        <w:t>Australian</w:t>
      </w:r>
      <w:r>
        <w:rPr>
          <w:b/>
          <w:spacing w:val="3"/>
          <w:sz w:val="21"/>
        </w:rPr>
        <w:t xml:space="preserve"> </w:t>
      </w:r>
      <w:r>
        <w:rPr>
          <w:b/>
          <w:sz w:val="21"/>
        </w:rPr>
        <w:t>Commission</w:t>
      </w:r>
      <w:r>
        <w:rPr>
          <w:b/>
          <w:spacing w:val="6"/>
          <w:sz w:val="21"/>
        </w:rPr>
        <w:t xml:space="preserve"> </w:t>
      </w:r>
      <w:r>
        <w:rPr>
          <w:b/>
          <w:sz w:val="21"/>
        </w:rPr>
        <w:t>on</w:t>
      </w:r>
      <w:r>
        <w:rPr>
          <w:b/>
          <w:spacing w:val="5"/>
          <w:sz w:val="21"/>
        </w:rPr>
        <w:t xml:space="preserve"> </w:t>
      </w:r>
      <w:r>
        <w:rPr>
          <w:b/>
          <w:sz w:val="21"/>
        </w:rPr>
        <w:t>Safety</w:t>
      </w:r>
      <w:r>
        <w:rPr>
          <w:b/>
          <w:spacing w:val="6"/>
          <w:sz w:val="21"/>
        </w:rPr>
        <w:t xml:space="preserve"> </w:t>
      </w:r>
      <w:r>
        <w:rPr>
          <w:b/>
          <w:sz w:val="21"/>
        </w:rPr>
        <w:t>and</w:t>
      </w:r>
      <w:r>
        <w:rPr>
          <w:b/>
          <w:spacing w:val="5"/>
          <w:sz w:val="21"/>
        </w:rPr>
        <w:t xml:space="preserve"> </w:t>
      </w:r>
      <w:r>
        <w:rPr>
          <w:b/>
          <w:sz w:val="21"/>
        </w:rPr>
        <w:t>Quality</w:t>
      </w:r>
      <w:r>
        <w:rPr>
          <w:b/>
          <w:spacing w:val="6"/>
          <w:sz w:val="21"/>
        </w:rPr>
        <w:t xml:space="preserve"> </w:t>
      </w:r>
      <w:r>
        <w:rPr>
          <w:b/>
          <w:sz w:val="21"/>
        </w:rPr>
        <w:t>in</w:t>
      </w:r>
      <w:r>
        <w:rPr>
          <w:b/>
          <w:spacing w:val="5"/>
          <w:sz w:val="21"/>
        </w:rPr>
        <w:t xml:space="preserve"> </w:t>
      </w:r>
      <w:r>
        <w:rPr>
          <w:b/>
          <w:sz w:val="21"/>
        </w:rPr>
        <w:t>Health</w:t>
      </w:r>
      <w:r>
        <w:rPr>
          <w:b/>
          <w:spacing w:val="6"/>
          <w:sz w:val="21"/>
        </w:rPr>
        <w:t xml:space="preserve"> </w:t>
      </w:r>
      <w:r>
        <w:rPr>
          <w:b/>
          <w:spacing w:val="-4"/>
          <w:sz w:val="21"/>
        </w:rPr>
        <w:t>Care</w:t>
      </w:r>
    </w:p>
    <w:p w14:paraId="6F4025EF" w14:textId="77777777" w:rsidR="009D54AF" w:rsidRDefault="00000000">
      <w:pPr>
        <w:pStyle w:val="BodyText"/>
        <w:spacing w:before="39"/>
        <w:ind w:left="142"/>
      </w:pPr>
      <w:r>
        <w:t>9</w:t>
      </w:r>
      <w:r>
        <w:rPr>
          <w:spacing w:val="-2"/>
        </w:rPr>
        <w:t xml:space="preserve"> </w:t>
      </w:r>
      <w:r>
        <w:t>September</w:t>
      </w:r>
      <w:r>
        <w:rPr>
          <w:spacing w:val="-2"/>
        </w:rPr>
        <w:t xml:space="preserve"> </w:t>
      </w:r>
      <w:r>
        <w:rPr>
          <w:spacing w:val="-4"/>
        </w:rPr>
        <w:t>2026</w:t>
      </w:r>
    </w:p>
    <w:p w14:paraId="0AFC3C43" w14:textId="77777777" w:rsidR="009D54AF" w:rsidRDefault="009D54AF">
      <w:pPr>
        <w:pStyle w:val="BodyText"/>
        <w:sectPr w:rsidR="009D54AF">
          <w:pgSz w:w="11910" w:h="16840"/>
          <w:pgMar w:top="680" w:right="708" w:bottom="280" w:left="708" w:header="720" w:footer="720" w:gutter="0"/>
          <w:cols w:space="720"/>
        </w:sectPr>
      </w:pPr>
    </w:p>
    <w:p w14:paraId="4E4B8DC1" w14:textId="77777777" w:rsidR="001160E8" w:rsidRPr="00473B94" w:rsidRDefault="001160E8" w:rsidP="00473B94">
      <w:pPr>
        <w:pStyle w:val="Headinglevel2nonTOC"/>
        <w:spacing w:after="120"/>
        <w:rPr>
          <w:b/>
          <w:bCs/>
          <w:sz w:val="40"/>
          <w:szCs w:val="40"/>
        </w:rPr>
      </w:pPr>
      <w:r w:rsidRPr="00473B94">
        <w:rPr>
          <w:b/>
          <w:bCs/>
          <w:sz w:val="40"/>
          <w:szCs w:val="40"/>
        </w:rPr>
        <w:lastRenderedPageBreak/>
        <w:t>Contents</w:t>
      </w:r>
    </w:p>
    <w:p w14:paraId="718ED4A7" w14:textId="4D736964" w:rsidR="001160E8" w:rsidRPr="00473B94" w:rsidRDefault="001160E8" w:rsidP="00473B94">
      <w:pPr>
        <w:pStyle w:val="TOC1"/>
        <w:tabs>
          <w:tab w:val="right" w:pos="10484"/>
        </w:tabs>
        <w:spacing w:before="0"/>
        <w:rPr>
          <w:rFonts w:ascii="Arial" w:eastAsiaTheme="minorEastAsia" w:hAnsi="Arial" w:cs="Arial"/>
          <w:b w:val="0"/>
          <w:bCs w:val="0"/>
          <w:noProof/>
          <w:kern w:val="2"/>
          <w:sz w:val="22"/>
          <w:szCs w:val="22"/>
          <w:lang w:val="en-AU" w:eastAsia="en-GB"/>
          <w14:ligatures w14:val="standardContextual"/>
        </w:rPr>
      </w:pPr>
      <w:r w:rsidRPr="00473B94">
        <w:rPr>
          <w:rFonts w:ascii="Arial" w:hAnsi="Arial" w:cs="Arial"/>
          <w:b w:val="0"/>
          <w:bCs w:val="0"/>
          <w:spacing w:val="-2"/>
          <w:sz w:val="22"/>
          <w:szCs w:val="22"/>
        </w:rPr>
        <w:fldChar w:fldCharType="begin"/>
      </w:r>
      <w:r w:rsidRPr="00473B94">
        <w:rPr>
          <w:rFonts w:ascii="Arial" w:hAnsi="Arial" w:cs="Arial"/>
          <w:b w:val="0"/>
          <w:bCs w:val="0"/>
          <w:spacing w:val="-2"/>
          <w:sz w:val="22"/>
          <w:szCs w:val="22"/>
        </w:rPr>
        <w:instrText xml:space="preserve"> TOC \o "1-3" </w:instrText>
      </w:r>
      <w:r w:rsidRPr="00473B94">
        <w:rPr>
          <w:rFonts w:ascii="Arial" w:hAnsi="Arial" w:cs="Arial"/>
          <w:b w:val="0"/>
          <w:bCs w:val="0"/>
          <w:spacing w:val="-2"/>
          <w:sz w:val="22"/>
          <w:szCs w:val="22"/>
        </w:rPr>
        <w:fldChar w:fldCharType="separate"/>
      </w:r>
      <w:r w:rsidRPr="00473B94">
        <w:rPr>
          <w:rFonts w:ascii="Arial" w:hAnsi="Arial" w:cs="Arial"/>
          <w:b w:val="0"/>
          <w:bCs w:val="0"/>
          <w:noProof/>
          <w:sz w:val="22"/>
          <w:szCs w:val="22"/>
        </w:rPr>
        <w:t>Acknowledgement</w:t>
      </w:r>
      <w:r w:rsidRPr="00473B94">
        <w:rPr>
          <w:rFonts w:ascii="Arial" w:hAnsi="Arial" w:cs="Arial"/>
          <w:b w:val="0"/>
          <w:bCs w:val="0"/>
          <w:noProof/>
          <w:spacing w:val="-21"/>
          <w:sz w:val="22"/>
          <w:szCs w:val="22"/>
        </w:rPr>
        <w:t xml:space="preserve"> </w:t>
      </w:r>
      <w:r w:rsidRPr="00473B94">
        <w:rPr>
          <w:rFonts w:ascii="Arial" w:hAnsi="Arial" w:cs="Arial"/>
          <w:b w:val="0"/>
          <w:bCs w:val="0"/>
          <w:noProof/>
          <w:sz w:val="22"/>
          <w:szCs w:val="22"/>
        </w:rPr>
        <w:t>of</w:t>
      </w:r>
      <w:r w:rsidRPr="00473B94">
        <w:rPr>
          <w:rFonts w:ascii="Arial" w:hAnsi="Arial" w:cs="Arial"/>
          <w:b w:val="0"/>
          <w:bCs w:val="0"/>
          <w:noProof/>
          <w:spacing w:val="-18"/>
          <w:sz w:val="22"/>
          <w:szCs w:val="22"/>
        </w:rPr>
        <w:t xml:space="preserve"> </w:t>
      </w:r>
      <w:r w:rsidRPr="00473B94">
        <w:rPr>
          <w:rFonts w:ascii="Arial" w:hAnsi="Arial" w:cs="Arial"/>
          <w:b w:val="0"/>
          <w:bCs w:val="0"/>
          <w:noProof/>
          <w:sz w:val="22"/>
          <w:szCs w:val="22"/>
        </w:rPr>
        <w:t>Country</w:t>
      </w:r>
      <w:r w:rsidRPr="00473B94">
        <w:rPr>
          <w:rFonts w:ascii="Arial" w:hAnsi="Arial" w:cs="Arial"/>
          <w:b w:val="0"/>
          <w:bCs w:val="0"/>
          <w:noProof/>
          <w:sz w:val="22"/>
          <w:szCs w:val="22"/>
        </w:rPr>
        <w:tab/>
      </w:r>
      <w:r w:rsidRPr="00473B94">
        <w:rPr>
          <w:rFonts w:ascii="Arial" w:hAnsi="Arial" w:cs="Arial"/>
          <w:b w:val="0"/>
          <w:bCs w:val="0"/>
          <w:noProof/>
          <w:sz w:val="22"/>
          <w:szCs w:val="22"/>
        </w:rPr>
        <w:fldChar w:fldCharType="begin"/>
      </w:r>
      <w:r w:rsidRPr="00473B94">
        <w:rPr>
          <w:rFonts w:ascii="Arial" w:hAnsi="Arial" w:cs="Arial"/>
          <w:b w:val="0"/>
          <w:bCs w:val="0"/>
          <w:noProof/>
          <w:sz w:val="22"/>
          <w:szCs w:val="22"/>
        </w:rPr>
        <w:instrText xml:space="preserve"> PAGEREF _Toc243037262 \h </w:instrText>
      </w:r>
      <w:r w:rsidRPr="00473B94">
        <w:rPr>
          <w:rFonts w:ascii="Arial" w:hAnsi="Arial" w:cs="Arial"/>
          <w:b w:val="0"/>
          <w:bCs w:val="0"/>
          <w:noProof/>
          <w:sz w:val="22"/>
          <w:szCs w:val="22"/>
        </w:rPr>
      </w:r>
      <w:r w:rsidRPr="00473B94">
        <w:rPr>
          <w:rFonts w:ascii="Arial" w:hAnsi="Arial" w:cs="Arial"/>
          <w:b w:val="0"/>
          <w:bCs w:val="0"/>
          <w:noProof/>
          <w:sz w:val="22"/>
          <w:szCs w:val="22"/>
        </w:rPr>
        <w:fldChar w:fldCharType="separate"/>
      </w:r>
      <w:r w:rsidRPr="00473B94">
        <w:rPr>
          <w:rFonts w:ascii="Arial" w:hAnsi="Arial" w:cs="Arial"/>
          <w:b w:val="0"/>
          <w:bCs w:val="0"/>
          <w:noProof/>
          <w:sz w:val="22"/>
          <w:szCs w:val="22"/>
        </w:rPr>
        <w:t>3</w:t>
      </w:r>
      <w:r w:rsidRPr="00473B94">
        <w:rPr>
          <w:rFonts w:ascii="Arial" w:hAnsi="Arial" w:cs="Arial"/>
          <w:b w:val="0"/>
          <w:bCs w:val="0"/>
          <w:noProof/>
          <w:sz w:val="22"/>
          <w:szCs w:val="22"/>
        </w:rPr>
        <w:fldChar w:fldCharType="end"/>
      </w:r>
    </w:p>
    <w:p w14:paraId="0F80F020" w14:textId="71CF2382" w:rsidR="001160E8" w:rsidRPr="00473B94" w:rsidRDefault="001160E8" w:rsidP="00473B94">
      <w:pPr>
        <w:pStyle w:val="TOC1"/>
        <w:tabs>
          <w:tab w:val="right" w:pos="10484"/>
        </w:tabs>
        <w:spacing w:before="0"/>
        <w:rPr>
          <w:rFonts w:ascii="Arial" w:eastAsiaTheme="minorEastAsia" w:hAnsi="Arial" w:cs="Arial"/>
          <w:b w:val="0"/>
          <w:bCs w:val="0"/>
          <w:noProof/>
          <w:kern w:val="2"/>
          <w:sz w:val="22"/>
          <w:szCs w:val="22"/>
          <w:lang w:val="en-AU" w:eastAsia="en-GB"/>
          <w14:ligatures w14:val="standardContextual"/>
        </w:rPr>
      </w:pPr>
      <w:r w:rsidRPr="00473B94">
        <w:rPr>
          <w:rFonts w:ascii="Arial" w:hAnsi="Arial" w:cs="Arial"/>
          <w:b w:val="0"/>
          <w:bCs w:val="0"/>
          <w:noProof/>
          <w:sz w:val="22"/>
          <w:szCs w:val="22"/>
        </w:rPr>
        <w:t>Letter</w:t>
      </w:r>
      <w:r w:rsidRPr="00473B94">
        <w:rPr>
          <w:rFonts w:ascii="Arial" w:hAnsi="Arial" w:cs="Arial"/>
          <w:b w:val="0"/>
          <w:bCs w:val="0"/>
          <w:noProof/>
          <w:spacing w:val="-24"/>
          <w:sz w:val="22"/>
          <w:szCs w:val="22"/>
        </w:rPr>
        <w:t xml:space="preserve"> </w:t>
      </w:r>
      <w:r w:rsidRPr="00473B94">
        <w:rPr>
          <w:rFonts w:ascii="Arial" w:hAnsi="Arial" w:cs="Arial"/>
          <w:b w:val="0"/>
          <w:bCs w:val="0"/>
          <w:noProof/>
          <w:sz w:val="22"/>
          <w:szCs w:val="22"/>
        </w:rPr>
        <w:t>of</w:t>
      </w:r>
      <w:r w:rsidRPr="00473B94">
        <w:rPr>
          <w:rFonts w:ascii="Arial" w:hAnsi="Arial" w:cs="Arial"/>
          <w:b w:val="0"/>
          <w:bCs w:val="0"/>
          <w:noProof/>
          <w:spacing w:val="-23"/>
          <w:sz w:val="22"/>
          <w:szCs w:val="22"/>
        </w:rPr>
        <w:t xml:space="preserve"> </w:t>
      </w:r>
      <w:r w:rsidRPr="00473B94">
        <w:rPr>
          <w:rFonts w:ascii="Arial" w:hAnsi="Arial" w:cs="Arial"/>
          <w:b w:val="0"/>
          <w:bCs w:val="0"/>
          <w:noProof/>
          <w:sz w:val="22"/>
          <w:szCs w:val="22"/>
        </w:rPr>
        <w:t>transmittal</w:t>
      </w:r>
      <w:r w:rsidRPr="00473B94">
        <w:rPr>
          <w:rFonts w:ascii="Arial" w:hAnsi="Arial" w:cs="Arial"/>
          <w:b w:val="0"/>
          <w:bCs w:val="0"/>
          <w:noProof/>
          <w:sz w:val="22"/>
          <w:szCs w:val="22"/>
        </w:rPr>
        <w:tab/>
      </w:r>
      <w:r w:rsidRPr="00473B94">
        <w:rPr>
          <w:rFonts w:ascii="Arial" w:hAnsi="Arial" w:cs="Arial"/>
          <w:b w:val="0"/>
          <w:bCs w:val="0"/>
          <w:noProof/>
          <w:sz w:val="22"/>
          <w:szCs w:val="22"/>
        </w:rPr>
        <w:fldChar w:fldCharType="begin"/>
      </w:r>
      <w:r w:rsidRPr="00473B94">
        <w:rPr>
          <w:rFonts w:ascii="Arial" w:hAnsi="Arial" w:cs="Arial"/>
          <w:b w:val="0"/>
          <w:bCs w:val="0"/>
          <w:noProof/>
          <w:sz w:val="22"/>
          <w:szCs w:val="22"/>
        </w:rPr>
        <w:instrText xml:space="preserve"> PAGEREF _Toc243037263 \h </w:instrText>
      </w:r>
      <w:r w:rsidRPr="00473B94">
        <w:rPr>
          <w:rFonts w:ascii="Arial" w:hAnsi="Arial" w:cs="Arial"/>
          <w:b w:val="0"/>
          <w:bCs w:val="0"/>
          <w:noProof/>
          <w:sz w:val="22"/>
          <w:szCs w:val="22"/>
        </w:rPr>
      </w:r>
      <w:r w:rsidRPr="00473B94">
        <w:rPr>
          <w:rFonts w:ascii="Arial" w:hAnsi="Arial" w:cs="Arial"/>
          <w:b w:val="0"/>
          <w:bCs w:val="0"/>
          <w:noProof/>
          <w:sz w:val="22"/>
          <w:szCs w:val="22"/>
        </w:rPr>
        <w:fldChar w:fldCharType="separate"/>
      </w:r>
      <w:r w:rsidRPr="00473B94">
        <w:rPr>
          <w:rFonts w:ascii="Arial" w:hAnsi="Arial" w:cs="Arial"/>
          <w:b w:val="0"/>
          <w:bCs w:val="0"/>
          <w:noProof/>
          <w:sz w:val="22"/>
          <w:szCs w:val="22"/>
        </w:rPr>
        <w:t>4</w:t>
      </w:r>
      <w:r w:rsidRPr="00473B94">
        <w:rPr>
          <w:rFonts w:ascii="Arial" w:hAnsi="Arial" w:cs="Arial"/>
          <w:b w:val="0"/>
          <w:bCs w:val="0"/>
          <w:noProof/>
          <w:sz w:val="22"/>
          <w:szCs w:val="22"/>
        </w:rPr>
        <w:fldChar w:fldCharType="end"/>
      </w:r>
    </w:p>
    <w:p w14:paraId="6088AD00" w14:textId="2E2F7180" w:rsidR="001160E8" w:rsidRPr="00473B94" w:rsidRDefault="001160E8" w:rsidP="00473B94">
      <w:pPr>
        <w:pStyle w:val="TOC1"/>
        <w:tabs>
          <w:tab w:val="right" w:pos="10484"/>
        </w:tabs>
        <w:spacing w:before="0"/>
        <w:rPr>
          <w:rFonts w:ascii="Arial" w:eastAsiaTheme="minorEastAsia" w:hAnsi="Arial" w:cs="Arial"/>
          <w:b w:val="0"/>
          <w:bCs w:val="0"/>
          <w:noProof/>
          <w:kern w:val="2"/>
          <w:sz w:val="22"/>
          <w:szCs w:val="22"/>
          <w:lang w:val="en-AU" w:eastAsia="en-GB"/>
          <w14:ligatures w14:val="standardContextual"/>
        </w:rPr>
      </w:pPr>
      <w:r w:rsidRPr="00473B94">
        <w:rPr>
          <w:rFonts w:ascii="Arial" w:hAnsi="Arial" w:cs="Arial"/>
          <w:b w:val="0"/>
          <w:bCs w:val="0"/>
          <w:noProof/>
          <w:sz w:val="22"/>
          <w:szCs w:val="22"/>
        </w:rPr>
        <w:t>Highlights</w:t>
      </w:r>
      <w:r w:rsidRPr="00473B94">
        <w:rPr>
          <w:rFonts w:ascii="Arial" w:hAnsi="Arial" w:cs="Arial"/>
          <w:b w:val="0"/>
          <w:bCs w:val="0"/>
          <w:noProof/>
          <w:sz w:val="22"/>
          <w:szCs w:val="22"/>
        </w:rPr>
        <w:tab/>
      </w:r>
      <w:r w:rsidRPr="00473B94">
        <w:rPr>
          <w:rFonts w:ascii="Arial" w:hAnsi="Arial" w:cs="Arial"/>
          <w:b w:val="0"/>
          <w:bCs w:val="0"/>
          <w:noProof/>
          <w:sz w:val="22"/>
          <w:szCs w:val="22"/>
        </w:rPr>
        <w:fldChar w:fldCharType="begin"/>
      </w:r>
      <w:r w:rsidRPr="00473B94">
        <w:rPr>
          <w:rFonts w:ascii="Arial" w:hAnsi="Arial" w:cs="Arial"/>
          <w:b w:val="0"/>
          <w:bCs w:val="0"/>
          <w:noProof/>
          <w:sz w:val="22"/>
          <w:szCs w:val="22"/>
        </w:rPr>
        <w:instrText xml:space="preserve"> PAGEREF _Toc243037264 \h </w:instrText>
      </w:r>
      <w:r w:rsidRPr="00473B94">
        <w:rPr>
          <w:rFonts w:ascii="Arial" w:hAnsi="Arial" w:cs="Arial"/>
          <w:b w:val="0"/>
          <w:bCs w:val="0"/>
          <w:noProof/>
          <w:sz w:val="22"/>
          <w:szCs w:val="22"/>
        </w:rPr>
      </w:r>
      <w:r w:rsidRPr="00473B94">
        <w:rPr>
          <w:rFonts w:ascii="Arial" w:hAnsi="Arial" w:cs="Arial"/>
          <w:b w:val="0"/>
          <w:bCs w:val="0"/>
          <w:noProof/>
          <w:sz w:val="22"/>
          <w:szCs w:val="22"/>
        </w:rPr>
        <w:fldChar w:fldCharType="separate"/>
      </w:r>
      <w:r w:rsidRPr="00473B94">
        <w:rPr>
          <w:rFonts w:ascii="Arial" w:hAnsi="Arial" w:cs="Arial"/>
          <w:b w:val="0"/>
          <w:bCs w:val="0"/>
          <w:noProof/>
          <w:sz w:val="22"/>
          <w:szCs w:val="22"/>
        </w:rPr>
        <w:t>7</w:t>
      </w:r>
      <w:r w:rsidRPr="00473B94">
        <w:rPr>
          <w:rFonts w:ascii="Arial" w:hAnsi="Arial" w:cs="Arial"/>
          <w:b w:val="0"/>
          <w:bCs w:val="0"/>
          <w:noProof/>
          <w:sz w:val="22"/>
          <w:szCs w:val="22"/>
        </w:rPr>
        <w:fldChar w:fldCharType="end"/>
      </w:r>
    </w:p>
    <w:p w14:paraId="20F80DA1" w14:textId="77777777" w:rsidR="00473B94" w:rsidRPr="00473B94" w:rsidRDefault="00473B94" w:rsidP="00473B94">
      <w:pPr>
        <w:pStyle w:val="TOC1"/>
        <w:numPr>
          <w:ilvl w:val="0"/>
          <w:numId w:val="40"/>
        </w:numPr>
        <w:tabs>
          <w:tab w:val="right" w:pos="10484"/>
        </w:tabs>
        <w:spacing w:before="120"/>
        <w:ind w:left="357" w:hanging="357"/>
        <w:rPr>
          <w:rFonts w:ascii="Arial" w:hAnsi="Arial" w:cs="Arial"/>
          <w:spacing w:val="-2"/>
          <w:sz w:val="22"/>
          <w:szCs w:val="22"/>
        </w:rPr>
      </w:pPr>
      <w:r w:rsidRPr="00473B94">
        <w:rPr>
          <w:rFonts w:ascii="Arial" w:hAnsi="Arial" w:cs="Arial"/>
          <w:spacing w:val="-2"/>
          <w:sz w:val="22"/>
          <w:szCs w:val="22"/>
        </w:rPr>
        <w:t>Overview</w:t>
      </w:r>
    </w:p>
    <w:p w14:paraId="7661CDBC" w14:textId="4FAD9B5F" w:rsidR="001160E8" w:rsidRPr="00473B94" w:rsidRDefault="001160E8" w:rsidP="00473B94">
      <w:pPr>
        <w:pStyle w:val="TOC1"/>
        <w:tabs>
          <w:tab w:val="right" w:pos="10484"/>
        </w:tabs>
        <w:spacing w:before="0"/>
        <w:rPr>
          <w:rFonts w:ascii="Arial" w:eastAsiaTheme="minorEastAsia" w:hAnsi="Arial" w:cs="Arial"/>
          <w:b w:val="0"/>
          <w:bCs w:val="0"/>
          <w:noProof/>
          <w:kern w:val="2"/>
          <w:sz w:val="22"/>
          <w:szCs w:val="22"/>
          <w:lang w:val="en-AU" w:eastAsia="en-GB"/>
          <w14:ligatures w14:val="standardContextual"/>
        </w:rPr>
      </w:pPr>
      <w:r w:rsidRPr="00473B94">
        <w:rPr>
          <w:rFonts w:ascii="Arial" w:hAnsi="Arial" w:cs="Arial"/>
          <w:b w:val="0"/>
          <w:bCs w:val="0"/>
          <w:noProof/>
          <w:sz w:val="22"/>
          <w:szCs w:val="22"/>
        </w:rPr>
        <w:t>About</w:t>
      </w:r>
      <w:r w:rsidRPr="00473B94">
        <w:rPr>
          <w:rFonts w:ascii="Arial" w:hAnsi="Arial" w:cs="Arial"/>
          <w:b w:val="0"/>
          <w:bCs w:val="0"/>
          <w:noProof/>
          <w:spacing w:val="-24"/>
          <w:sz w:val="22"/>
          <w:szCs w:val="22"/>
        </w:rPr>
        <w:t xml:space="preserve"> </w:t>
      </w:r>
      <w:r w:rsidRPr="00473B94">
        <w:rPr>
          <w:rFonts w:ascii="Arial" w:hAnsi="Arial" w:cs="Arial"/>
          <w:b w:val="0"/>
          <w:bCs w:val="0"/>
          <w:noProof/>
          <w:sz w:val="22"/>
          <w:szCs w:val="22"/>
        </w:rPr>
        <w:t>the</w:t>
      </w:r>
      <w:r w:rsidRPr="00473B94">
        <w:rPr>
          <w:rFonts w:ascii="Arial" w:hAnsi="Arial" w:cs="Arial"/>
          <w:b w:val="0"/>
          <w:bCs w:val="0"/>
          <w:noProof/>
          <w:spacing w:val="-23"/>
          <w:sz w:val="22"/>
          <w:szCs w:val="22"/>
        </w:rPr>
        <w:t xml:space="preserve"> </w:t>
      </w:r>
      <w:r w:rsidRPr="00473B94">
        <w:rPr>
          <w:rFonts w:ascii="Arial" w:hAnsi="Arial" w:cs="Arial"/>
          <w:b w:val="0"/>
          <w:bCs w:val="0"/>
          <w:noProof/>
          <w:spacing w:val="-2"/>
          <w:sz w:val="22"/>
          <w:szCs w:val="22"/>
        </w:rPr>
        <w:t>Commission</w:t>
      </w:r>
      <w:r w:rsidRPr="00473B94">
        <w:rPr>
          <w:rFonts w:ascii="Arial" w:hAnsi="Arial" w:cs="Arial"/>
          <w:b w:val="0"/>
          <w:bCs w:val="0"/>
          <w:noProof/>
          <w:sz w:val="22"/>
          <w:szCs w:val="22"/>
        </w:rPr>
        <w:tab/>
      </w:r>
      <w:r w:rsidRPr="00473B94">
        <w:rPr>
          <w:rFonts w:ascii="Arial" w:hAnsi="Arial" w:cs="Arial"/>
          <w:b w:val="0"/>
          <w:bCs w:val="0"/>
          <w:noProof/>
          <w:sz w:val="22"/>
          <w:szCs w:val="22"/>
        </w:rPr>
        <w:fldChar w:fldCharType="begin"/>
      </w:r>
      <w:r w:rsidRPr="00473B94">
        <w:rPr>
          <w:rFonts w:ascii="Arial" w:hAnsi="Arial" w:cs="Arial"/>
          <w:b w:val="0"/>
          <w:bCs w:val="0"/>
          <w:noProof/>
          <w:sz w:val="22"/>
          <w:szCs w:val="22"/>
        </w:rPr>
        <w:instrText xml:space="preserve"> PAGEREF _Toc243037265 \h </w:instrText>
      </w:r>
      <w:r w:rsidRPr="00473B94">
        <w:rPr>
          <w:rFonts w:ascii="Arial" w:hAnsi="Arial" w:cs="Arial"/>
          <w:b w:val="0"/>
          <w:bCs w:val="0"/>
          <w:noProof/>
          <w:sz w:val="22"/>
          <w:szCs w:val="22"/>
        </w:rPr>
      </w:r>
      <w:r w:rsidRPr="00473B94">
        <w:rPr>
          <w:rFonts w:ascii="Arial" w:hAnsi="Arial" w:cs="Arial"/>
          <w:b w:val="0"/>
          <w:bCs w:val="0"/>
          <w:noProof/>
          <w:sz w:val="22"/>
          <w:szCs w:val="22"/>
        </w:rPr>
        <w:fldChar w:fldCharType="separate"/>
      </w:r>
      <w:r w:rsidRPr="00473B94">
        <w:rPr>
          <w:rFonts w:ascii="Arial" w:hAnsi="Arial" w:cs="Arial"/>
          <w:b w:val="0"/>
          <w:bCs w:val="0"/>
          <w:noProof/>
          <w:sz w:val="22"/>
          <w:szCs w:val="22"/>
        </w:rPr>
        <w:t>9</w:t>
      </w:r>
      <w:r w:rsidRPr="00473B94">
        <w:rPr>
          <w:rFonts w:ascii="Arial" w:hAnsi="Arial" w:cs="Arial"/>
          <w:b w:val="0"/>
          <w:bCs w:val="0"/>
          <w:noProof/>
          <w:sz w:val="22"/>
          <w:szCs w:val="22"/>
        </w:rPr>
        <w:fldChar w:fldCharType="end"/>
      </w:r>
    </w:p>
    <w:p w14:paraId="211EA55A" w14:textId="5A51AF97" w:rsidR="001160E8" w:rsidRPr="00473B94" w:rsidRDefault="001160E8" w:rsidP="00473B94">
      <w:pPr>
        <w:pStyle w:val="TOC1"/>
        <w:tabs>
          <w:tab w:val="right" w:pos="10484"/>
        </w:tabs>
        <w:spacing w:before="0"/>
        <w:rPr>
          <w:rFonts w:ascii="Arial" w:eastAsiaTheme="minorEastAsia" w:hAnsi="Arial" w:cs="Arial"/>
          <w:b w:val="0"/>
          <w:bCs w:val="0"/>
          <w:noProof/>
          <w:kern w:val="2"/>
          <w:sz w:val="22"/>
          <w:szCs w:val="22"/>
          <w:lang w:val="en-AU" w:eastAsia="en-GB"/>
          <w14:ligatures w14:val="standardContextual"/>
        </w:rPr>
      </w:pPr>
      <w:r w:rsidRPr="00473B94">
        <w:rPr>
          <w:rFonts w:ascii="Arial" w:hAnsi="Arial" w:cs="Arial"/>
          <w:b w:val="0"/>
          <w:bCs w:val="0"/>
          <w:noProof/>
          <w:spacing w:val="-2"/>
          <w:sz w:val="22"/>
          <w:szCs w:val="22"/>
        </w:rPr>
        <w:t>New</w:t>
      </w:r>
      <w:r w:rsidRPr="00473B94">
        <w:rPr>
          <w:rFonts w:ascii="Arial" w:hAnsi="Arial" w:cs="Arial"/>
          <w:b w:val="0"/>
          <w:bCs w:val="0"/>
          <w:noProof/>
          <w:spacing w:val="-17"/>
          <w:sz w:val="22"/>
          <w:szCs w:val="22"/>
        </w:rPr>
        <w:t xml:space="preserve"> </w:t>
      </w:r>
      <w:r w:rsidRPr="00473B94">
        <w:rPr>
          <w:rFonts w:ascii="Arial" w:hAnsi="Arial" w:cs="Arial"/>
          <w:b w:val="0"/>
          <w:bCs w:val="0"/>
          <w:noProof/>
          <w:spacing w:val="-2"/>
          <w:sz w:val="22"/>
          <w:szCs w:val="22"/>
        </w:rPr>
        <w:t>Strategic</w:t>
      </w:r>
      <w:r w:rsidRPr="00473B94">
        <w:rPr>
          <w:rFonts w:ascii="Arial" w:hAnsi="Arial" w:cs="Arial"/>
          <w:b w:val="0"/>
          <w:bCs w:val="0"/>
          <w:noProof/>
          <w:spacing w:val="-15"/>
          <w:sz w:val="22"/>
          <w:szCs w:val="22"/>
        </w:rPr>
        <w:t xml:space="preserve"> </w:t>
      </w:r>
      <w:r w:rsidRPr="00473B94">
        <w:rPr>
          <w:rFonts w:ascii="Arial" w:hAnsi="Arial" w:cs="Arial"/>
          <w:b w:val="0"/>
          <w:bCs w:val="0"/>
          <w:noProof/>
          <w:spacing w:val="-2"/>
          <w:sz w:val="22"/>
          <w:szCs w:val="22"/>
        </w:rPr>
        <w:t>Plan</w:t>
      </w:r>
      <w:r w:rsidRPr="00473B94">
        <w:rPr>
          <w:rFonts w:ascii="Arial" w:hAnsi="Arial" w:cs="Arial"/>
          <w:b w:val="0"/>
          <w:bCs w:val="0"/>
          <w:noProof/>
          <w:spacing w:val="-14"/>
          <w:sz w:val="22"/>
          <w:szCs w:val="22"/>
        </w:rPr>
        <w:t xml:space="preserve"> </w:t>
      </w:r>
      <w:r w:rsidRPr="00473B94">
        <w:rPr>
          <w:rFonts w:ascii="Arial" w:hAnsi="Arial" w:cs="Arial"/>
          <w:b w:val="0"/>
          <w:bCs w:val="0"/>
          <w:noProof/>
          <w:spacing w:val="-2"/>
          <w:sz w:val="22"/>
          <w:szCs w:val="22"/>
        </w:rPr>
        <w:t>2025–</w:t>
      </w:r>
      <w:r w:rsidRPr="00473B94">
        <w:rPr>
          <w:rFonts w:ascii="Arial" w:hAnsi="Arial" w:cs="Arial"/>
          <w:b w:val="0"/>
          <w:bCs w:val="0"/>
          <w:noProof/>
          <w:spacing w:val="-4"/>
          <w:sz w:val="22"/>
          <w:szCs w:val="22"/>
        </w:rPr>
        <w:t>2030</w:t>
      </w:r>
      <w:r w:rsidRPr="00473B94">
        <w:rPr>
          <w:rFonts w:ascii="Arial" w:hAnsi="Arial" w:cs="Arial"/>
          <w:b w:val="0"/>
          <w:bCs w:val="0"/>
          <w:noProof/>
          <w:sz w:val="22"/>
          <w:szCs w:val="22"/>
        </w:rPr>
        <w:tab/>
      </w:r>
      <w:r w:rsidRPr="00473B94">
        <w:rPr>
          <w:rFonts w:ascii="Arial" w:hAnsi="Arial" w:cs="Arial"/>
          <w:b w:val="0"/>
          <w:bCs w:val="0"/>
          <w:noProof/>
          <w:sz w:val="22"/>
          <w:szCs w:val="22"/>
        </w:rPr>
        <w:fldChar w:fldCharType="begin"/>
      </w:r>
      <w:r w:rsidRPr="00473B94">
        <w:rPr>
          <w:rFonts w:ascii="Arial" w:hAnsi="Arial" w:cs="Arial"/>
          <w:b w:val="0"/>
          <w:bCs w:val="0"/>
          <w:noProof/>
          <w:sz w:val="22"/>
          <w:szCs w:val="22"/>
        </w:rPr>
        <w:instrText xml:space="preserve"> PAGEREF _Toc243037266 \h </w:instrText>
      </w:r>
      <w:r w:rsidRPr="00473B94">
        <w:rPr>
          <w:rFonts w:ascii="Arial" w:hAnsi="Arial" w:cs="Arial"/>
          <w:b w:val="0"/>
          <w:bCs w:val="0"/>
          <w:noProof/>
          <w:sz w:val="22"/>
          <w:szCs w:val="22"/>
        </w:rPr>
      </w:r>
      <w:r w:rsidRPr="00473B94">
        <w:rPr>
          <w:rFonts w:ascii="Arial" w:hAnsi="Arial" w:cs="Arial"/>
          <w:b w:val="0"/>
          <w:bCs w:val="0"/>
          <w:noProof/>
          <w:sz w:val="22"/>
          <w:szCs w:val="22"/>
        </w:rPr>
        <w:fldChar w:fldCharType="separate"/>
      </w:r>
      <w:r w:rsidRPr="00473B94">
        <w:rPr>
          <w:rFonts w:ascii="Arial" w:hAnsi="Arial" w:cs="Arial"/>
          <w:b w:val="0"/>
          <w:bCs w:val="0"/>
          <w:noProof/>
          <w:sz w:val="22"/>
          <w:szCs w:val="22"/>
        </w:rPr>
        <w:t>10</w:t>
      </w:r>
      <w:r w:rsidRPr="00473B94">
        <w:rPr>
          <w:rFonts w:ascii="Arial" w:hAnsi="Arial" w:cs="Arial"/>
          <w:b w:val="0"/>
          <w:bCs w:val="0"/>
          <w:noProof/>
          <w:sz w:val="22"/>
          <w:szCs w:val="22"/>
        </w:rPr>
        <w:fldChar w:fldCharType="end"/>
      </w:r>
    </w:p>
    <w:p w14:paraId="2FBA3182" w14:textId="03CFBF19" w:rsidR="001160E8" w:rsidRPr="00473B94" w:rsidRDefault="001160E8" w:rsidP="00473B94">
      <w:pPr>
        <w:pStyle w:val="TOC1"/>
        <w:tabs>
          <w:tab w:val="right" w:pos="10484"/>
        </w:tabs>
        <w:spacing w:before="0"/>
        <w:rPr>
          <w:rFonts w:ascii="Arial" w:eastAsiaTheme="minorEastAsia" w:hAnsi="Arial" w:cs="Arial"/>
          <w:b w:val="0"/>
          <w:bCs w:val="0"/>
          <w:noProof/>
          <w:kern w:val="2"/>
          <w:sz w:val="22"/>
          <w:szCs w:val="22"/>
          <w:lang w:val="en-AU" w:eastAsia="en-GB"/>
          <w14:ligatures w14:val="standardContextual"/>
        </w:rPr>
      </w:pPr>
      <w:r w:rsidRPr="00473B94">
        <w:rPr>
          <w:rFonts w:ascii="Arial" w:hAnsi="Arial" w:cs="Arial"/>
          <w:b w:val="0"/>
          <w:bCs w:val="0"/>
          <w:noProof/>
          <w:sz w:val="22"/>
          <w:szCs w:val="22"/>
        </w:rPr>
        <w:t>Report</w:t>
      </w:r>
      <w:r w:rsidRPr="00473B94">
        <w:rPr>
          <w:rFonts w:ascii="Arial" w:hAnsi="Arial" w:cs="Arial"/>
          <w:b w:val="0"/>
          <w:bCs w:val="0"/>
          <w:noProof/>
          <w:spacing w:val="-23"/>
          <w:sz w:val="22"/>
          <w:szCs w:val="22"/>
        </w:rPr>
        <w:t xml:space="preserve"> </w:t>
      </w:r>
      <w:r w:rsidRPr="00473B94">
        <w:rPr>
          <w:rFonts w:ascii="Arial" w:hAnsi="Arial" w:cs="Arial"/>
          <w:b w:val="0"/>
          <w:bCs w:val="0"/>
          <w:noProof/>
          <w:sz w:val="22"/>
          <w:szCs w:val="22"/>
        </w:rPr>
        <w:t>from</w:t>
      </w:r>
      <w:r w:rsidRPr="00473B94">
        <w:rPr>
          <w:rFonts w:ascii="Arial" w:hAnsi="Arial" w:cs="Arial"/>
          <w:b w:val="0"/>
          <w:bCs w:val="0"/>
          <w:noProof/>
          <w:spacing w:val="-23"/>
          <w:sz w:val="22"/>
          <w:szCs w:val="22"/>
        </w:rPr>
        <w:t xml:space="preserve"> </w:t>
      </w:r>
      <w:r w:rsidRPr="00473B94">
        <w:rPr>
          <w:rFonts w:ascii="Arial" w:hAnsi="Arial" w:cs="Arial"/>
          <w:b w:val="0"/>
          <w:bCs w:val="0"/>
          <w:noProof/>
          <w:sz w:val="22"/>
          <w:szCs w:val="22"/>
        </w:rPr>
        <w:t>the</w:t>
      </w:r>
      <w:r w:rsidRPr="00473B94">
        <w:rPr>
          <w:rFonts w:ascii="Arial" w:hAnsi="Arial" w:cs="Arial"/>
          <w:b w:val="0"/>
          <w:bCs w:val="0"/>
          <w:noProof/>
          <w:spacing w:val="-23"/>
          <w:sz w:val="22"/>
          <w:szCs w:val="22"/>
        </w:rPr>
        <w:t xml:space="preserve"> </w:t>
      </w:r>
      <w:r w:rsidRPr="00473B94">
        <w:rPr>
          <w:rFonts w:ascii="Arial" w:hAnsi="Arial" w:cs="Arial"/>
          <w:b w:val="0"/>
          <w:bCs w:val="0"/>
          <w:noProof/>
          <w:spacing w:val="-4"/>
          <w:sz w:val="22"/>
          <w:szCs w:val="22"/>
        </w:rPr>
        <w:t>Chair</w:t>
      </w:r>
      <w:r w:rsidRPr="00473B94">
        <w:rPr>
          <w:rFonts w:ascii="Arial" w:hAnsi="Arial" w:cs="Arial"/>
          <w:b w:val="0"/>
          <w:bCs w:val="0"/>
          <w:noProof/>
          <w:sz w:val="22"/>
          <w:szCs w:val="22"/>
        </w:rPr>
        <w:tab/>
      </w:r>
      <w:r w:rsidRPr="00473B94">
        <w:rPr>
          <w:rFonts w:ascii="Arial" w:hAnsi="Arial" w:cs="Arial"/>
          <w:b w:val="0"/>
          <w:bCs w:val="0"/>
          <w:noProof/>
          <w:sz w:val="22"/>
          <w:szCs w:val="22"/>
        </w:rPr>
        <w:fldChar w:fldCharType="begin"/>
      </w:r>
      <w:r w:rsidRPr="00473B94">
        <w:rPr>
          <w:rFonts w:ascii="Arial" w:hAnsi="Arial" w:cs="Arial"/>
          <w:b w:val="0"/>
          <w:bCs w:val="0"/>
          <w:noProof/>
          <w:sz w:val="22"/>
          <w:szCs w:val="22"/>
        </w:rPr>
        <w:instrText xml:space="preserve"> PAGEREF _Toc243037267 \h </w:instrText>
      </w:r>
      <w:r w:rsidRPr="00473B94">
        <w:rPr>
          <w:rFonts w:ascii="Arial" w:hAnsi="Arial" w:cs="Arial"/>
          <w:b w:val="0"/>
          <w:bCs w:val="0"/>
          <w:noProof/>
          <w:sz w:val="22"/>
          <w:szCs w:val="22"/>
        </w:rPr>
      </w:r>
      <w:r w:rsidRPr="00473B94">
        <w:rPr>
          <w:rFonts w:ascii="Arial" w:hAnsi="Arial" w:cs="Arial"/>
          <w:b w:val="0"/>
          <w:bCs w:val="0"/>
          <w:noProof/>
          <w:sz w:val="22"/>
          <w:szCs w:val="22"/>
        </w:rPr>
        <w:fldChar w:fldCharType="separate"/>
      </w:r>
      <w:r w:rsidRPr="00473B94">
        <w:rPr>
          <w:rFonts w:ascii="Arial" w:hAnsi="Arial" w:cs="Arial"/>
          <w:b w:val="0"/>
          <w:bCs w:val="0"/>
          <w:noProof/>
          <w:sz w:val="22"/>
          <w:szCs w:val="22"/>
        </w:rPr>
        <w:t>12</w:t>
      </w:r>
      <w:r w:rsidRPr="00473B94">
        <w:rPr>
          <w:rFonts w:ascii="Arial" w:hAnsi="Arial" w:cs="Arial"/>
          <w:b w:val="0"/>
          <w:bCs w:val="0"/>
          <w:noProof/>
          <w:sz w:val="22"/>
          <w:szCs w:val="22"/>
        </w:rPr>
        <w:fldChar w:fldCharType="end"/>
      </w:r>
    </w:p>
    <w:p w14:paraId="150A0A77" w14:textId="42A5C3E9" w:rsidR="001160E8" w:rsidRPr="00473B94" w:rsidRDefault="001160E8" w:rsidP="00473B94">
      <w:pPr>
        <w:pStyle w:val="TOC1"/>
        <w:tabs>
          <w:tab w:val="right" w:pos="10484"/>
        </w:tabs>
        <w:spacing w:before="0"/>
        <w:rPr>
          <w:rFonts w:ascii="Arial" w:eastAsiaTheme="minorEastAsia" w:hAnsi="Arial" w:cs="Arial"/>
          <w:b w:val="0"/>
          <w:bCs w:val="0"/>
          <w:noProof/>
          <w:kern w:val="2"/>
          <w:sz w:val="22"/>
          <w:szCs w:val="22"/>
          <w:lang w:val="en-AU" w:eastAsia="en-GB"/>
          <w14:ligatures w14:val="standardContextual"/>
        </w:rPr>
      </w:pPr>
      <w:r w:rsidRPr="00473B94">
        <w:rPr>
          <w:rFonts w:ascii="Arial" w:hAnsi="Arial" w:cs="Arial"/>
          <w:b w:val="0"/>
          <w:bCs w:val="0"/>
          <w:noProof/>
          <w:spacing w:val="-2"/>
          <w:sz w:val="22"/>
          <w:szCs w:val="22"/>
        </w:rPr>
        <w:t>Report</w:t>
      </w:r>
      <w:r w:rsidRPr="00473B94">
        <w:rPr>
          <w:rFonts w:ascii="Arial" w:hAnsi="Arial" w:cs="Arial"/>
          <w:b w:val="0"/>
          <w:bCs w:val="0"/>
          <w:noProof/>
          <w:spacing w:val="-20"/>
          <w:sz w:val="22"/>
          <w:szCs w:val="22"/>
        </w:rPr>
        <w:t xml:space="preserve"> </w:t>
      </w:r>
      <w:r w:rsidRPr="00473B94">
        <w:rPr>
          <w:rFonts w:ascii="Arial" w:hAnsi="Arial" w:cs="Arial"/>
          <w:b w:val="0"/>
          <w:bCs w:val="0"/>
          <w:noProof/>
          <w:spacing w:val="-2"/>
          <w:sz w:val="22"/>
          <w:szCs w:val="22"/>
        </w:rPr>
        <w:t>from</w:t>
      </w:r>
      <w:r w:rsidRPr="00473B94">
        <w:rPr>
          <w:rFonts w:ascii="Arial" w:hAnsi="Arial" w:cs="Arial"/>
          <w:b w:val="0"/>
          <w:bCs w:val="0"/>
          <w:noProof/>
          <w:spacing w:val="-18"/>
          <w:sz w:val="22"/>
          <w:szCs w:val="22"/>
        </w:rPr>
        <w:t xml:space="preserve"> </w:t>
      </w:r>
      <w:r w:rsidRPr="00473B94">
        <w:rPr>
          <w:rFonts w:ascii="Arial" w:hAnsi="Arial" w:cs="Arial"/>
          <w:b w:val="0"/>
          <w:bCs w:val="0"/>
          <w:noProof/>
          <w:spacing w:val="-2"/>
          <w:sz w:val="22"/>
          <w:szCs w:val="22"/>
        </w:rPr>
        <w:t>the</w:t>
      </w:r>
      <w:r w:rsidRPr="00473B94">
        <w:rPr>
          <w:rFonts w:ascii="Arial" w:hAnsi="Arial" w:cs="Arial"/>
          <w:b w:val="0"/>
          <w:bCs w:val="0"/>
          <w:noProof/>
          <w:spacing w:val="-18"/>
          <w:sz w:val="22"/>
          <w:szCs w:val="22"/>
        </w:rPr>
        <w:t xml:space="preserve"> </w:t>
      </w:r>
      <w:r w:rsidRPr="00473B94">
        <w:rPr>
          <w:rFonts w:ascii="Arial" w:hAnsi="Arial" w:cs="Arial"/>
          <w:b w:val="0"/>
          <w:bCs w:val="0"/>
          <w:noProof/>
          <w:spacing w:val="-2"/>
          <w:sz w:val="22"/>
          <w:szCs w:val="22"/>
        </w:rPr>
        <w:t>Chief</w:t>
      </w:r>
      <w:r w:rsidRPr="00473B94">
        <w:rPr>
          <w:rFonts w:ascii="Arial" w:hAnsi="Arial" w:cs="Arial"/>
          <w:b w:val="0"/>
          <w:bCs w:val="0"/>
          <w:noProof/>
          <w:spacing w:val="-18"/>
          <w:sz w:val="22"/>
          <w:szCs w:val="22"/>
        </w:rPr>
        <w:t xml:space="preserve"> </w:t>
      </w:r>
      <w:r w:rsidRPr="00473B94">
        <w:rPr>
          <w:rFonts w:ascii="Arial" w:hAnsi="Arial" w:cs="Arial"/>
          <w:b w:val="0"/>
          <w:bCs w:val="0"/>
          <w:noProof/>
          <w:spacing w:val="-2"/>
          <w:sz w:val="22"/>
          <w:szCs w:val="22"/>
        </w:rPr>
        <w:t>Executive</w:t>
      </w:r>
      <w:r w:rsidRPr="00473B94">
        <w:rPr>
          <w:rFonts w:ascii="Arial" w:hAnsi="Arial" w:cs="Arial"/>
          <w:b w:val="0"/>
          <w:bCs w:val="0"/>
          <w:noProof/>
          <w:spacing w:val="-18"/>
          <w:sz w:val="22"/>
          <w:szCs w:val="22"/>
        </w:rPr>
        <w:t xml:space="preserve"> </w:t>
      </w:r>
      <w:r w:rsidRPr="00473B94">
        <w:rPr>
          <w:rFonts w:ascii="Arial" w:hAnsi="Arial" w:cs="Arial"/>
          <w:b w:val="0"/>
          <w:bCs w:val="0"/>
          <w:noProof/>
          <w:spacing w:val="-2"/>
          <w:sz w:val="22"/>
          <w:szCs w:val="22"/>
        </w:rPr>
        <w:t>Officer</w:t>
      </w:r>
      <w:r w:rsidRPr="00473B94">
        <w:rPr>
          <w:rFonts w:ascii="Arial" w:hAnsi="Arial" w:cs="Arial"/>
          <w:b w:val="0"/>
          <w:bCs w:val="0"/>
          <w:noProof/>
          <w:sz w:val="22"/>
          <w:szCs w:val="22"/>
        </w:rPr>
        <w:tab/>
      </w:r>
      <w:r w:rsidRPr="00473B94">
        <w:rPr>
          <w:rFonts w:ascii="Arial" w:hAnsi="Arial" w:cs="Arial"/>
          <w:b w:val="0"/>
          <w:bCs w:val="0"/>
          <w:noProof/>
          <w:sz w:val="22"/>
          <w:szCs w:val="22"/>
        </w:rPr>
        <w:fldChar w:fldCharType="begin"/>
      </w:r>
      <w:r w:rsidRPr="00473B94">
        <w:rPr>
          <w:rFonts w:ascii="Arial" w:hAnsi="Arial" w:cs="Arial"/>
          <w:b w:val="0"/>
          <w:bCs w:val="0"/>
          <w:noProof/>
          <w:sz w:val="22"/>
          <w:szCs w:val="22"/>
        </w:rPr>
        <w:instrText xml:space="preserve"> PAGEREF _Toc243037268 \h </w:instrText>
      </w:r>
      <w:r w:rsidRPr="00473B94">
        <w:rPr>
          <w:rFonts w:ascii="Arial" w:hAnsi="Arial" w:cs="Arial"/>
          <w:b w:val="0"/>
          <w:bCs w:val="0"/>
          <w:noProof/>
          <w:sz w:val="22"/>
          <w:szCs w:val="22"/>
        </w:rPr>
      </w:r>
      <w:r w:rsidRPr="00473B94">
        <w:rPr>
          <w:rFonts w:ascii="Arial" w:hAnsi="Arial" w:cs="Arial"/>
          <w:b w:val="0"/>
          <w:bCs w:val="0"/>
          <w:noProof/>
          <w:sz w:val="22"/>
          <w:szCs w:val="22"/>
        </w:rPr>
        <w:fldChar w:fldCharType="separate"/>
      </w:r>
      <w:r w:rsidRPr="00473B94">
        <w:rPr>
          <w:rFonts w:ascii="Arial" w:hAnsi="Arial" w:cs="Arial"/>
          <w:b w:val="0"/>
          <w:bCs w:val="0"/>
          <w:noProof/>
          <w:sz w:val="22"/>
          <w:szCs w:val="22"/>
        </w:rPr>
        <w:t>13</w:t>
      </w:r>
      <w:r w:rsidRPr="00473B94">
        <w:rPr>
          <w:rFonts w:ascii="Arial" w:hAnsi="Arial" w:cs="Arial"/>
          <w:b w:val="0"/>
          <w:bCs w:val="0"/>
          <w:noProof/>
          <w:sz w:val="22"/>
          <w:szCs w:val="22"/>
        </w:rPr>
        <w:fldChar w:fldCharType="end"/>
      </w:r>
    </w:p>
    <w:p w14:paraId="3D404096" w14:textId="457DAC68" w:rsidR="001160E8" w:rsidRPr="00473B94" w:rsidRDefault="001160E8" w:rsidP="00473B94">
      <w:pPr>
        <w:pStyle w:val="TOC1"/>
        <w:tabs>
          <w:tab w:val="right" w:pos="10484"/>
        </w:tabs>
        <w:spacing w:before="0"/>
        <w:rPr>
          <w:rFonts w:ascii="Arial" w:eastAsiaTheme="minorEastAsia" w:hAnsi="Arial" w:cs="Arial"/>
          <w:b w:val="0"/>
          <w:bCs w:val="0"/>
          <w:noProof/>
          <w:kern w:val="2"/>
          <w:sz w:val="22"/>
          <w:szCs w:val="22"/>
          <w:lang w:val="en-AU" w:eastAsia="en-GB"/>
          <w14:ligatures w14:val="standardContextual"/>
        </w:rPr>
      </w:pPr>
      <w:r w:rsidRPr="00473B94">
        <w:rPr>
          <w:rFonts w:ascii="Arial" w:hAnsi="Arial" w:cs="Arial"/>
          <w:b w:val="0"/>
          <w:bCs w:val="0"/>
          <w:noProof/>
          <w:spacing w:val="-2"/>
          <w:sz w:val="22"/>
          <w:szCs w:val="22"/>
        </w:rPr>
        <w:t>First</w:t>
      </w:r>
      <w:r w:rsidRPr="00473B94">
        <w:rPr>
          <w:rFonts w:ascii="Arial" w:hAnsi="Arial" w:cs="Arial"/>
          <w:b w:val="0"/>
          <w:bCs w:val="0"/>
          <w:noProof/>
          <w:spacing w:val="-24"/>
          <w:sz w:val="22"/>
          <w:szCs w:val="22"/>
        </w:rPr>
        <w:t xml:space="preserve"> </w:t>
      </w:r>
      <w:r w:rsidRPr="00473B94">
        <w:rPr>
          <w:rFonts w:ascii="Arial" w:hAnsi="Arial" w:cs="Arial"/>
          <w:b w:val="0"/>
          <w:bCs w:val="0"/>
          <w:noProof/>
          <w:spacing w:val="-2"/>
          <w:sz w:val="22"/>
          <w:szCs w:val="22"/>
        </w:rPr>
        <w:t>Nations</w:t>
      </w:r>
      <w:r w:rsidRPr="00473B94">
        <w:rPr>
          <w:rFonts w:ascii="Arial" w:hAnsi="Arial" w:cs="Arial"/>
          <w:b w:val="0"/>
          <w:bCs w:val="0"/>
          <w:noProof/>
          <w:spacing w:val="-22"/>
          <w:sz w:val="22"/>
          <w:szCs w:val="22"/>
        </w:rPr>
        <w:t xml:space="preserve"> </w:t>
      </w:r>
      <w:r w:rsidRPr="00473B94">
        <w:rPr>
          <w:rFonts w:ascii="Arial" w:hAnsi="Arial" w:cs="Arial"/>
          <w:b w:val="0"/>
          <w:bCs w:val="0"/>
          <w:noProof/>
          <w:spacing w:val="-2"/>
          <w:sz w:val="22"/>
          <w:szCs w:val="22"/>
        </w:rPr>
        <w:t>people’s</w:t>
      </w:r>
      <w:r w:rsidRPr="00473B94">
        <w:rPr>
          <w:rFonts w:ascii="Arial" w:hAnsi="Arial" w:cs="Arial"/>
          <w:b w:val="0"/>
          <w:bCs w:val="0"/>
          <w:noProof/>
          <w:spacing w:val="-22"/>
          <w:sz w:val="22"/>
          <w:szCs w:val="22"/>
        </w:rPr>
        <w:t xml:space="preserve"> </w:t>
      </w:r>
      <w:r w:rsidRPr="00473B94">
        <w:rPr>
          <w:rFonts w:ascii="Arial" w:hAnsi="Arial" w:cs="Arial"/>
          <w:b w:val="0"/>
          <w:bCs w:val="0"/>
          <w:noProof/>
          <w:spacing w:val="-2"/>
          <w:sz w:val="22"/>
          <w:szCs w:val="22"/>
        </w:rPr>
        <w:t>health</w:t>
      </w:r>
      <w:r w:rsidRPr="00473B94">
        <w:rPr>
          <w:rFonts w:ascii="Arial" w:hAnsi="Arial" w:cs="Arial"/>
          <w:b w:val="0"/>
          <w:bCs w:val="0"/>
          <w:noProof/>
          <w:spacing w:val="-22"/>
          <w:sz w:val="22"/>
          <w:szCs w:val="22"/>
        </w:rPr>
        <w:t xml:space="preserve"> </w:t>
      </w:r>
      <w:r w:rsidRPr="00473B94">
        <w:rPr>
          <w:rFonts w:ascii="Arial" w:hAnsi="Arial" w:cs="Arial"/>
          <w:b w:val="0"/>
          <w:bCs w:val="0"/>
          <w:noProof/>
          <w:spacing w:val="-2"/>
          <w:sz w:val="22"/>
          <w:szCs w:val="22"/>
        </w:rPr>
        <w:t>and</w:t>
      </w:r>
      <w:r w:rsidRPr="00473B94">
        <w:rPr>
          <w:rFonts w:ascii="Arial" w:hAnsi="Arial" w:cs="Arial"/>
          <w:b w:val="0"/>
          <w:bCs w:val="0"/>
          <w:noProof/>
          <w:spacing w:val="-22"/>
          <w:sz w:val="22"/>
          <w:szCs w:val="22"/>
        </w:rPr>
        <w:t xml:space="preserve"> </w:t>
      </w:r>
      <w:r w:rsidRPr="00473B94">
        <w:rPr>
          <w:rFonts w:ascii="Arial" w:hAnsi="Arial" w:cs="Arial"/>
          <w:b w:val="0"/>
          <w:bCs w:val="0"/>
          <w:noProof/>
          <w:spacing w:val="-2"/>
          <w:sz w:val="22"/>
          <w:szCs w:val="22"/>
        </w:rPr>
        <w:t>reconciliation</w:t>
      </w:r>
      <w:r w:rsidRPr="00473B94">
        <w:rPr>
          <w:rFonts w:ascii="Arial" w:hAnsi="Arial" w:cs="Arial"/>
          <w:b w:val="0"/>
          <w:bCs w:val="0"/>
          <w:noProof/>
          <w:sz w:val="22"/>
          <w:szCs w:val="22"/>
        </w:rPr>
        <w:tab/>
      </w:r>
      <w:r w:rsidRPr="00473B94">
        <w:rPr>
          <w:rFonts w:ascii="Arial" w:hAnsi="Arial" w:cs="Arial"/>
          <w:b w:val="0"/>
          <w:bCs w:val="0"/>
          <w:noProof/>
          <w:sz w:val="22"/>
          <w:szCs w:val="22"/>
        </w:rPr>
        <w:fldChar w:fldCharType="begin"/>
      </w:r>
      <w:r w:rsidRPr="00473B94">
        <w:rPr>
          <w:rFonts w:ascii="Arial" w:hAnsi="Arial" w:cs="Arial"/>
          <w:b w:val="0"/>
          <w:bCs w:val="0"/>
          <w:noProof/>
          <w:sz w:val="22"/>
          <w:szCs w:val="22"/>
        </w:rPr>
        <w:instrText xml:space="preserve"> PAGEREF _Toc243037269 \h </w:instrText>
      </w:r>
      <w:r w:rsidRPr="00473B94">
        <w:rPr>
          <w:rFonts w:ascii="Arial" w:hAnsi="Arial" w:cs="Arial"/>
          <w:b w:val="0"/>
          <w:bCs w:val="0"/>
          <w:noProof/>
          <w:sz w:val="22"/>
          <w:szCs w:val="22"/>
        </w:rPr>
      </w:r>
      <w:r w:rsidRPr="00473B94">
        <w:rPr>
          <w:rFonts w:ascii="Arial" w:hAnsi="Arial" w:cs="Arial"/>
          <w:b w:val="0"/>
          <w:bCs w:val="0"/>
          <w:noProof/>
          <w:sz w:val="22"/>
          <w:szCs w:val="22"/>
        </w:rPr>
        <w:fldChar w:fldCharType="separate"/>
      </w:r>
      <w:r w:rsidRPr="00473B94">
        <w:rPr>
          <w:rFonts w:ascii="Arial" w:hAnsi="Arial" w:cs="Arial"/>
          <w:b w:val="0"/>
          <w:bCs w:val="0"/>
          <w:noProof/>
          <w:sz w:val="22"/>
          <w:szCs w:val="22"/>
        </w:rPr>
        <w:t>14</w:t>
      </w:r>
      <w:r w:rsidRPr="00473B94">
        <w:rPr>
          <w:rFonts w:ascii="Arial" w:hAnsi="Arial" w:cs="Arial"/>
          <w:b w:val="0"/>
          <w:bCs w:val="0"/>
          <w:noProof/>
          <w:sz w:val="22"/>
          <w:szCs w:val="22"/>
        </w:rPr>
        <w:fldChar w:fldCharType="end"/>
      </w:r>
    </w:p>
    <w:p w14:paraId="64FA8DA9" w14:textId="5A16735C" w:rsidR="001160E8" w:rsidRPr="00473B94" w:rsidRDefault="001160E8" w:rsidP="00473B94">
      <w:pPr>
        <w:pStyle w:val="TOC1"/>
        <w:tabs>
          <w:tab w:val="right" w:pos="10484"/>
        </w:tabs>
        <w:spacing w:before="0"/>
        <w:rPr>
          <w:rFonts w:ascii="Arial" w:eastAsiaTheme="minorEastAsia" w:hAnsi="Arial" w:cs="Arial"/>
          <w:b w:val="0"/>
          <w:bCs w:val="0"/>
          <w:noProof/>
          <w:kern w:val="2"/>
          <w:sz w:val="22"/>
          <w:szCs w:val="22"/>
          <w:lang w:val="en-AU" w:eastAsia="en-GB"/>
          <w14:ligatures w14:val="standardContextual"/>
        </w:rPr>
      </w:pPr>
      <w:r w:rsidRPr="00473B94">
        <w:rPr>
          <w:rFonts w:ascii="Arial" w:hAnsi="Arial" w:cs="Arial"/>
          <w:b w:val="0"/>
          <w:bCs w:val="0"/>
          <w:noProof/>
          <w:spacing w:val="-2"/>
          <w:sz w:val="22"/>
          <w:szCs w:val="22"/>
        </w:rPr>
        <w:t>Working</w:t>
      </w:r>
      <w:r w:rsidRPr="00473B94">
        <w:rPr>
          <w:rFonts w:ascii="Arial" w:hAnsi="Arial" w:cs="Arial"/>
          <w:b w:val="0"/>
          <w:bCs w:val="0"/>
          <w:noProof/>
          <w:spacing w:val="-20"/>
          <w:sz w:val="22"/>
          <w:szCs w:val="22"/>
        </w:rPr>
        <w:t xml:space="preserve"> </w:t>
      </w:r>
      <w:r w:rsidRPr="00473B94">
        <w:rPr>
          <w:rFonts w:ascii="Arial" w:hAnsi="Arial" w:cs="Arial"/>
          <w:b w:val="0"/>
          <w:bCs w:val="0"/>
          <w:noProof/>
          <w:spacing w:val="-2"/>
          <w:sz w:val="22"/>
          <w:szCs w:val="22"/>
        </w:rPr>
        <w:t>across</w:t>
      </w:r>
      <w:r w:rsidRPr="00473B94">
        <w:rPr>
          <w:rFonts w:ascii="Arial" w:hAnsi="Arial" w:cs="Arial"/>
          <w:b w:val="0"/>
          <w:bCs w:val="0"/>
          <w:noProof/>
          <w:spacing w:val="-19"/>
          <w:sz w:val="22"/>
          <w:szCs w:val="22"/>
        </w:rPr>
        <w:t xml:space="preserve"> </w:t>
      </w:r>
      <w:r w:rsidRPr="00473B94">
        <w:rPr>
          <w:rFonts w:ascii="Arial" w:hAnsi="Arial" w:cs="Arial"/>
          <w:b w:val="0"/>
          <w:bCs w:val="0"/>
          <w:noProof/>
          <w:spacing w:val="-2"/>
          <w:sz w:val="22"/>
          <w:szCs w:val="22"/>
        </w:rPr>
        <w:t>health</w:t>
      </w:r>
      <w:r w:rsidRPr="00473B94">
        <w:rPr>
          <w:rFonts w:ascii="Arial" w:hAnsi="Arial" w:cs="Arial"/>
          <w:b w:val="0"/>
          <w:bCs w:val="0"/>
          <w:noProof/>
          <w:spacing w:val="-19"/>
          <w:sz w:val="22"/>
          <w:szCs w:val="22"/>
        </w:rPr>
        <w:t xml:space="preserve"> </w:t>
      </w:r>
      <w:r w:rsidRPr="00473B94">
        <w:rPr>
          <w:rFonts w:ascii="Arial" w:hAnsi="Arial" w:cs="Arial"/>
          <w:b w:val="0"/>
          <w:bCs w:val="0"/>
          <w:noProof/>
          <w:spacing w:val="-4"/>
          <w:sz w:val="22"/>
          <w:szCs w:val="22"/>
        </w:rPr>
        <w:t>care</w:t>
      </w:r>
      <w:r w:rsidRPr="00473B94">
        <w:rPr>
          <w:rFonts w:ascii="Arial" w:hAnsi="Arial" w:cs="Arial"/>
          <w:b w:val="0"/>
          <w:bCs w:val="0"/>
          <w:noProof/>
          <w:sz w:val="22"/>
          <w:szCs w:val="22"/>
        </w:rPr>
        <w:tab/>
      </w:r>
      <w:r w:rsidRPr="00473B94">
        <w:rPr>
          <w:rFonts w:ascii="Arial" w:hAnsi="Arial" w:cs="Arial"/>
          <w:b w:val="0"/>
          <w:bCs w:val="0"/>
          <w:noProof/>
          <w:sz w:val="22"/>
          <w:szCs w:val="22"/>
        </w:rPr>
        <w:fldChar w:fldCharType="begin"/>
      </w:r>
      <w:r w:rsidRPr="00473B94">
        <w:rPr>
          <w:rFonts w:ascii="Arial" w:hAnsi="Arial" w:cs="Arial"/>
          <w:b w:val="0"/>
          <w:bCs w:val="0"/>
          <w:noProof/>
          <w:sz w:val="22"/>
          <w:szCs w:val="22"/>
        </w:rPr>
        <w:instrText xml:space="preserve"> PAGEREF _Toc243037270 \h </w:instrText>
      </w:r>
      <w:r w:rsidRPr="00473B94">
        <w:rPr>
          <w:rFonts w:ascii="Arial" w:hAnsi="Arial" w:cs="Arial"/>
          <w:b w:val="0"/>
          <w:bCs w:val="0"/>
          <w:noProof/>
          <w:sz w:val="22"/>
          <w:szCs w:val="22"/>
        </w:rPr>
      </w:r>
      <w:r w:rsidRPr="00473B94">
        <w:rPr>
          <w:rFonts w:ascii="Arial" w:hAnsi="Arial" w:cs="Arial"/>
          <w:b w:val="0"/>
          <w:bCs w:val="0"/>
          <w:noProof/>
          <w:sz w:val="22"/>
          <w:szCs w:val="22"/>
        </w:rPr>
        <w:fldChar w:fldCharType="separate"/>
      </w:r>
      <w:r w:rsidRPr="00473B94">
        <w:rPr>
          <w:rFonts w:ascii="Arial" w:hAnsi="Arial" w:cs="Arial"/>
          <w:b w:val="0"/>
          <w:bCs w:val="0"/>
          <w:noProof/>
          <w:sz w:val="22"/>
          <w:szCs w:val="22"/>
        </w:rPr>
        <w:t>15</w:t>
      </w:r>
      <w:r w:rsidRPr="00473B94">
        <w:rPr>
          <w:rFonts w:ascii="Arial" w:hAnsi="Arial" w:cs="Arial"/>
          <w:b w:val="0"/>
          <w:bCs w:val="0"/>
          <w:noProof/>
          <w:sz w:val="22"/>
          <w:szCs w:val="22"/>
        </w:rPr>
        <w:fldChar w:fldCharType="end"/>
      </w:r>
    </w:p>
    <w:p w14:paraId="7B197E0F" w14:textId="082373F0" w:rsidR="001160E8" w:rsidRPr="00473B94" w:rsidRDefault="001160E8" w:rsidP="00473B94">
      <w:pPr>
        <w:pStyle w:val="TOC1"/>
        <w:tabs>
          <w:tab w:val="right" w:pos="10484"/>
        </w:tabs>
        <w:spacing w:before="0"/>
        <w:rPr>
          <w:rFonts w:ascii="Arial" w:eastAsiaTheme="minorEastAsia" w:hAnsi="Arial" w:cs="Arial"/>
          <w:b w:val="0"/>
          <w:bCs w:val="0"/>
          <w:noProof/>
          <w:kern w:val="2"/>
          <w:sz w:val="22"/>
          <w:szCs w:val="22"/>
          <w:lang w:val="en-AU" w:eastAsia="en-GB"/>
          <w14:ligatures w14:val="standardContextual"/>
        </w:rPr>
      </w:pPr>
      <w:r w:rsidRPr="00473B94">
        <w:rPr>
          <w:rFonts w:ascii="Arial" w:hAnsi="Arial" w:cs="Arial"/>
          <w:b w:val="0"/>
          <w:bCs w:val="0"/>
          <w:noProof/>
          <w:spacing w:val="-2"/>
          <w:sz w:val="22"/>
          <w:szCs w:val="22"/>
        </w:rPr>
        <w:t>International</w:t>
      </w:r>
      <w:r w:rsidRPr="00473B94">
        <w:rPr>
          <w:rFonts w:ascii="Arial" w:hAnsi="Arial" w:cs="Arial"/>
          <w:b w:val="0"/>
          <w:bCs w:val="0"/>
          <w:noProof/>
          <w:spacing w:val="-7"/>
          <w:sz w:val="22"/>
          <w:szCs w:val="22"/>
        </w:rPr>
        <w:t xml:space="preserve"> </w:t>
      </w:r>
      <w:r w:rsidRPr="00473B94">
        <w:rPr>
          <w:rFonts w:ascii="Arial" w:hAnsi="Arial" w:cs="Arial"/>
          <w:b w:val="0"/>
          <w:bCs w:val="0"/>
          <w:noProof/>
          <w:spacing w:val="-2"/>
          <w:sz w:val="22"/>
          <w:szCs w:val="22"/>
        </w:rPr>
        <w:t>engagement</w:t>
      </w:r>
      <w:r w:rsidRPr="00473B94">
        <w:rPr>
          <w:rFonts w:ascii="Arial" w:hAnsi="Arial" w:cs="Arial"/>
          <w:b w:val="0"/>
          <w:bCs w:val="0"/>
          <w:noProof/>
          <w:sz w:val="22"/>
          <w:szCs w:val="22"/>
        </w:rPr>
        <w:tab/>
      </w:r>
      <w:r w:rsidRPr="00473B94">
        <w:rPr>
          <w:rFonts w:ascii="Arial" w:hAnsi="Arial" w:cs="Arial"/>
          <w:b w:val="0"/>
          <w:bCs w:val="0"/>
          <w:noProof/>
          <w:sz w:val="22"/>
          <w:szCs w:val="22"/>
        </w:rPr>
        <w:fldChar w:fldCharType="begin"/>
      </w:r>
      <w:r w:rsidRPr="00473B94">
        <w:rPr>
          <w:rFonts w:ascii="Arial" w:hAnsi="Arial" w:cs="Arial"/>
          <w:b w:val="0"/>
          <w:bCs w:val="0"/>
          <w:noProof/>
          <w:sz w:val="22"/>
          <w:szCs w:val="22"/>
        </w:rPr>
        <w:instrText xml:space="preserve"> PAGEREF _Toc243037271 \h </w:instrText>
      </w:r>
      <w:r w:rsidRPr="00473B94">
        <w:rPr>
          <w:rFonts w:ascii="Arial" w:hAnsi="Arial" w:cs="Arial"/>
          <w:b w:val="0"/>
          <w:bCs w:val="0"/>
          <w:noProof/>
          <w:sz w:val="22"/>
          <w:szCs w:val="22"/>
        </w:rPr>
      </w:r>
      <w:r w:rsidRPr="00473B94">
        <w:rPr>
          <w:rFonts w:ascii="Arial" w:hAnsi="Arial" w:cs="Arial"/>
          <w:b w:val="0"/>
          <w:bCs w:val="0"/>
          <w:noProof/>
          <w:sz w:val="22"/>
          <w:szCs w:val="22"/>
        </w:rPr>
        <w:fldChar w:fldCharType="separate"/>
      </w:r>
      <w:r w:rsidRPr="00473B94">
        <w:rPr>
          <w:rFonts w:ascii="Arial" w:hAnsi="Arial" w:cs="Arial"/>
          <w:b w:val="0"/>
          <w:bCs w:val="0"/>
          <w:noProof/>
          <w:sz w:val="22"/>
          <w:szCs w:val="22"/>
        </w:rPr>
        <w:t>17</w:t>
      </w:r>
      <w:r w:rsidRPr="00473B94">
        <w:rPr>
          <w:rFonts w:ascii="Arial" w:hAnsi="Arial" w:cs="Arial"/>
          <w:b w:val="0"/>
          <w:bCs w:val="0"/>
          <w:noProof/>
          <w:sz w:val="22"/>
          <w:szCs w:val="22"/>
        </w:rPr>
        <w:fldChar w:fldCharType="end"/>
      </w:r>
    </w:p>
    <w:p w14:paraId="1C05F458" w14:textId="138FA421" w:rsidR="001160E8" w:rsidRPr="00473B94" w:rsidRDefault="001160E8" w:rsidP="00473B94">
      <w:pPr>
        <w:pStyle w:val="TOC1"/>
        <w:tabs>
          <w:tab w:val="right" w:pos="10484"/>
        </w:tabs>
        <w:spacing w:before="0"/>
        <w:rPr>
          <w:rFonts w:ascii="Arial" w:eastAsiaTheme="minorEastAsia" w:hAnsi="Arial" w:cs="Arial"/>
          <w:b w:val="0"/>
          <w:bCs w:val="0"/>
          <w:noProof/>
          <w:kern w:val="2"/>
          <w:sz w:val="22"/>
          <w:szCs w:val="22"/>
          <w:lang w:val="en-AU" w:eastAsia="en-GB"/>
          <w14:ligatures w14:val="standardContextual"/>
        </w:rPr>
      </w:pPr>
      <w:r w:rsidRPr="00473B94">
        <w:rPr>
          <w:rFonts w:ascii="Arial" w:hAnsi="Arial" w:cs="Arial"/>
          <w:b w:val="0"/>
          <w:bCs w:val="0"/>
          <w:noProof/>
          <w:spacing w:val="-2"/>
          <w:sz w:val="22"/>
          <w:szCs w:val="22"/>
        </w:rPr>
        <w:t>National</w:t>
      </w:r>
      <w:r w:rsidRPr="00473B94">
        <w:rPr>
          <w:rFonts w:ascii="Arial" w:hAnsi="Arial" w:cs="Arial"/>
          <w:b w:val="0"/>
          <w:bCs w:val="0"/>
          <w:noProof/>
          <w:spacing w:val="-18"/>
          <w:sz w:val="22"/>
          <w:szCs w:val="22"/>
        </w:rPr>
        <w:t xml:space="preserve"> </w:t>
      </w:r>
      <w:r w:rsidRPr="00473B94">
        <w:rPr>
          <w:rFonts w:ascii="Arial" w:hAnsi="Arial" w:cs="Arial"/>
          <w:b w:val="0"/>
          <w:bCs w:val="0"/>
          <w:noProof/>
          <w:spacing w:val="-2"/>
          <w:sz w:val="22"/>
          <w:szCs w:val="22"/>
        </w:rPr>
        <w:t>Health</w:t>
      </w:r>
      <w:r w:rsidRPr="00473B94">
        <w:rPr>
          <w:rFonts w:ascii="Arial" w:hAnsi="Arial" w:cs="Arial"/>
          <w:b w:val="0"/>
          <w:bCs w:val="0"/>
          <w:noProof/>
          <w:spacing w:val="-15"/>
          <w:sz w:val="22"/>
          <w:szCs w:val="22"/>
        </w:rPr>
        <w:t xml:space="preserve"> </w:t>
      </w:r>
      <w:r w:rsidRPr="00473B94">
        <w:rPr>
          <w:rFonts w:ascii="Arial" w:hAnsi="Arial" w:cs="Arial"/>
          <w:b w:val="0"/>
          <w:bCs w:val="0"/>
          <w:noProof/>
          <w:spacing w:val="-2"/>
          <w:sz w:val="22"/>
          <w:szCs w:val="22"/>
        </w:rPr>
        <w:t>Reform</w:t>
      </w:r>
      <w:r w:rsidRPr="00473B94">
        <w:rPr>
          <w:rFonts w:ascii="Arial" w:hAnsi="Arial" w:cs="Arial"/>
          <w:b w:val="0"/>
          <w:bCs w:val="0"/>
          <w:noProof/>
          <w:spacing w:val="-15"/>
          <w:sz w:val="22"/>
          <w:szCs w:val="22"/>
        </w:rPr>
        <w:t xml:space="preserve"> </w:t>
      </w:r>
      <w:r w:rsidRPr="00473B94">
        <w:rPr>
          <w:rFonts w:ascii="Arial" w:hAnsi="Arial" w:cs="Arial"/>
          <w:b w:val="0"/>
          <w:bCs w:val="0"/>
          <w:noProof/>
          <w:spacing w:val="-2"/>
          <w:sz w:val="22"/>
          <w:szCs w:val="22"/>
        </w:rPr>
        <w:t>Agreement</w:t>
      </w:r>
      <w:r w:rsidRPr="00473B94">
        <w:rPr>
          <w:rFonts w:ascii="Arial" w:hAnsi="Arial" w:cs="Arial"/>
          <w:b w:val="0"/>
          <w:bCs w:val="0"/>
          <w:noProof/>
          <w:sz w:val="22"/>
          <w:szCs w:val="22"/>
        </w:rPr>
        <w:tab/>
      </w:r>
      <w:r w:rsidRPr="00473B94">
        <w:rPr>
          <w:rFonts w:ascii="Arial" w:hAnsi="Arial" w:cs="Arial"/>
          <w:b w:val="0"/>
          <w:bCs w:val="0"/>
          <w:noProof/>
          <w:sz w:val="22"/>
          <w:szCs w:val="22"/>
        </w:rPr>
        <w:fldChar w:fldCharType="begin"/>
      </w:r>
      <w:r w:rsidRPr="00473B94">
        <w:rPr>
          <w:rFonts w:ascii="Arial" w:hAnsi="Arial" w:cs="Arial"/>
          <w:b w:val="0"/>
          <w:bCs w:val="0"/>
          <w:noProof/>
          <w:sz w:val="22"/>
          <w:szCs w:val="22"/>
        </w:rPr>
        <w:instrText xml:space="preserve"> PAGEREF _Toc243037272 \h </w:instrText>
      </w:r>
      <w:r w:rsidRPr="00473B94">
        <w:rPr>
          <w:rFonts w:ascii="Arial" w:hAnsi="Arial" w:cs="Arial"/>
          <w:b w:val="0"/>
          <w:bCs w:val="0"/>
          <w:noProof/>
          <w:sz w:val="22"/>
          <w:szCs w:val="22"/>
        </w:rPr>
      </w:r>
      <w:r w:rsidRPr="00473B94">
        <w:rPr>
          <w:rFonts w:ascii="Arial" w:hAnsi="Arial" w:cs="Arial"/>
          <w:b w:val="0"/>
          <w:bCs w:val="0"/>
          <w:noProof/>
          <w:sz w:val="22"/>
          <w:szCs w:val="22"/>
        </w:rPr>
        <w:fldChar w:fldCharType="separate"/>
      </w:r>
      <w:r w:rsidRPr="00473B94">
        <w:rPr>
          <w:rFonts w:ascii="Arial" w:hAnsi="Arial" w:cs="Arial"/>
          <w:b w:val="0"/>
          <w:bCs w:val="0"/>
          <w:noProof/>
          <w:sz w:val="22"/>
          <w:szCs w:val="22"/>
        </w:rPr>
        <w:t>17</w:t>
      </w:r>
      <w:r w:rsidRPr="00473B94">
        <w:rPr>
          <w:rFonts w:ascii="Arial" w:hAnsi="Arial" w:cs="Arial"/>
          <w:b w:val="0"/>
          <w:bCs w:val="0"/>
          <w:noProof/>
          <w:sz w:val="22"/>
          <w:szCs w:val="22"/>
        </w:rPr>
        <w:fldChar w:fldCharType="end"/>
      </w:r>
    </w:p>
    <w:p w14:paraId="2B7BA737" w14:textId="539673C1" w:rsidR="001160E8" w:rsidRPr="00473B94" w:rsidRDefault="001160E8" w:rsidP="00473B94">
      <w:pPr>
        <w:pStyle w:val="TOC1"/>
        <w:tabs>
          <w:tab w:val="right" w:pos="10484"/>
        </w:tabs>
        <w:spacing w:before="0"/>
        <w:rPr>
          <w:rFonts w:ascii="Arial" w:eastAsiaTheme="minorEastAsia" w:hAnsi="Arial" w:cs="Arial"/>
          <w:b w:val="0"/>
          <w:bCs w:val="0"/>
          <w:noProof/>
          <w:kern w:val="2"/>
          <w:sz w:val="22"/>
          <w:szCs w:val="22"/>
          <w:lang w:val="en-AU" w:eastAsia="en-GB"/>
          <w14:ligatures w14:val="standardContextual"/>
        </w:rPr>
      </w:pPr>
      <w:r w:rsidRPr="00473B94">
        <w:rPr>
          <w:rFonts w:ascii="Arial" w:hAnsi="Arial" w:cs="Arial"/>
          <w:b w:val="0"/>
          <w:bCs w:val="0"/>
          <w:noProof/>
          <w:spacing w:val="-2"/>
          <w:sz w:val="22"/>
          <w:szCs w:val="22"/>
        </w:rPr>
        <w:t>Journal</w:t>
      </w:r>
      <w:r w:rsidRPr="00473B94">
        <w:rPr>
          <w:rFonts w:ascii="Arial" w:hAnsi="Arial" w:cs="Arial"/>
          <w:b w:val="0"/>
          <w:bCs w:val="0"/>
          <w:noProof/>
          <w:spacing w:val="-20"/>
          <w:sz w:val="22"/>
          <w:szCs w:val="22"/>
        </w:rPr>
        <w:t xml:space="preserve"> </w:t>
      </w:r>
      <w:r w:rsidRPr="00473B94">
        <w:rPr>
          <w:rFonts w:ascii="Arial" w:hAnsi="Arial" w:cs="Arial"/>
          <w:b w:val="0"/>
          <w:bCs w:val="0"/>
          <w:noProof/>
          <w:spacing w:val="-2"/>
          <w:sz w:val="22"/>
          <w:szCs w:val="22"/>
        </w:rPr>
        <w:t>articles</w:t>
      </w:r>
      <w:r w:rsidRPr="00473B94">
        <w:rPr>
          <w:rFonts w:ascii="Arial" w:hAnsi="Arial" w:cs="Arial"/>
          <w:b w:val="0"/>
          <w:bCs w:val="0"/>
          <w:noProof/>
          <w:sz w:val="22"/>
          <w:szCs w:val="22"/>
        </w:rPr>
        <w:tab/>
      </w:r>
      <w:r w:rsidRPr="00473B94">
        <w:rPr>
          <w:rFonts w:ascii="Arial" w:hAnsi="Arial" w:cs="Arial"/>
          <w:b w:val="0"/>
          <w:bCs w:val="0"/>
          <w:noProof/>
          <w:sz w:val="22"/>
          <w:szCs w:val="22"/>
        </w:rPr>
        <w:fldChar w:fldCharType="begin"/>
      </w:r>
      <w:r w:rsidRPr="00473B94">
        <w:rPr>
          <w:rFonts w:ascii="Arial" w:hAnsi="Arial" w:cs="Arial"/>
          <w:b w:val="0"/>
          <w:bCs w:val="0"/>
          <w:noProof/>
          <w:sz w:val="22"/>
          <w:szCs w:val="22"/>
        </w:rPr>
        <w:instrText xml:space="preserve"> PAGEREF _Toc243037273 \h </w:instrText>
      </w:r>
      <w:r w:rsidRPr="00473B94">
        <w:rPr>
          <w:rFonts w:ascii="Arial" w:hAnsi="Arial" w:cs="Arial"/>
          <w:b w:val="0"/>
          <w:bCs w:val="0"/>
          <w:noProof/>
          <w:sz w:val="22"/>
          <w:szCs w:val="22"/>
        </w:rPr>
      </w:r>
      <w:r w:rsidRPr="00473B94">
        <w:rPr>
          <w:rFonts w:ascii="Arial" w:hAnsi="Arial" w:cs="Arial"/>
          <w:b w:val="0"/>
          <w:bCs w:val="0"/>
          <w:noProof/>
          <w:sz w:val="22"/>
          <w:szCs w:val="22"/>
        </w:rPr>
        <w:fldChar w:fldCharType="separate"/>
      </w:r>
      <w:r w:rsidRPr="00473B94">
        <w:rPr>
          <w:rFonts w:ascii="Arial" w:hAnsi="Arial" w:cs="Arial"/>
          <w:b w:val="0"/>
          <w:bCs w:val="0"/>
          <w:noProof/>
          <w:sz w:val="22"/>
          <w:szCs w:val="22"/>
        </w:rPr>
        <w:t>17</w:t>
      </w:r>
      <w:r w:rsidRPr="00473B94">
        <w:rPr>
          <w:rFonts w:ascii="Arial" w:hAnsi="Arial" w:cs="Arial"/>
          <w:b w:val="0"/>
          <w:bCs w:val="0"/>
          <w:noProof/>
          <w:sz w:val="22"/>
          <w:szCs w:val="22"/>
        </w:rPr>
        <w:fldChar w:fldCharType="end"/>
      </w:r>
    </w:p>
    <w:p w14:paraId="5CE9B29C" w14:textId="74A61F64" w:rsidR="00473B94" w:rsidRPr="00473B94" w:rsidRDefault="00473B94" w:rsidP="00473B94">
      <w:pPr>
        <w:pStyle w:val="TOC1"/>
        <w:numPr>
          <w:ilvl w:val="0"/>
          <w:numId w:val="40"/>
        </w:numPr>
        <w:tabs>
          <w:tab w:val="right" w:pos="10484"/>
        </w:tabs>
        <w:spacing w:before="120"/>
        <w:ind w:left="357" w:hanging="357"/>
        <w:rPr>
          <w:rFonts w:ascii="Arial" w:hAnsi="Arial" w:cs="Arial"/>
          <w:spacing w:val="-2"/>
          <w:sz w:val="22"/>
          <w:szCs w:val="22"/>
        </w:rPr>
      </w:pPr>
      <w:r w:rsidRPr="00473B94">
        <w:rPr>
          <w:rFonts w:ascii="Arial" w:hAnsi="Arial" w:cs="Arial"/>
          <w:spacing w:val="-2"/>
          <w:sz w:val="22"/>
          <w:szCs w:val="22"/>
        </w:rPr>
        <w:t>Report on Performance</w:t>
      </w:r>
    </w:p>
    <w:p w14:paraId="41CABB40" w14:textId="2EE80FB3" w:rsidR="001160E8" w:rsidRPr="00473B94" w:rsidRDefault="001160E8" w:rsidP="00473B94">
      <w:pPr>
        <w:pStyle w:val="TOC1"/>
        <w:tabs>
          <w:tab w:val="right" w:pos="10484"/>
        </w:tabs>
        <w:spacing w:before="0"/>
        <w:rPr>
          <w:rFonts w:ascii="Arial" w:eastAsiaTheme="minorEastAsia" w:hAnsi="Arial" w:cs="Arial"/>
          <w:b w:val="0"/>
          <w:bCs w:val="0"/>
          <w:noProof/>
          <w:kern w:val="2"/>
          <w:sz w:val="22"/>
          <w:szCs w:val="22"/>
          <w:lang w:val="en-AU" w:eastAsia="en-GB"/>
          <w14:ligatures w14:val="standardContextual"/>
        </w:rPr>
      </w:pPr>
      <w:r w:rsidRPr="00473B94">
        <w:rPr>
          <w:rFonts w:ascii="Arial" w:hAnsi="Arial" w:cs="Arial"/>
          <w:b w:val="0"/>
          <w:bCs w:val="0"/>
          <w:noProof/>
          <w:sz w:val="22"/>
          <w:szCs w:val="22"/>
        </w:rPr>
        <w:t>Strategic</w:t>
      </w:r>
      <w:r w:rsidRPr="00473B94">
        <w:rPr>
          <w:rFonts w:ascii="Arial" w:hAnsi="Arial" w:cs="Arial"/>
          <w:b w:val="0"/>
          <w:bCs w:val="0"/>
          <w:noProof/>
          <w:spacing w:val="-19"/>
          <w:sz w:val="22"/>
          <w:szCs w:val="22"/>
        </w:rPr>
        <w:t xml:space="preserve"> </w:t>
      </w:r>
      <w:r w:rsidRPr="00473B94">
        <w:rPr>
          <w:rFonts w:ascii="Arial" w:hAnsi="Arial" w:cs="Arial"/>
          <w:b w:val="0"/>
          <w:bCs w:val="0"/>
          <w:noProof/>
          <w:sz w:val="22"/>
          <w:szCs w:val="22"/>
        </w:rPr>
        <w:t>Priority</w:t>
      </w:r>
      <w:r w:rsidRPr="00473B94">
        <w:rPr>
          <w:rFonts w:ascii="Arial" w:hAnsi="Arial" w:cs="Arial"/>
          <w:b w:val="0"/>
          <w:bCs w:val="0"/>
          <w:noProof/>
          <w:spacing w:val="-19"/>
          <w:sz w:val="22"/>
          <w:szCs w:val="22"/>
        </w:rPr>
        <w:t xml:space="preserve"> </w:t>
      </w:r>
      <w:r w:rsidRPr="00473B94">
        <w:rPr>
          <w:rFonts w:ascii="Arial" w:hAnsi="Arial" w:cs="Arial"/>
          <w:b w:val="0"/>
          <w:bCs w:val="0"/>
          <w:noProof/>
          <w:sz w:val="22"/>
          <w:szCs w:val="22"/>
        </w:rPr>
        <w:t>1:</w:t>
      </w:r>
      <w:r w:rsidRPr="00473B94">
        <w:rPr>
          <w:rFonts w:ascii="Arial" w:hAnsi="Arial" w:cs="Arial"/>
          <w:b w:val="0"/>
          <w:bCs w:val="0"/>
          <w:noProof/>
          <w:spacing w:val="-19"/>
          <w:sz w:val="22"/>
          <w:szCs w:val="22"/>
        </w:rPr>
        <w:t xml:space="preserve">  </w:t>
      </w:r>
      <w:r w:rsidRPr="00473B94">
        <w:rPr>
          <w:rFonts w:ascii="Arial" w:hAnsi="Arial" w:cs="Arial"/>
          <w:b w:val="0"/>
          <w:bCs w:val="0"/>
          <w:noProof/>
          <w:sz w:val="22"/>
          <w:szCs w:val="22"/>
        </w:rPr>
        <w:t>High-quality</w:t>
      </w:r>
      <w:r w:rsidRPr="00473B94">
        <w:rPr>
          <w:rFonts w:ascii="Arial" w:hAnsi="Arial" w:cs="Arial"/>
          <w:b w:val="0"/>
          <w:bCs w:val="0"/>
          <w:noProof/>
          <w:spacing w:val="-19"/>
          <w:sz w:val="22"/>
          <w:szCs w:val="22"/>
        </w:rPr>
        <w:t xml:space="preserve"> </w:t>
      </w:r>
      <w:r w:rsidRPr="00473B94">
        <w:rPr>
          <w:rFonts w:ascii="Arial" w:hAnsi="Arial" w:cs="Arial"/>
          <w:b w:val="0"/>
          <w:bCs w:val="0"/>
          <w:noProof/>
          <w:sz w:val="22"/>
          <w:szCs w:val="22"/>
        </w:rPr>
        <w:t>care</w:t>
      </w:r>
      <w:r w:rsidRPr="00473B94">
        <w:rPr>
          <w:rFonts w:ascii="Arial" w:hAnsi="Arial" w:cs="Arial"/>
          <w:b w:val="0"/>
          <w:bCs w:val="0"/>
          <w:noProof/>
          <w:spacing w:val="-19"/>
          <w:sz w:val="22"/>
          <w:szCs w:val="22"/>
        </w:rPr>
        <w:t xml:space="preserve"> </w:t>
      </w:r>
      <w:r w:rsidRPr="00473B94">
        <w:rPr>
          <w:rFonts w:ascii="Arial" w:hAnsi="Arial" w:cs="Arial"/>
          <w:b w:val="0"/>
          <w:bCs w:val="0"/>
          <w:noProof/>
          <w:sz w:val="22"/>
          <w:szCs w:val="22"/>
        </w:rPr>
        <w:t>in</w:t>
      </w:r>
      <w:r w:rsidRPr="00473B94">
        <w:rPr>
          <w:rFonts w:ascii="Arial" w:hAnsi="Arial" w:cs="Arial"/>
          <w:b w:val="0"/>
          <w:bCs w:val="0"/>
          <w:noProof/>
          <w:spacing w:val="-19"/>
          <w:sz w:val="22"/>
          <w:szCs w:val="22"/>
        </w:rPr>
        <w:t xml:space="preserve"> </w:t>
      </w:r>
      <w:r w:rsidRPr="00473B94">
        <w:rPr>
          <w:rFonts w:ascii="Arial" w:hAnsi="Arial" w:cs="Arial"/>
          <w:b w:val="0"/>
          <w:bCs w:val="0"/>
          <w:noProof/>
          <w:sz w:val="22"/>
          <w:szCs w:val="22"/>
        </w:rPr>
        <w:t>an</w:t>
      </w:r>
      <w:r w:rsidRPr="00473B94">
        <w:rPr>
          <w:rFonts w:ascii="Arial" w:hAnsi="Arial" w:cs="Arial"/>
          <w:b w:val="0"/>
          <w:bCs w:val="0"/>
          <w:noProof/>
          <w:spacing w:val="-19"/>
          <w:sz w:val="22"/>
          <w:szCs w:val="22"/>
        </w:rPr>
        <w:t xml:space="preserve"> </w:t>
      </w:r>
      <w:r w:rsidRPr="00473B94">
        <w:rPr>
          <w:rFonts w:ascii="Arial" w:hAnsi="Arial" w:cs="Arial"/>
          <w:b w:val="0"/>
          <w:bCs w:val="0"/>
          <w:noProof/>
          <w:sz w:val="22"/>
          <w:szCs w:val="22"/>
        </w:rPr>
        <w:t>evolving environment</w:t>
      </w:r>
      <w:r w:rsidRPr="00473B94">
        <w:rPr>
          <w:rFonts w:ascii="Arial" w:hAnsi="Arial" w:cs="Arial"/>
          <w:b w:val="0"/>
          <w:bCs w:val="0"/>
          <w:noProof/>
          <w:sz w:val="22"/>
          <w:szCs w:val="22"/>
        </w:rPr>
        <w:tab/>
      </w:r>
      <w:r w:rsidRPr="00473B94">
        <w:rPr>
          <w:rFonts w:ascii="Arial" w:hAnsi="Arial" w:cs="Arial"/>
          <w:b w:val="0"/>
          <w:bCs w:val="0"/>
          <w:noProof/>
          <w:sz w:val="22"/>
          <w:szCs w:val="22"/>
        </w:rPr>
        <w:fldChar w:fldCharType="begin"/>
      </w:r>
      <w:r w:rsidRPr="00473B94">
        <w:rPr>
          <w:rFonts w:ascii="Arial" w:hAnsi="Arial" w:cs="Arial"/>
          <w:b w:val="0"/>
          <w:bCs w:val="0"/>
          <w:noProof/>
          <w:sz w:val="22"/>
          <w:szCs w:val="22"/>
        </w:rPr>
        <w:instrText xml:space="preserve"> PAGEREF _Toc243037274 \h </w:instrText>
      </w:r>
      <w:r w:rsidRPr="00473B94">
        <w:rPr>
          <w:rFonts w:ascii="Arial" w:hAnsi="Arial" w:cs="Arial"/>
          <w:b w:val="0"/>
          <w:bCs w:val="0"/>
          <w:noProof/>
          <w:sz w:val="22"/>
          <w:szCs w:val="22"/>
        </w:rPr>
      </w:r>
      <w:r w:rsidRPr="00473B94">
        <w:rPr>
          <w:rFonts w:ascii="Arial" w:hAnsi="Arial" w:cs="Arial"/>
          <w:b w:val="0"/>
          <w:bCs w:val="0"/>
          <w:noProof/>
          <w:sz w:val="22"/>
          <w:szCs w:val="22"/>
        </w:rPr>
        <w:fldChar w:fldCharType="separate"/>
      </w:r>
      <w:r w:rsidRPr="00473B94">
        <w:rPr>
          <w:rFonts w:ascii="Arial" w:hAnsi="Arial" w:cs="Arial"/>
          <w:b w:val="0"/>
          <w:bCs w:val="0"/>
          <w:noProof/>
          <w:sz w:val="22"/>
          <w:szCs w:val="22"/>
        </w:rPr>
        <w:t>19</w:t>
      </w:r>
      <w:r w:rsidRPr="00473B94">
        <w:rPr>
          <w:rFonts w:ascii="Arial" w:hAnsi="Arial" w:cs="Arial"/>
          <w:b w:val="0"/>
          <w:bCs w:val="0"/>
          <w:noProof/>
          <w:sz w:val="22"/>
          <w:szCs w:val="22"/>
        </w:rPr>
        <w:fldChar w:fldCharType="end"/>
      </w:r>
    </w:p>
    <w:p w14:paraId="197E7107" w14:textId="33890348" w:rsidR="001160E8" w:rsidRPr="00473B94" w:rsidRDefault="001160E8" w:rsidP="00473B94">
      <w:pPr>
        <w:pStyle w:val="TOC1"/>
        <w:tabs>
          <w:tab w:val="right" w:pos="10484"/>
        </w:tabs>
        <w:spacing w:before="0"/>
        <w:rPr>
          <w:rFonts w:ascii="Arial" w:eastAsiaTheme="minorEastAsia" w:hAnsi="Arial" w:cs="Arial"/>
          <w:b w:val="0"/>
          <w:bCs w:val="0"/>
          <w:noProof/>
          <w:kern w:val="2"/>
          <w:sz w:val="22"/>
          <w:szCs w:val="22"/>
          <w:lang w:val="en-AU" w:eastAsia="en-GB"/>
          <w14:ligatures w14:val="standardContextual"/>
        </w:rPr>
      </w:pPr>
      <w:r w:rsidRPr="00473B94">
        <w:rPr>
          <w:rFonts w:ascii="Arial" w:hAnsi="Arial" w:cs="Arial"/>
          <w:b w:val="0"/>
          <w:bCs w:val="0"/>
          <w:noProof/>
          <w:sz w:val="22"/>
          <w:szCs w:val="22"/>
        </w:rPr>
        <w:t>Strategic</w:t>
      </w:r>
      <w:r w:rsidRPr="00473B94">
        <w:rPr>
          <w:rFonts w:ascii="Arial" w:hAnsi="Arial" w:cs="Arial"/>
          <w:b w:val="0"/>
          <w:bCs w:val="0"/>
          <w:noProof/>
          <w:spacing w:val="-28"/>
          <w:sz w:val="22"/>
          <w:szCs w:val="22"/>
        </w:rPr>
        <w:t xml:space="preserve"> </w:t>
      </w:r>
      <w:r w:rsidRPr="00473B94">
        <w:rPr>
          <w:rFonts w:ascii="Arial" w:hAnsi="Arial" w:cs="Arial"/>
          <w:b w:val="0"/>
          <w:bCs w:val="0"/>
          <w:noProof/>
          <w:sz w:val="22"/>
          <w:szCs w:val="22"/>
        </w:rPr>
        <w:t>Priority</w:t>
      </w:r>
      <w:r w:rsidRPr="00473B94">
        <w:rPr>
          <w:rFonts w:ascii="Arial" w:hAnsi="Arial" w:cs="Arial"/>
          <w:b w:val="0"/>
          <w:bCs w:val="0"/>
          <w:noProof/>
          <w:spacing w:val="-28"/>
          <w:sz w:val="22"/>
          <w:szCs w:val="22"/>
        </w:rPr>
        <w:t xml:space="preserve"> </w:t>
      </w:r>
      <w:r w:rsidRPr="00473B94">
        <w:rPr>
          <w:rFonts w:ascii="Arial" w:hAnsi="Arial" w:cs="Arial"/>
          <w:b w:val="0"/>
          <w:bCs w:val="0"/>
          <w:noProof/>
          <w:sz w:val="22"/>
          <w:szCs w:val="22"/>
        </w:rPr>
        <w:t>2:</w:t>
      </w:r>
      <w:r w:rsidRPr="00473B94">
        <w:rPr>
          <w:rFonts w:ascii="Arial" w:hAnsi="Arial" w:cs="Arial"/>
          <w:b w:val="0"/>
          <w:bCs w:val="0"/>
          <w:noProof/>
          <w:spacing w:val="-28"/>
          <w:sz w:val="22"/>
          <w:szCs w:val="22"/>
        </w:rPr>
        <w:t xml:space="preserve">  </w:t>
      </w:r>
      <w:r w:rsidRPr="00473B94">
        <w:rPr>
          <w:rFonts w:ascii="Arial" w:hAnsi="Arial" w:cs="Arial"/>
          <w:b w:val="0"/>
          <w:bCs w:val="0"/>
          <w:noProof/>
          <w:sz w:val="22"/>
          <w:szCs w:val="22"/>
        </w:rPr>
        <w:t>Strong</w:t>
      </w:r>
      <w:r w:rsidRPr="00473B94">
        <w:rPr>
          <w:rFonts w:ascii="Arial" w:hAnsi="Arial" w:cs="Arial"/>
          <w:b w:val="0"/>
          <w:bCs w:val="0"/>
          <w:noProof/>
          <w:spacing w:val="-28"/>
          <w:sz w:val="22"/>
          <w:szCs w:val="22"/>
        </w:rPr>
        <w:t xml:space="preserve"> </w:t>
      </w:r>
      <w:r w:rsidRPr="00473B94">
        <w:rPr>
          <w:rFonts w:ascii="Arial" w:hAnsi="Arial" w:cs="Arial"/>
          <w:b w:val="0"/>
          <w:bCs w:val="0"/>
          <w:noProof/>
          <w:sz w:val="22"/>
          <w:szCs w:val="22"/>
        </w:rPr>
        <w:t>outcome-focused</w:t>
      </w:r>
      <w:r w:rsidRPr="00473B94">
        <w:rPr>
          <w:rFonts w:ascii="Arial" w:hAnsi="Arial" w:cs="Arial"/>
          <w:b w:val="0"/>
          <w:bCs w:val="0"/>
          <w:noProof/>
          <w:spacing w:val="-27"/>
          <w:sz w:val="22"/>
          <w:szCs w:val="22"/>
        </w:rPr>
        <w:t xml:space="preserve"> </w:t>
      </w:r>
      <w:r w:rsidRPr="00473B94">
        <w:rPr>
          <w:rFonts w:ascii="Arial" w:hAnsi="Arial" w:cs="Arial"/>
          <w:b w:val="0"/>
          <w:bCs w:val="0"/>
          <w:noProof/>
          <w:sz w:val="22"/>
          <w:szCs w:val="22"/>
        </w:rPr>
        <w:t xml:space="preserve">clinical </w:t>
      </w:r>
      <w:r w:rsidRPr="00473B94">
        <w:rPr>
          <w:rFonts w:ascii="Arial" w:hAnsi="Arial" w:cs="Arial"/>
          <w:b w:val="0"/>
          <w:bCs w:val="0"/>
          <w:noProof/>
          <w:spacing w:val="-2"/>
          <w:sz w:val="22"/>
          <w:szCs w:val="22"/>
        </w:rPr>
        <w:t>governance</w:t>
      </w:r>
      <w:r w:rsidRPr="00473B94">
        <w:rPr>
          <w:rFonts w:ascii="Arial" w:hAnsi="Arial" w:cs="Arial"/>
          <w:b w:val="0"/>
          <w:bCs w:val="0"/>
          <w:noProof/>
          <w:sz w:val="22"/>
          <w:szCs w:val="22"/>
        </w:rPr>
        <w:tab/>
      </w:r>
      <w:r w:rsidRPr="00473B94">
        <w:rPr>
          <w:rFonts w:ascii="Arial" w:hAnsi="Arial" w:cs="Arial"/>
          <w:b w:val="0"/>
          <w:bCs w:val="0"/>
          <w:noProof/>
          <w:sz w:val="22"/>
          <w:szCs w:val="22"/>
        </w:rPr>
        <w:fldChar w:fldCharType="begin"/>
      </w:r>
      <w:r w:rsidRPr="00473B94">
        <w:rPr>
          <w:rFonts w:ascii="Arial" w:hAnsi="Arial" w:cs="Arial"/>
          <w:b w:val="0"/>
          <w:bCs w:val="0"/>
          <w:noProof/>
          <w:sz w:val="22"/>
          <w:szCs w:val="22"/>
        </w:rPr>
        <w:instrText xml:space="preserve"> PAGEREF _Toc243037275 \h </w:instrText>
      </w:r>
      <w:r w:rsidRPr="00473B94">
        <w:rPr>
          <w:rFonts w:ascii="Arial" w:hAnsi="Arial" w:cs="Arial"/>
          <w:b w:val="0"/>
          <w:bCs w:val="0"/>
          <w:noProof/>
          <w:sz w:val="22"/>
          <w:szCs w:val="22"/>
        </w:rPr>
      </w:r>
      <w:r w:rsidRPr="00473B94">
        <w:rPr>
          <w:rFonts w:ascii="Arial" w:hAnsi="Arial" w:cs="Arial"/>
          <w:b w:val="0"/>
          <w:bCs w:val="0"/>
          <w:noProof/>
          <w:sz w:val="22"/>
          <w:szCs w:val="22"/>
        </w:rPr>
        <w:fldChar w:fldCharType="separate"/>
      </w:r>
      <w:r w:rsidRPr="00473B94">
        <w:rPr>
          <w:rFonts w:ascii="Arial" w:hAnsi="Arial" w:cs="Arial"/>
          <w:b w:val="0"/>
          <w:bCs w:val="0"/>
          <w:noProof/>
          <w:sz w:val="22"/>
          <w:szCs w:val="22"/>
        </w:rPr>
        <w:t>24</w:t>
      </w:r>
      <w:r w:rsidRPr="00473B94">
        <w:rPr>
          <w:rFonts w:ascii="Arial" w:hAnsi="Arial" w:cs="Arial"/>
          <w:b w:val="0"/>
          <w:bCs w:val="0"/>
          <w:noProof/>
          <w:sz w:val="22"/>
          <w:szCs w:val="22"/>
        </w:rPr>
        <w:fldChar w:fldCharType="end"/>
      </w:r>
    </w:p>
    <w:p w14:paraId="22C2C6CD" w14:textId="4B842B53" w:rsidR="001160E8" w:rsidRPr="00473B94" w:rsidRDefault="001160E8" w:rsidP="00473B94">
      <w:pPr>
        <w:pStyle w:val="TOC1"/>
        <w:tabs>
          <w:tab w:val="right" w:pos="10484"/>
        </w:tabs>
        <w:spacing w:before="0"/>
        <w:rPr>
          <w:rFonts w:ascii="Arial" w:eastAsiaTheme="minorEastAsia" w:hAnsi="Arial" w:cs="Arial"/>
          <w:b w:val="0"/>
          <w:bCs w:val="0"/>
          <w:noProof/>
          <w:kern w:val="2"/>
          <w:sz w:val="22"/>
          <w:szCs w:val="22"/>
          <w:lang w:val="en-AU" w:eastAsia="en-GB"/>
          <w14:ligatures w14:val="standardContextual"/>
        </w:rPr>
      </w:pPr>
      <w:r w:rsidRPr="00473B94">
        <w:rPr>
          <w:rFonts w:ascii="Arial" w:hAnsi="Arial" w:cs="Arial"/>
          <w:b w:val="0"/>
          <w:bCs w:val="0"/>
          <w:noProof/>
          <w:sz w:val="22"/>
          <w:szCs w:val="22"/>
        </w:rPr>
        <w:t>Strategic</w:t>
      </w:r>
      <w:r w:rsidRPr="00473B94">
        <w:rPr>
          <w:rFonts w:ascii="Arial" w:hAnsi="Arial" w:cs="Arial"/>
          <w:b w:val="0"/>
          <w:bCs w:val="0"/>
          <w:noProof/>
          <w:spacing w:val="-28"/>
          <w:sz w:val="22"/>
          <w:szCs w:val="22"/>
        </w:rPr>
        <w:t xml:space="preserve"> </w:t>
      </w:r>
      <w:r w:rsidRPr="00473B94">
        <w:rPr>
          <w:rFonts w:ascii="Arial" w:hAnsi="Arial" w:cs="Arial"/>
          <w:b w:val="0"/>
          <w:bCs w:val="0"/>
          <w:noProof/>
          <w:sz w:val="22"/>
          <w:szCs w:val="22"/>
        </w:rPr>
        <w:t>Priority</w:t>
      </w:r>
      <w:r w:rsidRPr="00473B94">
        <w:rPr>
          <w:rFonts w:ascii="Arial" w:hAnsi="Arial" w:cs="Arial"/>
          <w:b w:val="0"/>
          <w:bCs w:val="0"/>
          <w:noProof/>
          <w:spacing w:val="-28"/>
          <w:sz w:val="22"/>
          <w:szCs w:val="22"/>
        </w:rPr>
        <w:t xml:space="preserve"> </w:t>
      </w:r>
      <w:r w:rsidRPr="00473B94">
        <w:rPr>
          <w:rFonts w:ascii="Arial" w:hAnsi="Arial" w:cs="Arial"/>
          <w:b w:val="0"/>
          <w:bCs w:val="0"/>
          <w:noProof/>
          <w:sz w:val="22"/>
          <w:szCs w:val="22"/>
        </w:rPr>
        <w:t>3:</w:t>
      </w:r>
      <w:r w:rsidRPr="00473B94">
        <w:rPr>
          <w:rFonts w:ascii="Arial" w:hAnsi="Arial" w:cs="Arial"/>
          <w:b w:val="0"/>
          <w:bCs w:val="0"/>
          <w:noProof/>
          <w:spacing w:val="-28"/>
          <w:sz w:val="22"/>
          <w:szCs w:val="22"/>
        </w:rPr>
        <w:t xml:space="preserve">  </w:t>
      </w:r>
      <w:r w:rsidRPr="00473B94">
        <w:rPr>
          <w:rFonts w:ascii="Arial" w:hAnsi="Arial" w:cs="Arial"/>
          <w:b w:val="0"/>
          <w:bCs w:val="0"/>
          <w:noProof/>
          <w:sz w:val="22"/>
          <w:szCs w:val="22"/>
        </w:rPr>
        <w:t>Empowered</w:t>
      </w:r>
      <w:r w:rsidRPr="00473B94">
        <w:rPr>
          <w:rFonts w:ascii="Arial" w:hAnsi="Arial" w:cs="Arial"/>
          <w:b w:val="0"/>
          <w:bCs w:val="0"/>
          <w:noProof/>
          <w:spacing w:val="-28"/>
          <w:sz w:val="22"/>
          <w:szCs w:val="22"/>
        </w:rPr>
        <w:t xml:space="preserve"> </w:t>
      </w:r>
      <w:r w:rsidRPr="00473B94">
        <w:rPr>
          <w:rFonts w:ascii="Arial" w:hAnsi="Arial" w:cs="Arial"/>
          <w:b w:val="0"/>
          <w:bCs w:val="0"/>
          <w:noProof/>
          <w:sz w:val="22"/>
          <w:szCs w:val="22"/>
        </w:rPr>
        <w:t>patients,</w:t>
      </w:r>
      <w:r w:rsidRPr="00473B94">
        <w:rPr>
          <w:rFonts w:ascii="Arial" w:hAnsi="Arial" w:cs="Arial"/>
          <w:b w:val="0"/>
          <w:bCs w:val="0"/>
          <w:noProof/>
          <w:spacing w:val="-27"/>
          <w:sz w:val="22"/>
          <w:szCs w:val="22"/>
        </w:rPr>
        <w:t xml:space="preserve"> </w:t>
      </w:r>
      <w:r w:rsidRPr="00473B94">
        <w:rPr>
          <w:rFonts w:ascii="Arial" w:hAnsi="Arial" w:cs="Arial"/>
          <w:b w:val="0"/>
          <w:bCs w:val="0"/>
          <w:noProof/>
          <w:sz w:val="22"/>
          <w:szCs w:val="22"/>
        </w:rPr>
        <w:t>carers</w:t>
      </w:r>
      <w:r w:rsidRPr="00473B94">
        <w:rPr>
          <w:rFonts w:ascii="Arial" w:hAnsi="Arial" w:cs="Arial"/>
          <w:b w:val="0"/>
          <w:bCs w:val="0"/>
          <w:noProof/>
          <w:spacing w:val="-28"/>
          <w:sz w:val="22"/>
          <w:szCs w:val="22"/>
        </w:rPr>
        <w:t xml:space="preserve"> </w:t>
      </w:r>
      <w:r w:rsidRPr="00473B94">
        <w:rPr>
          <w:rFonts w:ascii="Arial" w:hAnsi="Arial" w:cs="Arial"/>
          <w:b w:val="0"/>
          <w:bCs w:val="0"/>
          <w:noProof/>
          <w:sz w:val="22"/>
          <w:szCs w:val="22"/>
        </w:rPr>
        <w:t xml:space="preserve">and </w:t>
      </w:r>
      <w:r w:rsidRPr="00473B94">
        <w:rPr>
          <w:rFonts w:ascii="Arial" w:hAnsi="Arial" w:cs="Arial"/>
          <w:b w:val="0"/>
          <w:bCs w:val="0"/>
          <w:noProof/>
          <w:spacing w:val="-2"/>
          <w:sz w:val="22"/>
          <w:szCs w:val="22"/>
        </w:rPr>
        <w:t>communities</w:t>
      </w:r>
      <w:r w:rsidRPr="00473B94">
        <w:rPr>
          <w:rFonts w:ascii="Arial" w:hAnsi="Arial" w:cs="Arial"/>
          <w:b w:val="0"/>
          <w:bCs w:val="0"/>
          <w:noProof/>
          <w:sz w:val="22"/>
          <w:szCs w:val="22"/>
        </w:rPr>
        <w:tab/>
      </w:r>
      <w:r w:rsidRPr="00473B94">
        <w:rPr>
          <w:rFonts w:ascii="Arial" w:hAnsi="Arial" w:cs="Arial"/>
          <w:b w:val="0"/>
          <w:bCs w:val="0"/>
          <w:noProof/>
          <w:sz w:val="22"/>
          <w:szCs w:val="22"/>
        </w:rPr>
        <w:fldChar w:fldCharType="begin"/>
      </w:r>
      <w:r w:rsidRPr="00473B94">
        <w:rPr>
          <w:rFonts w:ascii="Arial" w:hAnsi="Arial" w:cs="Arial"/>
          <w:b w:val="0"/>
          <w:bCs w:val="0"/>
          <w:noProof/>
          <w:sz w:val="22"/>
          <w:szCs w:val="22"/>
        </w:rPr>
        <w:instrText xml:space="preserve"> PAGEREF _Toc243037276 \h </w:instrText>
      </w:r>
      <w:r w:rsidRPr="00473B94">
        <w:rPr>
          <w:rFonts w:ascii="Arial" w:hAnsi="Arial" w:cs="Arial"/>
          <w:b w:val="0"/>
          <w:bCs w:val="0"/>
          <w:noProof/>
          <w:sz w:val="22"/>
          <w:szCs w:val="22"/>
        </w:rPr>
      </w:r>
      <w:r w:rsidRPr="00473B94">
        <w:rPr>
          <w:rFonts w:ascii="Arial" w:hAnsi="Arial" w:cs="Arial"/>
          <w:b w:val="0"/>
          <w:bCs w:val="0"/>
          <w:noProof/>
          <w:sz w:val="22"/>
          <w:szCs w:val="22"/>
        </w:rPr>
        <w:fldChar w:fldCharType="separate"/>
      </w:r>
      <w:r w:rsidRPr="00473B94">
        <w:rPr>
          <w:rFonts w:ascii="Arial" w:hAnsi="Arial" w:cs="Arial"/>
          <w:b w:val="0"/>
          <w:bCs w:val="0"/>
          <w:noProof/>
          <w:sz w:val="22"/>
          <w:szCs w:val="22"/>
        </w:rPr>
        <w:t>36</w:t>
      </w:r>
      <w:r w:rsidRPr="00473B94">
        <w:rPr>
          <w:rFonts w:ascii="Arial" w:hAnsi="Arial" w:cs="Arial"/>
          <w:b w:val="0"/>
          <w:bCs w:val="0"/>
          <w:noProof/>
          <w:sz w:val="22"/>
          <w:szCs w:val="22"/>
        </w:rPr>
        <w:fldChar w:fldCharType="end"/>
      </w:r>
    </w:p>
    <w:p w14:paraId="25517539" w14:textId="26055DBC" w:rsidR="001160E8" w:rsidRPr="00473B94" w:rsidRDefault="001160E8" w:rsidP="00473B94">
      <w:pPr>
        <w:pStyle w:val="TOC1"/>
        <w:tabs>
          <w:tab w:val="right" w:pos="10484"/>
        </w:tabs>
        <w:spacing w:before="0"/>
        <w:rPr>
          <w:rFonts w:ascii="Arial" w:eastAsiaTheme="minorEastAsia" w:hAnsi="Arial" w:cs="Arial"/>
          <w:b w:val="0"/>
          <w:bCs w:val="0"/>
          <w:noProof/>
          <w:kern w:val="2"/>
          <w:sz w:val="22"/>
          <w:szCs w:val="22"/>
          <w:lang w:val="en-AU" w:eastAsia="en-GB"/>
          <w14:ligatures w14:val="standardContextual"/>
        </w:rPr>
      </w:pPr>
      <w:r w:rsidRPr="00473B94">
        <w:rPr>
          <w:rFonts w:ascii="Arial" w:hAnsi="Arial" w:cs="Arial"/>
          <w:b w:val="0"/>
          <w:bCs w:val="0"/>
          <w:noProof/>
          <w:sz w:val="22"/>
          <w:szCs w:val="22"/>
        </w:rPr>
        <w:t>Strategic</w:t>
      </w:r>
      <w:r w:rsidRPr="00473B94">
        <w:rPr>
          <w:rFonts w:ascii="Arial" w:hAnsi="Arial" w:cs="Arial"/>
          <w:b w:val="0"/>
          <w:bCs w:val="0"/>
          <w:noProof/>
          <w:spacing w:val="-16"/>
          <w:sz w:val="22"/>
          <w:szCs w:val="22"/>
        </w:rPr>
        <w:t xml:space="preserve"> </w:t>
      </w:r>
      <w:r w:rsidRPr="00473B94">
        <w:rPr>
          <w:rFonts w:ascii="Arial" w:hAnsi="Arial" w:cs="Arial"/>
          <w:b w:val="0"/>
          <w:bCs w:val="0"/>
          <w:noProof/>
          <w:sz w:val="22"/>
          <w:szCs w:val="22"/>
        </w:rPr>
        <w:t>Priority</w:t>
      </w:r>
      <w:r w:rsidRPr="00473B94">
        <w:rPr>
          <w:rFonts w:ascii="Arial" w:hAnsi="Arial" w:cs="Arial"/>
          <w:b w:val="0"/>
          <w:bCs w:val="0"/>
          <w:noProof/>
          <w:spacing w:val="-16"/>
          <w:sz w:val="22"/>
          <w:szCs w:val="22"/>
        </w:rPr>
        <w:t xml:space="preserve"> </w:t>
      </w:r>
      <w:r w:rsidRPr="00473B94">
        <w:rPr>
          <w:rFonts w:ascii="Arial" w:hAnsi="Arial" w:cs="Arial"/>
          <w:b w:val="0"/>
          <w:bCs w:val="0"/>
          <w:noProof/>
          <w:sz w:val="22"/>
          <w:szCs w:val="22"/>
        </w:rPr>
        <w:t>4:</w:t>
      </w:r>
      <w:r w:rsidRPr="00473B94">
        <w:rPr>
          <w:rFonts w:ascii="Arial" w:hAnsi="Arial" w:cs="Arial"/>
          <w:b w:val="0"/>
          <w:bCs w:val="0"/>
          <w:noProof/>
          <w:spacing w:val="-16"/>
          <w:sz w:val="22"/>
          <w:szCs w:val="22"/>
        </w:rPr>
        <w:t xml:space="preserve">  </w:t>
      </w:r>
      <w:r w:rsidRPr="00473B94">
        <w:rPr>
          <w:rFonts w:ascii="Arial" w:hAnsi="Arial" w:cs="Arial"/>
          <w:b w:val="0"/>
          <w:bCs w:val="0"/>
          <w:noProof/>
          <w:sz w:val="22"/>
          <w:szCs w:val="22"/>
        </w:rPr>
        <w:t>An</w:t>
      </w:r>
      <w:r w:rsidRPr="00473B94">
        <w:rPr>
          <w:rFonts w:ascii="Arial" w:hAnsi="Arial" w:cs="Arial"/>
          <w:b w:val="0"/>
          <w:bCs w:val="0"/>
          <w:noProof/>
          <w:spacing w:val="-16"/>
          <w:sz w:val="22"/>
          <w:szCs w:val="22"/>
        </w:rPr>
        <w:t xml:space="preserve"> </w:t>
      </w:r>
      <w:r w:rsidRPr="00473B94">
        <w:rPr>
          <w:rFonts w:ascii="Arial" w:hAnsi="Arial" w:cs="Arial"/>
          <w:b w:val="0"/>
          <w:bCs w:val="0"/>
          <w:noProof/>
          <w:sz w:val="22"/>
          <w:szCs w:val="22"/>
        </w:rPr>
        <w:t>improvement-driven</w:t>
      </w:r>
      <w:r w:rsidRPr="00473B94">
        <w:rPr>
          <w:rFonts w:ascii="Arial" w:hAnsi="Arial" w:cs="Arial"/>
          <w:b w:val="0"/>
          <w:bCs w:val="0"/>
          <w:noProof/>
          <w:spacing w:val="-16"/>
          <w:sz w:val="22"/>
          <w:szCs w:val="22"/>
        </w:rPr>
        <w:t xml:space="preserve"> </w:t>
      </w:r>
      <w:r w:rsidRPr="00473B94">
        <w:rPr>
          <w:rFonts w:ascii="Arial" w:hAnsi="Arial" w:cs="Arial"/>
          <w:b w:val="0"/>
          <w:bCs w:val="0"/>
          <w:noProof/>
          <w:sz w:val="22"/>
          <w:szCs w:val="22"/>
        </w:rPr>
        <w:t>workforce culture</w:t>
      </w:r>
      <w:r w:rsidRPr="00473B94">
        <w:rPr>
          <w:rFonts w:ascii="Arial" w:hAnsi="Arial" w:cs="Arial"/>
          <w:b w:val="0"/>
          <w:bCs w:val="0"/>
          <w:noProof/>
          <w:sz w:val="22"/>
          <w:szCs w:val="22"/>
        </w:rPr>
        <w:tab/>
      </w:r>
      <w:r w:rsidRPr="00473B94">
        <w:rPr>
          <w:rFonts w:ascii="Arial" w:hAnsi="Arial" w:cs="Arial"/>
          <w:b w:val="0"/>
          <w:bCs w:val="0"/>
          <w:noProof/>
          <w:sz w:val="22"/>
          <w:szCs w:val="22"/>
        </w:rPr>
        <w:fldChar w:fldCharType="begin"/>
      </w:r>
      <w:r w:rsidRPr="00473B94">
        <w:rPr>
          <w:rFonts w:ascii="Arial" w:hAnsi="Arial" w:cs="Arial"/>
          <w:b w:val="0"/>
          <w:bCs w:val="0"/>
          <w:noProof/>
          <w:sz w:val="22"/>
          <w:szCs w:val="22"/>
        </w:rPr>
        <w:instrText xml:space="preserve"> PAGEREF _Toc243037277 \h </w:instrText>
      </w:r>
      <w:r w:rsidRPr="00473B94">
        <w:rPr>
          <w:rFonts w:ascii="Arial" w:hAnsi="Arial" w:cs="Arial"/>
          <w:b w:val="0"/>
          <w:bCs w:val="0"/>
          <w:noProof/>
          <w:sz w:val="22"/>
          <w:szCs w:val="22"/>
        </w:rPr>
      </w:r>
      <w:r w:rsidRPr="00473B94">
        <w:rPr>
          <w:rFonts w:ascii="Arial" w:hAnsi="Arial" w:cs="Arial"/>
          <w:b w:val="0"/>
          <w:bCs w:val="0"/>
          <w:noProof/>
          <w:sz w:val="22"/>
          <w:szCs w:val="22"/>
        </w:rPr>
        <w:fldChar w:fldCharType="separate"/>
      </w:r>
      <w:r w:rsidRPr="00473B94">
        <w:rPr>
          <w:rFonts w:ascii="Arial" w:hAnsi="Arial" w:cs="Arial"/>
          <w:b w:val="0"/>
          <w:bCs w:val="0"/>
          <w:noProof/>
          <w:sz w:val="22"/>
          <w:szCs w:val="22"/>
        </w:rPr>
        <w:t>40</w:t>
      </w:r>
      <w:r w:rsidRPr="00473B94">
        <w:rPr>
          <w:rFonts w:ascii="Arial" w:hAnsi="Arial" w:cs="Arial"/>
          <w:b w:val="0"/>
          <w:bCs w:val="0"/>
          <w:noProof/>
          <w:sz w:val="22"/>
          <w:szCs w:val="22"/>
        </w:rPr>
        <w:fldChar w:fldCharType="end"/>
      </w:r>
    </w:p>
    <w:p w14:paraId="410AE1E0" w14:textId="3F6C498A" w:rsidR="001160E8" w:rsidRPr="00473B94" w:rsidRDefault="001160E8" w:rsidP="00473B94">
      <w:pPr>
        <w:pStyle w:val="TOC1"/>
        <w:tabs>
          <w:tab w:val="right" w:pos="10484"/>
        </w:tabs>
        <w:spacing w:before="0"/>
        <w:rPr>
          <w:rFonts w:ascii="Arial" w:eastAsiaTheme="minorEastAsia" w:hAnsi="Arial" w:cs="Arial"/>
          <w:b w:val="0"/>
          <w:bCs w:val="0"/>
          <w:noProof/>
          <w:kern w:val="2"/>
          <w:sz w:val="22"/>
          <w:szCs w:val="22"/>
          <w:lang w:val="en-AU" w:eastAsia="en-GB"/>
          <w14:ligatures w14:val="standardContextual"/>
        </w:rPr>
      </w:pPr>
      <w:r w:rsidRPr="00473B94">
        <w:rPr>
          <w:rFonts w:ascii="Arial" w:hAnsi="Arial" w:cs="Arial"/>
          <w:b w:val="0"/>
          <w:bCs w:val="0"/>
          <w:noProof/>
          <w:sz w:val="22"/>
          <w:szCs w:val="22"/>
        </w:rPr>
        <w:t>Annual</w:t>
      </w:r>
      <w:r w:rsidRPr="00473B94">
        <w:rPr>
          <w:rFonts w:ascii="Arial" w:hAnsi="Arial" w:cs="Arial"/>
          <w:b w:val="0"/>
          <w:bCs w:val="0"/>
          <w:noProof/>
          <w:spacing w:val="-21"/>
          <w:sz w:val="22"/>
          <w:szCs w:val="22"/>
        </w:rPr>
        <w:t xml:space="preserve"> </w:t>
      </w:r>
      <w:r w:rsidRPr="00473B94">
        <w:rPr>
          <w:rFonts w:ascii="Arial" w:hAnsi="Arial" w:cs="Arial"/>
          <w:b w:val="0"/>
          <w:bCs w:val="0"/>
          <w:noProof/>
          <w:sz w:val="22"/>
          <w:szCs w:val="22"/>
        </w:rPr>
        <w:t>performance</w:t>
      </w:r>
      <w:r w:rsidRPr="00473B94">
        <w:rPr>
          <w:rFonts w:ascii="Arial" w:hAnsi="Arial" w:cs="Arial"/>
          <w:b w:val="0"/>
          <w:bCs w:val="0"/>
          <w:noProof/>
          <w:spacing w:val="-21"/>
          <w:sz w:val="22"/>
          <w:szCs w:val="22"/>
        </w:rPr>
        <w:t xml:space="preserve"> </w:t>
      </w:r>
      <w:r w:rsidRPr="00473B94">
        <w:rPr>
          <w:rFonts w:ascii="Arial" w:hAnsi="Arial" w:cs="Arial"/>
          <w:b w:val="0"/>
          <w:bCs w:val="0"/>
          <w:noProof/>
          <w:spacing w:val="-2"/>
          <w:sz w:val="22"/>
          <w:szCs w:val="22"/>
        </w:rPr>
        <w:t>statements</w:t>
      </w:r>
      <w:r w:rsidRPr="00473B94">
        <w:rPr>
          <w:rFonts w:ascii="Arial" w:hAnsi="Arial" w:cs="Arial"/>
          <w:b w:val="0"/>
          <w:bCs w:val="0"/>
          <w:noProof/>
          <w:sz w:val="22"/>
          <w:szCs w:val="22"/>
        </w:rPr>
        <w:tab/>
      </w:r>
      <w:r w:rsidRPr="00473B94">
        <w:rPr>
          <w:rFonts w:ascii="Arial" w:hAnsi="Arial" w:cs="Arial"/>
          <w:b w:val="0"/>
          <w:bCs w:val="0"/>
          <w:noProof/>
          <w:sz w:val="22"/>
          <w:szCs w:val="22"/>
        </w:rPr>
        <w:fldChar w:fldCharType="begin"/>
      </w:r>
      <w:r w:rsidRPr="00473B94">
        <w:rPr>
          <w:rFonts w:ascii="Arial" w:hAnsi="Arial" w:cs="Arial"/>
          <w:b w:val="0"/>
          <w:bCs w:val="0"/>
          <w:noProof/>
          <w:sz w:val="22"/>
          <w:szCs w:val="22"/>
        </w:rPr>
        <w:instrText xml:space="preserve"> PAGEREF _Toc243037278 \h </w:instrText>
      </w:r>
      <w:r w:rsidRPr="00473B94">
        <w:rPr>
          <w:rFonts w:ascii="Arial" w:hAnsi="Arial" w:cs="Arial"/>
          <w:b w:val="0"/>
          <w:bCs w:val="0"/>
          <w:noProof/>
          <w:sz w:val="22"/>
          <w:szCs w:val="22"/>
        </w:rPr>
      </w:r>
      <w:r w:rsidRPr="00473B94">
        <w:rPr>
          <w:rFonts w:ascii="Arial" w:hAnsi="Arial" w:cs="Arial"/>
          <w:b w:val="0"/>
          <w:bCs w:val="0"/>
          <w:noProof/>
          <w:sz w:val="22"/>
          <w:szCs w:val="22"/>
        </w:rPr>
        <w:fldChar w:fldCharType="separate"/>
      </w:r>
      <w:r w:rsidRPr="00473B94">
        <w:rPr>
          <w:rFonts w:ascii="Arial" w:hAnsi="Arial" w:cs="Arial"/>
          <w:b w:val="0"/>
          <w:bCs w:val="0"/>
          <w:noProof/>
          <w:sz w:val="22"/>
          <w:szCs w:val="22"/>
        </w:rPr>
        <w:t>47</w:t>
      </w:r>
      <w:r w:rsidRPr="00473B94">
        <w:rPr>
          <w:rFonts w:ascii="Arial" w:hAnsi="Arial" w:cs="Arial"/>
          <w:b w:val="0"/>
          <w:bCs w:val="0"/>
          <w:noProof/>
          <w:sz w:val="22"/>
          <w:szCs w:val="22"/>
        </w:rPr>
        <w:fldChar w:fldCharType="end"/>
      </w:r>
    </w:p>
    <w:p w14:paraId="4E4C0317" w14:textId="3B094288" w:rsidR="00473B94" w:rsidRPr="00473B94" w:rsidRDefault="00473B94" w:rsidP="00473B94">
      <w:pPr>
        <w:pStyle w:val="TOC1"/>
        <w:numPr>
          <w:ilvl w:val="0"/>
          <w:numId w:val="40"/>
        </w:numPr>
        <w:tabs>
          <w:tab w:val="right" w:pos="10484"/>
        </w:tabs>
        <w:spacing w:before="120"/>
        <w:ind w:left="357" w:hanging="357"/>
        <w:rPr>
          <w:rFonts w:ascii="Arial" w:hAnsi="Arial" w:cs="Arial"/>
          <w:spacing w:val="-2"/>
          <w:sz w:val="22"/>
          <w:szCs w:val="22"/>
        </w:rPr>
      </w:pPr>
      <w:r w:rsidRPr="00473B94">
        <w:rPr>
          <w:rFonts w:ascii="Arial" w:hAnsi="Arial" w:cs="Arial"/>
          <w:spacing w:val="-2"/>
          <w:sz w:val="22"/>
          <w:szCs w:val="22"/>
        </w:rPr>
        <w:t>Corporate governance and accountability</w:t>
      </w:r>
    </w:p>
    <w:p w14:paraId="598823DE" w14:textId="237A3378" w:rsidR="001160E8" w:rsidRPr="00473B94" w:rsidRDefault="001160E8" w:rsidP="00473B94">
      <w:pPr>
        <w:pStyle w:val="TOC1"/>
        <w:tabs>
          <w:tab w:val="right" w:pos="10484"/>
        </w:tabs>
        <w:spacing w:before="0"/>
        <w:rPr>
          <w:rFonts w:ascii="Arial" w:eastAsiaTheme="minorEastAsia" w:hAnsi="Arial" w:cs="Arial"/>
          <w:b w:val="0"/>
          <w:bCs w:val="0"/>
          <w:noProof/>
          <w:kern w:val="2"/>
          <w:sz w:val="22"/>
          <w:szCs w:val="22"/>
          <w:lang w:val="en-AU" w:eastAsia="en-GB"/>
          <w14:ligatures w14:val="standardContextual"/>
        </w:rPr>
      </w:pPr>
      <w:r w:rsidRPr="00473B94">
        <w:rPr>
          <w:rFonts w:ascii="Arial" w:hAnsi="Arial" w:cs="Arial"/>
          <w:b w:val="0"/>
          <w:bCs w:val="0"/>
          <w:noProof/>
          <w:spacing w:val="-2"/>
          <w:sz w:val="22"/>
          <w:szCs w:val="22"/>
        </w:rPr>
        <w:t>Legislation</w:t>
      </w:r>
      <w:r w:rsidRPr="00473B94">
        <w:rPr>
          <w:rFonts w:ascii="Arial" w:hAnsi="Arial" w:cs="Arial"/>
          <w:b w:val="0"/>
          <w:bCs w:val="0"/>
          <w:noProof/>
          <w:spacing w:val="-18"/>
          <w:sz w:val="22"/>
          <w:szCs w:val="22"/>
        </w:rPr>
        <w:t xml:space="preserve"> </w:t>
      </w:r>
      <w:r w:rsidRPr="00473B94">
        <w:rPr>
          <w:rFonts w:ascii="Arial" w:hAnsi="Arial" w:cs="Arial"/>
          <w:b w:val="0"/>
          <w:bCs w:val="0"/>
          <w:noProof/>
          <w:spacing w:val="-2"/>
          <w:sz w:val="22"/>
          <w:szCs w:val="22"/>
        </w:rPr>
        <w:t>and</w:t>
      </w:r>
      <w:r w:rsidRPr="00473B94">
        <w:rPr>
          <w:rFonts w:ascii="Arial" w:hAnsi="Arial" w:cs="Arial"/>
          <w:b w:val="0"/>
          <w:bCs w:val="0"/>
          <w:noProof/>
          <w:spacing w:val="-17"/>
          <w:sz w:val="22"/>
          <w:szCs w:val="22"/>
        </w:rPr>
        <w:t xml:space="preserve"> </w:t>
      </w:r>
      <w:r w:rsidRPr="00473B94">
        <w:rPr>
          <w:rFonts w:ascii="Arial" w:hAnsi="Arial" w:cs="Arial"/>
          <w:b w:val="0"/>
          <w:bCs w:val="0"/>
          <w:noProof/>
          <w:spacing w:val="-2"/>
          <w:sz w:val="22"/>
          <w:szCs w:val="22"/>
        </w:rPr>
        <w:t>requirements</w:t>
      </w:r>
      <w:r w:rsidRPr="00473B94">
        <w:rPr>
          <w:rFonts w:ascii="Arial" w:hAnsi="Arial" w:cs="Arial"/>
          <w:b w:val="0"/>
          <w:bCs w:val="0"/>
          <w:noProof/>
          <w:sz w:val="22"/>
          <w:szCs w:val="22"/>
        </w:rPr>
        <w:tab/>
      </w:r>
      <w:r w:rsidRPr="00473B94">
        <w:rPr>
          <w:rFonts w:ascii="Arial" w:hAnsi="Arial" w:cs="Arial"/>
          <w:b w:val="0"/>
          <w:bCs w:val="0"/>
          <w:noProof/>
          <w:sz w:val="22"/>
          <w:szCs w:val="22"/>
        </w:rPr>
        <w:fldChar w:fldCharType="begin"/>
      </w:r>
      <w:r w:rsidRPr="00473B94">
        <w:rPr>
          <w:rFonts w:ascii="Arial" w:hAnsi="Arial" w:cs="Arial"/>
          <w:b w:val="0"/>
          <w:bCs w:val="0"/>
          <w:noProof/>
          <w:sz w:val="22"/>
          <w:szCs w:val="22"/>
        </w:rPr>
        <w:instrText xml:space="preserve"> PAGEREF _Toc243037279 \h </w:instrText>
      </w:r>
      <w:r w:rsidRPr="00473B94">
        <w:rPr>
          <w:rFonts w:ascii="Arial" w:hAnsi="Arial" w:cs="Arial"/>
          <w:b w:val="0"/>
          <w:bCs w:val="0"/>
          <w:noProof/>
          <w:sz w:val="22"/>
          <w:szCs w:val="22"/>
        </w:rPr>
      </w:r>
      <w:r w:rsidRPr="00473B94">
        <w:rPr>
          <w:rFonts w:ascii="Arial" w:hAnsi="Arial" w:cs="Arial"/>
          <w:b w:val="0"/>
          <w:bCs w:val="0"/>
          <w:noProof/>
          <w:sz w:val="22"/>
          <w:szCs w:val="22"/>
        </w:rPr>
        <w:fldChar w:fldCharType="separate"/>
      </w:r>
      <w:r w:rsidRPr="00473B94">
        <w:rPr>
          <w:rFonts w:ascii="Arial" w:hAnsi="Arial" w:cs="Arial"/>
          <w:b w:val="0"/>
          <w:bCs w:val="0"/>
          <w:noProof/>
          <w:sz w:val="22"/>
          <w:szCs w:val="22"/>
        </w:rPr>
        <w:t>55</w:t>
      </w:r>
      <w:r w:rsidRPr="00473B94">
        <w:rPr>
          <w:rFonts w:ascii="Arial" w:hAnsi="Arial" w:cs="Arial"/>
          <w:b w:val="0"/>
          <w:bCs w:val="0"/>
          <w:noProof/>
          <w:sz w:val="22"/>
          <w:szCs w:val="22"/>
        </w:rPr>
        <w:fldChar w:fldCharType="end"/>
      </w:r>
    </w:p>
    <w:p w14:paraId="56D4DF27" w14:textId="26E15302" w:rsidR="001160E8" w:rsidRPr="00473B94" w:rsidRDefault="001160E8" w:rsidP="00473B94">
      <w:pPr>
        <w:pStyle w:val="TOC1"/>
        <w:tabs>
          <w:tab w:val="right" w:pos="10484"/>
        </w:tabs>
        <w:spacing w:before="0"/>
        <w:rPr>
          <w:rFonts w:ascii="Arial" w:eastAsiaTheme="minorEastAsia" w:hAnsi="Arial" w:cs="Arial"/>
          <w:b w:val="0"/>
          <w:bCs w:val="0"/>
          <w:noProof/>
          <w:kern w:val="2"/>
          <w:sz w:val="22"/>
          <w:szCs w:val="22"/>
          <w:lang w:val="en-AU" w:eastAsia="en-GB"/>
          <w14:ligatures w14:val="standardContextual"/>
        </w:rPr>
      </w:pPr>
      <w:r w:rsidRPr="00473B94">
        <w:rPr>
          <w:rFonts w:ascii="Arial" w:hAnsi="Arial" w:cs="Arial"/>
          <w:b w:val="0"/>
          <w:bCs w:val="0"/>
          <w:noProof/>
          <w:spacing w:val="-4"/>
          <w:sz w:val="22"/>
          <w:szCs w:val="22"/>
        </w:rPr>
        <w:t>The</w:t>
      </w:r>
      <w:r w:rsidRPr="00473B94">
        <w:rPr>
          <w:rFonts w:ascii="Arial" w:hAnsi="Arial" w:cs="Arial"/>
          <w:b w:val="0"/>
          <w:bCs w:val="0"/>
          <w:noProof/>
          <w:spacing w:val="-17"/>
          <w:sz w:val="22"/>
          <w:szCs w:val="22"/>
        </w:rPr>
        <w:t xml:space="preserve"> </w:t>
      </w:r>
      <w:r w:rsidRPr="00473B94">
        <w:rPr>
          <w:rFonts w:ascii="Arial" w:hAnsi="Arial" w:cs="Arial"/>
          <w:b w:val="0"/>
          <w:bCs w:val="0"/>
          <w:noProof/>
          <w:spacing w:val="-4"/>
          <w:sz w:val="22"/>
          <w:szCs w:val="22"/>
        </w:rPr>
        <w:t>Commission’s</w:t>
      </w:r>
      <w:r w:rsidRPr="00473B94">
        <w:rPr>
          <w:rFonts w:ascii="Arial" w:hAnsi="Arial" w:cs="Arial"/>
          <w:b w:val="0"/>
          <w:bCs w:val="0"/>
          <w:noProof/>
          <w:spacing w:val="-16"/>
          <w:sz w:val="22"/>
          <w:szCs w:val="22"/>
        </w:rPr>
        <w:t xml:space="preserve"> </w:t>
      </w:r>
      <w:r w:rsidRPr="00473B94">
        <w:rPr>
          <w:rFonts w:ascii="Arial" w:hAnsi="Arial" w:cs="Arial"/>
          <w:b w:val="0"/>
          <w:bCs w:val="0"/>
          <w:noProof/>
          <w:spacing w:val="-4"/>
          <w:sz w:val="22"/>
          <w:szCs w:val="22"/>
        </w:rPr>
        <w:t>Board</w:t>
      </w:r>
      <w:r w:rsidRPr="00473B94">
        <w:rPr>
          <w:rFonts w:ascii="Arial" w:hAnsi="Arial" w:cs="Arial"/>
          <w:b w:val="0"/>
          <w:bCs w:val="0"/>
          <w:noProof/>
          <w:sz w:val="22"/>
          <w:szCs w:val="22"/>
        </w:rPr>
        <w:tab/>
      </w:r>
      <w:r w:rsidRPr="00473B94">
        <w:rPr>
          <w:rFonts w:ascii="Arial" w:hAnsi="Arial" w:cs="Arial"/>
          <w:b w:val="0"/>
          <w:bCs w:val="0"/>
          <w:noProof/>
          <w:sz w:val="22"/>
          <w:szCs w:val="22"/>
        </w:rPr>
        <w:fldChar w:fldCharType="begin"/>
      </w:r>
      <w:r w:rsidRPr="00473B94">
        <w:rPr>
          <w:rFonts w:ascii="Arial" w:hAnsi="Arial" w:cs="Arial"/>
          <w:b w:val="0"/>
          <w:bCs w:val="0"/>
          <w:noProof/>
          <w:sz w:val="22"/>
          <w:szCs w:val="22"/>
        </w:rPr>
        <w:instrText xml:space="preserve"> PAGEREF _Toc243037280 \h </w:instrText>
      </w:r>
      <w:r w:rsidRPr="00473B94">
        <w:rPr>
          <w:rFonts w:ascii="Arial" w:hAnsi="Arial" w:cs="Arial"/>
          <w:b w:val="0"/>
          <w:bCs w:val="0"/>
          <w:noProof/>
          <w:sz w:val="22"/>
          <w:szCs w:val="22"/>
        </w:rPr>
      </w:r>
      <w:r w:rsidRPr="00473B94">
        <w:rPr>
          <w:rFonts w:ascii="Arial" w:hAnsi="Arial" w:cs="Arial"/>
          <w:b w:val="0"/>
          <w:bCs w:val="0"/>
          <w:noProof/>
          <w:sz w:val="22"/>
          <w:szCs w:val="22"/>
        </w:rPr>
        <w:fldChar w:fldCharType="separate"/>
      </w:r>
      <w:r w:rsidRPr="00473B94">
        <w:rPr>
          <w:rFonts w:ascii="Arial" w:hAnsi="Arial" w:cs="Arial"/>
          <w:b w:val="0"/>
          <w:bCs w:val="0"/>
          <w:noProof/>
          <w:sz w:val="22"/>
          <w:szCs w:val="22"/>
        </w:rPr>
        <w:t>56</w:t>
      </w:r>
      <w:r w:rsidRPr="00473B94">
        <w:rPr>
          <w:rFonts w:ascii="Arial" w:hAnsi="Arial" w:cs="Arial"/>
          <w:b w:val="0"/>
          <w:bCs w:val="0"/>
          <w:noProof/>
          <w:sz w:val="22"/>
          <w:szCs w:val="22"/>
        </w:rPr>
        <w:fldChar w:fldCharType="end"/>
      </w:r>
    </w:p>
    <w:p w14:paraId="3F81BD66" w14:textId="2F79B3F6" w:rsidR="001160E8" w:rsidRPr="00473B94" w:rsidRDefault="001160E8" w:rsidP="00473B94">
      <w:pPr>
        <w:pStyle w:val="TOC1"/>
        <w:tabs>
          <w:tab w:val="right" w:pos="10484"/>
        </w:tabs>
        <w:spacing w:before="0"/>
        <w:rPr>
          <w:rFonts w:ascii="Arial" w:eastAsiaTheme="minorEastAsia" w:hAnsi="Arial" w:cs="Arial"/>
          <w:b w:val="0"/>
          <w:bCs w:val="0"/>
          <w:noProof/>
          <w:kern w:val="2"/>
          <w:sz w:val="22"/>
          <w:szCs w:val="22"/>
          <w:lang w:val="en-AU" w:eastAsia="en-GB"/>
          <w14:ligatures w14:val="standardContextual"/>
        </w:rPr>
      </w:pPr>
      <w:r w:rsidRPr="00473B94">
        <w:rPr>
          <w:rFonts w:ascii="Arial" w:hAnsi="Arial" w:cs="Arial"/>
          <w:b w:val="0"/>
          <w:bCs w:val="0"/>
          <w:noProof/>
          <w:spacing w:val="-2"/>
          <w:sz w:val="22"/>
          <w:szCs w:val="22"/>
        </w:rPr>
        <w:t>Committees</w:t>
      </w:r>
      <w:r w:rsidRPr="00473B94">
        <w:rPr>
          <w:rFonts w:ascii="Arial" w:hAnsi="Arial" w:cs="Arial"/>
          <w:b w:val="0"/>
          <w:bCs w:val="0"/>
          <w:noProof/>
          <w:sz w:val="22"/>
          <w:szCs w:val="22"/>
        </w:rPr>
        <w:tab/>
      </w:r>
      <w:r w:rsidRPr="00473B94">
        <w:rPr>
          <w:rFonts w:ascii="Arial" w:hAnsi="Arial" w:cs="Arial"/>
          <w:b w:val="0"/>
          <w:bCs w:val="0"/>
          <w:noProof/>
          <w:sz w:val="22"/>
          <w:szCs w:val="22"/>
        </w:rPr>
        <w:fldChar w:fldCharType="begin"/>
      </w:r>
      <w:r w:rsidRPr="00473B94">
        <w:rPr>
          <w:rFonts w:ascii="Arial" w:hAnsi="Arial" w:cs="Arial"/>
          <w:b w:val="0"/>
          <w:bCs w:val="0"/>
          <w:noProof/>
          <w:sz w:val="22"/>
          <w:szCs w:val="22"/>
        </w:rPr>
        <w:instrText xml:space="preserve"> PAGEREF _Toc243037281 \h </w:instrText>
      </w:r>
      <w:r w:rsidRPr="00473B94">
        <w:rPr>
          <w:rFonts w:ascii="Arial" w:hAnsi="Arial" w:cs="Arial"/>
          <w:b w:val="0"/>
          <w:bCs w:val="0"/>
          <w:noProof/>
          <w:sz w:val="22"/>
          <w:szCs w:val="22"/>
        </w:rPr>
      </w:r>
      <w:r w:rsidRPr="00473B94">
        <w:rPr>
          <w:rFonts w:ascii="Arial" w:hAnsi="Arial" w:cs="Arial"/>
          <w:b w:val="0"/>
          <w:bCs w:val="0"/>
          <w:noProof/>
          <w:sz w:val="22"/>
          <w:szCs w:val="22"/>
        </w:rPr>
        <w:fldChar w:fldCharType="separate"/>
      </w:r>
      <w:r w:rsidRPr="00473B94">
        <w:rPr>
          <w:rFonts w:ascii="Arial" w:hAnsi="Arial" w:cs="Arial"/>
          <w:b w:val="0"/>
          <w:bCs w:val="0"/>
          <w:noProof/>
          <w:sz w:val="22"/>
          <w:szCs w:val="22"/>
        </w:rPr>
        <w:t>63</w:t>
      </w:r>
      <w:r w:rsidRPr="00473B94">
        <w:rPr>
          <w:rFonts w:ascii="Arial" w:hAnsi="Arial" w:cs="Arial"/>
          <w:b w:val="0"/>
          <w:bCs w:val="0"/>
          <w:noProof/>
          <w:sz w:val="22"/>
          <w:szCs w:val="22"/>
        </w:rPr>
        <w:fldChar w:fldCharType="end"/>
      </w:r>
    </w:p>
    <w:p w14:paraId="6F4BD0E9" w14:textId="0ABDA086" w:rsidR="001160E8" w:rsidRPr="00473B94" w:rsidRDefault="001160E8" w:rsidP="00473B94">
      <w:pPr>
        <w:pStyle w:val="TOC1"/>
        <w:tabs>
          <w:tab w:val="right" w:pos="10484"/>
        </w:tabs>
        <w:spacing w:before="0"/>
        <w:rPr>
          <w:rFonts w:ascii="Arial" w:eastAsiaTheme="minorEastAsia" w:hAnsi="Arial" w:cs="Arial"/>
          <w:b w:val="0"/>
          <w:bCs w:val="0"/>
          <w:noProof/>
          <w:kern w:val="2"/>
          <w:sz w:val="22"/>
          <w:szCs w:val="22"/>
          <w:lang w:val="en-AU" w:eastAsia="en-GB"/>
          <w14:ligatures w14:val="standardContextual"/>
        </w:rPr>
      </w:pPr>
      <w:r w:rsidRPr="00473B94">
        <w:rPr>
          <w:rFonts w:ascii="Arial" w:hAnsi="Arial" w:cs="Arial"/>
          <w:b w:val="0"/>
          <w:bCs w:val="0"/>
          <w:noProof/>
          <w:spacing w:val="-2"/>
          <w:sz w:val="22"/>
          <w:szCs w:val="22"/>
        </w:rPr>
        <w:t>Internal</w:t>
      </w:r>
      <w:r w:rsidRPr="00473B94">
        <w:rPr>
          <w:rFonts w:ascii="Arial" w:hAnsi="Arial" w:cs="Arial"/>
          <w:b w:val="0"/>
          <w:bCs w:val="0"/>
          <w:noProof/>
          <w:spacing w:val="-18"/>
          <w:sz w:val="22"/>
          <w:szCs w:val="22"/>
        </w:rPr>
        <w:t xml:space="preserve"> </w:t>
      </w:r>
      <w:r w:rsidRPr="00473B94">
        <w:rPr>
          <w:rFonts w:ascii="Arial" w:hAnsi="Arial" w:cs="Arial"/>
          <w:b w:val="0"/>
          <w:bCs w:val="0"/>
          <w:noProof/>
          <w:spacing w:val="-2"/>
          <w:sz w:val="22"/>
          <w:szCs w:val="22"/>
        </w:rPr>
        <w:t>governance</w:t>
      </w:r>
      <w:r w:rsidRPr="00473B94">
        <w:rPr>
          <w:rFonts w:ascii="Arial" w:hAnsi="Arial" w:cs="Arial"/>
          <w:b w:val="0"/>
          <w:bCs w:val="0"/>
          <w:noProof/>
          <w:spacing w:val="-18"/>
          <w:sz w:val="22"/>
          <w:szCs w:val="22"/>
        </w:rPr>
        <w:t xml:space="preserve"> </w:t>
      </w:r>
      <w:r w:rsidRPr="00473B94">
        <w:rPr>
          <w:rFonts w:ascii="Arial" w:hAnsi="Arial" w:cs="Arial"/>
          <w:b w:val="0"/>
          <w:bCs w:val="0"/>
          <w:noProof/>
          <w:spacing w:val="-2"/>
          <w:sz w:val="22"/>
          <w:szCs w:val="22"/>
        </w:rPr>
        <w:t>arrangements</w:t>
      </w:r>
      <w:r w:rsidRPr="00473B94">
        <w:rPr>
          <w:rFonts w:ascii="Arial" w:hAnsi="Arial" w:cs="Arial"/>
          <w:b w:val="0"/>
          <w:bCs w:val="0"/>
          <w:noProof/>
          <w:sz w:val="22"/>
          <w:szCs w:val="22"/>
        </w:rPr>
        <w:tab/>
      </w:r>
      <w:r w:rsidRPr="00473B94">
        <w:rPr>
          <w:rFonts w:ascii="Arial" w:hAnsi="Arial" w:cs="Arial"/>
          <w:b w:val="0"/>
          <w:bCs w:val="0"/>
          <w:noProof/>
          <w:sz w:val="22"/>
          <w:szCs w:val="22"/>
        </w:rPr>
        <w:fldChar w:fldCharType="begin"/>
      </w:r>
      <w:r w:rsidRPr="00473B94">
        <w:rPr>
          <w:rFonts w:ascii="Arial" w:hAnsi="Arial" w:cs="Arial"/>
          <w:b w:val="0"/>
          <w:bCs w:val="0"/>
          <w:noProof/>
          <w:sz w:val="22"/>
          <w:szCs w:val="22"/>
        </w:rPr>
        <w:instrText xml:space="preserve"> PAGEREF _Toc243037282 \h </w:instrText>
      </w:r>
      <w:r w:rsidRPr="00473B94">
        <w:rPr>
          <w:rFonts w:ascii="Arial" w:hAnsi="Arial" w:cs="Arial"/>
          <w:b w:val="0"/>
          <w:bCs w:val="0"/>
          <w:noProof/>
          <w:sz w:val="22"/>
          <w:szCs w:val="22"/>
        </w:rPr>
      </w:r>
      <w:r w:rsidRPr="00473B94">
        <w:rPr>
          <w:rFonts w:ascii="Arial" w:hAnsi="Arial" w:cs="Arial"/>
          <w:b w:val="0"/>
          <w:bCs w:val="0"/>
          <w:noProof/>
          <w:sz w:val="22"/>
          <w:szCs w:val="22"/>
        </w:rPr>
        <w:fldChar w:fldCharType="separate"/>
      </w:r>
      <w:r w:rsidRPr="00473B94">
        <w:rPr>
          <w:rFonts w:ascii="Arial" w:hAnsi="Arial" w:cs="Arial"/>
          <w:b w:val="0"/>
          <w:bCs w:val="0"/>
          <w:noProof/>
          <w:sz w:val="22"/>
          <w:szCs w:val="22"/>
        </w:rPr>
        <w:t>66</w:t>
      </w:r>
      <w:r w:rsidRPr="00473B94">
        <w:rPr>
          <w:rFonts w:ascii="Arial" w:hAnsi="Arial" w:cs="Arial"/>
          <w:b w:val="0"/>
          <w:bCs w:val="0"/>
          <w:noProof/>
          <w:sz w:val="22"/>
          <w:szCs w:val="22"/>
        </w:rPr>
        <w:fldChar w:fldCharType="end"/>
      </w:r>
    </w:p>
    <w:p w14:paraId="4A9A7933" w14:textId="21B997B0" w:rsidR="001160E8" w:rsidRPr="00473B94" w:rsidRDefault="001160E8" w:rsidP="00473B94">
      <w:pPr>
        <w:pStyle w:val="TOC1"/>
        <w:tabs>
          <w:tab w:val="right" w:pos="10484"/>
        </w:tabs>
        <w:spacing w:before="0"/>
        <w:rPr>
          <w:rFonts w:ascii="Arial" w:eastAsiaTheme="minorEastAsia" w:hAnsi="Arial" w:cs="Arial"/>
          <w:b w:val="0"/>
          <w:bCs w:val="0"/>
          <w:noProof/>
          <w:kern w:val="2"/>
          <w:sz w:val="22"/>
          <w:szCs w:val="22"/>
          <w:lang w:val="en-AU" w:eastAsia="en-GB"/>
          <w14:ligatures w14:val="standardContextual"/>
        </w:rPr>
      </w:pPr>
      <w:r w:rsidRPr="00473B94">
        <w:rPr>
          <w:rFonts w:ascii="Arial" w:hAnsi="Arial" w:cs="Arial"/>
          <w:b w:val="0"/>
          <w:bCs w:val="0"/>
          <w:noProof/>
          <w:sz w:val="22"/>
          <w:szCs w:val="22"/>
        </w:rPr>
        <w:t>External</w:t>
      </w:r>
      <w:r w:rsidRPr="00473B94">
        <w:rPr>
          <w:rFonts w:ascii="Arial" w:hAnsi="Arial" w:cs="Arial"/>
          <w:b w:val="0"/>
          <w:bCs w:val="0"/>
          <w:noProof/>
          <w:spacing w:val="-15"/>
          <w:sz w:val="22"/>
          <w:szCs w:val="22"/>
        </w:rPr>
        <w:t xml:space="preserve"> </w:t>
      </w:r>
      <w:r w:rsidRPr="00473B94">
        <w:rPr>
          <w:rFonts w:ascii="Arial" w:hAnsi="Arial" w:cs="Arial"/>
          <w:b w:val="0"/>
          <w:bCs w:val="0"/>
          <w:noProof/>
          <w:spacing w:val="-2"/>
          <w:sz w:val="22"/>
          <w:szCs w:val="22"/>
        </w:rPr>
        <w:t>scrutiny</w:t>
      </w:r>
      <w:r w:rsidRPr="00473B94">
        <w:rPr>
          <w:rFonts w:ascii="Arial" w:hAnsi="Arial" w:cs="Arial"/>
          <w:b w:val="0"/>
          <w:bCs w:val="0"/>
          <w:noProof/>
          <w:sz w:val="22"/>
          <w:szCs w:val="22"/>
        </w:rPr>
        <w:tab/>
      </w:r>
      <w:r w:rsidRPr="00473B94">
        <w:rPr>
          <w:rFonts w:ascii="Arial" w:hAnsi="Arial" w:cs="Arial"/>
          <w:b w:val="0"/>
          <w:bCs w:val="0"/>
          <w:noProof/>
          <w:sz w:val="22"/>
          <w:szCs w:val="22"/>
        </w:rPr>
        <w:fldChar w:fldCharType="begin"/>
      </w:r>
      <w:r w:rsidRPr="00473B94">
        <w:rPr>
          <w:rFonts w:ascii="Arial" w:hAnsi="Arial" w:cs="Arial"/>
          <w:b w:val="0"/>
          <w:bCs w:val="0"/>
          <w:noProof/>
          <w:sz w:val="22"/>
          <w:szCs w:val="22"/>
        </w:rPr>
        <w:instrText xml:space="preserve"> PAGEREF _Toc243037283 \h </w:instrText>
      </w:r>
      <w:r w:rsidRPr="00473B94">
        <w:rPr>
          <w:rFonts w:ascii="Arial" w:hAnsi="Arial" w:cs="Arial"/>
          <w:b w:val="0"/>
          <w:bCs w:val="0"/>
          <w:noProof/>
          <w:sz w:val="22"/>
          <w:szCs w:val="22"/>
        </w:rPr>
      </w:r>
      <w:r w:rsidRPr="00473B94">
        <w:rPr>
          <w:rFonts w:ascii="Arial" w:hAnsi="Arial" w:cs="Arial"/>
          <w:b w:val="0"/>
          <w:bCs w:val="0"/>
          <w:noProof/>
          <w:sz w:val="22"/>
          <w:szCs w:val="22"/>
        </w:rPr>
        <w:fldChar w:fldCharType="separate"/>
      </w:r>
      <w:r w:rsidRPr="00473B94">
        <w:rPr>
          <w:rFonts w:ascii="Arial" w:hAnsi="Arial" w:cs="Arial"/>
          <w:b w:val="0"/>
          <w:bCs w:val="0"/>
          <w:noProof/>
          <w:sz w:val="22"/>
          <w:szCs w:val="22"/>
        </w:rPr>
        <w:t>67</w:t>
      </w:r>
      <w:r w:rsidRPr="00473B94">
        <w:rPr>
          <w:rFonts w:ascii="Arial" w:hAnsi="Arial" w:cs="Arial"/>
          <w:b w:val="0"/>
          <w:bCs w:val="0"/>
          <w:noProof/>
          <w:sz w:val="22"/>
          <w:szCs w:val="22"/>
        </w:rPr>
        <w:fldChar w:fldCharType="end"/>
      </w:r>
    </w:p>
    <w:p w14:paraId="6D4A4055" w14:textId="7EC2E1B9" w:rsidR="00473B94" w:rsidRPr="00473B94" w:rsidRDefault="00473B94" w:rsidP="00473B94">
      <w:pPr>
        <w:pStyle w:val="TOC1"/>
        <w:numPr>
          <w:ilvl w:val="0"/>
          <w:numId w:val="40"/>
        </w:numPr>
        <w:tabs>
          <w:tab w:val="right" w:pos="10484"/>
        </w:tabs>
        <w:spacing w:before="120"/>
        <w:ind w:left="357" w:hanging="357"/>
        <w:rPr>
          <w:rFonts w:ascii="Arial" w:hAnsi="Arial" w:cs="Arial"/>
          <w:spacing w:val="-2"/>
          <w:sz w:val="22"/>
          <w:szCs w:val="22"/>
        </w:rPr>
      </w:pPr>
      <w:r w:rsidRPr="00473B94">
        <w:rPr>
          <w:rFonts w:ascii="Arial" w:hAnsi="Arial" w:cs="Arial"/>
          <w:spacing w:val="-2"/>
          <w:sz w:val="22"/>
          <w:szCs w:val="22"/>
        </w:rPr>
        <w:t xml:space="preserve">Our </w:t>
      </w:r>
      <w:proofErr w:type="spellStart"/>
      <w:r w:rsidRPr="00473B94">
        <w:rPr>
          <w:rFonts w:ascii="Arial" w:hAnsi="Arial" w:cs="Arial"/>
          <w:spacing w:val="-2"/>
          <w:sz w:val="22"/>
          <w:szCs w:val="22"/>
        </w:rPr>
        <w:t>organisation</w:t>
      </w:r>
      <w:proofErr w:type="spellEnd"/>
    </w:p>
    <w:p w14:paraId="23286B6D" w14:textId="70894531" w:rsidR="001160E8" w:rsidRPr="00473B94" w:rsidRDefault="001160E8" w:rsidP="00473B94">
      <w:pPr>
        <w:pStyle w:val="TOC1"/>
        <w:tabs>
          <w:tab w:val="right" w:pos="10484"/>
        </w:tabs>
        <w:spacing w:before="0"/>
        <w:rPr>
          <w:rFonts w:ascii="Arial" w:eastAsiaTheme="minorEastAsia" w:hAnsi="Arial" w:cs="Arial"/>
          <w:b w:val="0"/>
          <w:bCs w:val="0"/>
          <w:noProof/>
          <w:kern w:val="2"/>
          <w:sz w:val="22"/>
          <w:szCs w:val="22"/>
          <w:lang w:val="en-AU" w:eastAsia="en-GB"/>
          <w14:ligatures w14:val="standardContextual"/>
        </w:rPr>
      </w:pPr>
      <w:r w:rsidRPr="00473B94">
        <w:rPr>
          <w:rFonts w:ascii="Arial" w:hAnsi="Arial" w:cs="Arial"/>
          <w:b w:val="0"/>
          <w:bCs w:val="0"/>
          <w:noProof/>
          <w:spacing w:val="-2"/>
          <w:sz w:val="22"/>
          <w:szCs w:val="22"/>
        </w:rPr>
        <w:t>Organisational</w:t>
      </w:r>
      <w:r w:rsidRPr="00473B94">
        <w:rPr>
          <w:rFonts w:ascii="Arial" w:hAnsi="Arial" w:cs="Arial"/>
          <w:b w:val="0"/>
          <w:bCs w:val="0"/>
          <w:noProof/>
          <w:spacing w:val="-12"/>
          <w:sz w:val="22"/>
          <w:szCs w:val="22"/>
        </w:rPr>
        <w:t xml:space="preserve"> </w:t>
      </w:r>
      <w:r w:rsidRPr="00473B94">
        <w:rPr>
          <w:rFonts w:ascii="Arial" w:hAnsi="Arial" w:cs="Arial"/>
          <w:b w:val="0"/>
          <w:bCs w:val="0"/>
          <w:noProof/>
          <w:spacing w:val="-2"/>
          <w:sz w:val="22"/>
          <w:szCs w:val="22"/>
        </w:rPr>
        <w:t>structure</w:t>
      </w:r>
      <w:r w:rsidRPr="00473B94">
        <w:rPr>
          <w:rFonts w:ascii="Arial" w:hAnsi="Arial" w:cs="Arial"/>
          <w:b w:val="0"/>
          <w:bCs w:val="0"/>
          <w:noProof/>
          <w:sz w:val="22"/>
          <w:szCs w:val="22"/>
        </w:rPr>
        <w:tab/>
      </w:r>
      <w:r w:rsidRPr="00473B94">
        <w:rPr>
          <w:rFonts w:ascii="Arial" w:hAnsi="Arial" w:cs="Arial"/>
          <w:b w:val="0"/>
          <w:bCs w:val="0"/>
          <w:noProof/>
          <w:sz w:val="22"/>
          <w:szCs w:val="22"/>
        </w:rPr>
        <w:fldChar w:fldCharType="begin"/>
      </w:r>
      <w:r w:rsidRPr="00473B94">
        <w:rPr>
          <w:rFonts w:ascii="Arial" w:hAnsi="Arial" w:cs="Arial"/>
          <w:b w:val="0"/>
          <w:bCs w:val="0"/>
          <w:noProof/>
          <w:sz w:val="22"/>
          <w:szCs w:val="22"/>
        </w:rPr>
        <w:instrText xml:space="preserve"> PAGEREF _Toc243037284 \h </w:instrText>
      </w:r>
      <w:r w:rsidRPr="00473B94">
        <w:rPr>
          <w:rFonts w:ascii="Arial" w:hAnsi="Arial" w:cs="Arial"/>
          <w:b w:val="0"/>
          <w:bCs w:val="0"/>
          <w:noProof/>
          <w:sz w:val="22"/>
          <w:szCs w:val="22"/>
        </w:rPr>
      </w:r>
      <w:r w:rsidRPr="00473B94">
        <w:rPr>
          <w:rFonts w:ascii="Arial" w:hAnsi="Arial" w:cs="Arial"/>
          <w:b w:val="0"/>
          <w:bCs w:val="0"/>
          <w:noProof/>
          <w:sz w:val="22"/>
          <w:szCs w:val="22"/>
        </w:rPr>
        <w:fldChar w:fldCharType="separate"/>
      </w:r>
      <w:r w:rsidRPr="00473B94">
        <w:rPr>
          <w:rFonts w:ascii="Arial" w:hAnsi="Arial" w:cs="Arial"/>
          <w:b w:val="0"/>
          <w:bCs w:val="0"/>
          <w:noProof/>
          <w:sz w:val="22"/>
          <w:szCs w:val="22"/>
        </w:rPr>
        <w:t>72</w:t>
      </w:r>
      <w:r w:rsidRPr="00473B94">
        <w:rPr>
          <w:rFonts w:ascii="Arial" w:hAnsi="Arial" w:cs="Arial"/>
          <w:b w:val="0"/>
          <w:bCs w:val="0"/>
          <w:noProof/>
          <w:sz w:val="22"/>
          <w:szCs w:val="22"/>
        </w:rPr>
        <w:fldChar w:fldCharType="end"/>
      </w:r>
    </w:p>
    <w:p w14:paraId="60ADFC87" w14:textId="21004DBD" w:rsidR="001160E8" w:rsidRPr="00473B94" w:rsidRDefault="001160E8" w:rsidP="00473B94">
      <w:pPr>
        <w:pStyle w:val="TOC1"/>
        <w:tabs>
          <w:tab w:val="right" w:pos="10484"/>
        </w:tabs>
        <w:spacing w:before="0"/>
        <w:rPr>
          <w:rFonts w:ascii="Arial" w:eastAsiaTheme="minorEastAsia" w:hAnsi="Arial" w:cs="Arial"/>
          <w:b w:val="0"/>
          <w:bCs w:val="0"/>
          <w:noProof/>
          <w:kern w:val="2"/>
          <w:sz w:val="22"/>
          <w:szCs w:val="22"/>
          <w:lang w:val="en-AU" w:eastAsia="en-GB"/>
          <w14:ligatures w14:val="standardContextual"/>
        </w:rPr>
      </w:pPr>
      <w:r w:rsidRPr="00473B94">
        <w:rPr>
          <w:rFonts w:ascii="Arial" w:hAnsi="Arial" w:cs="Arial"/>
          <w:b w:val="0"/>
          <w:bCs w:val="0"/>
          <w:noProof/>
          <w:spacing w:val="-2"/>
          <w:sz w:val="22"/>
          <w:szCs w:val="22"/>
        </w:rPr>
        <w:t>People</w:t>
      </w:r>
      <w:r w:rsidRPr="00473B94">
        <w:rPr>
          <w:rFonts w:ascii="Arial" w:hAnsi="Arial" w:cs="Arial"/>
          <w:b w:val="0"/>
          <w:bCs w:val="0"/>
          <w:noProof/>
          <w:spacing w:val="-24"/>
          <w:sz w:val="22"/>
          <w:szCs w:val="22"/>
        </w:rPr>
        <w:t xml:space="preserve"> </w:t>
      </w:r>
      <w:r w:rsidRPr="00473B94">
        <w:rPr>
          <w:rFonts w:ascii="Arial" w:hAnsi="Arial" w:cs="Arial"/>
          <w:b w:val="0"/>
          <w:bCs w:val="0"/>
          <w:noProof/>
          <w:spacing w:val="-2"/>
          <w:sz w:val="22"/>
          <w:szCs w:val="22"/>
        </w:rPr>
        <w:t>management</w:t>
      </w:r>
      <w:r w:rsidRPr="00473B94">
        <w:rPr>
          <w:rFonts w:ascii="Arial" w:hAnsi="Arial" w:cs="Arial"/>
          <w:b w:val="0"/>
          <w:bCs w:val="0"/>
          <w:noProof/>
          <w:sz w:val="22"/>
          <w:szCs w:val="22"/>
        </w:rPr>
        <w:tab/>
      </w:r>
      <w:r w:rsidRPr="00473B94">
        <w:rPr>
          <w:rFonts w:ascii="Arial" w:hAnsi="Arial" w:cs="Arial"/>
          <w:b w:val="0"/>
          <w:bCs w:val="0"/>
          <w:noProof/>
          <w:sz w:val="22"/>
          <w:szCs w:val="22"/>
        </w:rPr>
        <w:fldChar w:fldCharType="begin"/>
      </w:r>
      <w:r w:rsidRPr="00473B94">
        <w:rPr>
          <w:rFonts w:ascii="Arial" w:hAnsi="Arial" w:cs="Arial"/>
          <w:b w:val="0"/>
          <w:bCs w:val="0"/>
          <w:noProof/>
          <w:sz w:val="22"/>
          <w:szCs w:val="22"/>
        </w:rPr>
        <w:instrText xml:space="preserve"> PAGEREF _Toc243037285 \h </w:instrText>
      </w:r>
      <w:r w:rsidRPr="00473B94">
        <w:rPr>
          <w:rFonts w:ascii="Arial" w:hAnsi="Arial" w:cs="Arial"/>
          <w:b w:val="0"/>
          <w:bCs w:val="0"/>
          <w:noProof/>
          <w:sz w:val="22"/>
          <w:szCs w:val="22"/>
        </w:rPr>
      </w:r>
      <w:r w:rsidRPr="00473B94">
        <w:rPr>
          <w:rFonts w:ascii="Arial" w:hAnsi="Arial" w:cs="Arial"/>
          <w:b w:val="0"/>
          <w:bCs w:val="0"/>
          <w:noProof/>
          <w:sz w:val="22"/>
          <w:szCs w:val="22"/>
        </w:rPr>
        <w:fldChar w:fldCharType="separate"/>
      </w:r>
      <w:r w:rsidRPr="00473B94">
        <w:rPr>
          <w:rFonts w:ascii="Arial" w:hAnsi="Arial" w:cs="Arial"/>
          <w:b w:val="0"/>
          <w:bCs w:val="0"/>
          <w:noProof/>
          <w:sz w:val="22"/>
          <w:szCs w:val="22"/>
        </w:rPr>
        <w:t>72</w:t>
      </w:r>
      <w:r w:rsidRPr="00473B94">
        <w:rPr>
          <w:rFonts w:ascii="Arial" w:hAnsi="Arial" w:cs="Arial"/>
          <w:b w:val="0"/>
          <w:bCs w:val="0"/>
          <w:noProof/>
          <w:sz w:val="22"/>
          <w:szCs w:val="22"/>
        </w:rPr>
        <w:fldChar w:fldCharType="end"/>
      </w:r>
    </w:p>
    <w:p w14:paraId="0DBDAF46" w14:textId="282BAE46" w:rsidR="001160E8" w:rsidRPr="00473B94" w:rsidRDefault="001160E8" w:rsidP="00473B94">
      <w:pPr>
        <w:pStyle w:val="TOC1"/>
        <w:tabs>
          <w:tab w:val="right" w:pos="10484"/>
        </w:tabs>
        <w:spacing w:before="0"/>
        <w:rPr>
          <w:rFonts w:ascii="Arial" w:eastAsiaTheme="minorEastAsia" w:hAnsi="Arial" w:cs="Arial"/>
          <w:b w:val="0"/>
          <w:bCs w:val="0"/>
          <w:noProof/>
          <w:kern w:val="2"/>
          <w:sz w:val="22"/>
          <w:szCs w:val="22"/>
          <w:lang w:val="en-AU" w:eastAsia="en-GB"/>
          <w14:ligatures w14:val="standardContextual"/>
        </w:rPr>
      </w:pPr>
      <w:r w:rsidRPr="00473B94">
        <w:rPr>
          <w:rFonts w:ascii="Arial" w:hAnsi="Arial" w:cs="Arial"/>
          <w:b w:val="0"/>
          <w:bCs w:val="0"/>
          <w:noProof/>
          <w:sz w:val="22"/>
          <w:szCs w:val="22"/>
        </w:rPr>
        <w:t>Staff</w:t>
      </w:r>
      <w:r w:rsidRPr="00473B94">
        <w:rPr>
          <w:rFonts w:ascii="Arial" w:hAnsi="Arial" w:cs="Arial"/>
          <w:b w:val="0"/>
          <w:bCs w:val="0"/>
          <w:noProof/>
          <w:spacing w:val="-16"/>
          <w:sz w:val="22"/>
          <w:szCs w:val="22"/>
        </w:rPr>
        <w:t xml:space="preserve"> </w:t>
      </w:r>
      <w:r w:rsidRPr="00473B94">
        <w:rPr>
          <w:rFonts w:ascii="Arial" w:hAnsi="Arial" w:cs="Arial"/>
          <w:b w:val="0"/>
          <w:bCs w:val="0"/>
          <w:noProof/>
          <w:spacing w:val="-2"/>
          <w:sz w:val="22"/>
          <w:szCs w:val="22"/>
        </w:rPr>
        <w:t>profile</w:t>
      </w:r>
      <w:r w:rsidRPr="00473B94">
        <w:rPr>
          <w:rFonts w:ascii="Arial" w:hAnsi="Arial" w:cs="Arial"/>
          <w:b w:val="0"/>
          <w:bCs w:val="0"/>
          <w:noProof/>
          <w:sz w:val="22"/>
          <w:szCs w:val="22"/>
        </w:rPr>
        <w:tab/>
      </w:r>
      <w:r w:rsidRPr="00473B94">
        <w:rPr>
          <w:rFonts w:ascii="Arial" w:hAnsi="Arial" w:cs="Arial"/>
          <w:b w:val="0"/>
          <w:bCs w:val="0"/>
          <w:noProof/>
          <w:sz w:val="22"/>
          <w:szCs w:val="22"/>
        </w:rPr>
        <w:fldChar w:fldCharType="begin"/>
      </w:r>
      <w:r w:rsidRPr="00473B94">
        <w:rPr>
          <w:rFonts w:ascii="Arial" w:hAnsi="Arial" w:cs="Arial"/>
          <w:b w:val="0"/>
          <w:bCs w:val="0"/>
          <w:noProof/>
          <w:sz w:val="22"/>
          <w:szCs w:val="22"/>
        </w:rPr>
        <w:instrText xml:space="preserve"> PAGEREF _Toc243037286 \h </w:instrText>
      </w:r>
      <w:r w:rsidRPr="00473B94">
        <w:rPr>
          <w:rFonts w:ascii="Arial" w:hAnsi="Arial" w:cs="Arial"/>
          <w:b w:val="0"/>
          <w:bCs w:val="0"/>
          <w:noProof/>
          <w:sz w:val="22"/>
          <w:szCs w:val="22"/>
        </w:rPr>
      </w:r>
      <w:r w:rsidRPr="00473B94">
        <w:rPr>
          <w:rFonts w:ascii="Arial" w:hAnsi="Arial" w:cs="Arial"/>
          <w:b w:val="0"/>
          <w:bCs w:val="0"/>
          <w:noProof/>
          <w:sz w:val="22"/>
          <w:szCs w:val="22"/>
        </w:rPr>
        <w:fldChar w:fldCharType="separate"/>
      </w:r>
      <w:r w:rsidRPr="00473B94">
        <w:rPr>
          <w:rFonts w:ascii="Arial" w:hAnsi="Arial" w:cs="Arial"/>
          <w:b w:val="0"/>
          <w:bCs w:val="0"/>
          <w:noProof/>
          <w:sz w:val="22"/>
          <w:szCs w:val="22"/>
        </w:rPr>
        <w:t>73</w:t>
      </w:r>
      <w:r w:rsidRPr="00473B94">
        <w:rPr>
          <w:rFonts w:ascii="Arial" w:hAnsi="Arial" w:cs="Arial"/>
          <w:b w:val="0"/>
          <w:bCs w:val="0"/>
          <w:noProof/>
          <w:sz w:val="22"/>
          <w:szCs w:val="22"/>
        </w:rPr>
        <w:fldChar w:fldCharType="end"/>
      </w:r>
    </w:p>
    <w:p w14:paraId="40F9B6F1" w14:textId="0066797B" w:rsidR="001160E8" w:rsidRPr="00473B94" w:rsidRDefault="001160E8" w:rsidP="00473B94">
      <w:pPr>
        <w:pStyle w:val="TOC1"/>
        <w:tabs>
          <w:tab w:val="right" w:pos="10484"/>
        </w:tabs>
        <w:spacing w:before="0"/>
        <w:rPr>
          <w:rFonts w:ascii="Arial" w:eastAsiaTheme="minorEastAsia" w:hAnsi="Arial" w:cs="Arial"/>
          <w:b w:val="0"/>
          <w:bCs w:val="0"/>
          <w:noProof/>
          <w:kern w:val="2"/>
          <w:sz w:val="22"/>
          <w:szCs w:val="22"/>
          <w:lang w:val="en-AU" w:eastAsia="en-GB"/>
          <w14:ligatures w14:val="standardContextual"/>
        </w:rPr>
      </w:pPr>
      <w:r w:rsidRPr="00473B94">
        <w:rPr>
          <w:rFonts w:ascii="Arial" w:hAnsi="Arial" w:cs="Arial"/>
          <w:b w:val="0"/>
          <w:bCs w:val="0"/>
          <w:noProof/>
          <w:sz w:val="22"/>
          <w:szCs w:val="22"/>
        </w:rPr>
        <w:t>Work</w:t>
      </w:r>
      <w:r w:rsidRPr="00473B94">
        <w:rPr>
          <w:rFonts w:ascii="Arial" w:hAnsi="Arial" w:cs="Arial"/>
          <w:b w:val="0"/>
          <w:bCs w:val="0"/>
          <w:noProof/>
          <w:spacing w:val="-28"/>
          <w:sz w:val="22"/>
          <w:szCs w:val="22"/>
        </w:rPr>
        <w:t xml:space="preserve"> </w:t>
      </w:r>
      <w:r w:rsidRPr="00473B94">
        <w:rPr>
          <w:rFonts w:ascii="Arial" w:hAnsi="Arial" w:cs="Arial"/>
          <w:b w:val="0"/>
          <w:bCs w:val="0"/>
          <w:noProof/>
          <w:sz w:val="22"/>
          <w:szCs w:val="22"/>
        </w:rPr>
        <w:t>health</w:t>
      </w:r>
      <w:r w:rsidRPr="00473B94">
        <w:rPr>
          <w:rFonts w:ascii="Arial" w:hAnsi="Arial" w:cs="Arial"/>
          <w:b w:val="0"/>
          <w:bCs w:val="0"/>
          <w:noProof/>
          <w:spacing w:val="-28"/>
          <w:sz w:val="22"/>
          <w:szCs w:val="22"/>
        </w:rPr>
        <w:t xml:space="preserve"> </w:t>
      </w:r>
      <w:r w:rsidRPr="00473B94">
        <w:rPr>
          <w:rFonts w:ascii="Arial" w:hAnsi="Arial" w:cs="Arial"/>
          <w:b w:val="0"/>
          <w:bCs w:val="0"/>
          <w:noProof/>
          <w:sz w:val="22"/>
          <w:szCs w:val="22"/>
        </w:rPr>
        <w:t>and</w:t>
      </w:r>
      <w:r w:rsidRPr="00473B94">
        <w:rPr>
          <w:rFonts w:ascii="Arial" w:hAnsi="Arial" w:cs="Arial"/>
          <w:b w:val="0"/>
          <w:bCs w:val="0"/>
          <w:noProof/>
          <w:spacing w:val="-27"/>
          <w:sz w:val="22"/>
          <w:szCs w:val="22"/>
        </w:rPr>
        <w:t xml:space="preserve"> </w:t>
      </w:r>
      <w:r w:rsidRPr="00473B94">
        <w:rPr>
          <w:rFonts w:ascii="Arial" w:hAnsi="Arial" w:cs="Arial"/>
          <w:b w:val="0"/>
          <w:bCs w:val="0"/>
          <w:noProof/>
          <w:spacing w:val="-2"/>
          <w:sz w:val="22"/>
          <w:szCs w:val="22"/>
        </w:rPr>
        <w:t>safety</w:t>
      </w:r>
      <w:r w:rsidRPr="00473B94">
        <w:rPr>
          <w:rFonts w:ascii="Arial" w:hAnsi="Arial" w:cs="Arial"/>
          <w:b w:val="0"/>
          <w:bCs w:val="0"/>
          <w:noProof/>
          <w:sz w:val="22"/>
          <w:szCs w:val="22"/>
        </w:rPr>
        <w:tab/>
      </w:r>
      <w:r w:rsidRPr="00473B94">
        <w:rPr>
          <w:rFonts w:ascii="Arial" w:hAnsi="Arial" w:cs="Arial"/>
          <w:b w:val="0"/>
          <w:bCs w:val="0"/>
          <w:noProof/>
          <w:sz w:val="22"/>
          <w:szCs w:val="22"/>
        </w:rPr>
        <w:fldChar w:fldCharType="begin"/>
      </w:r>
      <w:r w:rsidRPr="00473B94">
        <w:rPr>
          <w:rFonts w:ascii="Arial" w:hAnsi="Arial" w:cs="Arial"/>
          <w:b w:val="0"/>
          <w:bCs w:val="0"/>
          <w:noProof/>
          <w:sz w:val="22"/>
          <w:szCs w:val="22"/>
        </w:rPr>
        <w:instrText xml:space="preserve"> PAGEREF _Toc243037287 \h </w:instrText>
      </w:r>
      <w:r w:rsidRPr="00473B94">
        <w:rPr>
          <w:rFonts w:ascii="Arial" w:hAnsi="Arial" w:cs="Arial"/>
          <w:b w:val="0"/>
          <w:bCs w:val="0"/>
          <w:noProof/>
          <w:sz w:val="22"/>
          <w:szCs w:val="22"/>
        </w:rPr>
      </w:r>
      <w:r w:rsidRPr="00473B94">
        <w:rPr>
          <w:rFonts w:ascii="Arial" w:hAnsi="Arial" w:cs="Arial"/>
          <w:b w:val="0"/>
          <w:bCs w:val="0"/>
          <w:noProof/>
          <w:sz w:val="22"/>
          <w:szCs w:val="22"/>
        </w:rPr>
        <w:fldChar w:fldCharType="separate"/>
      </w:r>
      <w:r w:rsidRPr="00473B94">
        <w:rPr>
          <w:rFonts w:ascii="Arial" w:hAnsi="Arial" w:cs="Arial"/>
          <w:b w:val="0"/>
          <w:bCs w:val="0"/>
          <w:noProof/>
          <w:sz w:val="22"/>
          <w:szCs w:val="22"/>
        </w:rPr>
        <w:t>75</w:t>
      </w:r>
      <w:r w:rsidRPr="00473B94">
        <w:rPr>
          <w:rFonts w:ascii="Arial" w:hAnsi="Arial" w:cs="Arial"/>
          <w:b w:val="0"/>
          <w:bCs w:val="0"/>
          <w:noProof/>
          <w:sz w:val="22"/>
          <w:szCs w:val="22"/>
        </w:rPr>
        <w:fldChar w:fldCharType="end"/>
      </w:r>
    </w:p>
    <w:p w14:paraId="46EC2354" w14:textId="54DEDE8E" w:rsidR="001160E8" w:rsidRPr="00473B94" w:rsidRDefault="001160E8" w:rsidP="00473B94">
      <w:pPr>
        <w:pStyle w:val="TOC1"/>
        <w:tabs>
          <w:tab w:val="right" w:pos="10484"/>
        </w:tabs>
        <w:spacing w:before="0"/>
        <w:rPr>
          <w:rFonts w:ascii="Arial" w:eastAsiaTheme="minorEastAsia" w:hAnsi="Arial" w:cs="Arial"/>
          <w:b w:val="0"/>
          <w:bCs w:val="0"/>
          <w:noProof/>
          <w:kern w:val="2"/>
          <w:sz w:val="22"/>
          <w:szCs w:val="22"/>
          <w:lang w:val="en-AU" w:eastAsia="en-GB"/>
          <w14:ligatures w14:val="standardContextual"/>
        </w:rPr>
      </w:pPr>
      <w:r w:rsidRPr="00473B94">
        <w:rPr>
          <w:rFonts w:ascii="Arial" w:hAnsi="Arial" w:cs="Arial"/>
          <w:b w:val="0"/>
          <w:bCs w:val="0"/>
          <w:noProof/>
          <w:spacing w:val="-2"/>
          <w:sz w:val="22"/>
          <w:szCs w:val="22"/>
        </w:rPr>
        <w:t>Capability</w:t>
      </w:r>
      <w:r w:rsidRPr="00473B94">
        <w:rPr>
          <w:rFonts w:ascii="Arial" w:hAnsi="Arial" w:cs="Arial"/>
          <w:b w:val="0"/>
          <w:bCs w:val="0"/>
          <w:noProof/>
          <w:sz w:val="22"/>
          <w:szCs w:val="22"/>
        </w:rPr>
        <w:tab/>
      </w:r>
      <w:r w:rsidRPr="00473B94">
        <w:rPr>
          <w:rFonts w:ascii="Arial" w:hAnsi="Arial" w:cs="Arial"/>
          <w:b w:val="0"/>
          <w:bCs w:val="0"/>
          <w:noProof/>
          <w:sz w:val="22"/>
          <w:szCs w:val="22"/>
        </w:rPr>
        <w:fldChar w:fldCharType="begin"/>
      </w:r>
      <w:r w:rsidRPr="00473B94">
        <w:rPr>
          <w:rFonts w:ascii="Arial" w:hAnsi="Arial" w:cs="Arial"/>
          <w:b w:val="0"/>
          <w:bCs w:val="0"/>
          <w:noProof/>
          <w:sz w:val="22"/>
          <w:szCs w:val="22"/>
        </w:rPr>
        <w:instrText xml:space="preserve"> PAGEREF _Toc243037288 \h </w:instrText>
      </w:r>
      <w:r w:rsidRPr="00473B94">
        <w:rPr>
          <w:rFonts w:ascii="Arial" w:hAnsi="Arial" w:cs="Arial"/>
          <w:b w:val="0"/>
          <w:bCs w:val="0"/>
          <w:noProof/>
          <w:sz w:val="22"/>
          <w:szCs w:val="22"/>
        </w:rPr>
      </w:r>
      <w:r w:rsidRPr="00473B94">
        <w:rPr>
          <w:rFonts w:ascii="Arial" w:hAnsi="Arial" w:cs="Arial"/>
          <w:b w:val="0"/>
          <w:bCs w:val="0"/>
          <w:noProof/>
          <w:sz w:val="22"/>
          <w:szCs w:val="22"/>
        </w:rPr>
        <w:fldChar w:fldCharType="separate"/>
      </w:r>
      <w:r w:rsidRPr="00473B94">
        <w:rPr>
          <w:rFonts w:ascii="Arial" w:hAnsi="Arial" w:cs="Arial"/>
          <w:b w:val="0"/>
          <w:bCs w:val="0"/>
          <w:noProof/>
          <w:sz w:val="22"/>
          <w:szCs w:val="22"/>
        </w:rPr>
        <w:t>75</w:t>
      </w:r>
      <w:r w:rsidRPr="00473B94">
        <w:rPr>
          <w:rFonts w:ascii="Arial" w:hAnsi="Arial" w:cs="Arial"/>
          <w:b w:val="0"/>
          <w:bCs w:val="0"/>
          <w:noProof/>
          <w:sz w:val="22"/>
          <w:szCs w:val="22"/>
        </w:rPr>
        <w:fldChar w:fldCharType="end"/>
      </w:r>
    </w:p>
    <w:p w14:paraId="6C1416F1" w14:textId="59988C3F" w:rsidR="001160E8" w:rsidRPr="00473B94" w:rsidRDefault="001160E8" w:rsidP="00473B94">
      <w:pPr>
        <w:pStyle w:val="TOC1"/>
        <w:tabs>
          <w:tab w:val="right" w:pos="10484"/>
        </w:tabs>
        <w:spacing w:before="0"/>
        <w:rPr>
          <w:rFonts w:ascii="Arial" w:eastAsiaTheme="minorEastAsia" w:hAnsi="Arial" w:cs="Arial"/>
          <w:b w:val="0"/>
          <w:bCs w:val="0"/>
          <w:noProof/>
          <w:kern w:val="2"/>
          <w:sz w:val="22"/>
          <w:szCs w:val="22"/>
          <w:lang w:val="en-AU" w:eastAsia="en-GB"/>
          <w14:ligatures w14:val="standardContextual"/>
        </w:rPr>
      </w:pPr>
      <w:r w:rsidRPr="00473B94">
        <w:rPr>
          <w:rFonts w:ascii="Arial" w:hAnsi="Arial" w:cs="Arial"/>
          <w:b w:val="0"/>
          <w:bCs w:val="0"/>
          <w:noProof/>
          <w:spacing w:val="-2"/>
          <w:sz w:val="22"/>
          <w:szCs w:val="22"/>
        </w:rPr>
        <w:t>Workplace</w:t>
      </w:r>
      <w:r w:rsidRPr="00473B94">
        <w:rPr>
          <w:rFonts w:ascii="Arial" w:hAnsi="Arial" w:cs="Arial"/>
          <w:b w:val="0"/>
          <w:bCs w:val="0"/>
          <w:noProof/>
          <w:spacing w:val="-18"/>
          <w:sz w:val="22"/>
          <w:szCs w:val="22"/>
        </w:rPr>
        <w:t xml:space="preserve"> </w:t>
      </w:r>
      <w:r w:rsidRPr="00473B94">
        <w:rPr>
          <w:rFonts w:ascii="Arial" w:hAnsi="Arial" w:cs="Arial"/>
          <w:b w:val="0"/>
          <w:bCs w:val="0"/>
          <w:noProof/>
          <w:spacing w:val="-2"/>
          <w:sz w:val="22"/>
          <w:szCs w:val="22"/>
        </w:rPr>
        <w:t>diversity</w:t>
      </w:r>
      <w:r w:rsidRPr="00473B94">
        <w:rPr>
          <w:rFonts w:ascii="Arial" w:hAnsi="Arial" w:cs="Arial"/>
          <w:b w:val="0"/>
          <w:bCs w:val="0"/>
          <w:noProof/>
          <w:sz w:val="22"/>
          <w:szCs w:val="22"/>
        </w:rPr>
        <w:tab/>
      </w:r>
      <w:r w:rsidRPr="00473B94">
        <w:rPr>
          <w:rFonts w:ascii="Arial" w:hAnsi="Arial" w:cs="Arial"/>
          <w:b w:val="0"/>
          <w:bCs w:val="0"/>
          <w:noProof/>
          <w:sz w:val="22"/>
          <w:szCs w:val="22"/>
        </w:rPr>
        <w:fldChar w:fldCharType="begin"/>
      </w:r>
      <w:r w:rsidRPr="00473B94">
        <w:rPr>
          <w:rFonts w:ascii="Arial" w:hAnsi="Arial" w:cs="Arial"/>
          <w:b w:val="0"/>
          <w:bCs w:val="0"/>
          <w:noProof/>
          <w:sz w:val="22"/>
          <w:szCs w:val="22"/>
        </w:rPr>
        <w:instrText xml:space="preserve"> PAGEREF _Toc243037289 \h </w:instrText>
      </w:r>
      <w:r w:rsidRPr="00473B94">
        <w:rPr>
          <w:rFonts w:ascii="Arial" w:hAnsi="Arial" w:cs="Arial"/>
          <w:b w:val="0"/>
          <w:bCs w:val="0"/>
          <w:noProof/>
          <w:sz w:val="22"/>
          <w:szCs w:val="22"/>
        </w:rPr>
      </w:r>
      <w:r w:rsidRPr="00473B94">
        <w:rPr>
          <w:rFonts w:ascii="Arial" w:hAnsi="Arial" w:cs="Arial"/>
          <w:b w:val="0"/>
          <w:bCs w:val="0"/>
          <w:noProof/>
          <w:sz w:val="22"/>
          <w:szCs w:val="22"/>
        </w:rPr>
        <w:fldChar w:fldCharType="separate"/>
      </w:r>
      <w:r w:rsidRPr="00473B94">
        <w:rPr>
          <w:rFonts w:ascii="Arial" w:hAnsi="Arial" w:cs="Arial"/>
          <w:b w:val="0"/>
          <w:bCs w:val="0"/>
          <w:noProof/>
          <w:sz w:val="22"/>
          <w:szCs w:val="22"/>
        </w:rPr>
        <w:t>76</w:t>
      </w:r>
      <w:r w:rsidRPr="00473B94">
        <w:rPr>
          <w:rFonts w:ascii="Arial" w:hAnsi="Arial" w:cs="Arial"/>
          <w:b w:val="0"/>
          <w:bCs w:val="0"/>
          <w:noProof/>
          <w:sz w:val="22"/>
          <w:szCs w:val="22"/>
        </w:rPr>
        <w:fldChar w:fldCharType="end"/>
      </w:r>
    </w:p>
    <w:p w14:paraId="59C11C0D" w14:textId="2FB56458" w:rsidR="001160E8" w:rsidRPr="00473B94" w:rsidRDefault="001160E8" w:rsidP="00473B94">
      <w:pPr>
        <w:pStyle w:val="TOC1"/>
        <w:tabs>
          <w:tab w:val="right" w:pos="10484"/>
        </w:tabs>
        <w:spacing w:before="0"/>
        <w:rPr>
          <w:rFonts w:ascii="Arial" w:eastAsiaTheme="minorEastAsia" w:hAnsi="Arial" w:cs="Arial"/>
          <w:b w:val="0"/>
          <w:bCs w:val="0"/>
          <w:noProof/>
          <w:kern w:val="2"/>
          <w:sz w:val="22"/>
          <w:szCs w:val="22"/>
          <w:lang w:val="en-AU" w:eastAsia="en-GB"/>
          <w14:ligatures w14:val="standardContextual"/>
        </w:rPr>
      </w:pPr>
      <w:r w:rsidRPr="00473B94">
        <w:rPr>
          <w:rFonts w:ascii="Arial" w:hAnsi="Arial" w:cs="Arial"/>
          <w:b w:val="0"/>
          <w:bCs w:val="0"/>
          <w:noProof/>
          <w:spacing w:val="-2"/>
          <w:sz w:val="22"/>
          <w:szCs w:val="22"/>
        </w:rPr>
        <w:t>First</w:t>
      </w:r>
      <w:r w:rsidRPr="00473B94">
        <w:rPr>
          <w:rFonts w:ascii="Arial" w:hAnsi="Arial" w:cs="Arial"/>
          <w:b w:val="0"/>
          <w:bCs w:val="0"/>
          <w:noProof/>
          <w:spacing w:val="-21"/>
          <w:sz w:val="22"/>
          <w:szCs w:val="22"/>
        </w:rPr>
        <w:t xml:space="preserve"> </w:t>
      </w:r>
      <w:r w:rsidRPr="00473B94">
        <w:rPr>
          <w:rFonts w:ascii="Arial" w:hAnsi="Arial" w:cs="Arial"/>
          <w:b w:val="0"/>
          <w:bCs w:val="0"/>
          <w:noProof/>
          <w:spacing w:val="-2"/>
          <w:sz w:val="22"/>
          <w:szCs w:val="22"/>
        </w:rPr>
        <w:t>Nations</w:t>
      </w:r>
      <w:r w:rsidRPr="00473B94">
        <w:rPr>
          <w:rFonts w:ascii="Arial" w:hAnsi="Arial" w:cs="Arial"/>
          <w:b w:val="0"/>
          <w:bCs w:val="0"/>
          <w:noProof/>
          <w:spacing w:val="-20"/>
          <w:sz w:val="22"/>
          <w:szCs w:val="22"/>
        </w:rPr>
        <w:t xml:space="preserve"> </w:t>
      </w:r>
      <w:r w:rsidRPr="00473B94">
        <w:rPr>
          <w:rFonts w:ascii="Arial" w:hAnsi="Arial" w:cs="Arial"/>
          <w:b w:val="0"/>
          <w:bCs w:val="0"/>
          <w:noProof/>
          <w:spacing w:val="-2"/>
          <w:sz w:val="22"/>
          <w:szCs w:val="22"/>
        </w:rPr>
        <w:t>employment</w:t>
      </w:r>
      <w:r w:rsidRPr="00473B94">
        <w:rPr>
          <w:rFonts w:ascii="Arial" w:hAnsi="Arial" w:cs="Arial"/>
          <w:b w:val="0"/>
          <w:bCs w:val="0"/>
          <w:noProof/>
          <w:sz w:val="22"/>
          <w:szCs w:val="22"/>
        </w:rPr>
        <w:tab/>
      </w:r>
      <w:r w:rsidRPr="00473B94">
        <w:rPr>
          <w:rFonts w:ascii="Arial" w:hAnsi="Arial" w:cs="Arial"/>
          <w:b w:val="0"/>
          <w:bCs w:val="0"/>
          <w:noProof/>
          <w:sz w:val="22"/>
          <w:szCs w:val="22"/>
        </w:rPr>
        <w:fldChar w:fldCharType="begin"/>
      </w:r>
      <w:r w:rsidRPr="00473B94">
        <w:rPr>
          <w:rFonts w:ascii="Arial" w:hAnsi="Arial" w:cs="Arial"/>
          <w:b w:val="0"/>
          <w:bCs w:val="0"/>
          <w:noProof/>
          <w:sz w:val="22"/>
          <w:szCs w:val="22"/>
        </w:rPr>
        <w:instrText xml:space="preserve"> PAGEREF _Toc243037290 \h </w:instrText>
      </w:r>
      <w:r w:rsidRPr="00473B94">
        <w:rPr>
          <w:rFonts w:ascii="Arial" w:hAnsi="Arial" w:cs="Arial"/>
          <w:b w:val="0"/>
          <w:bCs w:val="0"/>
          <w:noProof/>
          <w:sz w:val="22"/>
          <w:szCs w:val="22"/>
        </w:rPr>
      </w:r>
      <w:r w:rsidRPr="00473B94">
        <w:rPr>
          <w:rFonts w:ascii="Arial" w:hAnsi="Arial" w:cs="Arial"/>
          <w:b w:val="0"/>
          <w:bCs w:val="0"/>
          <w:noProof/>
          <w:sz w:val="22"/>
          <w:szCs w:val="22"/>
        </w:rPr>
        <w:fldChar w:fldCharType="separate"/>
      </w:r>
      <w:r w:rsidRPr="00473B94">
        <w:rPr>
          <w:rFonts w:ascii="Arial" w:hAnsi="Arial" w:cs="Arial"/>
          <w:b w:val="0"/>
          <w:bCs w:val="0"/>
          <w:noProof/>
          <w:sz w:val="22"/>
          <w:szCs w:val="22"/>
        </w:rPr>
        <w:t>7</w:t>
      </w:r>
      <w:r w:rsidRPr="00473B94">
        <w:rPr>
          <w:rFonts w:ascii="Arial" w:hAnsi="Arial" w:cs="Arial"/>
          <w:b w:val="0"/>
          <w:bCs w:val="0"/>
          <w:noProof/>
          <w:sz w:val="22"/>
          <w:szCs w:val="22"/>
        </w:rPr>
        <w:t>7</w:t>
      </w:r>
      <w:r w:rsidRPr="00473B94">
        <w:rPr>
          <w:rFonts w:ascii="Arial" w:hAnsi="Arial" w:cs="Arial"/>
          <w:b w:val="0"/>
          <w:bCs w:val="0"/>
          <w:noProof/>
          <w:sz w:val="22"/>
          <w:szCs w:val="22"/>
        </w:rPr>
        <w:fldChar w:fldCharType="end"/>
      </w:r>
    </w:p>
    <w:p w14:paraId="153AD75D" w14:textId="3C9BF961" w:rsidR="00473B94" w:rsidRDefault="00473B94" w:rsidP="00473B94">
      <w:pPr>
        <w:pStyle w:val="TOC1"/>
        <w:numPr>
          <w:ilvl w:val="0"/>
          <w:numId w:val="40"/>
        </w:numPr>
        <w:tabs>
          <w:tab w:val="right" w:pos="10484"/>
        </w:tabs>
        <w:spacing w:before="120"/>
        <w:ind w:left="357" w:hanging="357"/>
        <w:rPr>
          <w:rFonts w:ascii="Arial" w:hAnsi="Arial" w:cs="Arial"/>
          <w:spacing w:val="-2"/>
          <w:sz w:val="22"/>
          <w:szCs w:val="22"/>
        </w:rPr>
      </w:pPr>
      <w:r w:rsidRPr="00473B94">
        <w:rPr>
          <w:rFonts w:ascii="Arial" w:hAnsi="Arial" w:cs="Arial"/>
          <w:spacing w:val="-2"/>
          <w:sz w:val="22"/>
          <w:szCs w:val="22"/>
        </w:rPr>
        <w:t>Financial statements</w:t>
      </w:r>
    </w:p>
    <w:p w14:paraId="74DC9996" w14:textId="3BF6A7B9" w:rsidR="00F84D7F" w:rsidRDefault="00F84D7F" w:rsidP="00F84D7F">
      <w:pPr>
        <w:pStyle w:val="TOC1"/>
        <w:tabs>
          <w:tab w:val="right" w:pos="10484"/>
        </w:tabs>
        <w:spacing w:before="120"/>
        <w:rPr>
          <w:rFonts w:ascii="Arial" w:hAnsi="Arial" w:cs="Arial"/>
          <w:b w:val="0"/>
          <w:bCs w:val="0"/>
          <w:spacing w:val="-2"/>
          <w:sz w:val="22"/>
          <w:szCs w:val="22"/>
        </w:rPr>
      </w:pPr>
      <w:r w:rsidRPr="00F84D7F">
        <w:rPr>
          <w:rFonts w:ascii="Arial" w:hAnsi="Arial" w:cs="Arial"/>
          <w:b w:val="0"/>
          <w:bCs w:val="0"/>
          <w:spacing w:val="-2"/>
          <w:sz w:val="22"/>
          <w:szCs w:val="22"/>
        </w:rPr>
        <w:t>Independent auditor's report</w:t>
      </w:r>
      <w:r w:rsidRPr="00F84D7F">
        <w:rPr>
          <w:rFonts w:ascii="Arial" w:hAnsi="Arial" w:cs="Arial"/>
          <w:b w:val="0"/>
          <w:bCs w:val="0"/>
          <w:spacing w:val="-2"/>
          <w:sz w:val="22"/>
          <w:szCs w:val="22"/>
        </w:rPr>
        <w:tab/>
      </w:r>
      <w:hyperlink w:anchor="Ind" w:history="1">
        <w:r w:rsidRPr="00F84D7F">
          <w:rPr>
            <w:rStyle w:val="Hyperlink"/>
            <w:rFonts w:ascii="Arial" w:hAnsi="Arial" w:cs="Arial"/>
            <w:b w:val="0"/>
            <w:bCs w:val="0"/>
            <w:spacing w:val="-2"/>
            <w:sz w:val="22"/>
            <w:szCs w:val="22"/>
          </w:rPr>
          <w:t>79</w:t>
        </w:r>
      </w:hyperlink>
    </w:p>
    <w:p w14:paraId="6BF17988" w14:textId="1AED541C" w:rsidR="00F84D7F" w:rsidRPr="00F84D7F" w:rsidRDefault="00F84D7F" w:rsidP="00F84D7F">
      <w:pPr>
        <w:pStyle w:val="TOC1"/>
        <w:tabs>
          <w:tab w:val="right" w:pos="10484"/>
        </w:tabs>
        <w:spacing w:before="120"/>
        <w:rPr>
          <w:rFonts w:ascii="Arial" w:hAnsi="Arial" w:cs="Arial"/>
          <w:b w:val="0"/>
          <w:bCs w:val="0"/>
          <w:spacing w:val="-2"/>
          <w:sz w:val="22"/>
          <w:szCs w:val="22"/>
        </w:rPr>
      </w:pPr>
      <w:r>
        <w:rPr>
          <w:rFonts w:ascii="Arial" w:hAnsi="Arial" w:cs="Arial"/>
          <w:b w:val="0"/>
          <w:bCs w:val="0"/>
          <w:spacing w:val="-2"/>
          <w:sz w:val="22"/>
          <w:szCs w:val="22"/>
        </w:rPr>
        <w:t>Financial statements</w:t>
      </w:r>
      <w:r>
        <w:rPr>
          <w:rFonts w:ascii="Arial" w:hAnsi="Arial" w:cs="Arial"/>
          <w:b w:val="0"/>
          <w:bCs w:val="0"/>
          <w:spacing w:val="-2"/>
          <w:sz w:val="22"/>
          <w:szCs w:val="22"/>
        </w:rPr>
        <w:tab/>
      </w:r>
      <w:hyperlink w:anchor="Fin" w:history="1">
        <w:r w:rsidRPr="00F84D7F">
          <w:rPr>
            <w:rStyle w:val="Hyperlink"/>
            <w:rFonts w:ascii="Arial" w:hAnsi="Arial" w:cs="Arial"/>
            <w:b w:val="0"/>
            <w:bCs w:val="0"/>
            <w:spacing w:val="-2"/>
            <w:sz w:val="22"/>
            <w:szCs w:val="22"/>
          </w:rPr>
          <w:t>81</w:t>
        </w:r>
      </w:hyperlink>
    </w:p>
    <w:p w14:paraId="65CF0B6D" w14:textId="78420009" w:rsidR="00473B94" w:rsidRPr="00473B94" w:rsidRDefault="00473B94" w:rsidP="00473B94">
      <w:pPr>
        <w:pStyle w:val="TOC1"/>
        <w:numPr>
          <w:ilvl w:val="0"/>
          <w:numId w:val="40"/>
        </w:numPr>
        <w:tabs>
          <w:tab w:val="right" w:pos="10484"/>
        </w:tabs>
        <w:spacing w:before="120"/>
        <w:ind w:left="357" w:hanging="357"/>
        <w:rPr>
          <w:rFonts w:ascii="Arial" w:hAnsi="Arial" w:cs="Arial"/>
          <w:spacing w:val="-2"/>
          <w:sz w:val="22"/>
          <w:szCs w:val="22"/>
        </w:rPr>
      </w:pPr>
      <w:r w:rsidRPr="00473B94">
        <w:rPr>
          <w:rFonts w:ascii="Arial" w:hAnsi="Arial" w:cs="Arial"/>
          <w:spacing w:val="-2"/>
          <w:sz w:val="22"/>
          <w:szCs w:val="22"/>
        </w:rPr>
        <w:lastRenderedPageBreak/>
        <w:t>Appendices</w:t>
      </w:r>
    </w:p>
    <w:p w14:paraId="605E0C57" w14:textId="4B2B7768" w:rsidR="001160E8" w:rsidRPr="00473B94" w:rsidRDefault="001160E8" w:rsidP="00473B94">
      <w:pPr>
        <w:pStyle w:val="TOC1"/>
        <w:tabs>
          <w:tab w:val="right" w:pos="10484"/>
        </w:tabs>
        <w:spacing w:before="0"/>
        <w:rPr>
          <w:rFonts w:ascii="Arial" w:eastAsiaTheme="minorEastAsia" w:hAnsi="Arial" w:cs="Arial"/>
          <w:b w:val="0"/>
          <w:bCs w:val="0"/>
          <w:noProof/>
          <w:kern w:val="2"/>
          <w:sz w:val="22"/>
          <w:szCs w:val="22"/>
          <w:lang w:val="en-AU" w:eastAsia="en-GB"/>
          <w14:ligatures w14:val="standardContextual"/>
        </w:rPr>
      </w:pPr>
      <w:r w:rsidRPr="00473B94">
        <w:rPr>
          <w:rFonts w:ascii="Arial" w:hAnsi="Arial" w:cs="Arial"/>
          <w:b w:val="0"/>
          <w:bCs w:val="0"/>
          <w:noProof/>
          <w:sz w:val="22"/>
          <w:szCs w:val="22"/>
        </w:rPr>
        <w:t>Appendix</w:t>
      </w:r>
      <w:r w:rsidRPr="00473B94">
        <w:rPr>
          <w:rFonts w:ascii="Arial" w:hAnsi="Arial" w:cs="Arial"/>
          <w:b w:val="0"/>
          <w:bCs w:val="0"/>
          <w:noProof/>
          <w:spacing w:val="-23"/>
          <w:sz w:val="22"/>
          <w:szCs w:val="22"/>
        </w:rPr>
        <w:t xml:space="preserve"> </w:t>
      </w:r>
      <w:r w:rsidRPr="00473B94">
        <w:rPr>
          <w:rFonts w:ascii="Arial" w:hAnsi="Arial" w:cs="Arial"/>
          <w:b w:val="0"/>
          <w:bCs w:val="0"/>
          <w:noProof/>
          <w:sz w:val="22"/>
          <w:szCs w:val="22"/>
        </w:rPr>
        <w:t>A:</w:t>
      </w:r>
      <w:r w:rsidRPr="00473B94">
        <w:rPr>
          <w:rFonts w:ascii="Arial" w:hAnsi="Arial" w:cs="Arial"/>
          <w:b w:val="0"/>
          <w:bCs w:val="0"/>
          <w:noProof/>
          <w:spacing w:val="-21"/>
          <w:sz w:val="22"/>
          <w:szCs w:val="22"/>
        </w:rPr>
        <w:t xml:space="preserve"> </w:t>
      </w:r>
      <w:r w:rsidRPr="00473B94">
        <w:rPr>
          <w:rFonts w:ascii="Arial" w:hAnsi="Arial" w:cs="Arial"/>
          <w:b w:val="0"/>
          <w:bCs w:val="0"/>
          <w:noProof/>
          <w:sz w:val="22"/>
          <w:szCs w:val="22"/>
        </w:rPr>
        <w:t>Related-entity</w:t>
      </w:r>
      <w:r w:rsidRPr="00473B94">
        <w:rPr>
          <w:rFonts w:ascii="Arial" w:hAnsi="Arial" w:cs="Arial"/>
          <w:b w:val="0"/>
          <w:bCs w:val="0"/>
          <w:noProof/>
          <w:spacing w:val="-21"/>
          <w:sz w:val="22"/>
          <w:szCs w:val="22"/>
        </w:rPr>
        <w:t xml:space="preserve"> </w:t>
      </w:r>
      <w:r w:rsidRPr="00473B94">
        <w:rPr>
          <w:rFonts w:ascii="Arial" w:hAnsi="Arial" w:cs="Arial"/>
          <w:b w:val="0"/>
          <w:bCs w:val="0"/>
          <w:noProof/>
          <w:spacing w:val="-2"/>
          <w:sz w:val="22"/>
          <w:szCs w:val="22"/>
        </w:rPr>
        <w:t>transactions</w:t>
      </w:r>
      <w:r w:rsidRPr="00473B94">
        <w:rPr>
          <w:rFonts w:ascii="Arial" w:hAnsi="Arial" w:cs="Arial"/>
          <w:b w:val="0"/>
          <w:bCs w:val="0"/>
          <w:noProof/>
          <w:sz w:val="22"/>
          <w:szCs w:val="22"/>
        </w:rPr>
        <w:tab/>
      </w:r>
      <w:r w:rsidRPr="00473B94">
        <w:rPr>
          <w:rFonts w:ascii="Arial" w:hAnsi="Arial" w:cs="Arial"/>
          <w:b w:val="0"/>
          <w:bCs w:val="0"/>
          <w:noProof/>
          <w:sz w:val="22"/>
          <w:szCs w:val="22"/>
        </w:rPr>
        <w:fldChar w:fldCharType="begin"/>
      </w:r>
      <w:r w:rsidRPr="00473B94">
        <w:rPr>
          <w:rFonts w:ascii="Arial" w:hAnsi="Arial" w:cs="Arial"/>
          <w:b w:val="0"/>
          <w:bCs w:val="0"/>
          <w:noProof/>
          <w:sz w:val="22"/>
          <w:szCs w:val="22"/>
        </w:rPr>
        <w:instrText xml:space="preserve"> PAGEREF _Toc243037291 \h </w:instrText>
      </w:r>
      <w:r w:rsidRPr="00473B94">
        <w:rPr>
          <w:rFonts w:ascii="Arial" w:hAnsi="Arial" w:cs="Arial"/>
          <w:b w:val="0"/>
          <w:bCs w:val="0"/>
          <w:noProof/>
          <w:sz w:val="22"/>
          <w:szCs w:val="22"/>
        </w:rPr>
      </w:r>
      <w:r w:rsidRPr="00473B94">
        <w:rPr>
          <w:rFonts w:ascii="Arial" w:hAnsi="Arial" w:cs="Arial"/>
          <w:b w:val="0"/>
          <w:bCs w:val="0"/>
          <w:noProof/>
          <w:sz w:val="22"/>
          <w:szCs w:val="22"/>
        </w:rPr>
        <w:fldChar w:fldCharType="separate"/>
      </w:r>
      <w:r w:rsidRPr="00473B94">
        <w:rPr>
          <w:rFonts w:ascii="Arial" w:hAnsi="Arial" w:cs="Arial"/>
          <w:b w:val="0"/>
          <w:bCs w:val="0"/>
          <w:noProof/>
          <w:sz w:val="22"/>
          <w:szCs w:val="22"/>
        </w:rPr>
        <w:t>105</w:t>
      </w:r>
      <w:r w:rsidRPr="00473B94">
        <w:rPr>
          <w:rFonts w:ascii="Arial" w:hAnsi="Arial" w:cs="Arial"/>
          <w:b w:val="0"/>
          <w:bCs w:val="0"/>
          <w:noProof/>
          <w:sz w:val="22"/>
          <w:szCs w:val="22"/>
        </w:rPr>
        <w:fldChar w:fldCharType="end"/>
      </w:r>
    </w:p>
    <w:p w14:paraId="130C5BD8" w14:textId="1507C3BE" w:rsidR="001160E8" w:rsidRPr="00473B94" w:rsidRDefault="001160E8" w:rsidP="00473B94">
      <w:pPr>
        <w:pStyle w:val="TOC1"/>
        <w:tabs>
          <w:tab w:val="right" w:pos="10484"/>
        </w:tabs>
        <w:spacing w:before="0"/>
        <w:rPr>
          <w:rFonts w:ascii="Arial" w:eastAsiaTheme="minorEastAsia" w:hAnsi="Arial" w:cs="Arial"/>
          <w:b w:val="0"/>
          <w:bCs w:val="0"/>
          <w:noProof/>
          <w:kern w:val="2"/>
          <w:sz w:val="22"/>
          <w:szCs w:val="22"/>
          <w:lang w:val="en-AU" w:eastAsia="en-GB"/>
          <w14:ligatures w14:val="standardContextual"/>
        </w:rPr>
      </w:pPr>
      <w:r w:rsidRPr="00473B94">
        <w:rPr>
          <w:rFonts w:ascii="Arial" w:hAnsi="Arial" w:cs="Arial"/>
          <w:b w:val="0"/>
          <w:bCs w:val="0"/>
          <w:noProof/>
          <w:sz w:val="22"/>
          <w:szCs w:val="22"/>
        </w:rPr>
        <w:t>Appendix</w:t>
      </w:r>
      <w:r w:rsidRPr="00473B94">
        <w:rPr>
          <w:rFonts w:ascii="Arial" w:hAnsi="Arial" w:cs="Arial"/>
          <w:b w:val="0"/>
          <w:bCs w:val="0"/>
          <w:noProof/>
          <w:spacing w:val="-24"/>
          <w:sz w:val="22"/>
          <w:szCs w:val="22"/>
        </w:rPr>
        <w:t xml:space="preserve"> </w:t>
      </w:r>
      <w:r w:rsidRPr="00473B94">
        <w:rPr>
          <w:rFonts w:ascii="Arial" w:hAnsi="Arial" w:cs="Arial"/>
          <w:b w:val="0"/>
          <w:bCs w:val="0"/>
          <w:noProof/>
          <w:sz w:val="22"/>
          <w:szCs w:val="22"/>
        </w:rPr>
        <w:t>B:</w:t>
      </w:r>
      <w:r w:rsidRPr="00473B94">
        <w:rPr>
          <w:rFonts w:ascii="Arial" w:hAnsi="Arial" w:cs="Arial"/>
          <w:b w:val="0"/>
          <w:bCs w:val="0"/>
          <w:noProof/>
          <w:spacing w:val="-21"/>
          <w:sz w:val="22"/>
          <w:szCs w:val="22"/>
        </w:rPr>
        <w:t xml:space="preserve"> </w:t>
      </w:r>
      <w:r w:rsidRPr="00473B94">
        <w:rPr>
          <w:rFonts w:ascii="Arial" w:hAnsi="Arial" w:cs="Arial"/>
          <w:b w:val="0"/>
          <w:bCs w:val="0"/>
          <w:noProof/>
          <w:sz w:val="22"/>
          <w:szCs w:val="22"/>
        </w:rPr>
        <w:t>Freedom</w:t>
      </w:r>
      <w:r w:rsidRPr="00473B94">
        <w:rPr>
          <w:rFonts w:ascii="Arial" w:hAnsi="Arial" w:cs="Arial"/>
          <w:b w:val="0"/>
          <w:bCs w:val="0"/>
          <w:noProof/>
          <w:spacing w:val="-22"/>
          <w:sz w:val="22"/>
          <w:szCs w:val="22"/>
        </w:rPr>
        <w:t xml:space="preserve"> </w:t>
      </w:r>
      <w:r w:rsidRPr="00473B94">
        <w:rPr>
          <w:rFonts w:ascii="Arial" w:hAnsi="Arial" w:cs="Arial"/>
          <w:b w:val="0"/>
          <w:bCs w:val="0"/>
          <w:noProof/>
          <w:sz w:val="22"/>
          <w:szCs w:val="22"/>
        </w:rPr>
        <w:t>of</w:t>
      </w:r>
      <w:r w:rsidRPr="00473B94">
        <w:rPr>
          <w:rFonts w:ascii="Arial" w:hAnsi="Arial" w:cs="Arial"/>
          <w:b w:val="0"/>
          <w:bCs w:val="0"/>
          <w:noProof/>
          <w:spacing w:val="-21"/>
          <w:sz w:val="22"/>
          <w:szCs w:val="22"/>
        </w:rPr>
        <w:t xml:space="preserve"> </w:t>
      </w:r>
      <w:r w:rsidRPr="00473B94">
        <w:rPr>
          <w:rFonts w:ascii="Arial" w:hAnsi="Arial" w:cs="Arial"/>
          <w:b w:val="0"/>
          <w:bCs w:val="0"/>
          <w:noProof/>
          <w:sz w:val="22"/>
          <w:szCs w:val="22"/>
        </w:rPr>
        <w:t>information</w:t>
      </w:r>
      <w:r w:rsidRPr="00473B94">
        <w:rPr>
          <w:rFonts w:ascii="Arial" w:hAnsi="Arial" w:cs="Arial"/>
          <w:b w:val="0"/>
          <w:bCs w:val="0"/>
          <w:noProof/>
          <w:spacing w:val="-21"/>
          <w:sz w:val="22"/>
          <w:szCs w:val="22"/>
        </w:rPr>
        <w:t xml:space="preserve"> </w:t>
      </w:r>
      <w:r w:rsidRPr="00473B94">
        <w:rPr>
          <w:rFonts w:ascii="Arial" w:hAnsi="Arial" w:cs="Arial"/>
          <w:b w:val="0"/>
          <w:bCs w:val="0"/>
          <w:noProof/>
          <w:sz w:val="22"/>
          <w:szCs w:val="22"/>
        </w:rPr>
        <w:t>summary</w:t>
      </w:r>
      <w:r w:rsidRPr="00473B94">
        <w:rPr>
          <w:rFonts w:ascii="Arial" w:hAnsi="Arial" w:cs="Arial"/>
          <w:b w:val="0"/>
          <w:bCs w:val="0"/>
          <w:noProof/>
          <w:sz w:val="22"/>
          <w:szCs w:val="22"/>
        </w:rPr>
        <w:tab/>
      </w:r>
      <w:r w:rsidRPr="00473B94">
        <w:rPr>
          <w:rFonts w:ascii="Arial" w:hAnsi="Arial" w:cs="Arial"/>
          <w:b w:val="0"/>
          <w:bCs w:val="0"/>
          <w:noProof/>
          <w:sz w:val="22"/>
          <w:szCs w:val="22"/>
        </w:rPr>
        <w:fldChar w:fldCharType="begin"/>
      </w:r>
      <w:r w:rsidRPr="00473B94">
        <w:rPr>
          <w:rFonts w:ascii="Arial" w:hAnsi="Arial" w:cs="Arial"/>
          <w:b w:val="0"/>
          <w:bCs w:val="0"/>
          <w:noProof/>
          <w:sz w:val="22"/>
          <w:szCs w:val="22"/>
        </w:rPr>
        <w:instrText xml:space="preserve"> PAGEREF _Toc243037292 \h </w:instrText>
      </w:r>
      <w:r w:rsidRPr="00473B94">
        <w:rPr>
          <w:rFonts w:ascii="Arial" w:hAnsi="Arial" w:cs="Arial"/>
          <w:b w:val="0"/>
          <w:bCs w:val="0"/>
          <w:noProof/>
          <w:sz w:val="22"/>
          <w:szCs w:val="22"/>
        </w:rPr>
      </w:r>
      <w:r w:rsidRPr="00473B94">
        <w:rPr>
          <w:rFonts w:ascii="Arial" w:hAnsi="Arial" w:cs="Arial"/>
          <w:b w:val="0"/>
          <w:bCs w:val="0"/>
          <w:noProof/>
          <w:sz w:val="22"/>
          <w:szCs w:val="22"/>
        </w:rPr>
        <w:fldChar w:fldCharType="separate"/>
      </w:r>
      <w:r w:rsidRPr="00473B94">
        <w:rPr>
          <w:rFonts w:ascii="Arial" w:hAnsi="Arial" w:cs="Arial"/>
          <w:b w:val="0"/>
          <w:bCs w:val="0"/>
          <w:noProof/>
          <w:sz w:val="22"/>
          <w:szCs w:val="22"/>
        </w:rPr>
        <w:t>105</w:t>
      </w:r>
      <w:r w:rsidRPr="00473B94">
        <w:rPr>
          <w:rFonts w:ascii="Arial" w:hAnsi="Arial" w:cs="Arial"/>
          <w:b w:val="0"/>
          <w:bCs w:val="0"/>
          <w:noProof/>
          <w:sz w:val="22"/>
          <w:szCs w:val="22"/>
        </w:rPr>
        <w:fldChar w:fldCharType="end"/>
      </w:r>
    </w:p>
    <w:p w14:paraId="5C2C3912" w14:textId="52A040AB" w:rsidR="001160E8" w:rsidRPr="00473B94" w:rsidRDefault="001160E8" w:rsidP="00473B94">
      <w:pPr>
        <w:pStyle w:val="TOC1"/>
        <w:tabs>
          <w:tab w:val="right" w:pos="10484"/>
        </w:tabs>
        <w:spacing w:before="0"/>
        <w:rPr>
          <w:rFonts w:ascii="Arial" w:eastAsiaTheme="minorEastAsia" w:hAnsi="Arial" w:cs="Arial"/>
          <w:b w:val="0"/>
          <w:bCs w:val="0"/>
          <w:noProof/>
          <w:kern w:val="2"/>
          <w:sz w:val="22"/>
          <w:szCs w:val="22"/>
          <w:lang w:val="en-AU" w:eastAsia="en-GB"/>
          <w14:ligatures w14:val="standardContextual"/>
        </w:rPr>
      </w:pPr>
      <w:r w:rsidRPr="00473B94">
        <w:rPr>
          <w:rFonts w:ascii="Arial" w:hAnsi="Arial" w:cs="Arial"/>
          <w:b w:val="0"/>
          <w:bCs w:val="0"/>
          <w:noProof/>
          <w:sz w:val="22"/>
          <w:szCs w:val="22"/>
        </w:rPr>
        <w:t>Appendix</w:t>
      </w:r>
      <w:r w:rsidRPr="00473B94">
        <w:rPr>
          <w:rFonts w:ascii="Arial" w:hAnsi="Arial" w:cs="Arial"/>
          <w:b w:val="0"/>
          <w:bCs w:val="0"/>
          <w:noProof/>
          <w:spacing w:val="-21"/>
          <w:sz w:val="22"/>
          <w:szCs w:val="22"/>
        </w:rPr>
        <w:t xml:space="preserve"> </w:t>
      </w:r>
      <w:r w:rsidRPr="00473B94">
        <w:rPr>
          <w:rFonts w:ascii="Arial" w:hAnsi="Arial" w:cs="Arial"/>
          <w:b w:val="0"/>
          <w:bCs w:val="0"/>
          <w:noProof/>
          <w:sz w:val="22"/>
          <w:szCs w:val="22"/>
        </w:rPr>
        <w:t>C:</w:t>
      </w:r>
      <w:r w:rsidRPr="00473B94">
        <w:rPr>
          <w:rFonts w:ascii="Arial" w:hAnsi="Arial" w:cs="Arial"/>
          <w:b w:val="0"/>
          <w:bCs w:val="0"/>
          <w:noProof/>
          <w:spacing w:val="-21"/>
          <w:sz w:val="22"/>
          <w:szCs w:val="22"/>
        </w:rPr>
        <w:t xml:space="preserve"> </w:t>
      </w:r>
      <w:r w:rsidRPr="00473B94">
        <w:rPr>
          <w:rFonts w:ascii="Arial" w:hAnsi="Arial" w:cs="Arial"/>
          <w:b w:val="0"/>
          <w:bCs w:val="0"/>
          <w:noProof/>
          <w:sz w:val="22"/>
          <w:szCs w:val="22"/>
        </w:rPr>
        <w:t>Compliance</w:t>
      </w:r>
      <w:r w:rsidRPr="00473B94">
        <w:rPr>
          <w:rFonts w:ascii="Arial" w:hAnsi="Arial" w:cs="Arial"/>
          <w:b w:val="0"/>
          <w:bCs w:val="0"/>
          <w:noProof/>
          <w:spacing w:val="-21"/>
          <w:sz w:val="22"/>
          <w:szCs w:val="22"/>
        </w:rPr>
        <w:t xml:space="preserve"> </w:t>
      </w:r>
      <w:r w:rsidRPr="00473B94">
        <w:rPr>
          <w:rFonts w:ascii="Arial" w:hAnsi="Arial" w:cs="Arial"/>
          <w:b w:val="0"/>
          <w:bCs w:val="0"/>
          <w:noProof/>
          <w:sz w:val="22"/>
          <w:szCs w:val="22"/>
        </w:rPr>
        <w:t>with</w:t>
      </w:r>
      <w:r w:rsidRPr="00473B94">
        <w:rPr>
          <w:rFonts w:ascii="Arial" w:hAnsi="Arial" w:cs="Arial"/>
          <w:b w:val="0"/>
          <w:bCs w:val="0"/>
          <w:noProof/>
          <w:spacing w:val="-21"/>
          <w:sz w:val="22"/>
          <w:szCs w:val="22"/>
        </w:rPr>
        <w:t xml:space="preserve"> </w:t>
      </w:r>
      <w:r w:rsidRPr="00473B94">
        <w:rPr>
          <w:rFonts w:ascii="Arial" w:hAnsi="Arial" w:cs="Arial"/>
          <w:b w:val="0"/>
          <w:bCs w:val="0"/>
          <w:noProof/>
          <w:sz w:val="22"/>
          <w:szCs w:val="22"/>
        </w:rPr>
        <w:t>ecologically sustainable development</w:t>
      </w:r>
      <w:r w:rsidRPr="00473B94">
        <w:rPr>
          <w:rFonts w:ascii="Arial" w:hAnsi="Arial" w:cs="Arial"/>
          <w:b w:val="0"/>
          <w:bCs w:val="0"/>
          <w:noProof/>
          <w:sz w:val="22"/>
          <w:szCs w:val="22"/>
        </w:rPr>
        <w:tab/>
      </w:r>
      <w:r w:rsidRPr="00473B94">
        <w:rPr>
          <w:rFonts w:ascii="Arial" w:hAnsi="Arial" w:cs="Arial"/>
          <w:b w:val="0"/>
          <w:bCs w:val="0"/>
          <w:noProof/>
          <w:sz w:val="22"/>
          <w:szCs w:val="22"/>
        </w:rPr>
        <w:fldChar w:fldCharType="begin"/>
      </w:r>
      <w:r w:rsidRPr="00473B94">
        <w:rPr>
          <w:rFonts w:ascii="Arial" w:hAnsi="Arial" w:cs="Arial"/>
          <w:b w:val="0"/>
          <w:bCs w:val="0"/>
          <w:noProof/>
          <w:sz w:val="22"/>
          <w:szCs w:val="22"/>
        </w:rPr>
        <w:instrText xml:space="preserve"> PAGEREF _Toc243037293 \h </w:instrText>
      </w:r>
      <w:r w:rsidRPr="00473B94">
        <w:rPr>
          <w:rFonts w:ascii="Arial" w:hAnsi="Arial" w:cs="Arial"/>
          <w:b w:val="0"/>
          <w:bCs w:val="0"/>
          <w:noProof/>
          <w:sz w:val="22"/>
          <w:szCs w:val="22"/>
        </w:rPr>
      </w:r>
      <w:r w:rsidRPr="00473B94">
        <w:rPr>
          <w:rFonts w:ascii="Arial" w:hAnsi="Arial" w:cs="Arial"/>
          <w:b w:val="0"/>
          <w:bCs w:val="0"/>
          <w:noProof/>
          <w:sz w:val="22"/>
          <w:szCs w:val="22"/>
        </w:rPr>
        <w:fldChar w:fldCharType="separate"/>
      </w:r>
      <w:r w:rsidRPr="00473B94">
        <w:rPr>
          <w:rFonts w:ascii="Arial" w:hAnsi="Arial" w:cs="Arial"/>
          <w:b w:val="0"/>
          <w:bCs w:val="0"/>
          <w:noProof/>
          <w:sz w:val="22"/>
          <w:szCs w:val="22"/>
        </w:rPr>
        <w:t>106</w:t>
      </w:r>
      <w:r w:rsidRPr="00473B94">
        <w:rPr>
          <w:rFonts w:ascii="Arial" w:hAnsi="Arial" w:cs="Arial"/>
          <w:b w:val="0"/>
          <w:bCs w:val="0"/>
          <w:noProof/>
          <w:sz w:val="22"/>
          <w:szCs w:val="22"/>
        </w:rPr>
        <w:fldChar w:fldCharType="end"/>
      </w:r>
    </w:p>
    <w:p w14:paraId="170850C8" w14:textId="4FECF9FC" w:rsidR="00473B94" w:rsidRPr="00473B94" w:rsidRDefault="00473B94" w:rsidP="00473B94">
      <w:pPr>
        <w:pStyle w:val="TOC1"/>
        <w:numPr>
          <w:ilvl w:val="0"/>
          <w:numId w:val="40"/>
        </w:numPr>
        <w:tabs>
          <w:tab w:val="right" w:pos="10484"/>
        </w:tabs>
        <w:spacing w:before="120"/>
        <w:ind w:left="357" w:hanging="357"/>
        <w:rPr>
          <w:rFonts w:ascii="Arial" w:hAnsi="Arial" w:cs="Arial"/>
          <w:spacing w:val="-2"/>
          <w:sz w:val="22"/>
          <w:szCs w:val="22"/>
        </w:rPr>
      </w:pPr>
      <w:r w:rsidRPr="00473B94">
        <w:rPr>
          <w:rFonts w:ascii="Arial" w:hAnsi="Arial" w:cs="Arial"/>
          <w:spacing w:val="-2"/>
          <w:sz w:val="22"/>
          <w:szCs w:val="22"/>
        </w:rPr>
        <w:t>Indexes and references</w:t>
      </w:r>
    </w:p>
    <w:p w14:paraId="27964BF2" w14:textId="1EE8D062" w:rsidR="001160E8" w:rsidRPr="00473B94" w:rsidRDefault="001160E8" w:rsidP="00473B94">
      <w:pPr>
        <w:pStyle w:val="TOC1"/>
        <w:tabs>
          <w:tab w:val="right" w:pos="10484"/>
        </w:tabs>
        <w:spacing w:before="0"/>
        <w:rPr>
          <w:rFonts w:ascii="Arial" w:eastAsiaTheme="minorEastAsia" w:hAnsi="Arial" w:cs="Arial"/>
          <w:b w:val="0"/>
          <w:bCs w:val="0"/>
          <w:noProof/>
          <w:kern w:val="2"/>
          <w:sz w:val="22"/>
          <w:szCs w:val="22"/>
          <w:lang w:val="en-AU" w:eastAsia="en-GB"/>
          <w14:ligatures w14:val="standardContextual"/>
        </w:rPr>
      </w:pPr>
      <w:r w:rsidRPr="00473B94">
        <w:rPr>
          <w:rFonts w:ascii="Arial" w:hAnsi="Arial" w:cs="Arial"/>
          <w:b w:val="0"/>
          <w:bCs w:val="0"/>
          <w:noProof/>
          <w:spacing w:val="-2"/>
          <w:sz w:val="22"/>
          <w:szCs w:val="22"/>
        </w:rPr>
        <w:t>Acronyms</w:t>
      </w:r>
      <w:r w:rsidRPr="00473B94">
        <w:rPr>
          <w:rFonts w:ascii="Arial" w:hAnsi="Arial" w:cs="Arial"/>
          <w:b w:val="0"/>
          <w:bCs w:val="0"/>
          <w:noProof/>
          <w:sz w:val="22"/>
          <w:szCs w:val="22"/>
        </w:rPr>
        <w:tab/>
      </w:r>
      <w:r w:rsidRPr="00473B94">
        <w:rPr>
          <w:rFonts w:ascii="Arial" w:hAnsi="Arial" w:cs="Arial"/>
          <w:b w:val="0"/>
          <w:bCs w:val="0"/>
          <w:noProof/>
          <w:sz w:val="22"/>
          <w:szCs w:val="22"/>
        </w:rPr>
        <w:fldChar w:fldCharType="begin"/>
      </w:r>
      <w:r w:rsidRPr="00473B94">
        <w:rPr>
          <w:rFonts w:ascii="Arial" w:hAnsi="Arial" w:cs="Arial"/>
          <w:b w:val="0"/>
          <w:bCs w:val="0"/>
          <w:noProof/>
          <w:sz w:val="22"/>
          <w:szCs w:val="22"/>
        </w:rPr>
        <w:instrText xml:space="preserve"> PAGEREF _Toc243037294 \h </w:instrText>
      </w:r>
      <w:r w:rsidRPr="00473B94">
        <w:rPr>
          <w:rFonts w:ascii="Arial" w:hAnsi="Arial" w:cs="Arial"/>
          <w:b w:val="0"/>
          <w:bCs w:val="0"/>
          <w:noProof/>
          <w:sz w:val="22"/>
          <w:szCs w:val="22"/>
        </w:rPr>
      </w:r>
      <w:r w:rsidRPr="00473B94">
        <w:rPr>
          <w:rFonts w:ascii="Arial" w:hAnsi="Arial" w:cs="Arial"/>
          <w:b w:val="0"/>
          <w:bCs w:val="0"/>
          <w:noProof/>
          <w:sz w:val="22"/>
          <w:szCs w:val="22"/>
        </w:rPr>
        <w:fldChar w:fldCharType="separate"/>
      </w:r>
      <w:r w:rsidRPr="00473B94">
        <w:rPr>
          <w:rFonts w:ascii="Arial" w:hAnsi="Arial" w:cs="Arial"/>
          <w:b w:val="0"/>
          <w:bCs w:val="0"/>
          <w:noProof/>
          <w:sz w:val="22"/>
          <w:szCs w:val="22"/>
        </w:rPr>
        <w:t>108</w:t>
      </w:r>
      <w:r w:rsidRPr="00473B94">
        <w:rPr>
          <w:rFonts w:ascii="Arial" w:hAnsi="Arial" w:cs="Arial"/>
          <w:b w:val="0"/>
          <w:bCs w:val="0"/>
          <w:noProof/>
          <w:sz w:val="22"/>
          <w:szCs w:val="22"/>
        </w:rPr>
        <w:fldChar w:fldCharType="end"/>
      </w:r>
    </w:p>
    <w:p w14:paraId="4BEC45AD" w14:textId="5EDBAC39" w:rsidR="001160E8" w:rsidRPr="00473B94" w:rsidRDefault="001160E8" w:rsidP="00473B94">
      <w:pPr>
        <w:pStyle w:val="TOC1"/>
        <w:tabs>
          <w:tab w:val="right" w:pos="10484"/>
        </w:tabs>
        <w:spacing w:before="0"/>
        <w:rPr>
          <w:rFonts w:ascii="Arial" w:eastAsiaTheme="minorEastAsia" w:hAnsi="Arial" w:cs="Arial"/>
          <w:b w:val="0"/>
          <w:bCs w:val="0"/>
          <w:noProof/>
          <w:kern w:val="2"/>
          <w:sz w:val="22"/>
          <w:szCs w:val="22"/>
          <w:lang w:val="en-AU" w:eastAsia="en-GB"/>
          <w14:ligatures w14:val="standardContextual"/>
        </w:rPr>
      </w:pPr>
      <w:r w:rsidRPr="00473B94">
        <w:rPr>
          <w:rFonts w:ascii="Arial" w:hAnsi="Arial" w:cs="Arial"/>
          <w:b w:val="0"/>
          <w:bCs w:val="0"/>
          <w:noProof/>
          <w:spacing w:val="-2"/>
          <w:sz w:val="22"/>
          <w:szCs w:val="22"/>
        </w:rPr>
        <w:t>Glossary</w:t>
      </w:r>
      <w:r w:rsidRPr="00473B94">
        <w:rPr>
          <w:rFonts w:ascii="Arial" w:hAnsi="Arial" w:cs="Arial"/>
          <w:b w:val="0"/>
          <w:bCs w:val="0"/>
          <w:noProof/>
          <w:sz w:val="22"/>
          <w:szCs w:val="22"/>
        </w:rPr>
        <w:tab/>
      </w:r>
      <w:r w:rsidRPr="00473B94">
        <w:rPr>
          <w:rFonts w:ascii="Arial" w:hAnsi="Arial" w:cs="Arial"/>
          <w:b w:val="0"/>
          <w:bCs w:val="0"/>
          <w:noProof/>
          <w:sz w:val="22"/>
          <w:szCs w:val="22"/>
        </w:rPr>
        <w:fldChar w:fldCharType="begin"/>
      </w:r>
      <w:r w:rsidRPr="00473B94">
        <w:rPr>
          <w:rFonts w:ascii="Arial" w:hAnsi="Arial" w:cs="Arial"/>
          <w:b w:val="0"/>
          <w:bCs w:val="0"/>
          <w:noProof/>
          <w:sz w:val="22"/>
          <w:szCs w:val="22"/>
        </w:rPr>
        <w:instrText xml:space="preserve"> PAGEREF _Toc243037295 \h </w:instrText>
      </w:r>
      <w:r w:rsidRPr="00473B94">
        <w:rPr>
          <w:rFonts w:ascii="Arial" w:hAnsi="Arial" w:cs="Arial"/>
          <w:b w:val="0"/>
          <w:bCs w:val="0"/>
          <w:noProof/>
          <w:sz w:val="22"/>
          <w:szCs w:val="22"/>
        </w:rPr>
      </w:r>
      <w:r w:rsidRPr="00473B94">
        <w:rPr>
          <w:rFonts w:ascii="Arial" w:hAnsi="Arial" w:cs="Arial"/>
          <w:b w:val="0"/>
          <w:bCs w:val="0"/>
          <w:noProof/>
          <w:sz w:val="22"/>
          <w:szCs w:val="22"/>
        </w:rPr>
        <w:fldChar w:fldCharType="separate"/>
      </w:r>
      <w:r w:rsidRPr="00473B94">
        <w:rPr>
          <w:rFonts w:ascii="Arial" w:hAnsi="Arial" w:cs="Arial"/>
          <w:b w:val="0"/>
          <w:bCs w:val="0"/>
          <w:noProof/>
          <w:sz w:val="22"/>
          <w:szCs w:val="22"/>
        </w:rPr>
        <w:t>110</w:t>
      </w:r>
      <w:r w:rsidRPr="00473B94">
        <w:rPr>
          <w:rFonts w:ascii="Arial" w:hAnsi="Arial" w:cs="Arial"/>
          <w:b w:val="0"/>
          <w:bCs w:val="0"/>
          <w:noProof/>
          <w:sz w:val="22"/>
          <w:szCs w:val="22"/>
        </w:rPr>
        <w:fldChar w:fldCharType="end"/>
      </w:r>
    </w:p>
    <w:p w14:paraId="4239D19E" w14:textId="1F1D7F87" w:rsidR="001160E8" w:rsidRPr="00473B94" w:rsidRDefault="001160E8" w:rsidP="00473B94">
      <w:pPr>
        <w:pStyle w:val="TOC1"/>
        <w:tabs>
          <w:tab w:val="right" w:pos="10484"/>
        </w:tabs>
        <w:spacing w:before="0"/>
        <w:rPr>
          <w:rFonts w:ascii="Arial" w:eastAsiaTheme="minorEastAsia" w:hAnsi="Arial" w:cs="Arial"/>
          <w:b w:val="0"/>
          <w:bCs w:val="0"/>
          <w:noProof/>
          <w:kern w:val="2"/>
          <w:sz w:val="22"/>
          <w:szCs w:val="22"/>
          <w:lang w:val="en-AU" w:eastAsia="en-GB"/>
          <w14:ligatures w14:val="standardContextual"/>
        </w:rPr>
      </w:pPr>
      <w:r w:rsidRPr="00473B94">
        <w:rPr>
          <w:rFonts w:ascii="Arial" w:hAnsi="Arial" w:cs="Arial"/>
          <w:b w:val="0"/>
          <w:bCs w:val="0"/>
          <w:noProof/>
          <w:spacing w:val="-2"/>
          <w:sz w:val="22"/>
          <w:szCs w:val="22"/>
        </w:rPr>
        <w:t>Index</w:t>
      </w:r>
      <w:r w:rsidRPr="00473B94">
        <w:rPr>
          <w:rFonts w:ascii="Arial" w:hAnsi="Arial" w:cs="Arial"/>
          <w:b w:val="0"/>
          <w:bCs w:val="0"/>
          <w:noProof/>
          <w:spacing w:val="-22"/>
          <w:sz w:val="22"/>
          <w:szCs w:val="22"/>
        </w:rPr>
        <w:t xml:space="preserve"> </w:t>
      </w:r>
      <w:r w:rsidRPr="00473B94">
        <w:rPr>
          <w:rFonts w:ascii="Arial" w:hAnsi="Arial" w:cs="Arial"/>
          <w:b w:val="0"/>
          <w:bCs w:val="0"/>
          <w:noProof/>
          <w:spacing w:val="-2"/>
          <w:sz w:val="22"/>
          <w:szCs w:val="22"/>
        </w:rPr>
        <w:t>of</w:t>
      </w:r>
      <w:r w:rsidRPr="00473B94">
        <w:rPr>
          <w:rFonts w:ascii="Arial" w:hAnsi="Arial" w:cs="Arial"/>
          <w:b w:val="0"/>
          <w:bCs w:val="0"/>
          <w:noProof/>
          <w:spacing w:val="-21"/>
          <w:sz w:val="22"/>
          <w:szCs w:val="22"/>
        </w:rPr>
        <w:t xml:space="preserve"> </w:t>
      </w:r>
      <w:r w:rsidRPr="00473B94">
        <w:rPr>
          <w:rFonts w:ascii="Arial" w:hAnsi="Arial" w:cs="Arial"/>
          <w:b w:val="0"/>
          <w:bCs w:val="0"/>
          <w:noProof/>
          <w:spacing w:val="-2"/>
          <w:sz w:val="22"/>
          <w:szCs w:val="22"/>
        </w:rPr>
        <w:t>figures</w:t>
      </w:r>
      <w:r w:rsidRPr="00473B94">
        <w:rPr>
          <w:rFonts w:ascii="Arial" w:hAnsi="Arial" w:cs="Arial"/>
          <w:b w:val="0"/>
          <w:bCs w:val="0"/>
          <w:noProof/>
          <w:sz w:val="22"/>
          <w:szCs w:val="22"/>
        </w:rPr>
        <w:tab/>
      </w:r>
      <w:r w:rsidRPr="00473B94">
        <w:rPr>
          <w:rFonts w:ascii="Arial" w:hAnsi="Arial" w:cs="Arial"/>
          <w:b w:val="0"/>
          <w:bCs w:val="0"/>
          <w:noProof/>
          <w:sz w:val="22"/>
          <w:szCs w:val="22"/>
        </w:rPr>
        <w:fldChar w:fldCharType="begin"/>
      </w:r>
      <w:r w:rsidRPr="00473B94">
        <w:rPr>
          <w:rFonts w:ascii="Arial" w:hAnsi="Arial" w:cs="Arial"/>
          <w:b w:val="0"/>
          <w:bCs w:val="0"/>
          <w:noProof/>
          <w:sz w:val="22"/>
          <w:szCs w:val="22"/>
        </w:rPr>
        <w:instrText xml:space="preserve"> PAGEREF _Toc243037296 \h </w:instrText>
      </w:r>
      <w:r w:rsidRPr="00473B94">
        <w:rPr>
          <w:rFonts w:ascii="Arial" w:hAnsi="Arial" w:cs="Arial"/>
          <w:b w:val="0"/>
          <w:bCs w:val="0"/>
          <w:noProof/>
          <w:sz w:val="22"/>
          <w:szCs w:val="22"/>
        </w:rPr>
      </w:r>
      <w:r w:rsidRPr="00473B94">
        <w:rPr>
          <w:rFonts w:ascii="Arial" w:hAnsi="Arial" w:cs="Arial"/>
          <w:b w:val="0"/>
          <w:bCs w:val="0"/>
          <w:noProof/>
          <w:sz w:val="22"/>
          <w:szCs w:val="22"/>
        </w:rPr>
        <w:fldChar w:fldCharType="separate"/>
      </w:r>
      <w:r w:rsidRPr="00473B94">
        <w:rPr>
          <w:rFonts w:ascii="Arial" w:hAnsi="Arial" w:cs="Arial"/>
          <w:b w:val="0"/>
          <w:bCs w:val="0"/>
          <w:noProof/>
          <w:sz w:val="22"/>
          <w:szCs w:val="22"/>
        </w:rPr>
        <w:t>114</w:t>
      </w:r>
      <w:r w:rsidRPr="00473B94">
        <w:rPr>
          <w:rFonts w:ascii="Arial" w:hAnsi="Arial" w:cs="Arial"/>
          <w:b w:val="0"/>
          <w:bCs w:val="0"/>
          <w:noProof/>
          <w:sz w:val="22"/>
          <w:szCs w:val="22"/>
        </w:rPr>
        <w:fldChar w:fldCharType="end"/>
      </w:r>
    </w:p>
    <w:p w14:paraId="3F2B7716" w14:textId="52D204E5" w:rsidR="001160E8" w:rsidRPr="00473B94" w:rsidRDefault="001160E8" w:rsidP="00473B94">
      <w:pPr>
        <w:pStyle w:val="TOC1"/>
        <w:tabs>
          <w:tab w:val="right" w:pos="10484"/>
        </w:tabs>
        <w:spacing w:before="0"/>
        <w:rPr>
          <w:rFonts w:ascii="Arial" w:eastAsiaTheme="minorEastAsia" w:hAnsi="Arial" w:cs="Arial"/>
          <w:b w:val="0"/>
          <w:bCs w:val="0"/>
          <w:noProof/>
          <w:kern w:val="2"/>
          <w:sz w:val="22"/>
          <w:szCs w:val="22"/>
          <w:lang w:val="en-AU" w:eastAsia="en-GB"/>
          <w14:ligatures w14:val="standardContextual"/>
        </w:rPr>
      </w:pPr>
      <w:r w:rsidRPr="00473B94">
        <w:rPr>
          <w:rFonts w:ascii="Arial" w:hAnsi="Arial" w:cs="Arial"/>
          <w:b w:val="0"/>
          <w:bCs w:val="0"/>
          <w:noProof/>
          <w:spacing w:val="-2"/>
          <w:sz w:val="22"/>
          <w:szCs w:val="22"/>
        </w:rPr>
        <w:t>Index</w:t>
      </w:r>
      <w:r w:rsidRPr="00473B94">
        <w:rPr>
          <w:rFonts w:ascii="Arial" w:hAnsi="Arial" w:cs="Arial"/>
          <w:b w:val="0"/>
          <w:bCs w:val="0"/>
          <w:noProof/>
          <w:spacing w:val="-22"/>
          <w:sz w:val="22"/>
          <w:szCs w:val="22"/>
        </w:rPr>
        <w:t xml:space="preserve"> </w:t>
      </w:r>
      <w:r w:rsidRPr="00473B94">
        <w:rPr>
          <w:rFonts w:ascii="Arial" w:hAnsi="Arial" w:cs="Arial"/>
          <w:b w:val="0"/>
          <w:bCs w:val="0"/>
          <w:noProof/>
          <w:spacing w:val="-2"/>
          <w:sz w:val="22"/>
          <w:szCs w:val="22"/>
        </w:rPr>
        <w:t>of</w:t>
      </w:r>
      <w:r w:rsidRPr="00473B94">
        <w:rPr>
          <w:rFonts w:ascii="Arial" w:hAnsi="Arial" w:cs="Arial"/>
          <w:b w:val="0"/>
          <w:bCs w:val="0"/>
          <w:noProof/>
          <w:spacing w:val="-21"/>
          <w:sz w:val="22"/>
          <w:szCs w:val="22"/>
        </w:rPr>
        <w:t xml:space="preserve"> </w:t>
      </w:r>
      <w:r w:rsidRPr="00473B94">
        <w:rPr>
          <w:rFonts w:ascii="Arial" w:hAnsi="Arial" w:cs="Arial"/>
          <w:b w:val="0"/>
          <w:bCs w:val="0"/>
          <w:noProof/>
          <w:spacing w:val="-2"/>
          <w:sz w:val="22"/>
          <w:szCs w:val="22"/>
        </w:rPr>
        <w:t>tables</w:t>
      </w:r>
      <w:r w:rsidRPr="00473B94">
        <w:rPr>
          <w:rFonts w:ascii="Arial" w:hAnsi="Arial" w:cs="Arial"/>
          <w:b w:val="0"/>
          <w:bCs w:val="0"/>
          <w:noProof/>
          <w:sz w:val="22"/>
          <w:szCs w:val="22"/>
        </w:rPr>
        <w:tab/>
      </w:r>
      <w:r w:rsidRPr="00473B94">
        <w:rPr>
          <w:rFonts w:ascii="Arial" w:hAnsi="Arial" w:cs="Arial"/>
          <w:b w:val="0"/>
          <w:bCs w:val="0"/>
          <w:noProof/>
          <w:sz w:val="22"/>
          <w:szCs w:val="22"/>
        </w:rPr>
        <w:fldChar w:fldCharType="begin"/>
      </w:r>
      <w:r w:rsidRPr="00473B94">
        <w:rPr>
          <w:rFonts w:ascii="Arial" w:hAnsi="Arial" w:cs="Arial"/>
          <w:b w:val="0"/>
          <w:bCs w:val="0"/>
          <w:noProof/>
          <w:sz w:val="22"/>
          <w:szCs w:val="22"/>
        </w:rPr>
        <w:instrText xml:space="preserve"> PAGEREF _Toc243037297 \h </w:instrText>
      </w:r>
      <w:r w:rsidRPr="00473B94">
        <w:rPr>
          <w:rFonts w:ascii="Arial" w:hAnsi="Arial" w:cs="Arial"/>
          <w:b w:val="0"/>
          <w:bCs w:val="0"/>
          <w:noProof/>
          <w:sz w:val="22"/>
          <w:szCs w:val="22"/>
        </w:rPr>
      </w:r>
      <w:r w:rsidRPr="00473B94">
        <w:rPr>
          <w:rFonts w:ascii="Arial" w:hAnsi="Arial" w:cs="Arial"/>
          <w:b w:val="0"/>
          <w:bCs w:val="0"/>
          <w:noProof/>
          <w:sz w:val="22"/>
          <w:szCs w:val="22"/>
        </w:rPr>
        <w:fldChar w:fldCharType="separate"/>
      </w:r>
      <w:r w:rsidRPr="00473B94">
        <w:rPr>
          <w:rFonts w:ascii="Arial" w:hAnsi="Arial" w:cs="Arial"/>
          <w:b w:val="0"/>
          <w:bCs w:val="0"/>
          <w:noProof/>
          <w:sz w:val="22"/>
          <w:szCs w:val="22"/>
        </w:rPr>
        <w:t>114</w:t>
      </w:r>
      <w:r w:rsidRPr="00473B94">
        <w:rPr>
          <w:rFonts w:ascii="Arial" w:hAnsi="Arial" w:cs="Arial"/>
          <w:b w:val="0"/>
          <w:bCs w:val="0"/>
          <w:noProof/>
          <w:sz w:val="22"/>
          <w:szCs w:val="22"/>
        </w:rPr>
        <w:fldChar w:fldCharType="end"/>
      </w:r>
    </w:p>
    <w:p w14:paraId="018454EC" w14:textId="0F5F9A0F" w:rsidR="001160E8" w:rsidRPr="00473B94" w:rsidRDefault="001160E8" w:rsidP="00473B94">
      <w:pPr>
        <w:pStyle w:val="TOC1"/>
        <w:tabs>
          <w:tab w:val="right" w:pos="10484"/>
        </w:tabs>
        <w:spacing w:before="0"/>
        <w:rPr>
          <w:rFonts w:ascii="Arial" w:eastAsiaTheme="minorEastAsia" w:hAnsi="Arial" w:cs="Arial"/>
          <w:b w:val="0"/>
          <w:bCs w:val="0"/>
          <w:noProof/>
          <w:kern w:val="2"/>
          <w:sz w:val="22"/>
          <w:szCs w:val="22"/>
          <w:lang w:val="en-AU" w:eastAsia="en-GB"/>
          <w14:ligatures w14:val="standardContextual"/>
        </w:rPr>
      </w:pPr>
      <w:r w:rsidRPr="00473B94">
        <w:rPr>
          <w:rFonts w:ascii="Arial" w:hAnsi="Arial" w:cs="Arial"/>
          <w:b w:val="0"/>
          <w:bCs w:val="0"/>
          <w:noProof/>
          <w:spacing w:val="-2"/>
          <w:sz w:val="22"/>
          <w:szCs w:val="22"/>
        </w:rPr>
        <w:t>Compliance</w:t>
      </w:r>
      <w:r w:rsidRPr="00473B94">
        <w:rPr>
          <w:rFonts w:ascii="Arial" w:hAnsi="Arial" w:cs="Arial"/>
          <w:b w:val="0"/>
          <w:bCs w:val="0"/>
          <w:noProof/>
          <w:spacing w:val="-16"/>
          <w:sz w:val="22"/>
          <w:szCs w:val="22"/>
        </w:rPr>
        <w:t xml:space="preserve"> </w:t>
      </w:r>
      <w:r w:rsidRPr="00473B94">
        <w:rPr>
          <w:rFonts w:ascii="Arial" w:hAnsi="Arial" w:cs="Arial"/>
          <w:b w:val="0"/>
          <w:bCs w:val="0"/>
          <w:noProof/>
          <w:spacing w:val="-4"/>
          <w:sz w:val="22"/>
          <w:szCs w:val="22"/>
        </w:rPr>
        <w:t>index</w:t>
      </w:r>
      <w:r w:rsidRPr="00473B94">
        <w:rPr>
          <w:rFonts w:ascii="Arial" w:hAnsi="Arial" w:cs="Arial"/>
          <w:b w:val="0"/>
          <w:bCs w:val="0"/>
          <w:noProof/>
          <w:sz w:val="22"/>
          <w:szCs w:val="22"/>
        </w:rPr>
        <w:tab/>
      </w:r>
      <w:r w:rsidRPr="00473B94">
        <w:rPr>
          <w:rFonts w:ascii="Arial" w:hAnsi="Arial" w:cs="Arial"/>
          <w:b w:val="0"/>
          <w:bCs w:val="0"/>
          <w:noProof/>
          <w:sz w:val="22"/>
          <w:szCs w:val="22"/>
        </w:rPr>
        <w:fldChar w:fldCharType="begin"/>
      </w:r>
      <w:r w:rsidRPr="00473B94">
        <w:rPr>
          <w:rFonts w:ascii="Arial" w:hAnsi="Arial" w:cs="Arial"/>
          <w:b w:val="0"/>
          <w:bCs w:val="0"/>
          <w:noProof/>
          <w:sz w:val="22"/>
          <w:szCs w:val="22"/>
        </w:rPr>
        <w:instrText xml:space="preserve"> PAGEREF _Toc243037298 \h </w:instrText>
      </w:r>
      <w:r w:rsidRPr="00473B94">
        <w:rPr>
          <w:rFonts w:ascii="Arial" w:hAnsi="Arial" w:cs="Arial"/>
          <w:b w:val="0"/>
          <w:bCs w:val="0"/>
          <w:noProof/>
          <w:sz w:val="22"/>
          <w:szCs w:val="22"/>
        </w:rPr>
      </w:r>
      <w:r w:rsidRPr="00473B94">
        <w:rPr>
          <w:rFonts w:ascii="Arial" w:hAnsi="Arial" w:cs="Arial"/>
          <w:b w:val="0"/>
          <w:bCs w:val="0"/>
          <w:noProof/>
          <w:sz w:val="22"/>
          <w:szCs w:val="22"/>
        </w:rPr>
        <w:fldChar w:fldCharType="separate"/>
      </w:r>
      <w:r w:rsidRPr="00473B94">
        <w:rPr>
          <w:rFonts w:ascii="Arial" w:hAnsi="Arial" w:cs="Arial"/>
          <w:b w:val="0"/>
          <w:bCs w:val="0"/>
          <w:noProof/>
          <w:sz w:val="22"/>
          <w:szCs w:val="22"/>
        </w:rPr>
        <w:t>115</w:t>
      </w:r>
      <w:r w:rsidRPr="00473B94">
        <w:rPr>
          <w:rFonts w:ascii="Arial" w:hAnsi="Arial" w:cs="Arial"/>
          <w:b w:val="0"/>
          <w:bCs w:val="0"/>
          <w:noProof/>
          <w:sz w:val="22"/>
          <w:szCs w:val="22"/>
        </w:rPr>
        <w:fldChar w:fldCharType="end"/>
      </w:r>
    </w:p>
    <w:p w14:paraId="4CBA919D" w14:textId="354EDE22" w:rsidR="001160E8" w:rsidRPr="00473B94" w:rsidRDefault="001160E8" w:rsidP="00473B94">
      <w:pPr>
        <w:pStyle w:val="TOC1"/>
        <w:tabs>
          <w:tab w:val="right" w:pos="10484"/>
        </w:tabs>
        <w:spacing w:before="0"/>
        <w:rPr>
          <w:rFonts w:ascii="Arial" w:eastAsiaTheme="minorEastAsia" w:hAnsi="Arial" w:cs="Arial"/>
          <w:b w:val="0"/>
          <w:bCs w:val="0"/>
          <w:noProof/>
          <w:kern w:val="2"/>
          <w:sz w:val="22"/>
          <w:szCs w:val="22"/>
          <w:lang w:val="en-AU" w:eastAsia="en-GB"/>
          <w14:ligatures w14:val="standardContextual"/>
        </w:rPr>
      </w:pPr>
      <w:r w:rsidRPr="00473B94">
        <w:rPr>
          <w:rFonts w:ascii="Arial" w:hAnsi="Arial" w:cs="Arial"/>
          <w:b w:val="0"/>
          <w:bCs w:val="0"/>
          <w:noProof/>
          <w:spacing w:val="-2"/>
          <w:sz w:val="22"/>
          <w:szCs w:val="22"/>
        </w:rPr>
        <w:t>Index</w:t>
      </w:r>
      <w:r w:rsidRPr="00473B94">
        <w:rPr>
          <w:rFonts w:ascii="Arial" w:hAnsi="Arial" w:cs="Arial"/>
          <w:b w:val="0"/>
          <w:bCs w:val="0"/>
          <w:noProof/>
          <w:sz w:val="22"/>
          <w:szCs w:val="22"/>
        </w:rPr>
        <w:tab/>
      </w:r>
      <w:r w:rsidRPr="00473B94">
        <w:rPr>
          <w:rFonts w:ascii="Arial" w:hAnsi="Arial" w:cs="Arial"/>
          <w:b w:val="0"/>
          <w:bCs w:val="0"/>
          <w:noProof/>
          <w:sz w:val="22"/>
          <w:szCs w:val="22"/>
        </w:rPr>
        <w:fldChar w:fldCharType="begin"/>
      </w:r>
      <w:r w:rsidRPr="00473B94">
        <w:rPr>
          <w:rFonts w:ascii="Arial" w:hAnsi="Arial" w:cs="Arial"/>
          <w:b w:val="0"/>
          <w:bCs w:val="0"/>
          <w:noProof/>
          <w:sz w:val="22"/>
          <w:szCs w:val="22"/>
        </w:rPr>
        <w:instrText xml:space="preserve"> PAGEREF _Toc243037299 \h </w:instrText>
      </w:r>
      <w:r w:rsidRPr="00473B94">
        <w:rPr>
          <w:rFonts w:ascii="Arial" w:hAnsi="Arial" w:cs="Arial"/>
          <w:b w:val="0"/>
          <w:bCs w:val="0"/>
          <w:noProof/>
          <w:sz w:val="22"/>
          <w:szCs w:val="22"/>
        </w:rPr>
      </w:r>
      <w:r w:rsidRPr="00473B94">
        <w:rPr>
          <w:rFonts w:ascii="Arial" w:hAnsi="Arial" w:cs="Arial"/>
          <w:b w:val="0"/>
          <w:bCs w:val="0"/>
          <w:noProof/>
          <w:sz w:val="22"/>
          <w:szCs w:val="22"/>
        </w:rPr>
        <w:fldChar w:fldCharType="separate"/>
      </w:r>
      <w:r w:rsidRPr="00473B94">
        <w:rPr>
          <w:rFonts w:ascii="Arial" w:hAnsi="Arial" w:cs="Arial"/>
          <w:b w:val="0"/>
          <w:bCs w:val="0"/>
          <w:noProof/>
          <w:sz w:val="22"/>
          <w:szCs w:val="22"/>
        </w:rPr>
        <w:t>117</w:t>
      </w:r>
      <w:r w:rsidRPr="00473B94">
        <w:rPr>
          <w:rFonts w:ascii="Arial" w:hAnsi="Arial" w:cs="Arial"/>
          <w:b w:val="0"/>
          <w:bCs w:val="0"/>
          <w:noProof/>
          <w:sz w:val="22"/>
          <w:szCs w:val="22"/>
        </w:rPr>
        <w:fldChar w:fldCharType="end"/>
      </w:r>
    </w:p>
    <w:p w14:paraId="0B6EE07C" w14:textId="2C711080" w:rsidR="009D54AF" w:rsidRDefault="001160E8" w:rsidP="00473B94">
      <w:pPr>
        <w:spacing w:after="120"/>
        <w:rPr>
          <w:b/>
          <w:sz w:val="40"/>
        </w:rPr>
        <w:sectPr w:rsidR="009D54AF" w:rsidSect="00F84D7F">
          <w:pgSz w:w="11910" w:h="16840"/>
          <w:pgMar w:top="680" w:right="708" w:bottom="1919" w:left="708" w:header="720" w:footer="720" w:gutter="0"/>
          <w:cols w:space="720"/>
        </w:sectPr>
      </w:pPr>
      <w:r w:rsidRPr="00473B94">
        <w:rPr>
          <w:spacing w:val="-2"/>
        </w:rPr>
        <w:fldChar w:fldCharType="end"/>
      </w:r>
    </w:p>
    <w:p w14:paraId="21408E6A" w14:textId="77777777" w:rsidR="009D54AF" w:rsidRDefault="00000000" w:rsidP="001160E8">
      <w:pPr>
        <w:pStyle w:val="Heading1"/>
      </w:pPr>
      <w:bookmarkStart w:id="2" w:name="_Toc243037264"/>
      <w:r>
        <w:lastRenderedPageBreak/>
        <w:t>Highlights</w:t>
      </w:r>
      <w:bookmarkEnd w:id="2"/>
    </w:p>
    <w:p w14:paraId="44A4459C" w14:textId="77777777" w:rsidR="009D54AF" w:rsidRDefault="00000000" w:rsidP="001160E8">
      <w:pPr>
        <w:pStyle w:val="Headinglevel2nonTOC"/>
        <w:ind w:left="142"/>
      </w:pPr>
      <w:r>
        <w:t>Accreditation</w:t>
      </w:r>
    </w:p>
    <w:p w14:paraId="6D0F47FD" w14:textId="77777777" w:rsidR="009D54AF" w:rsidRDefault="00000000">
      <w:pPr>
        <w:spacing w:before="224"/>
        <w:ind w:left="142"/>
        <w:rPr>
          <w:b/>
          <w:sz w:val="20"/>
        </w:rPr>
      </w:pPr>
      <w:r>
        <w:rPr>
          <w:b/>
          <w:sz w:val="20"/>
        </w:rPr>
        <w:t>Australian</w:t>
      </w:r>
      <w:r>
        <w:rPr>
          <w:b/>
          <w:spacing w:val="7"/>
          <w:sz w:val="20"/>
        </w:rPr>
        <w:t xml:space="preserve"> </w:t>
      </w:r>
      <w:r>
        <w:rPr>
          <w:b/>
          <w:sz w:val="20"/>
        </w:rPr>
        <w:t>Health</w:t>
      </w:r>
      <w:r>
        <w:rPr>
          <w:b/>
          <w:spacing w:val="10"/>
          <w:sz w:val="20"/>
        </w:rPr>
        <w:t xml:space="preserve"> </w:t>
      </w:r>
      <w:r>
        <w:rPr>
          <w:b/>
          <w:sz w:val="20"/>
        </w:rPr>
        <w:t>Service</w:t>
      </w:r>
      <w:r>
        <w:rPr>
          <w:b/>
          <w:spacing w:val="9"/>
          <w:sz w:val="20"/>
        </w:rPr>
        <w:t xml:space="preserve"> </w:t>
      </w:r>
      <w:r>
        <w:rPr>
          <w:b/>
          <w:sz w:val="20"/>
        </w:rPr>
        <w:t>Safety</w:t>
      </w:r>
      <w:r>
        <w:rPr>
          <w:b/>
          <w:spacing w:val="10"/>
          <w:sz w:val="20"/>
        </w:rPr>
        <w:t xml:space="preserve"> </w:t>
      </w:r>
      <w:r>
        <w:rPr>
          <w:b/>
          <w:sz w:val="20"/>
        </w:rPr>
        <w:t>and</w:t>
      </w:r>
      <w:r>
        <w:rPr>
          <w:b/>
          <w:spacing w:val="9"/>
          <w:sz w:val="20"/>
        </w:rPr>
        <w:t xml:space="preserve"> </w:t>
      </w:r>
      <w:r>
        <w:rPr>
          <w:b/>
          <w:sz w:val="20"/>
        </w:rPr>
        <w:t>Quality</w:t>
      </w:r>
      <w:r>
        <w:rPr>
          <w:b/>
          <w:spacing w:val="10"/>
          <w:sz w:val="20"/>
        </w:rPr>
        <w:t xml:space="preserve"> </w:t>
      </w:r>
      <w:r>
        <w:rPr>
          <w:b/>
          <w:spacing w:val="-2"/>
          <w:sz w:val="20"/>
        </w:rPr>
        <w:t>Accreditation</w:t>
      </w:r>
    </w:p>
    <w:p w14:paraId="7E499856" w14:textId="77777777" w:rsidR="009D54AF" w:rsidRDefault="00000000">
      <w:pPr>
        <w:pStyle w:val="Heading5"/>
        <w:spacing w:before="33"/>
      </w:pPr>
      <w:r>
        <w:rPr>
          <w:color w:val="007CAE"/>
          <w:spacing w:val="-5"/>
        </w:rPr>
        <w:t>487</w:t>
      </w:r>
    </w:p>
    <w:p w14:paraId="68661CF1" w14:textId="77777777" w:rsidR="009D54AF" w:rsidRDefault="00000000">
      <w:pPr>
        <w:spacing w:before="25"/>
        <w:ind w:left="142"/>
        <w:rPr>
          <w:sz w:val="20"/>
        </w:rPr>
      </w:pPr>
      <w:r>
        <w:rPr>
          <w:sz w:val="20"/>
        </w:rPr>
        <w:t>hospital</w:t>
      </w:r>
      <w:r>
        <w:rPr>
          <w:spacing w:val="-4"/>
          <w:sz w:val="20"/>
        </w:rPr>
        <w:t xml:space="preserve"> </w:t>
      </w:r>
      <w:r>
        <w:rPr>
          <w:sz w:val="20"/>
        </w:rPr>
        <w:t>and</w:t>
      </w:r>
      <w:r>
        <w:rPr>
          <w:spacing w:val="-3"/>
          <w:sz w:val="20"/>
        </w:rPr>
        <w:t xml:space="preserve"> </w:t>
      </w:r>
      <w:r>
        <w:rPr>
          <w:sz w:val="20"/>
        </w:rPr>
        <w:t>day</w:t>
      </w:r>
      <w:r>
        <w:rPr>
          <w:spacing w:val="-4"/>
          <w:sz w:val="20"/>
        </w:rPr>
        <w:t xml:space="preserve"> </w:t>
      </w:r>
      <w:r>
        <w:rPr>
          <w:sz w:val="20"/>
        </w:rPr>
        <w:t>procedure</w:t>
      </w:r>
      <w:r>
        <w:rPr>
          <w:spacing w:val="-3"/>
          <w:sz w:val="20"/>
        </w:rPr>
        <w:t xml:space="preserve"> </w:t>
      </w:r>
      <w:r>
        <w:rPr>
          <w:sz w:val="20"/>
        </w:rPr>
        <w:t>services</w:t>
      </w:r>
      <w:r>
        <w:rPr>
          <w:spacing w:val="-3"/>
          <w:sz w:val="20"/>
        </w:rPr>
        <w:t xml:space="preserve"> </w:t>
      </w:r>
      <w:r>
        <w:rPr>
          <w:spacing w:val="-2"/>
          <w:sz w:val="20"/>
        </w:rPr>
        <w:t>assessed</w:t>
      </w:r>
    </w:p>
    <w:p w14:paraId="30713393" w14:textId="77777777" w:rsidR="009D54AF" w:rsidRDefault="009D54AF">
      <w:pPr>
        <w:pStyle w:val="BodyText"/>
        <w:spacing w:before="23"/>
        <w:rPr>
          <w:sz w:val="20"/>
        </w:rPr>
      </w:pPr>
    </w:p>
    <w:p w14:paraId="01D46912" w14:textId="77777777" w:rsidR="009D54AF" w:rsidRDefault="00000000">
      <w:pPr>
        <w:spacing w:before="1"/>
        <w:ind w:left="142"/>
        <w:rPr>
          <w:b/>
          <w:sz w:val="20"/>
        </w:rPr>
      </w:pPr>
      <w:r>
        <w:rPr>
          <w:b/>
          <w:sz w:val="20"/>
        </w:rPr>
        <w:t>National</w:t>
      </w:r>
      <w:r>
        <w:rPr>
          <w:b/>
          <w:spacing w:val="7"/>
          <w:sz w:val="20"/>
        </w:rPr>
        <w:t xml:space="preserve"> </w:t>
      </w:r>
      <w:r>
        <w:rPr>
          <w:b/>
          <w:sz w:val="20"/>
        </w:rPr>
        <w:t>General</w:t>
      </w:r>
      <w:r>
        <w:rPr>
          <w:b/>
          <w:spacing w:val="10"/>
          <w:sz w:val="20"/>
        </w:rPr>
        <w:t xml:space="preserve"> </w:t>
      </w:r>
      <w:r>
        <w:rPr>
          <w:b/>
          <w:sz w:val="20"/>
        </w:rPr>
        <w:t>Practice</w:t>
      </w:r>
      <w:r>
        <w:rPr>
          <w:b/>
          <w:spacing w:val="10"/>
          <w:sz w:val="20"/>
        </w:rPr>
        <w:t xml:space="preserve"> </w:t>
      </w:r>
      <w:r>
        <w:rPr>
          <w:b/>
          <w:spacing w:val="-2"/>
          <w:sz w:val="20"/>
        </w:rPr>
        <w:t>Accreditation</w:t>
      </w:r>
    </w:p>
    <w:p w14:paraId="4CCF82C6" w14:textId="77777777" w:rsidR="009D54AF" w:rsidRDefault="00000000">
      <w:pPr>
        <w:pStyle w:val="Heading5"/>
        <w:spacing w:before="32"/>
      </w:pPr>
      <w:r>
        <w:rPr>
          <w:color w:val="007CAE"/>
          <w:spacing w:val="-2"/>
        </w:rPr>
        <w:t>2,435</w:t>
      </w:r>
    </w:p>
    <w:p w14:paraId="4FD8B85A" w14:textId="77777777" w:rsidR="009D54AF" w:rsidRDefault="00000000">
      <w:pPr>
        <w:spacing w:before="26"/>
        <w:ind w:left="142"/>
        <w:rPr>
          <w:sz w:val="20"/>
        </w:rPr>
      </w:pPr>
      <w:r>
        <w:rPr>
          <w:sz w:val="20"/>
        </w:rPr>
        <w:t>general</w:t>
      </w:r>
      <w:r>
        <w:rPr>
          <w:spacing w:val="-3"/>
          <w:sz w:val="20"/>
        </w:rPr>
        <w:t xml:space="preserve"> </w:t>
      </w:r>
      <w:r>
        <w:rPr>
          <w:sz w:val="20"/>
        </w:rPr>
        <w:t>practices</w:t>
      </w:r>
      <w:r>
        <w:rPr>
          <w:spacing w:val="-3"/>
          <w:sz w:val="20"/>
        </w:rPr>
        <w:t xml:space="preserve"> </w:t>
      </w:r>
      <w:r>
        <w:rPr>
          <w:spacing w:val="-2"/>
          <w:sz w:val="20"/>
        </w:rPr>
        <w:t>assessed</w:t>
      </w:r>
    </w:p>
    <w:p w14:paraId="48253E0B" w14:textId="77777777" w:rsidR="009D54AF" w:rsidRDefault="009D54AF">
      <w:pPr>
        <w:pStyle w:val="BodyText"/>
        <w:spacing w:before="23"/>
        <w:rPr>
          <w:sz w:val="20"/>
        </w:rPr>
      </w:pPr>
    </w:p>
    <w:p w14:paraId="57CA14AB" w14:textId="77777777" w:rsidR="009D54AF" w:rsidRDefault="00000000">
      <w:pPr>
        <w:spacing w:before="1"/>
        <w:ind w:left="142"/>
        <w:rPr>
          <w:b/>
          <w:sz w:val="20"/>
        </w:rPr>
      </w:pPr>
      <w:r>
        <w:rPr>
          <w:b/>
          <w:sz w:val="20"/>
        </w:rPr>
        <w:t>Safety</w:t>
      </w:r>
      <w:r>
        <w:rPr>
          <w:b/>
          <w:spacing w:val="5"/>
          <w:sz w:val="20"/>
        </w:rPr>
        <w:t xml:space="preserve"> </w:t>
      </w:r>
      <w:r>
        <w:rPr>
          <w:b/>
          <w:sz w:val="20"/>
        </w:rPr>
        <w:t>and</w:t>
      </w:r>
      <w:r>
        <w:rPr>
          <w:b/>
          <w:spacing w:val="7"/>
          <w:sz w:val="20"/>
        </w:rPr>
        <w:t xml:space="preserve"> </w:t>
      </w:r>
      <w:r>
        <w:rPr>
          <w:b/>
          <w:sz w:val="20"/>
        </w:rPr>
        <w:t>Quality</w:t>
      </w:r>
      <w:r>
        <w:rPr>
          <w:b/>
          <w:spacing w:val="7"/>
          <w:sz w:val="20"/>
        </w:rPr>
        <w:t xml:space="preserve"> </w:t>
      </w:r>
      <w:r>
        <w:rPr>
          <w:b/>
          <w:sz w:val="20"/>
        </w:rPr>
        <w:t>Advice</w:t>
      </w:r>
      <w:r>
        <w:rPr>
          <w:b/>
          <w:spacing w:val="8"/>
          <w:sz w:val="20"/>
        </w:rPr>
        <w:t xml:space="preserve"> </w:t>
      </w:r>
      <w:r>
        <w:rPr>
          <w:b/>
          <w:spacing w:val="-2"/>
          <w:sz w:val="20"/>
        </w:rPr>
        <w:t>Centre</w:t>
      </w:r>
    </w:p>
    <w:p w14:paraId="7E87DACE" w14:textId="77777777" w:rsidR="009D54AF" w:rsidRDefault="00000000">
      <w:pPr>
        <w:pStyle w:val="Heading5"/>
        <w:spacing w:before="32"/>
      </w:pPr>
      <w:r>
        <w:rPr>
          <w:color w:val="007CAE"/>
          <w:spacing w:val="-2"/>
        </w:rPr>
        <w:t>2,970</w:t>
      </w:r>
    </w:p>
    <w:p w14:paraId="3CE20640" w14:textId="77777777" w:rsidR="009D54AF" w:rsidRDefault="00000000">
      <w:pPr>
        <w:spacing w:before="26"/>
        <w:ind w:left="142"/>
        <w:rPr>
          <w:sz w:val="20"/>
        </w:rPr>
      </w:pPr>
      <w:r>
        <w:rPr>
          <w:sz w:val="20"/>
        </w:rPr>
        <w:t>email</w:t>
      </w:r>
      <w:r>
        <w:rPr>
          <w:spacing w:val="-4"/>
          <w:sz w:val="20"/>
        </w:rPr>
        <w:t xml:space="preserve"> </w:t>
      </w:r>
      <w:r>
        <w:rPr>
          <w:sz w:val="20"/>
        </w:rPr>
        <w:t>enquiries</w:t>
      </w:r>
      <w:r>
        <w:rPr>
          <w:spacing w:val="-2"/>
          <w:sz w:val="20"/>
        </w:rPr>
        <w:t xml:space="preserve"> addressed</w:t>
      </w:r>
    </w:p>
    <w:p w14:paraId="46169101" w14:textId="77777777" w:rsidR="009D54AF" w:rsidRDefault="009D54AF">
      <w:pPr>
        <w:pStyle w:val="BodyText"/>
        <w:spacing w:before="23"/>
        <w:rPr>
          <w:sz w:val="20"/>
        </w:rPr>
      </w:pPr>
    </w:p>
    <w:p w14:paraId="6AC59F57" w14:textId="77777777" w:rsidR="009D54AF" w:rsidRDefault="00000000">
      <w:pPr>
        <w:ind w:left="142"/>
        <w:rPr>
          <w:b/>
          <w:sz w:val="20"/>
        </w:rPr>
      </w:pPr>
      <w:r>
        <w:rPr>
          <w:b/>
          <w:sz w:val="20"/>
        </w:rPr>
        <w:t>Diagnostic</w:t>
      </w:r>
      <w:r>
        <w:rPr>
          <w:b/>
          <w:spacing w:val="11"/>
          <w:sz w:val="20"/>
        </w:rPr>
        <w:t xml:space="preserve"> </w:t>
      </w:r>
      <w:r>
        <w:rPr>
          <w:b/>
          <w:sz w:val="20"/>
        </w:rPr>
        <w:t>Imaging</w:t>
      </w:r>
      <w:r>
        <w:rPr>
          <w:b/>
          <w:spacing w:val="12"/>
          <w:sz w:val="20"/>
        </w:rPr>
        <w:t xml:space="preserve"> </w:t>
      </w:r>
      <w:r>
        <w:rPr>
          <w:b/>
          <w:sz w:val="20"/>
        </w:rPr>
        <w:t>Accreditation</w:t>
      </w:r>
      <w:r>
        <w:rPr>
          <w:b/>
          <w:spacing w:val="12"/>
          <w:sz w:val="20"/>
        </w:rPr>
        <w:t xml:space="preserve"> </w:t>
      </w:r>
      <w:r>
        <w:rPr>
          <w:b/>
          <w:spacing w:val="-2"/>
          <w:sz w:val="20"/>
        </w:rPr>
        <w:t>Scheme</w:t>
      </w:r>
    </w:p>
    <w:p w14:paraId="3A7EAD7D" w14:textId="77777777" w:rsidR="009D54AF" w:rsidRDefault="00000000">
      <w:pPr>
        <w:pStyle w:val="Heading5"/>
        <w:spacing w:before="33"/>
      </w:pPr>
      <w:r>
        <w:rPr>
          <w:color w:val="007CAE"/>
          <w:spacing w:val="-2"/>
        </w:rPr>
        <w:t>5,073</w:t>
      </w:r>
    </w:p>
    <w:p w14:paraId="28D26902" w14:textId="77777777" w:rsidR="009D54AF" w:rsidRDefault="00000000">
      <w:pPr>
        <w:spacing w:before="27"/>
        <w:ind w:left="142"/>
      </w:pPr>
      <w:r>
        <w:t>imaging</w:t>
      </w:r>
      <w:r>
        <w:rPr>
          <w:spacing w:val="-3"/>
        </w:rPr>
        <w:t xml:space="preserve"> </w:t>
      </w:r>
      <w:r>
        <w:t>practices</w:t>
      </w:r>
      <w:r>
        <w:rPr>
          <w:spacing w:val="-3"/>
        </w:rPr>
        <w:t xml:space="preserve"> </w:t>
      </w:r>
      <w:r>
        <w:rPr>
          <w:spacing w:val="-2"/>
        </w:rPr>
        <w:t>accredited</w:t>
      </w:r>
    </w:p>
    <w:p w14:paraId="2B1327FA" w14:textId="77777777" w:rsidR="009D54AF" w:rsidRDefault="00000000">
      <w:pPr>
        <w:pStyle w:val="Heading5"/>
        <w:spacing w:before="86"/>
      </w:pPr>
      <w:r>
        <w:rPr>
          <w:color w:val="007CAE"/>
          <w:spacing w:val="-5"/>
        </w:rPr>
        <w:t>940</w:t>
      </w:r>
    </w:p>
    <w:p w14:paraId="18F168C8" w14:textId="77777777" w:rsidR="009D54AF" w:rsidRDefault="00000000">
      <w:pPr>
        <w:spacing w:before="26"/>
        <w:ind w:left="142"/>
      </w:pPr>
      <w:r>
        <w:t>phone</w:t>
      </w:r>
      <w:r>
        <w:rPr>
          <w:spacing w:val="-2"/>
        </w:rPr>
        <w:t xml:space="preserve"> </w:t>
      </w:r>
      <w:r>
        <w:t>calls</w:t>
      </w:r>
      <w:r>
        <w:rPr>
          <w:spacing w:val="-2"/>
        </w:rPr>
        <w:t xml:space="preserve"> taken</w:t>
      </w:r>
    </w:p>
    <w:p w14:paraId="004D74A9" w14:textId="77777777" w:rsidR="009D54AF" w:rsidRDefault="00000000">
      <w:pPr>
        <w:spacing w:before="250"/>
        <w:ind w:left="142"/>
        <w:rPr>
          <w:b/>
          <w:sz w:val="20"/>
        </w:rPr>
      </w:pPr>
      <w:r>
        <w:rPr>
          <w:b/>
          <w:sz w:val="20"/>
        </w:rPr>
        <w:t>National</w:t>
      </w:r>
      <w:r>
        <w:rPr>
          <w:b/>
          <w:spacing w:val="11"/>
          <w:sz w:val="20"/>
        </w:rPr>
        <w:t xml:space="preserve"> </w:t>
      </w:r>
      <w:r>
        <w:rPr>
          <w:b/>
          <w:sz w:val="20"/>
        </w:rPr>
        <w:t>Pathology</w:t>
      </w:r>
      <w:r>
        <w:rPr>
          <w:b/>
          <w:spacing w:val="11"/>
          <w:sz w:val="20"/>
        </w:rPr>
        <w:t xml:space="preserve"> </w:t>
      </w:r>
      <w:r>
        <w:rPr>
          <w:b/>
          <w:sz w:val="20"/>
        </w:rPr>
        <w:t>Accreditation</w:t>
      </w:r>
      <w:r>
        <w:rPr>
          <w:b/>
          <w:spacing w:val="11"/>
          <w:sz w:val="20"/>
        </w:rPr>
        <w:t xml:space="preserve"> </w:t>
      </w:r>
      <w:r>
        <w:rPr>
          <w:b/>
          <w:spacing w:val="-2"/>
          <w:sz w:val="20"/>
        </w:rPr>
        <w:t>Scheme</w:t>
      </w:r>
    </w:p>
    <w:p w14:paraId="36812D1E" w14:textId="77777777" w:rsidR="009D54AF" w:rsidRDefault="00000000">
      <w:pPr>
        <w:pStyle w:val="Heading5"/>
        <w:spacing w:before="32"/>
      </w:pPr>
      <w:r>
        <w:rPr>
          <w:color w:val="007CAE"/>
          <w:spacing w:val="-5"/>
        </w:rPr>
        <w:t>593</w:t>
      </w:r>
    </w:p>
    <w:p w14:paraId="14ACBACF" w14:textId="77777777" w:rsidR="009D54AF" w:rsidRDefault="00000000">
      <w:pPr>
        <w:spacing w:before="27"/>
        <w:ind w:left="142"/>
      </w:pPr>
      <w:r>
        <w:t xml:space="preserve">pathology practices </w:t>
      </w:r>
      <w:r>
        <w:rPr>
          <w:spacing w:val="-2"/>
        </w:rPr>
        <w:t>accredited</w:t>
      </w:r>
    </w:p>
    <w:p w14:paraId="41875012" w14:textId="77777777" w:rsidR="009D54AF" w:rsidRDefault="009D54AF">
      <w:pPr>
        <w:pStyle w:val="BodyText"/>
        <w:spacing w:before="45"/>
        <w:rPr>
          <w:sz w:val="22"/>
        </w:rPr>
      </w:pPr>
    </w:p>
    <w:p w14:paraId="7F179734" w14:textId="77777777" w:rsidR="009D54AF" w:rsidRDefault="00000000" w:rsidP="001160E8">
      <w:pPr>
        <w:pStyle w:val="Headinglevel2nonTOC"/>
        <w:ind w:left="142"/>
      </w:pPr>
      <w:r>
        <w:t>Website</w:t>
      </w:r>
      <w:r>
        <w:rPr>
          <w:spacing w:val="-7"/>
        </w:rPr>
        <w:t xml:space="preserve"> </w:t>
      </w:r>
      <w:r>
        <w:t>and</w:t>
      </w:r>
      <w:r>
        <w:rPr>
          <w:spacing w:val="-7"/>
        </w:rPr>
        <w:t xml:space="preserve"> </w:t>
      </w:r>
      <w:r>
        <w:t>resources</w:t>
      </w:r>
    </w:p>
    <w:p w14:paraId="4710AFD5" w14:textId="77777777" w:rsidR="009D54AF" w:rsidRDefault="00000000">
      <w:pPr>
        <w:spacing w:before="224"/>
        <w:ind w:left="142"/>
        <w:rPr>
          <w:b/>
          <w:sz w:val="20"/>
        </w:rPr>
      </w:pPr>
      <w:r>
        <w:rPr>
          <w:b/>
          <w:sz w:val="20"/>
        </w:rPr>
        <w:t>Website</w:t>
      </w:r>
      <w:r>
        <w:rPr>
          <w:b/>
          <w:spacing w:val="5"/>
          <w:sz w:val="20"/>
        </w:rPr>
        <w:t xml:space="preserve"> </w:t>
      </w:r>
      <w:r>
        <w:rPr>
          <w:b/>
          <w:sz w:val="20"/>
        </w:rPr>
        <w:t>page</w:t>
      </w:r>
      <w:r>
        <w:rPr>
          <w:b/>
          <w:spacing w:val="6"/>
          <w:sz w:val="20"/>
        </w:rPr>
        <w:t xml:space="preserve"> </w:t>
      </w:r>
      <w:r>
        <w:rPr>
          <w:b/>
          <w:spacing w:val="-4"/>
          <w:sz w:val="20"/>
        </w:rPr>
        <w:t>views</w:t>
      </w:r>
    </w:p>
    <w:p w14:paraId="663667A7" w14:textId="77777777" w:rsidR="009D54AF" w:rsidRDefault="00000000">
      <w:pPr>
        <w:pStyle w:val="Heading5"/>
        <w:spacing w:before="33"/>
      </w:pPr>
      <w:r>
        <w:rPr>
          <w:color w:val="007CAE"/>
        </w:rPr>
        <w:t>11.2</w:t>
      </w:r>
      <w:r>
        <w:rPr>
          <w:color w:val="007CAE"/>
          <w:spacing w:val="-19"/>
        </w:rPr>
        <w:t xml:space="preserve"> </w:t>
      </w:r>
      <w:r>
        <w:rPr>
          <w:color w:val="007CAE"/>
          <w:spacing w:val="-2"/>
        </w:rPr>
        <w:t>million</w:t>
      </w:r>
    </w:p>
    <w:p w14:paraId="50335360" w14:textId="77777777" w:rsidR="009D54AF" w:rsidRDefault="00000000">
      <w:pPr>
        <w:spacing w:before="232"/>
        <w:ind w:left="142"/>
        <w:rPr>
          <w:b/>
          <w:sz w:val="20"/>
        </w:rPr>
      </w:pPr>
      <w:r>
        <w:rPr>
          <w:b/>
          <w:sz w:val="20"/>
        </w:rPr>
        <w:t>Resource</w:t>
      </w:r>
      <w:r>
        <w:rPr>
          <w:b/>
          <w:spacing w:val="5"/>
          <w:sz w:val="20"/>
        </w:rPr>
        <w:t xml:space="preserve"> </w:t>
      </w:r>
      <w:r>
        <w:rPr>
          <w:b/>
          <w:spacing w:val="-2"/>
          <w:sz w:val="20"/>
        </w:rPr>
        <w:t>downloads</w:t>
      </w:r>
    </w:p>
    <w:p w14:paraId="5C125E51" w14:textId="77777777" w:rsidR="009D54AF" w:rsidRDefault="00000000" w:rsidP="001160E8">
      <w:pPr>
        <w:pStyle w:val="Heading5"/>
        <w:spacing w:before="33" w:after="180"/>
      </w:pPr>
      <w:r>
        <w:rPr>
          <w:color w:val="007CAE"/>
        </w:rPr>
        <w:t>1.3</w:t>
      </w:r>
      <w:r>
        <w:rPr>
          <w:color w:val="007CAE"/>
          <w:spacing w:val="-2"/>
        </w:rPr>
        <w:t xml:space="preserve"> million</w:t>
      </w:r>
    </w:p>
    <w:p w14:paraId="47B93E77" w14:textId="77777777" w:rsidR="009D54AF" w:rsidRDefault="00000000" w:rsidP="001160E8">
      <w:pPr>
        <w:pStyle w:val="Headinglevel2nonTOC"/>
        <w:spacing w:before="240"/>
        <w:ind w:left="142"/>
      </w:pPr>
      <w:r>
        <w:t>National</w:t>
      </w:r>
      <w:r>
        <w:rPr>
          <w:spacing w:val="-6"/>
        </w:rPr>
        <w:t xml:space="preserve"> </w:t>
      </w:r>
      <w:r>
        <w:t>Hand</w:t>
      </w:r>
      <w:r>
        <w:rPr>
          <w:spacing w:val="-5"/>
        </w:rPr>
        <w:t xml:space="preserve"> </w:t>
      </w:r>
      <w:r>
        <w:t>Hygiene</w:t>
      </w:r>
      <w:r>
        <w:rPr>
          <w:spacing w:val="-5"/>
        </w:rPr>
        <w:t xml:space="preserve"> </w:t>
      </w:r>
      <w:r>
        <w:t>Initiative</w:t>
      </w:r>
    </w:p>
    <w:p w14:paraId="289E2A6E" w14:textId="77777777" w:rsidR="009D54AF" w:rsidRDefault="00000000">
      <w:pPr>
        <w:spacing w:before="224"/>
        <w:ind w:left="142"/>
        <w:rPr>
          <w:b/>
          <w:sz w:val="20"/>
        </w:rPr>
      </w:pPr>
      <w:proofErr w:type="spellStart"/>
      <w:r>
        <w:rPr>
          <w:b/>
          <w:spacing w:val="-2"/>
          <w:sz w:val="20"/>
        </w:rPr>
        <w:t>Organisations</w:t>
      </w:r>
      <w:proofErr w:type="spellEnd"/>
    </w:p>
    <w:p w14:paraId="56CE9793" w14:textId="77777777" w:rsidR="009D54AF" w:rsidRDefault="00000000">
      <w:pPr>
        <w:pStyle w:val="Heading5"/>
        <w:spacing w:before="33"/>
      </w:pPr>
      <w:r>
        <w:rPr>
          <w:color w:val="007CAE"/>
          <w:spacing w:val="-2"/>
        </w:rPr>
        <w:t>1,062</w:t>
      </w:r>
    </w:p>
    <w:p w14:paraId="4E99C588" w14:textId="77777777" w:rsidR="009D54AF" w:rsidRDefault="00000000">
      <w:pPr>
        <w:spacing w:before="232"/>
        <w:ind w:left="142"/>
        <w:rPr>
          <w:b/>
          <w:sz w:val="20"/>
        </w:rPr>
      </w:pPr>
      <w:r>
        <w:rPr>
          <w:b/>
          <w:sz w:val="20"/>
        </w:rPr>
        <w:t>‘Moments’</w:t>
      </w:r>
      <w:r>
        <w:rPr>
          <w:b/>
          <w:spacing w:val="4"/>
          <w:sz w:val="20"/>
        </w:rPr>
        <w:t xml:space="preserve"> </w:t>
      </w:r>
      <w:r>
        <w:rPr>
          <w:b/>
          <w:sz w:val="20"/>
        </w:rPr>
        <w:t>of</w:t>
      </w:r>
      <w:r>
        <w:rPr>
          <w:b/>
          <w:spacing w:val="5"/>
          <w:sz w:val="20"/>
        </w:rPr>
        <w:t xml:space="preserve"> </w:t>
      </w:r>
      <w:r>
        <w:rPr>
          <w:b/>
          <w:sz w:val="20"/>
        </w:rPr>
        <w:t>hand</w:t>
      </w:r>
      <w:r>
        <w:rPr>
          <w:b/>
          <w:spacing w:val="5"/>
          <w:sz w:val="20"/>
        </w:rPr>
        <w:t xml:space="preserve"> </w:t>
      </w:r>
      <w:r>
        <w:rPr>
          <w:b/>
          <w:spacing w:val="-2"/>
          <w:sz w:val="20"/>
        </w:rPr>
        <w:t>hygiene</w:t>
      </w:r>
    </w:p>
    <w:p w14:paraId="7C3BD828" w14:textId="77777777" w:rsidR="009D54AF" w:rsidRDefault="00000000">
      <w:pPr>
        <w:pStyle w:val="Heading5"/>
        <w:spacing w:before="33"/>
      </w:pPr>
      <w:r>
        <w:rPr>
          <w:color w:val="007CAE"/>
          <w:spacing w:val="-2"/>
        </w:rPr>
        <w:t>770,404</w:t>
      </w:r>
    </w:p>
    <w:p w14:paraId="1EE06A00" w14:textId="77777777" w:rsidR="009D54AF" w:rsidRDefault="00000000">
      <w:pPr>
        <w:spacing w:before="232"/>
        <w:ind w:left="142"/>
        <w:rPr>
          <w:b/>
          <w:sz w:val="20"/>
        </w:rPr>
      </w:pPr>
      <w:r>
        <w:rPr>
          <w:b/>
          <w:spacing w:val="-2"/>
          <w:sz w:val="20"/>
        </w:rPr>
        <w:t>Compliance</w:t>
      </w:r>
    </w:p>
    <w:p w14:paraId="224F3208" w14:textId="77777777" w:rsidR="009D54AF" w:rsidRDefault="00000000">
      <w:pPr>
        <w:pStyle w:val="Heading5"/>
        <w:spacing w:before="33"/>
      </w:pPr>
      <w:r>
        <w:rPr>
          <w:color w:val="007CAE"/>
          <w:spacing w:val="-2"/>
        </w:rPr>
        <w:t>86.9%</w:t>
      </w:r>
    </w:p>
    <w:p w14:paraId="533F20F1" w14:textId="77777777" w:rsidR="009D54AF" w:rsidRDefault="00000000">
      <w:pPr>
        <w:spacing w:before="26"/>
        <w:ind w:left="142"/>
        <w:rPr>
          <w:sz w:val="20"/>
        </w:rPr>
      </w:pPr>
      <w:r>
        <w:rPr>
          <w:sz w:val="20"/>
        </w:rPr>
        <w:t>national</w:t>
      </w:r>
      <w:r>
        <w:rPr>
          <w:spacing w:val="-4"/>
          <w:sz w:val="20"/>
        </w:rPr>
        <w:t xml:space="preserve"> </w:t>
      </w:r>
      <w:r>
        <w:rPr>
          <w:sz w:val="20"/>
        </w:rPr>
        <w:t>benchmark</w:t>
      </w:r>
      <w:r>
        <w:rPr>
          <w:spacing w:val="-3"/>
          <w:sz w:val="20"/>
        </w:rPr>
        <w:t xml:space="preserve"> </w:t>
      </w:r>
      <w:r>
        <w:rPr>
          <w:spacing w:val="-5"/>
          <w:sz w:val="20"/>
        </w:rPr>
        <w:t>80%</w:t>
      </w:r>
    </w:p>
    <w:p w14:paraId="37DF94B1" w14:textId="77777777" w:rsidR="009D54AF" w:rsidRDefault="009D54AF">
      <w:pPr>
        <w:pStyle w:val="BodyText"/>
        <w:spacing w:before="23"/>
        <w:rPr>
          <w:sz w:val="20"/>
        </w:rPr>
      </w:pPr>
    </w:p>
    <w:p w14:paraId="17582DA9" w14:textId="77777777" w:rsidR="009D54AF" w:rsidRDefault="00000000">
      <w:pPr>
        <w:ind w:left="142"/>
        <w:rPr>
          <w:b/>
          <w:sz w:val="20"/>
        </w:rPr>
      </w:pPr>
      <w:r>
        <w:rPr>
          <w:b/>
          <w:sz w:val="20"/>
        </w:rPr>
        <w:t>NHHI</w:t>
      </w:r>
      <w:r>
        <w:rPr>
          <w:b/>
          <w:spacing w:val="9"/>
          <w:sz w:val="20"/>
        </w:rPr>
        <w:t xml:space="preserve"> </w:t>
      </w:r>
      <w:r>
        <w:rPr>
          <w:b/>
          <w:sz w:val="20"/>
        </w:rPr>
        <w:t>Learning</w:t>
      </w:r>
      <w:r>
        <w:rPr>
          <w:b/>
          <w:spacing w:val="9"/>
          <w:sz w:val="20"/>
        </w:rPr>
        <w:t xml:space="preserve"> </w:t>
      </w:r>
      <w:r>
        <w:rPr>
          <w:b/>
          <w:sz w:val="20"/>
        </w:rPr>
        <w:t>Management</w:t>
      </w:r>
      <w:r>
        <w:rPr>
          <w:b/>
          <w:spacing w:val="10"/>
          <w:sz w:val="20"/>
        </w:rPr>
        <w:t xml:space="preserve"> </w:t>
      </w:r>
      <w:r>
        <w:rPr>
          <w:b/>
          <w:spacing w:val="-2"/>
          <w:sz w:val="20"/>
        </w:rPr>
        <w:t>System</w:t>
      </w:r>
    </w:p>
    <w:p w14:paraId="2CDC5A54" w14:textId="77777777" w:rsidR="009D54AF" w:rsidRDefault="00000000">
      <w:pPr>
        <w:pStyle w:val="Heading5"/>
        <w:spacing w:before="33"/>
      </w:pPr>
      <w:r>
        <w:rPr>
          <w:color w:val="007CAE"/>
          <w:spacing w:val="-2"/>
        </w:rPr>
        <w:t>4,857</w:t>
      </w:r>
    </w:p>
    <w:p w14:paraId="1C820942" w14:textId="77777777" w:rsidR="009D54AF" w:rsidRDefault="00000000">
      <w:pPr>
        <w:spacing w:before="26"/>
        <w:ind w:left="142"/>
        <w:rPr>
          <w:sz w:val="20"/>
        </w:rPr>
      </w:pPr>
      <w:proofErr w:type="spellStart"/>
      <w:r>
        <w:rPr>
          <w:sz w:val="20"/>
        </w:rPr>
        <w:t>organisations</w:t>
      </w:r>
      <w:proofErr w:type="spellEnd"/>
      <w:r>
        <w:rPr>
          <w:spacing w:val="-2"/>
          <w:sz w:val="20"/>
        </w:rPr>
        <w:t xml:space="preserve"> </w:t>
      </w:r>
      <w:r>
        <w:rPr>
          <w:sz w:val="20"/>
        </w:rPr>
        <w:t>using</w:t>
      </w:r>
      <w:r>
        <w:rPr>
          <w:spacing w:val="-2"/>
          <w:sz w:val="20"/>
        </w:rPr>
        <w:t xml:space="preserve"> </w:t>
      </w:r>
      <w:r>
        <w:rPr>
          <w:sz w:val="20"/>
        </w:rPr>
        <w:t>the</w:t>
      </w:r>
      <w:r>
        <w:rPr>
          <w:spacing w:val="-2"/>
          <w:sz w:val="20"/>
        </w:rPr>
        <w:t xml:space="preserve"> system</w:t>
      </w:r>
    </w:p>
    <w:p w14:paraId="43A9DA0E" w14:textId="77777777" w:rsidR="009D54AF" w:rsidRDefault="009D54AF">
      <w:pPr>
        <w:rPr>
          <w:sz w:val="20"/>
        </w:rPr>
        <w:sectPr w:rsidR="009D54AF">
          <w:pgSz w:w="11910" w:h="16840"/>
          <w:pgMar w:top="680" w:right="708" w:bottom="280" w:left="708" w:header="720" w:footer="720" w:gutter="0"/>
          <w:cols w:space="720"/>
        </w:sectPr>
      </w:pPr>
    </w:p>
    <w:p w14:paraId="661F23F3" w14:textId="77777777" w:rsidR="009D54AF" w:rsidRDefault="00000000" w:rsidP="001160E8">
      <w:pPr>
        <w:pStyle w:val="Headinglevel2nonTOC"/>
      </w:pPr>
      <w:r>
        <w:lastRenderedPageBreak/>
        <w:t>New releases</w:t>
      </w:r>
      <w:r>
        <w:rPr>
          <w:spacing w:val="-1"/>
        </w:rPr>
        <w:t xml:space="preserve"> </w:t>
      </w:r>
      <w:r>
        <w:t>and</w:t>
      </w:r>
      <w:r>
        <w:rPr>
          <w:spacing w:val="-1"/>
        </w:rPr>
        <w:t xml:space="preserve"> </w:t>
      </w:r>
      <w:r>
        <w:t>events</w:t>
      </w:r>
    </w:p>
    <w:p w14:paraId="53B30B73" w14:textId="77777777" w:rsidR="009D54AF" w:rsidRDefault="00000000">
      <w:pPr>
        <w:spacing w:before="245" w:line="444" w:lineRule="auto"/>
        <w:ind w:left="142" w:right="6484"/>
      </w:pPr>
      <w:r>
        <w:t>National Medicines Symposium 2025 National</w:t>
      </w:r>
      <w:r>
        <w:rPr>
          <w:spacing w:val="-9"/>
        </w:rPr>
        <w:t xml:space="preserve"> </w:t>
      </w:r>
      <w:r>
        <w:t>Model</w:t>
      </w:r>
      <w:r>
        <w:rPr>
          <w:spacing w:val="-9"/>
        </w:rPr>
        <w:t xml:space="preserve"> </w:t>
      </w:r>
      <w:r>
        <w:t>for</w:t>
      </w:r>
      <w:r>
        <w:rPr>
          <w:spacing w:val="-9"/>
        </w:rPr>
        <w:t xml:space="preserve"> </w:t>
      </w:r>
      <w:r>
        <w:t>Clinical</w:t>
      </w:r>
      <w:r>
        <w:rPr>
          <w:spacing w:val="-9"/>
        </w:rPr>
        <w:t xml:space="preserve"> </w:t>
      </w:r>
      <w:r>
        <w:t>Governance</w:t>
      </w:r>
    </w:p>
    <w:p w14:paraId="16CB2361" w14:textId="77777777" w:rsidR="009D54AF" w:rsidRDefault="00000000">
      <w:pPr>
        <w:spacing w:line="444" w:lineRule="auto"/>
        <w:ind w:left="142" w:right="3321"/>
      </w:pPr>
      <w:r>
        <w:t>Medication</w:t>
      </w:r>
      <w:r>
        <w:rPr>
          <w:spacing w:val="-6"/>
        </w:rPr>
        <w:t xml:space="preserve"> </w:t>
      </w:r>
      <w:r>
        <w:t>Management</w:t>
      </w:r>
      <w:r>
        <w:rPr>
          <w:spacing w:val="-6"/>
        </w:rPr>
        <w:t xml:space="preserve"> </w:t>
      </w:r>
      <w:r>
        <w:t>at</w:t>
      </w:r>
      <w:r>
        <w:rPr>
          <w:spacing w:val="-10"/>
        </w:rPr>
        <w:t xml:space="preserve"> </w:t>
      </w:r>
      <w:r>
        <w:t>Transitions</w:t>
      </w:r>
      <w:r>
        <w:rPr>
          <w:spacing w:val="-6"/>
        </w:rPr>
        <w:t xml:space="preserve"> </w:t>
      </w:r>
      <w:r>
        <w:t>of</w:t>
      </w:r>
      <w:r>
        <w:rPr>
          <w:spacing w:val="-6"/>
        </w:rPr>
        <w:t xml:space="preserve"> </w:t>
      </w:r>
      <w:r>
        <w:t>Care</w:t>
      </w:r>
      <w:r>
        <w:rPr>
          <w:spacing w:val="-6"/>
        </w:rPr>
        <w:t xml:space="preserve"> </w:t>
      </w:r>
      <w:r>
        <w:t>Stewardship</w:t>
      </w:r>
      <w:r>
        <w:rPr>
          <w:spacing w:val="-6"/>
        </w:rPr>
        <w:t xml:space="preserve"> </w:t>
      </w:r>
      <w:r>
        <w:t>Framework Colonoscopy Clinical Care Standard (Revision)</w:t>
      </w:r>
    </w:p>
    <w:p w14:paraId="0A190999" w14:textId="77777777" w:rsidR="009D54AF" w:rsidRDefault="00000000">
      <w:pPr>
        <w:spacing w:line="250" w:lineRule="exact"/>
        <w:ind w:left="142"/>
      </w:pPr>
      <w:r>
        <w:t>Emergency</w:t>
      </w:r>
      <w:r>
        <w:rPr>
          <w:spacing w:val="-3"/>
        </w:rPr>
        <w:t xml:space="preserve"> </w:t>
      </w:r>
      <w:r>
        <w:t>Laparotomy</w:t>
      </w:r>
      <w:r>
        <w:rPr>
          <w:spacing w:val="-2"/>
        </w:rPr>
        <w:t xml:space="preserve"> </w:t>
      </w:r>
      <w:r>
        <w:t>Clinical</w:t>
      </w:r>
      <w:r>
        <w:rPr>
          <w:spacing w:val="-3"/>
        </w:rPr>
        <w:t xml:space="preserve"> </w:t>
      </w:r>
      <w:r>
        <w:t>Care</w:t>
      </w:r>
      <w:r>
        <w:rPr>
          <w:spacing w:val="-2"/>
        </w:rPr>
        <w:t xml:space="preserve"> Standard</w:t>
      </w:r>
    </w:p>
    <w:p w14:paraId="7D91DF63" w14:textId="77777777" w:rsidR="009D54AF" w:rsidRDefault="00000000">
      <w:pPr>
        <w:spacing w:before="211" w:line="444" w:lineRule="auto"/>
        <w:ind w:left="142" w:right="2068"/>
      </w:pPr>
      <w:r>
        <w:t>Usability</w:t>
      </w:r>
      <w:r>
        <w:rPr>
          <w:spacing w:val="-4"/>
        </w:rPr>
        <w:t xml:space="preserve"> </w:t>
      </w:r>
      <w:r>
        <w:t>Guidance</w:t>
      </w:r>
      <w:r>
        <w:rPr>
          <w:spacing w:val="-4"/>
        </w:rPr>
        <w:t xml:space="preserve"> </w:t>
      </w:r>
      <w:r>
        <w:t>for</w:t>
      </w:r>
      <w:r>
        <w:rPr>
          <w:spacing w:val="-4"/>
        </w:rPr>
        <w:t xml:space="preserve"> </w:t>
      </w:r>
      <w:proofErr w:type="spellStart"/>
      <w:r>
        <w:t>Optimising</w:t>
      </w:r>
      <w:proofErr w:type="spellEnd"/>
      <w:r>
        <w:rPr>
          <w:spacing w:val="-4"/>
        </w:rPr>
        <w:t xml:space="preserve"> </w:t>
      </w:r>
      <w:r>
        <w:t>My</w:t>
      </w:r>
      <w:r>
        <w:rPr>
          <w:spacing w:val="-4"/>
        </w:rPr>
        <w:t xml:space="preserve"> </w:t>
      </w:r>
      <w:r>
        <w:t>Health</w:t>
      </w:r>
      <w:r>
        <w:rPr>
          <w:spacing w:val="-4"/>
        </w:rPr>
        <w:t xml:space="preserve"> </w:t>
      </w:r>
      <w:r>
        <w:t>Record</w:t>
      </w:r>
      <w:r>
        <w:rPr>
          <w:spacing w:val="-4"/>
        </w:rPr>
        <w:t xml:space="preserve"> </w:t>
      </w:r>
      <w:r>
        <w:t>Viewing</w:t>
      </w:r>
      <w:r>
        <w:rPr>
          <w:spacing w:val="-4"/>
        </w:rPr>
        <w:t xml:space="preserve"> </w:t>
      </w:r>
      <w:r>
        <w:t>Platforms</w:t>
      </w:r>
      <w:r>
        <w:rPr>
          <w:spacing w:val="-4"/>
        </w:rPr>
        <w:t xml:space="preserve"> </w:t>
      </w:r>
      <w:r>
        <w:t>in</w:t>
      </w:r>
      <w:r>
        <w:rPr>
          <w:spacing w:val="-15"/>
        </w:rPr>
        <w:t xml:space="preserve"> </w:t>
      </w:r>
      <w:r>
        <w:t>Acute</w:t>
      </w:r>
      <w:r>
        <w:rPr>
          <w:spacing w:val="-4"/>
        </w:rPr>
        <w:t xml:space="preserve"> </w:t>
      </w:r>
      <w:r>
        <w:t>Care Atlas Focus Report: Colonoscopy</w:t>
      </w:r>
    </w:p>
    <w:p w14:paraId="6033CAA1" w14:textId="77777777" w:rsidR="009D54AF" w:rsidRDefault="00000000">
      <w:pPr>
        <w:spacing w:line="444" w:lineRule="auto"/>
        <w:ind w:left="142" w:right="5464"/>
      </w:pPr>
      <w:r>
        <w:t>Stroke Clinical Care Standard (Revision) Healthcare</w:t>
      </w:r>
      <w:r>
        <w:rPr>
          <w:spacing w:val="-9"/>
        </w:rPr>
        <w:t xml:space="preserve"> </w:t>
      </w:r>
      <w:r>
        <w:t>Sustainability</w:t>
      </w:r>
      <w:r>
        <w:rPr>
          <w:spacing w:val="-9"/>
        </w:rPr>
        <w:t xml:space="preserve"> </w:t>
      </w:r>
      <w:r>
        <w:t>and</w:t>
      </w:r>
      <w:r>
        <w:rPr>
          <w:spacing w:val="-9"/>
        </w:rPr>
        <w:t xml:space="preserve"> </w:t>
      </w:r>
      <w:r>
        <w:t>Resilience</w:t>
      </w:r>
      <w:r>
        <w:rPr>
          <w:spacing w:val="-9"/>
        </w:rPr>
        <w:t xml:space="preserve"> </w:t>
      </w:r>
      <w:r>
        <w:t>Module</w:t>
      </w:r>
    </w:p>
    <w:p w14:paraId="3DF17175" w14:textId="77777777" w:rsidR="009D54AF" w:rsidRDefault="00000000">
      <w:pPr>
        <w:spacing w:line="444" w:lineRule="auto"/>
        <w:ind w:left="142" w:right="3776"/>
      </w:pPr>
      <w:r>
        <w:t>Electronic Medication Management Self-Assessment Tool Integrated</w:t>
      </w:r>
      <w:r>
        <w:rPr>
          <w:spacing w:val="-4"/>
        </w:rPr>
        <w:t xml:space="preserve"> </w:t>
      </w:r>
      <w:r>
        <w:t>Health</w:t>
      </w:r>
      <w:r>
        <w:rPr>
          <w:spacing w:val="-4"/>
        </w:rPr>
        <w:t xml:space="preserve"> </w:t>
      </w:r>
      <w:r>
        <w:t>and</w:t>
      </w:r>
      <w:r>
        <w:rPr>
          <w:spacing w:val="-16"/>
        </w:rPr>
        <w:t xml:space="preserve"> </w:t>
      </w:r>
      <w:r>
        <w:t>Aged</w:t>
      </w:r>
      <w:r>
        <w:rPr>
          <w:spacing w:val="-4"/>
        </w:rPr>
        <w:t xml:space="preserve"> </w:t>
      </w:r>
      <w:r>
        <w:t>Care</w:t>
      </w:r>
      <w:r>
        <w:rPr>
          <w:spacing w:val="-4"/>
        </w:rPr>
        <w:t xml:space="preserve"> </w:t>
      </w:r>
      <w:r>
        <w:t>Services</w:t>
      </w:r>
      <w:r>
        <w:rPr>
          <w:spacing w:val="-4"/>
        </w:rPr>
        <w:t xml:space="preserve"> </w:t>
      </w:r>
      <w:r>
        <w:t>Module</w:t>
      </w:r>
      <w:r>
        <w:rPr>
          <w:spacing w:val="-4"/>
        </w:rPr>
        <w:t xml:space="preserve"> </w:t>
      </w:r>
      <w:r>
        <w:t>and</w:t>
      </w:r>
      <w:r>
        <w:rPr>
          <w:spacing w:val="-4"/>
        </w:rPr>
        <w:t xml:space="preserve"> </w:t>
      </w:r>
      <w:r>
        <w:t>User</w:t>
      </w:r>
      <w:r>
        <w:rPr>
          <w:spacing w:val="-4"/>
        </w:rPr>
        <w:t xml:space="preserve"> </w:t>
      </w:r>
      <w:r>
        <w:t>Guide</w:t>
      </w:r>
    </w:p>
    <w:p w14:paraId="729A6FB7" w14:textId="77777777" w:rsidR="009D54AF" w:rsidRDefault="009D54AF">
      <w:pPr>
        <w:spacing w:line="444" w:lineRule="auto"/>
        <w:sectPr w:rsidR="009D54AF">
          <w:pgSz w:w="11910" w:h="16840"/>
          <w:pgMar w:top="700" w:right="708" w:bottom="280" w:left="708" w:header="720" w:footer="720" w:gutter="0"/>
          <w:cols w:space="720"/>
        </w:sectPr>
      </w:pPr>
    </w:p>
    <w:p w14:paraId="29BCB3FF" w14:textId="77777777" w:rsidR="009D54AF" w:rsidRDefault="00000000">
      <w:pPr>
        <w:pStyle w:val="ListParagraph"/>
        <w:numPr>
          <w:ilvl w:val="0"/>
          <w:numId w:val="38"/>
        </w:numPr>
        <w:tabs>
          <w:tab w:val="left" w:pos="688"/>
        </w:tabs>
        <w:spacing w:before="57"/>
        <w:ind w:left="688" w:hanging="546"/>
        <w:rPr>
          <w:sz w:val="52"/>
        </w:rPr>
      </w:pPr>
      <w:r>
        <w:rPr>
          <w:spacing w:val="-2"/>
          <w:sz w:val="52"/>
        </w:rPr>
        <w:lastRenderedPageBreak/>
        <w:t>Overview</w:t>
      </w:r>
    </w:p>
    <w:p w14:paraId="4752027F" w14:textId="77777777" w:rsidR="009D54AF" w:rsidRDefault="00000000">
      <w:pPr>
        <w:pStyle w:val="Heading9"/>
        <w:spacing w:before="315" w:line="268" w:lineRule="auto"/>
        <w:ind w:right="207"/>
        <w:jc w:val="both"/>
      </w:pPr>
      <w:r>
        <w:t>This</w:t>
      </w:r>
      <w:r>
        <w:rPr>
          <w:spacing w:val="-5"/>
        </w:rPr>
        <w:t xml:space="preserve"> </w:t>
      </w:r>
      <w:r>
        <w:t>section</w:t>
      </w:r>
      <w:r>
        <w:rPr>
          <w:spacing w:val="-5"/>
        </w:rPr>
        <w:t xml:space="preserve"> </w:t>
      </w:r>
      <w:r>
        <w:t>provides</w:t>
      </w:r>
      <w:r>
        <w:rPr>
          <w:spacing w:val="-5"/>
        </w:rPr>
        <w:t xml:space="preserve"> </w:t>
      </w:r>
      <w:r>
        <w:t>an</w:t>
      </w:r>
      <w:r>
        <w:rPr>
          <w:spacing w:val="-5"/>
        </w:rPr>
        <w:t xml:space="preserve"> </w:t>
      </w:r>
      <w:r>
        <w:t>overview</w:t>
      </w:r>
      <w:r>
        <w:rPr>
          <w:spacing w:val="-5"/>
        </w:rPr>
        <w:t xml:space="preserve"> </w:t>
      </w:r>
      <w:r>
        <w:t>of</w:t>
      </w:r>
      <w:r>
        <w:rPr>
          <w:spacing w:val="-5"/>
        </w:rPr>
        <w:t xml:space="preserve"> </w:t>
      </w:r>
      <w:r>
        <w:t>the</w:t>
      </w:r>
      <w:r>
        <w:rPr>
          <w:spacing w:val="-5"/>
        </w:rPr>
        <w:t xml:space="preserve"> </w:t>
      </w:r>
      <w:r>
        <w:t>Australian</w:t>
      </w:r>
      <w:r>
        <w:rPr>
          <w:spacing w:val="-5"/>
        </w:rPr>
        <w:t xml:space="preserve"> </w:t>
      </w:r>
      <w:r>
        <w:t>Commission</w:t>
      </w:r>
      <w:r>
        <w:rPr>
          <w:spacing w:val="-5"/>
        </w:rPr>
        <w:t xml:space="preserve"> </w:t>
      </w:r>
      <w:r>
        <w:t>on</w:t>
      </w:r>
      <w:r>
        <w:rPr>
          <w:spacing w:val="-5"/>
        </w:rPr>
        <w:t xml:space="preserve"> </w:t>
      </w:r>
      <w:r>
        <w:t>Safety</w:t>
      </w:r>
      <w:r>
        <w:rPr>
          <w:spacing w:val="-5"/>
        </w:rPr>
        <w:t xml:space="preserve"> </w:t>
      </w:r>
      <w:r>
        <w:t>and</w:t>
      </w:r>
      <w:r>
        <w:rPr>
          <w:spacing w:val="-5"/>
        </w:rPr>
        <w:t xml:space="preserve"> </w:t>
      </w:r>
      <w:r>
        <w:t>Quality</w:t>
      </w:r>
      <w:r>
        <w:rPr>
          <w:spacing w:val="-5"/>
        </w:rPr>
        <w:t xml:space="preserve"> </w:t>
      </w:r>
      <w:r>
        <w:t>in</w:t>
      </w:r>
      <w:r>
        <w:rPr>
          <w:spacing w:val="-5"/>
        </w:rPr>
        <w:t xml:space="preserve"> </w:t>
      </w:r>
      <w:r>
        <w:t>Health Care</w:t>
      </w:r>
      <w:r>
        <w:rPr>
          <w:spacing w:val="-12"/>
        </w:rPr>
        <w:t xml:space="preserve"> </w:t>
      </w:r>
      <w:r>
        <w:t>(the</w:t>
      </w:r>
      <w:r>
        <w:rPr>
          <w:spacing w:val="-12"/>
        </w:rPr>
        <w:t xml:space="preserve"> </w:t>
      </w:r>
      <w:r>
        <w:t>Commission),</w:t>
      </w:r>
      <w:r>
        <w:rPr>
          <w:spacing w:val="-12"/>
        </w:rPr>
        <w:t xml:space="preserve"> </w:t>
      </w:r>
      <w:r>
        <w:t>including</w:t>
      </w:r>
      <w:r>
        <w:rPr>
          <w:spacing w:val="-12"/>
        </w:rPr>
        <w:t xml:space="preserve"> </w:t>
      </w:r>
      <w:r>
        <w:t>its</w:t>
      </w:r>
      <w:r>
        <w:rPr>
          <w:spacing w:val="-12"/>
        </w:rPr>
        <w:t xml:space="preserve"> </w:t>
      </w:r>
      <w:r>
        <w:t>mission,</w:t>
      </w:r>
      <w:r>
        <w:rPr>
          <w:spacing w:val="-12"/>
        </w:rPr>
        <w:t xml:space="preserve"> </w:t>
      </w:r>
      <w:r>
        <w:t>role,</w:t>
      </w:r>
      <w:r>
        <w:rPr>
          <w:spacing w:val="-12"/>
        </w:rPr>
        <w:t xml:space="preserve"> </w:t>
      </w:r>
      <w:r>
        <w:t>functions</w:t>
      </w:r>
      <w:r>
        <w:rPr>
          <w:spacing w:val="-12"/>
        </w:rPr>
        <w:t xml:space="preserve"> </w:t>
      </w:r>
      <w:r>
        <w:t>and</w:t>
      </w:r>
      <w:r>
        <w:rPr>
          <w:spacing w:val="-12"/>
        </w:rPr>
        <w:t xml:space="preserve"> </w:t>
      </w:r>
      <w:r>
        <w:t>accountability,</w:t>
      </w:r>
      <w:r>
        <w:rPr>
          <w:spacing w:val="-12"/>
        </w:rPr>
        <w:t xml:space="preserve"> </w:t>
      </w:r>
      <w:r>
        <w:t>and</w:t>
      </w:r>
      <w:r>
        <w:rPr>
          <w:spacing w:val="-12"/>
        </w:rPr>
        <w:t xml:space="preserve"> </w:t>
      </w:r>
      <w:r>
        <w:t>reports</w:t>
      </w:r>
      <w:r>
        <w:rPr>
          <w:spacing w:val="-12"/>
        </w:rPr>
        <w:t xml:space="preserve"> </w:t>
      </w:r>
      <w:r>
        <w:t>from the Commission’s Chair and Chief Executive Officer.</w:t>
      </w:r>
    </w:p>
    <w:sdt>
      <w:sdtPr>
        <w:id w:val="995696943"/>
        <w:docPartObj>
          <w:docPartGallery w:val="Table of Contents"/>
          <w:docPartUnique/>
        </w:docPartObj>
      </w:sdtPr>
      <w:sdtContent>
        <w:p w14:paraId="30369934" w14:textId="1EBEA73D" w:rsidR="009D54AF" w:rsidRPr="001B3251" w:rsidRDefault="00000000">
          <w:pPr>
            <w:pStyle w:val="TOC1"/>
            <w:tabs>
              <w:tab w:val="right" w:pos="5528"/>
            </w:tabs>
            <w:spacing w:before="293"/>
            <w:rPr>
              <w:rFonts w:ascii="Arial" w:hAnsi="Arial" w:cs="Calibri (Body)"/>
              <w:b w:val="0"/>
              <w:i/>
            </w:rPr>
          </w:pPr>
          <w:hyperlink w:anchor="_About_the_Commission" w:history="1">
            <w:r w:rsidR="00E26787" w:rsidRPr="001B3251">
              <w:rPr>
                <w:rFonts w:ascii="Arial" w:hAnsi="Arial" w:cs="Calibri (Body)"/>
                <w:b w:val="0"/>
                <w:i/>
                <w:spacing w:val="-5"/>
              </w:rPr>
              <w:t>About t</w:t>
            </w:r>
            <w:r w:rsidR="00E26787" w:rsidRPr="001B3251">
              <w:rPr>
                <w:rFonts w:ascii="Arial" w:hAnsi="Arial" w:cs="Calibri (Body)"/>
                <w:b w:val="0"/>
                <w:i/>
                <w:spacing w:val="-5"/>
              </w:rPr>
              <w:t>h</w:t>
            </w:r>
            <w:r w:rsidR="00E26787" w:rsidRPr="001B3251">
              <w:rPr>
                <w:rFonts w:ascii="Arial" w:hAnsi="Arial" w:cs="Calibri (Body)"/>
                <w:b w:val="0"/>
                <w:i/>
                <w:spacing w:val="-5"/>
              </w:rPr>
              <w:t>e Commission</w:t>
            </w:r>
          </w:hyperlink>
        </w:p>
        <w:p w14:paraId="39A03C47" w14:textId="2C37FABD" w:rsidR="009D54AF" w:rsidRPr="001B3251" w:rsidRDefault="00000000">
          <w:pPr>
            <w:pStyle w:val="TOC1"/>
            <w:tabs>
              <w:tab w:val="right" w:pos="5528"/>
            </w:tabs>
            <w:rPr>
              <w:rFonts w:ascii="Arial" w:hAnsi="Arial" w:cs="Calibri (Body)"/>
              <w:b w:val="0"/>
              <w:i/>
            </w:rPr>
          </w:pPr>
          <w:hyperlink w:anchor="_New_Strategic_Plan" w:history="1">
            <w:r w:rsidR="00E26787" w:rsidRPr="001B3251">
              <w:rPr>
                <w:rFonts w:ascii="Arial" w:hAnsi="Arial" w:cs="Calibri (Body)"/>
                <w:b w:val="0"/>
                <w:i/>
                <w:spacing w:val="-5"/>
              </w:rPr>
              <w:t>New Strategic Plan 2025–2030</w:t>
            </w:r>
          </w:hyperlink>
        </w:p>
        <w:p w14:paraId="53354835" w14:textId="2ECF8066" w:rsidR="009D54AF" w:rsidRPr="001B3251" w:rsidRDefault="00000000">
          <w:pPr>
            <w:pStyle w:val="TOC1"/>
            <w:tabs>
              <w:tab w:val="right" w:pos="5528"/>
            </w:tabs>
            <w:spacing w:before="221"/>
            <w:rPr>
              <w:rFonts w:ascii="Arial" w:hAnsi="Arial" w:cs="Calibri (Body)"/>
              <w:b w:val="0"/>
              <w:i/>
            </w:rPr>
          </w:pPr>
          <w:hyperlink w:anchor="_Report_from_the" w:history="1">
            <w:r w:rsidR="00E26787" w:rsidRPr="001B3251">
              <w:rPr>
                <w:rFonts w:ascii="Arial" w:hAnsi="Arial" w:cs="Calibri (Body)"/>
                <w:b w:val="0"/>
                <w:i/>
                <w:spacing w:val="-5"/>
              </w:rPr>
              <w:t>Report from th</w:t>
            </w:r>
            <w:r w:rsidR="00E26787" w:rsidRPr="001B3251">
              <w:rPr>
                <w:rFonts w:ascii="Arial" w:hAnsi="Arial" w:cs="Calibri (Body)"/>
                <w:b w:val="0"/>
                <w:i/>
                <w:spacing w:val="-5"/>
              </w:rPr>
              <w:t>e</w:t>
            </w:r>
            <w:r w:rsidR="00E26787" w:rsidRPr="001B3251">
              <w:rPr>
                <w:rFonts w:ascii="Arial" w:hAnsi="Arial" w:cs="Calibri (Body)"/>
                <w:b w:val="0"/>
                <w:i/>
                <w:spacing w:val="-5"/>
              </w:rPr>
              <w:t xml:space="preserve"> </w:t>
            </w:r>
            <w:r w:rsidR="00E26787" w:rsidRPr="001B3251">
              <w:rPr>
                <w:rFonts w:ascii="Arial" w:hAnsi="Arial" w:cs="Calibri (Body)"/>
                <w:b w:val="0"/>
                <w:i/>
                <w:spacing w:val="-5"/>
              </w:rPr>
              <w:t>C</w:t>
            </w:r>
            <w:r w:rsidR="00E26787" w:rsidRPr="001B3251">
              <w:rPr>
                <w:rFonts w:ascii="Arial" w:hAnsi="Arial" w:cs="Calibri (Body)"/>
                <w:b w:val="0"/>
                <w:i/>
                <w:spacing w:val="-5"/>
              </w:rPr>
              <w:t>hair</w:t>
            </w:r>
          </w:hyperlink>
        </w:p>
        <w:p w14:paraId="3E1FFFFB" w14:textId="54B0DA0A" w:rsidR="009D54AF" w:rsidRPr="001B3251" w:rsidRDefault="00000000">
          <w:pPr>
            <w:pStyle w:val="TOC1"/>
            <w:tabs>
              <w:tab w:val="right" w:pos="5528"/>
            </w:tabs>
            <w:rPr>
              <w:rFonts w:ascii="Arial" w:hAnsi="Arial" w:cs="Calibri (Body)"/>
              <w:b w:val="0"/>
              <w:i/>
            </w:rPr>
          </w:pPr>
          <w:hyperlink w:anchor="_Report_from_the_1" w:history="1">
            <w:r w:rsidR="00E26787" w:rsidRPr="001B3251">
              <w:rPr>
                <w:rFonts w:ascii="Arial" w:hAnsi="Arial" w:cs="Calibri (Body)"/>
                <w:b w:val="0"/>
                <w:i/>
                <w:spacing w:val="-5"/>
              </w:rPr>
              <w:t>Report from the Chief Executive Officer</w:t>
            </w:r>
          </w:hyperlink>
        </w:p>
        <w:p w14:paraId="6CAC1B25" w14:textId="3E5974CE" w:rsidR="009D54AF" w:rsidRPr="001B3251" w:rsidRDefault="00000000">
          <w:pPr>
            <w:pStyle w:val="TOC1"/>
            <w:tabs>
              <w:tab w:val="right" w:pos="5528"/>
            </w:tabs>
            <w:rPr>
              <w:rFonts w:ascii="Arial" w:hAnsi="Arial" w:cs="Calibri (Body)"/>
              <w:b w:val="0"/>
              <w:i/>
            </w:rPr>
          </w:pPr>
          <w:hyperlink w:anchor="_First_Nations_people’s" w:history="1">
            <w:r w:rsidR="00E26787" w:rsidRPr="001B3251">
              <w:rPr>
                <w:rFonts w:ascii="Arial" w:hAnsi="Arial" w:cs="Calibri (Body)"/>
                <w:b w:val="0"/>
                <w:i/>
                <w:spacing w:val="-5"/>
              </w:rPr>
              <w:t>First Nations people’s health and reconciliation</w:t>
            </w:r>
          </w:hyperlink>
        </w:p>
        <w:p w14:paraId="219A47EA" w14:textId="7E044235" w:rsidR="009D54AF" w:rsidRPr="001B3251" w:rsidRDefault="00000000">
          <w:pPr>
            <w:pStyle w:val="TOC1"/>
            <w:tabs>
              <w:tab w:val="right" w:pos="5528"/>
            </w:tabs>
            <w:rPr>
              <w:rFonts w:ascii="Arial" w:hAnsi="Arial" w:cs="Calibri (Body)"/>
              <w:b w:val="0"/>
              <w:i/>
            </w:rPr>
          </w:pPr>
          <w:hyperlink w:anchor="_Working_across_health" w:history="1">
            <w:r w:rsidR="00E26787" w:rsidRPr="001B3251">
              <w:rPr>
                <w:rFonts w:ascii="Arial" w:hAnsi="Arial" w:cs="Calibri (Body)"/>
                <w:b w:val="0"/>
                <w:i/>
                <w:spacing w:val="-5"/>
              </w:rPr>
              <w:t>Working across health care</w:t>
            </w:r>
          </w:hyperlink>
        </w:p>
        <w:p w14:paraId="36C59E05" w14:textId="6E311326" w:rsidR="009D54AF" w:rsidRPr="001B3251" w:rsidRDefault="00000000">
          <w:pPr>
            <w:pStyle w:val="TOC1"/>
            <w:tabs>
              <w:tab w:val="right" w:pos="5528"/>
            </w:tabs>
            <w:rPr>
              <w:rFonts w:ascii="Arial" w:hAnsi="Arial" w:cs="Calibri (Body)"/>
              <w:b w:val="0"/>
              <w:i/>
            </w:rPr>
          </w:pPr>
          <w:hyperlink w:anchor="_International_engagement" w:history="1">
            <w:r w:rsidR="00E26787" w:rsidRPr="001B3251">
              <w:rPr>
                <w:rFonts w:ascii="Arial" w:hAnsi="Arial" w:cs="Calibri (Body)"/>
                <w:b w:val="0"/>
                <w:i/>
                <w:spacing w:val="-5"/>
              </w:rPr>
              <w:t>International engagement</w:t>
            </w:r>
          </w:hyperlink>
        </w:p>
        <w:p w14:paraId="564C00A1" w14:textId="14794AF0" w:rsidR="009D54AF" w:rsidRPr="001B3251" w:rsidRDefault="00000000">
          <w:pPr>
            <w:pStyle w:val="TOC1"/>
            <w:tabs>
              <w:tab w:val="right" w:pos="5528"/>
            </w:tabs>
            <w:rPr>
              <w:rFonts w:ascii="Arial" w:hAnsi="Arial" w:cs="Calibri (Body)"/>
              <w:b w:val="0"/>
              <w:i/>
            </w:rPr>
          </w:pPr>
          <w:hyperlink w:anchor="_National_Health_Reform" w:history="1">
            <w:r w:rsidR="00E26787" w:rsidRPr="001B3251">
              <w:rPr>
                <w:rFonts w:ascii="Arial" w:hAnsi="Arial" w:cs="Calibri (Body)"/>
                <w:b w:val="0"/>
                <w:i/>
                <w:spacing w:val="-5"/>
              </w:rPr>
              <w:t>National Health Reform Agreement</w:t>
            </w:r>
          </w:hyperlink>
        </w:p>
        <w:p w14:paraId="3CC10006" w14:textId="4FCDE900" w:rsidR="009D54AF" w:rsidRDefault="00000000">
          <w:pPr>
            <w:pStyle w:val="TOC1"/>
            <w:tabs>
              <w:tab w:val="right" w:pos="5528"/>
            </w:tabs>
          </w:pPr>
          <w:hyperlink w:anchor="_Journal_articles" w:history="1">
            <w:r w:rsidR="00E26787" w:rsidRPr="001B3251">
              <w:rPr>
                <w:rFonts w:ascii="Arial" w:hAnsi="Arial" w:cs="Calibri (Body)"/>
                <w:b w:val="0"/>
                <w:i/>
                <w:spacing w:val="-5"/>
              </w:rPr>
              <w:t>Journal articles</w:t>
            </w:r>
          </w:hyperlink>
        </w:p>
      </w:sdtContent>
    </w:sdt>
    <w:p w14:paraId="532AB05C" w14:textId="77777777" w:rsidR="009D54AF" w:rsidRDefault="00000000">
      <w:pPr>
        <w:pStyle w:val="Heading1"/>
        <w:spacing w:before="193"/>
      </w:pPr>
      <w:bookmarkStart w:id="3" w:name="_About_the_Commission"/>
      <w:bookmarkStart w:id="4" w:name="_Toc243037265"/>
      <w:bookmarkEnd w:id="3"/>
      <w:r>
        <w:t>About</w:t>
      </w:r>
      <w:r>
        <w:rPr>
          <w:spacing w:val="-24"/>
        </w:rPr>
        <w:t xml:space="preserve"> </w:t>
      </w:r>
      <w:r>
        <w:t>the</w:t>
      </w:r>
      <w:r>
        <w:rPr>
          <w:spacing w:val="-23"/>
        </w:rPr>
        <w:t xml:space="preserve"> </w:t>
      </w:r>
      <w:r>
        <w:rPr>
          <w:spacing w:val="-2"/>
        </w:rPr>
        <w:t>Commission</w:t>
      </w:r>
      <w:bookmarkEnd w:id="4"/>
    </w:p>
    <w:p w14:paraId="27BC8C85" w14:textId="77777777" w:rsidR="009D54AF" w:rsidRDefault="00000000">
      <w:pPr>
        <w:spacing w:before="170" w:line="268" w:lineRule="auto"/>
        <w:ind w:left="142"/>
        <w:rPr>
          <w:sz w:val="24"/>
        </w:rPr>
      </w:pPr>
      <w:r>
        <w:rPr>
          <w:sz w:val="24"/>
        </w:rPr>
        <w:t>In 2006, the Council of Australian Governments established the Commission to lead and coordinate national improvements in the safety and quality of health care. The Commission’s permanent</w:t>
      </w:r>
      <w:r>
        <w:rPr>
          <w:spacing w:val="-8"/>
          <w:sz w:val="24"/>
        </w:rPr>
        <w:t xml:space="preserve"> </w:t>
      </w:r>
      <w:r>
        <w:rPr>
          <w:sz w:val="24"/>
        </w:rPr>
        <w:t>status</w:t>
      </w:r>
      <w:r>
        <w:rPr>
          <w:spacing w:val="-8"/>
          <w:sz w:val="24"/>
        </w:rPr>
        <w:t xml:space="preserve"> </w:t>
      </w:r>
      <w:r>
        <w:rPr>
          <w:sz w:val="24"/>
        </w:rPr>
        <w:t>was</w:t>
      </w:r>
      <w:r>
        <w:rPr>
          <w:spacing w:val="-8"/>
          <w:sz w:val="24"/>
        </w:rPr>
        <w:t xml:space="preserve"> </w:t>
      </w:r>
      <w:r>
        <w:rPr>
          <w:sz w:val="24"/>
        </w:rPr>
        <w:t>confirmed</w:t>
      </w:r>
      <w:r>
        <w:rPr>
          <w:spacing w:val="-8"/>
          <w:sz w:val="24"/>
        </w:rPr>
        <w:t xml:space="preserve"> </w:t>
      </w:r>
      <w:r>
        <w:rPr>
          <w:sz w:val="24"/>
        </w:rPr>
        <w:t>with</w:t>
      </w:r>
      <w:r>
        <w:rPr>
          <w:spacing w:val="-8"/>
          <w:sz w:val="24"/>
        </w:rPr>
        <w:t xml:space="preserve"> </w:t>
      </w:r>
      <w:r>
        <w:rPr>
          <w:sz w:val="24"/>
        </w:rPr>
        <w:t>the</w:t>
      </w:r>
      <w:r>
        <w:rPr>
          <w:spacing w:val="-8"/>
          <w:sz w:val="24"/>
        </w:rPr>
        <w:t xml:space="preserve"> </w:t>
      </w:r>
      <w:r>
        <w:rPr>
          <w:sz w:val="24"/>
        </w:rPr>
        <w:t>passage</w:t>
      </w:r>
      <w:r>
        <w:rPr>
          <w:spacing w:val="-8"/>
          <w:sz w:val="24"/>
        </w:rPr>
        <w:t xml:space="preserve"> </w:t>
      </w:r>
      <w:r>
        <w:rPr>
          <w:sz w:val="24"/>
        </w:rPr>
        <w:t>of</w:t>
      </w:r>
      <w:r>
        <w:rPr>
          <w:spacing w:val="-8"/>
          <w:sz w:val="24"/>
        </w:rPr>
        <w:t xml:space="preserve"> </w:t>
      </w:r>
      <w:r>
        <w:rPr>
          <w:sz w:val="24"/>
        </w:rPr>
        <w:t>the</w:t>
      </w:r>
      <w:r>
        <w:rPr>
          <w:spacing w:val="-8"/>
          <w:sz w:val="24"/>
        </w:rPr>
        <w:t xml:space="preserve"> </w:t>
      </w:r>
      <w:r>
        <w:rPr>
          <w:i/>
          <w:sz w:val="24"/>
        </w:rPr>
        <w:t>National</w:t>
      </w:r>
      <w:r>
        <w:rPr>
          <w:i/>
          <w:spacing w:val="-8"/>
          <w:sz w:val="24"/>
        </w:rPr>
        <w:t xml:space="preserve"> </w:t>
      </w:r>
      <w:r>
        <w:rPr>
          <w:i/>
          <w:sz w:val="24"/>
        </w:rPr>
        <w:t>Health</w:t>
      </w:r>
      <w:r>
        <w:rPr>
          <w:i/>
          <w:spacing w:val="-8"/>
          <w:sz w:val="24"/>
        </w:rPr>
        <w:t xml:space="preserve"> </w:t>
      </w:r>
      <w:r>
        <w:rPr>
          <w:i/>
          <w:sz w:val="24"/>
        </w:rPr>
        <w:t>and</w:t>
      </w:r>
      <w:r>
        <w:rPr>
          <w:i/>
          <w:spacing w:val="-8"/>
          <w:sz w:val="24"/>
        </w:rPr>
        <w:t xml:space="preserve"> </w:t>
      </w:r>
      <w:r>
        <w:rPr>
          <w:i/>
          <w:sz w:val="24"/>
        </w:rPr>
        <w:t>Hospitals</w:t>
      </w:r>
      <w:r>
        <w:rPr>
          <w:i/>
          <w:spacing w:val="-8"/>
          <w:sz w:val="24"/>
        </w:rPr>
        <w:t xml:space="preserve"> </w:t>
      </w:r>
      <w:r>
        <w:rPr>
          <w:i/>
          <w:sz w:val="24"/>
        </w:rPr>
        <w:t xml:space="preserve">Network Act 2011 </w:t>
      </w:r>
      <w:r>
        <w:rPr>
          <w:sz w:val="24"/>
        </w:rPr>
        <w:t xml:space="preserve">and its role codified in the </w:t>
      </w:r>
      <w:r>
        <w:rPr>
          <w:i/>
          <w:sz w:val="24"/>
        </w:rPr>
        <w:t>National Health Reform Act 2011</w:t>
      </w:r>
      <w:r>
        <w:rPr>
          <w:sz w:val="24"/>
        </w:rPr>
        <w:t>.</w:t>
      </w:r>
    </w:p>
    <w:p w14:paraId="07678EA8" w14:textId="77777777" w:rsidR="009D54AF" w:rsidRDefault="009D54AF">
      <w:pPr>
        <w:pStyle w:val="BodyText"/>
        <w:spacing w:before="9"/>
        <w:rPr>
          <w:sz w:val="24"/>
        </w:rPr>
      </w:pPr>
    </w:p>
    <w:p w14:paraId="2AD86952" w14:textId="77777777" w:rsidR="009D54AF" w:rsidRDefault="00000000">
      <w:pPr>
        <w:pStyle w:val="BodyText"/>
        <w:spacing w:line="278" w:lineRule="auto"/>
        <w:ind w:left="142"/>
      </w:pPr>
      <w:r>
        <w:t>The</w:t>
      </w:r>
      <w:r>
        <w:rPr>
          <w:spacing w:val="-3"/>
        </w:rPr>
        <w:t xml:space="preserve"> </w:t>
      </w:r>
      <w:r>
        <w:t>Commission</w:t>
      </w:r>
      <w:r>
        <w:rPr>
          <w:spacing w:val="-3"/>
        </w:rPr>
        <w:t xml:space="preserve"> </w:t>
      </w:r>
      <w:r>
        <w:t>began</w:t>
      </w:r>
      <w:r>
        <w:rPr>
          <w:spacing w:val="-3"/>
        </w:rPr>
        <w:t xml:space="preserve"> </w:t>
      </w:r>
      <w:r>
        <w:t>as</w:t>
      </w:r>
      <w:r>
        <w:rPr>
          <w:spacing w:val="-3"/>
        </w:rPr>
        <w:t xml:space="preserve"> </w:t>
      </w:r>
      <w:r>
        <w:t>an</w:t>
      </w:r>
      <w:r>
        <w:rPr>
          <w:spacing w:val="-3"/>
        </w:rPr>
        <w:t xml:space="preserve"> </w:t>
      </w:r>
      <w:r>
        <w:t>independent</w:t>
      </w:r>
      <w:r>
        <w:rPr>
          <w:spacing w:val="-3"/>
        </w:rPr>
        <w:t xml:space="preserve"> </w:t>
      </w:r>
      <w:r>
        <w:t>statutory</w:t>
      </w:r>
      <w:r>
        <w:rPr>
          <w:spacing w:val="-3"/>
        </w:rPr>
        <w:t xml:space="preserve"> </w:t>
      </w:r>
      <w:r>
        <w:t>authority</w:t>
      </w:r>
      <w:r>
        <w:rPr>
          <w:spacing w:val="-3"/>
        </w:rPr>
        <w:t xml:space="preserve"> </w:t>
      </w:r>
      <w:r>
        <w:t>on</w:t>
      </w:r>
      <w:r>
        <w:rPr>
          <w:spacing w:val="-3"/>
        </w:rPr>
        <w:t xml:space="preserve"> </w:t>
      </w:r>
      <w:r>
        <w:t>1</w:t>
      </w:r>
      <w:r>
        <w:rPr>
          <w:spacing w:val="-3"/>
        </w:rPr>
        <w:t xml:space="preserve"> </w:t>
      </w:r>
      <w:r>
        <w:t>July</w:t>
      </w:r>
      <w:r>
        <w:rPr>
          <w:spacing w:val="-3"/>
        </w:rPr>
        <w:t xml:space="preserve"> </w:t>
      </w:r>
      <w:r>
        <w:t>2011.</w:t>
      </w:r>
      <w:r>
        <w:rPr>
          <w:spacing w:val="-3"/>
        </w:rPr>
        <w:t xml:space="preserve"> </w:t>
      </w:r>
      <w:r>
        <w:t>It</w:t>
      </w:r>
      <w:r>
        <w:rPr>
          <w:spacing w:val="-3"/>
        </w:rPr>
        <w:t xml:space="preserve"> </w:t>
      </w:r>
      <w:r>
        <w:t>is</w:t>
      </w:r>
      <w:r>
        <w:rPr>
          <w:spacing w:val="-3"/>
        </w:rPr>
        <w:t xml:space="preserve"> </w:t>
      </w:r>
      <w:r>
        <w:t>funded</w:t>
      </w:r>
      <w:r>
        <w:rPr>
          <w:spacing w:val="-3"/>
        </w:rPr>
        <w:t xml:space="preserve"> </w:t>
      </w:r>
      <w:r>
        <w:t>by</w:t>
      </w:r>
      <w:r>
        <w:rPr>
          <w:spacing w:val="-3"/>
        </w:rPr>
        <w:t xml:space="preserve"> </w:t>
      </w:r>
      <w:r>
        <w:t>the</w:t>
      </w:r>
      <w:r>
        <w:rPr>
          <w:spacing w:val="-3"/>
        </w:rPr>
        <w:t xml:space="preserve"> </w:t>
      </w:r>
      <w:r>
        <w:t>Australian Government and state and territory governments.</w:t>
      </w:r>
    </w:p>
    <w:p w14:paraId="4B4D41A9" w14:textId="77777777" w:rsidR="009D54AF" w:rsidRDefault="009D54AF">
      <w:pPr>
        <w:pStyle w:val="BodyText"/>
        <w:spacing w:before="66"/>
      </w:pPr>
    </w:p>
    <w:p w14:paraId="6DDCC62F" w14:textId="77777777" w:rsidR="009D54AF" w:rsidRDefault="00000000">
      <w:pPr>
        <w:pStyle w:val="Heading5"/>
      </w:pPr>
      <w:r>
        <w:t>Our</w:t>
      </w:r>
      <w:r>
        <w:rPr>
          <w:spacing w:val="-1"/>
        </w:rPr>
        <w:t xml:space="preserve"> </w:t>
      </w:r>
      <w:r>
        <w:rPr>
          <w:spacing w:val="-2"/>
        </w:rPr>
        <w:t>purpose</w:t>
      </w:r>
    </w:p>
    <w:p w14:paraId="49ABF874" w14:textId="77777777" w:rsidR="009D54AF" w:rsidRDefault="00000000">
      <w:pPr>
        <w:pStyle w:val="BodyText"/>
        <w:spacing w:before="133" w:line="278" w:lineRule="auto"/>
        <w:ind w:left="142"/>
      </w:pPr>
      <w:r>
        <w:t>Our</w:t>
      </w:r>
      <w:r>
        <w:rPr>
          <w:spacing w:val="-2"/>
        </w:rPr>
        <w:t xml:space="preserve"> </w:t>
      </w:r>
      <w:r>
        <w:t>purpose</w:t>
      </w:r>
      <w:r>
        <w:rPr>
          <w:spacing w:val="-2"/>
        </w:rPr>
        <w:t xml:space="preserve"> </w:t>
      </w:r>
      <w:r>
        <w:t>is</w:t>
      </w:r>
      <w:r>
        <w:rPr>
          <w:spacing w:val="-2"/>
        </w:rPr>
        <w:t xml:space="preserve"> </w:t>
      </w:r>
      <w:r>
        <w:t>to</w:t>
      </w:r>
      <w:r>
        <w:rPr>
          <w:spacing w:val="-2"/>
        </w:rPr>
        <w:t xml:space="preserve"> </w:t>
      </w:r>
      <w:r>
        <w:t>lead</w:t>
      </w:r>
      <w:r>
        <w:rPr>
          <w:spacing w:val="-2"/>
        </w:rPr>
        <w:t xml:space="preserve"> </w:t>
      </w:r>
      <w:r>
        <w:t>improvements</w:t>
      </w:r>
      <w:r>
        <w:rPr>
          <w:spacing w:val="-2"/>
        </w:rPr>
        <w:t xml:space="preserve"> </w:t>
      </w:r>
      <w:r>
        <w:t>in</w:t>
      </w:r>
      <w:r>
        <w:rPr>
          <w:spacing w:val="-2"/>
        </w:rPr>
        <w:t xml:space="preserve"> </w:t>
      </w:r>
      <w:r>
        <w:t>the</w:t>
      </w:r>
      <w:r>
        <w:rPr>
          <w:spacing w:val="-2"/>
        </w:rPr>
        <w:t xml:space="preserve"> </w:t>
      </w:r>
      <w:r>
        <w:t>safety</w:t>
      </w:r>
      <w:r>
        <w:rPr>
          <w:spacing w:val="-2"/>
        </w:rPr>
        <w:t xml:space="preserve"> </w:t>
      </w:r>
      <w:r>
        <w:t>and</w:t>
      </w:r>
      <w:r>
        <w:rPr>
          <w:spacing w:val="-2"/>
        </w:rPr>
        <w:t xml:space="preserve"> </w:t>
      </w:r>
      <w:r>
        <w:t>quality</w:t>
      </w:r>
      <w:r>
        <w:rPr>
          <w:spacing w:val="-2"/>
        </w:rPr>
        <w:t xml:space="preserve"> </w:t>
      </w:r>
      <w:r>
        <w:t>of</w:t>
      </w:r>
      <w:r>
        <w:rPr>
          <w:spacing w:val="-2"/>
        </w:rPr>
        <w:t xml:space="preserve"> </w:t>
      </w:r>
      <w:r>
        <w:t>health</w:t>
      </w:r>
      <w:r>
        <w:rPr>
          <w:spacing w:val="-2"/>
        </w:rPr>
        <w:t xml:space="preserve"> </w:t>
      </w:r>
      <w:r>
        <w:t>care,</w:t>
      </w:r>
      <w:r>
        <w:rPr>
          <w:spacing w:val="-2"/>
        </w:rPr>
        <w:t xml:space="preserve"> </w:t>
      </w:r>
      <w:r>
        <w:t>so</w:t>
      </w:r>
      <w:r>
        <w:rPr>
          <w:spacing w:val="-2"/>
        </w:rPr>
        <w:t xml:space="preserve"> </w:t>
      </w:r>
      <w:r>
        <w:t>all</w:t>
      </w:r>
      <w:r>
        <w:rPr>
          <w:spacing w:val="-2"/>
        </w:rPr>
        <w:t xml:space="preserve"> </w:t>
      </w:r>
      <w:r>
        <w:t>Australians</w:t>
      </w:r>
      <w:r>
        <w:rPr>
          <w:spacing w:val="-2"/>
        </w:rPr>
        <w:t xml:space="preserve"> </w:t>
      </w:r>
      <w:r>
        <w:t>receive</w:t>
      </w:r>
      <w:r>
        <w:rPr>
          <w:spacing w:val="-2"/>
        </w:rPr>
        <w:t xml:space="preserve"> </w:t>
      </w:r>
      <w:r>
        <w:t>better care, everywhere.</w:t>
      </w:r>
    </w:p>
    <w:p w14:paraId="65674BE3" w14:textId="77777777" w:rsidR="009D54AF" w:rsidRDefault="00000000">
      <w:pPr>
        <w:pStyle w:val="BodyText"/>
        <w:spacing w:before="141" w:line="278" w:lineRule="auto"/>
        <w:ind w:left="142"/>
      </w:pPr>
      <w:r>
        <w:t>The</w:t>
      </w:r>
      <w:r>
        <w:rPr>
          <w:spacing w:val="-2"/>
        </w:rPr>
        <w:t xml:space="preserve"> </w:t>
      </w:r>
      <w:r>
        <w:t>Commission</w:t>
      </w:r>
      <w:r>
        <w:rPr>
          <w:spacing w:val="-2"/>
        </w:rPr>
        <w:t xml:space="preserve"> </w:t>
      </w:r>
      <w:r>
        <w:t>contributes</w:t>
      </w:r>
      <w:r>
        <w:rPr>
          <w:spacing w:val="-2"/>
        </w:rPr>
        <w:t xml:space="preserve"> </w:t>
      </w:r>
      <w:r>
        <w:t>to</w:t>
      </w:r>
      <w:r>
        <w:rPr>
          <w:spacing w:val="-2"/>
        </w:rPr>
        <w:t xml:space="preserve"> </w:t>
      </w:r>
      <w:r>
        <w:t>better</w:t>
      </w:r>
      <w:r>
        <w:rPr>
          <w:spacing w:val="-2"/>
        </w:rPr>
        <w:t xml:space="preserve"> </w:t>
      </w:r>
      <w:r>
        <w:t>health</w:t>
      </w:r>
      <w:r>
        <w:rPr>
          <w:spacing w:val="-2"/>
        </w:rPr>
        <w:t xml:space="preserve"> </w:t>
      </w:r>
      <w:r>
        <w:t>outcomes</w:t>
      </w:r>
      <w:r>
        <w:rPr>
          <w:spacing w:val="-2"/>
        </w:rPr>
        <w:t xml:space="preserve"> </w:t>
      </w:r>
      <w:r>
        <w:t>and</w:t>
      </w:r>
      <w:r>
        <w:rPr>
          <w:spacing w:val="-2"/>
        </w:rPr>
        <w:t xml:space="preserve"> </w:t>
      </w:r>
      <w:r>
        <w:t>experiences</w:t>
      </w:r>
      <w:r>
        <w:rPr>
          <w:spacing w:val="-2"/>
        </w:rPr>
        <w:t xml:space="preserve"> </w:t>
      </w:r>
      <w:r>
        <w:t>for</w:t>
      </w:r>
      <w:r>
        <w:rPr>
          <w:spacing w:val="-2"/>
        </w:rPr>
        <w:t xml:space="preserve"> </w:t>
      </w:r>
      <w:r>
        <w:t>Australians</w:t>
      </w:r>
      <w:r>
        <w:rPr>
          <w:spacing w:val="-2"/>
        </w:rPr>
        <w:t xml:space="preserve"> </w:t>
      </w:r>
      <w:r>
        <w:t>and</w:t>
      </w:r>
      <w:r>
        <w:rPr>
          <w:spacing w:val="-2"/>
        </w:rPr>
        <w:t xml:space="preserve"> </w:t>
      </w:r>
      <w:r>
        <w:t>improves</w:t>
      </w:r>
      <w:r>
        <w:rPr>
          <w:spacing w:val="-2"/>
        </w:rPr>
        <w:t xml:space="preserve"> </w:t>
      </w:r>
      <w:r>
        <w:t>clinical appropriateness and sustainability in the health system by leading and coordinating healthcare quality improvement nationally.</w:t>
      </w:r>
    </w:p>
    <w:p w14:paraId="46D723D3" w14:textId="77777777" w:rsidR="009D54AF" w:rsidRDefault="00000000">
      <w:pPr>
        <w:spacing w:before="141" w:line="278" w:lineRule="auto"/>
        <w:ind w:left="142"/>
        <w:rPr>
          <w:sz w:val="21"/>
        </w:rPr>
      </w:pPr>
      <w:r>
        <w:rPr>
          <w:sz w:val="21"/>
        </w:rPr>
        <w:t>The</w:t>
      </w:r>
      <w:r>
        <w:rPr>
          <w:spacing w:val="-2"/>
          <w:sz w:val="21"/>
        </w:rPr>
        <w:t xml:space="preserve"> </w:t>
      </w:r>
      <w:r>
        <w:rPr>
          <w:sz w:val="21"/>
        </w:rPr>
        <w:t>functions</w:t>
      </w:r>
      <w:r>
        <w:rPr>
          <w:spacing w:val="-2"/>
          <w:sz w:val="21"/>
        </w:rPr>
        <w:t xml:space="preserve"> </w:t>
      </w:r>
      <w:r>
        <w:rPr>
          <w:sz w:val="21"/>
        </w:rPr>
        <w:t>of</w:t>
      </w:r>
      <w:r>
        <w:rPr>
          <w:spacing w:val="-2"/>
          <w:sz w:val="21"/>
        </w:rPr>
        <w:t xml:space="preserve"> </w:t>
      </w:r>
      <w:r>
        <w:rPr>
          <w:sz w:val="21"/>
        </w:rPr>
        <w:t>the</w:t>
      </w:r>
      <w:r>
        <w:rPr>
          <w:spacing w:val="-2"/>
          <w:sz w:val="21"/>
        </w:rPr>
        <w:t xml:space="preserve"> </w:t>
      </w:r>
      <w:r>
        <w:rPr>
          <w:sz w:val="21"/>
        </w:rPr>
        <w:t>Commission</w:t>
      </w:r>
      <w:r>
        <w:rPr>
          <w:spacing w:val="-2"/>
          <w:sz w:val="21"/>
        </w:rPr>
        <w:t xml:space="preserve"> </w:t>
      </w:r>
      <w:r>
        <w:rPr>
          <w:sz w:val="21"/>
        </w:rPr>
        <w:t>are</w:t>
      </w:r>
      <w:r>
        <w:rPr>
          <w:spacing w:val="-2"/>
          <w:sz w:val="21"/>
        </w:rPr>
        <w:t xml:space="preserve"> </w:t>
      </w:r>
      <w:r>
        <w:rPr>
          <w:sz w:val="21"/>
        </w:rPr>
        <w:t>specified</w:t>
      </w:r>
      <w:r>
        <w:rPr>
          <w:spacing w:val="-2"/>
          <w:sz w:val="21"/>
        </w:rPr>
        <w:t xml:space="preserve"> </w:t>
      </w:r>
      <w:r>
        <w:rPr>
          <w:sz w:val="21"/>
        </w:rPr>
        <w:t>in</w:t>
      </w:r>
      <w:r>
        <w:rPr>
          <w:spacing w:val="-2"/>
          <w:sz w:val="21"/>
        </w:rPr>
        <w:t xml:space="preserve"> </w:t>
      </w:r>
      <w:r>
        <w:rPr>
          <w:sz w:val="21"/>
        </w:rPr>
        <w:t>section</w:t>
      </w:r>
      <w:r>
        <w:rPr>
          <w:spacing w:val="-2"/>
          <w:sz w:val="21"/>
        </w:rPr>
        <w:t xml:space="preserve"> </w:t>
      </w:r>
      <w:r>
        <w:rPr>
          <w:sz w:val="21"/>
        </w:rPr>
        <w:t>9</w:t>
      </w:r>
      <w:r>
        <w:rPr>
          <w:spacing w:val="-2"/>
          <w:sz w:val="21"/>
        </w:rPr>
        <w:t xml:space="preserve"> </w:t>
      </w:r>
      <w:r>
        <w:rPr>
          <w:sz w:val="21"/>
        </w:rPr>
        <w:t>of</w:t>
      </w:r>
      <w:r>
        <w:rPr>
          <w:spacing w:val="-2"/>
          <w:sz w:val="21"/>
        </w:rPr>
        <w:t xml:space="preserve"> </w:t>
      </w:r>
      <w:r>
        <w:rPr>
          <w:sz w:val="21"/>
        </w:rPr>
        <w:t>the</w:t>
      </w:r>
      <w:r>
        <w:rPr>
          <w:spacing w:val="-3"/>
          <w:sz w:val="21"/>
        </w:rPr>
        <w:t xml:space="preserve"> </w:t>
      </w:r>
      <w:r>
        <w:rPr>
          <w:i/>
          <w:sz w:val="21"/>
        </w:rPr>
        <w:t>National</w:t>
      </w:r>
      <w:r>
        <w:rPr>
          <w:i/>
          <w:spacing w:val="-2"/>
          <w:sz w:val="21"/>
        </w:rPr>
        <w:t xml:space="preserve"> </w:t>
      </w:r>
      <w:r>
        <w:rPr>
          <w:i/>
          <w:sz w:val="21"/>
        </w:rPr>
        <w:t>Health</w:t>
      </w:r>
      <w:r>
        <w:rPr>
          <w:i/>
          <w:spacing w:val="-2"/>
          <w:sz w:val="21"/>
        </w:rPr>
        <w:t xml:space="preserve"> </w:t>
      </w:r>
      <w:r>
        <w:rPr>
          <w:i/>
          <w:sz w:val="21"/>
        </w:rPr>
        <w:t>Reform</w:t>
      </w:r>
      <w:r>
        <w:rPr>
          <w:i/>
          <w:spacing w:val="-2"/>
          <w:sz w:val="21"/>
        </w:rPr>
        <w:t xml:space="preserve"> </w:t>
      </w:r>
      <w:r>
        <w:rPr>
          <w:i/>
          <w:sz w:val="21"/>
        </w:rPr>
        <w:t>Act</w:t>
      </w:r>
      <w:r>
        <w:rPr>
          <w:i/>
          <w:spacing w:val="-2"/>
          <w:sz w:val="21"/>
        </w:rPr>
        <w:t xml:space="preserve"> </w:t>
      </w:r>
      <w:r>
        <w:rPr>
          <w:i/>
          <w:sz w:val="21"/>
        </w:rPr>
        <w:t>2011</w:t>
      </w:r>
      <w:r>
        <w:rPr>
          <w:sz w:val="21"/>
        </w:rPr>
        <w:t>.</w:t>
      </w:r>
      <w:r>
        <w:rPr>
          <w:spacing w:val="-2"/>
          <w:sz w:val="21"/>
        </w:rPr>
        <w:t xml:space="preserve"> </w:t>
      </w:r>
      <w:r>
        <w:rPr>
          <w:sz w:val="21"/>
        </w:rPr>
        <w:t>These functions include:</w:t>
      </w:r>
    </w:p>
    <w:p w14:paraId="46861FC2" w14:textId="77777777" w:rsidR="009D54AF" w:rsidRDefault="00000000">
      <w:pPr>
        <w:pStyle w:val="ListParagraph"/>
        <w:numPr>
          <w:ilvl w:val="0"/>
          <w:numId w:val="37"/>
        </w:numPr>
        <w:tabs>
          <w:tab w:val="left" w:pos="424"/>
        </w:tabs>
        <w:spacing w:before="57"/>
        <w:ind w:left="424" w:hanging="268"/>
        <w:rPr>
          <w:sz w:val="21"/>
        </w:rPr>
      </w:pPr>
      <w:r>
        <w:rPr>
          <w:sz w:val="21"/>
        </w:rPr>
        <w:t>formulating</w:t>
      </w:r>
      <w:r>
        <w:rPr>
          <w:spacing w:val="-5"/>
          <w:sz w:val="21"/>
        </w:rPr>
        <w:t xml:space="preserve"> </w:t>
      </w:r>
      <w:r>
        <w:rPr>
          <w:sz w:val="21"/>
        </w:rPr>
        <w:t>standards,</w:t>
      </w:r>
      <w:r>
        <w:rPr>
          <w:spacing w:val="-3"/>
          <w:sz w:val="21"/>
        </w:rPr>
        <w:t xml:space="preserve"> </w:t>
      </w:r>
      <w:r>
        <w:rPr>
          <w:sz w:val="21"/>
        </w:rPr>
        <w:t>guidelines</w:t>
      </w:r>
      <w:r>
        <w:rPr>
          <w:spacing w:val="-2"/>
          <w:sz w:val="21"/>
        </w:rPr>
        <w:t xml:space="preserve"> </w:t>
      </w:r>
      <w:r>
        <w:rPr>
          <w:sz w:val="21"/>
        </w:rPr>
        <w:t>and</w:t>
      </w:r>
      <w:r>
        <w:rPr>
          <w:spacing w:val="-3"/>
          <w:sz w:val="21"/>
        </w:rPr>
        <w:t xml:space="preserve"> </w:t>
      </w:r>
      <w:r>
        <w:rPr>
          <w:sz w:val="21"/>
        </w:rPr>
        <w:t>indicators</w:t>
      </w:r>
      <w:r>
        <w:rPr>
          <w:spacing w:val="-2"/>
          <w:sz w:val="21"/>
        </w:rPr>
        <w:t xml:space="preserve"> </w:t>
      </w:r>
      <w:r>
        <w:rPr>
          <w:sz w:val="21"/>
        </w:rPr>
        <w:t>relating</w:t>
      </w:r>
      <w:r>
        <w:rPr>
          <w:spacing w:val="-3"/>
          <w:sz w:val="21"/>
        </w:rPr>
        <w:t xml:space="preserve"> </w:t>
      </w:r>
      <w:r>
        <w:rPr>
          <w:sz w:val="21"/>
        </w:rPr>
        <w:t>to</w:t>
      </w:r>
      <w:r>
        <w:rPr>
          <w:spacing w:val="-2"/>
          <w:sz w:val="21"/>
        </w:rPr>
        <w:t xml:space="preserve"> </w:t>
      </w:r>
      <w:r>
        <w:rPr>
          <w:sz w:val="21"/>
        </w:rPr>
        <w:t>healthcare</w:t>
      </w:r>
      <w:r>
        <w:rPr>
          <w:spacing w:val="-3"/>
          <w:sz w:val="21"/>
        </w:rPr>
        <w:t xml:space="preserve"> </w:t>
      </w:r>
      <w:r>
        <w:rPr>
          <w:sz w:val="21"/>
        </w:rPr>
        <w:t>safety</w:t>
      </w:r>
      <w:r>
        <w:rPr>
          <w:spacing w:val="-2"/>
          <w:sz w:val="21"/>
        </w:rPr>
        <w:t xml:space="preserve"> </w:t>
      </w:r>
      <w:r>
        <w:rPr>
          <w:sz w:val="21"/>
        </w:rPr>
        <w:t>and</w:t>
      </w:r>
      <w:r>
        <w:rPr>
          <w:spacing w:val="-3"/>
          <w:sz w:val="21"/>
        </w:rPr>
        <w:t xml:space="preserve"> </w:t>
      </w:r>
      <w:r>
        <w:rPr>
          <w:sz w:val="21"/>
        </w:rPr>
        <w:t>quality</w:t>
      </w:r>
      <w:r>
        <w:rPr>
          <w:spacing w:val="-2"/>
          <w:sz w:val="21"/>
        </w:rPr>
        <w:t xml:space="preserve"> matters</w:t>
      </w:r>
    </w:p>
    <w:p w14:paraId="227D219B" w14:textId="77777777" w:rsidR="009D54AF" w:rsidRDefault="00000000">
      <w:pPr>
        <w:pStyle w:val="ListParagraph"/>
        <w:numPr>
          <w:ilvl w:val="0"/>
          <w:numId w:val="37"/>
        </w:numPr>
        <w:tabs>
          <w:tab w:val="left" w:pos="424"/>
        </w:tabs>
        <w:ind w:left="424" w:hanging="268"/>
        <w:rPr>
          <w:sz w:val="21"/>
        </w:rPr>
      </w:pPr>
      <w:r>
        <w:rPr>
          <w:sz w:val="21"/>
        </w:rPr>
        <w:t>advising</w:t>
      </w:r>
      <w:r>
        <w:rPr>
          <w:spacing w:val="-3"/>
          <w:sz w:val="21"/>
        </w:rPr>
        <w:t xml:space="preserve"> </w:t>
      </w:r>
      <w:r>
        <w:rPr>
          <w:sz w:val="21"/>
        </w:rPr>
        <w:t>health</w:t>
      </w:r>
      <w:r>
        <w:rPr>
          <w:spacing w:val="-2"/>
          <w:sz w:val="21"/>
        </w:rPr>
        <w:t xml:space="preserve"> </w:t>
      </w:r>
      <w:r>
        <w:rPr>
          <w:sz w:val="21"/>
        </w:rPr>
        <w:t>ministers</w:t>
      </w:r>
      <w:r>
        <w:rPr>
          <w:spacing w:val="-2"/>
          <w:sz w:val="21"/>
        </w:rPr>
        <w:t xml:space="preserve"> </w:t>
      </w:r>
      <w:r>
        <w:rPr>
          <w:sz w:val="21"/>
        </w:rPr>
        <w:t>on</w:t>
      </w:r>
      <w:r>
        <w:rPr>
          <w:spacing w:val="-3"/>
          <w:sz w:val="21"/>
        </w:rPr>
        <w:t xml:space="preserve"> </w:t>
      </w:r>
      <w:r>
        <w:rPr>
          <w:sz w:val="21"/>
        </w:rPr>
        <w:t>national</w:t>
      </w:r>
      <w:r>
        <w:rPr>
          <w:spacing w:val="-2"/>
          <w:sz w:val="21"/>
        </w:rPr>
        <w:t xml:space="preserve"> </w:t>
      </w:r>
      <w:r>
        <w:rPr>
          <w:sz w:val="21"/>
        </w:rPr>
        <w:t>clinical</w:t>
      </w:r>
      <w:r>
        <w:rPr>
          <w:spacing w:val="-2"/>
          <w:sz w:val="21"/>
        </w:rPr>
        <w:t xml:space="preserve"> standards</w:t>
      </w:r>
    </w:p>
    <w:p w14:paraId="357EFFC4" w14:textId="77777777" w:rsidR="009D54AF" w:rsidRDefault="00000000">
      <w:pPr>
        <w:pStyle w:val="ListParagraph"/>
        <w:numPr>
          <w:ilvl w:val="0"/>
          <w:numId w:val="37"/>
        </w:numPr>
        <w:tabs>
          <w:tab w:val="left" w:pos="424"/>
          <w:tab w:val="left" w:pos="440"/>
        </w:tabs>
        <w:spacing w:line="278" w:lineRule="auto"/>
        <w:ind w:right="251" w:hanging="284"/>
        <w:rPr>
          <w:sz w:val="21"/>
        </w:rPr>
      </w:pPr>
      <w:r>
        <w:rPr>
          <w:sz w:val="21"/>
        </w:rPr>
        <w:t>promoting,</w:t>
      </w:r>
      <w:r>
        <w:rPr>
          <w:spacing w:val="-2"/>
          <w:sz w:val="21"/>
        </w:rPr>
        <w:t xml:space="preserve"> </w:t>
      </w:r>
      <w:r>
        <w:rPr>
          <w:sz w:val="21"/>
        </w:rPr>
        <w:t>supporting</w:t>
      </w:r>
      <w:r>
        <w:rPr>
          <w:spacing w:val="-2"/>
          <w:sz w:val="21"/>
        </w:rPr>
        <w:t xml:space="preserve"> </w:t>
      </w:r>
      <w:r>
        <w:rPr>
          <w:sz w:val="21"/>
        </w:rPr>
        <w:t>and</w:t>
      </w:r>
      <w:r>
        <w:rPr>
          <w:spacing w:val="-2"/>
          <w:sz w:val="21"/>
        </w:rPr>
        <w:t xml:space="preserve"> </w:t>
      </w:r>
      <w:r>
        <w:rPr>
          <w:sz w:val="21"/>
        </w:rPr>
        <w:t>encouraging</w:t>
      </w:r>
      <w:r>
        <w:rPr>
          <w:spacing w:val="-2"/>
          <w:sz w:val="21"/>
        </w:rPr>
        <w:t xml:space="preserve"> </w:t>
      </w:r>
      <w:r>
        <w:rPr>
          <w:sz w:val="21"/>
        </w:rPr>
        <w:t>the</w:t>
      </w:r>
      <w:r>
        <w:rPr>
          <w:spacing w:val="-2"/>
          <w:sz w:val="21"/>
        </w:rPr>
        <w:t xml:space="preserve"> </w:t>
      </w:r>
      <w:r>
        <w:rPr>
          <w:sz w:val="21"/>
        </w:rPr>
        <w:t>implementation</w:t>
      </w:r>
      <w:r>
        <w:rPr>
          <w:spacing w:val="-2"/>
          <w:sz w:val="21"/>
        </w:rPr>
        <w:t xml:space="preserve"> </w:t>
      </w:r>
      <w:r>
        <w:rPr>
          <w:sz w:val="21"/>
        </w:rPr>
        <w:t>of</w:t>
      </w:r>
      <w:r>
        <w:rPr>
          <w:spacing w:val="-2"/>
          <w:sz w:val="21"/>
        </w:rPr>
        <w:t xml:space="preserve"> </w:t>
      </w:r>
      <w:r>
        <w:rPr>
          <w:sz w:val="21"/>
        </w:rPr>
        <w:t>these</w:t>
      </w:r>
      <w:r>
        <w:rPr>
          <w:spacing w:val="-2"/>
          <w:sz w:val="21"/>
        </w:rPr>
        <w:t xml:space="preserve"> </w:t>
      </w:r>
      <w:r>
        <w:rPr>
          <w:sz w:val="21"/>
        </w:rPr>
        <w:t>standards</w:t>
      </w:r>
      <w:r>
        <w:rPr>
          <w:spacing w:val="-2"/>
          <w:sz w:val="21"/>
        </w:rPr>
        <w:t xml:space="preserve"> </w:t>
      </w:r>
      <w:r>
        <w:rPr>
          <w:sz w:val="21"/>
        </w:rPr>
        <w:t>and</w:t>
      </w:r>
      <w:r>
        <w:rPr>
          <w:spacing w:val="-2"/>
          <w:sz w:val="21"/>
        </w:rPr>
        <w:t xml:space="preserve"> </w:t>
      </w:r>
      <w:r>
        <w:rPr>
          <w:sz w:val="21"/>
        </w:rPr>
        <w:t>related</w:t>
      </w:r>
      <w:r>
        <w:rPr>
          <w:spacing w:val="-2"/>
          <w:sz w:val="21"/>
        </w:rPr>
        <w:t xml:space="preserve"> </w:t>
      </w:r>
      <w:r>
        <w:rPr>
          <w:sz w:val="21"/>
        </w:rPr>
        <w:t>guidelines</w:t>
      </w:r>
      <w:r>
        <w:rPr>
          <w:spacing w:val="-2"/>
          <w:sz w:val="21"/>
        </w:rPr>
        <w:t xml:space="preserve"> </w:t>
      </w:r>
      <w:r>
        <w:rPr>
          <w:sz w:val="21"/>
        </w:rPr>
        <w:t xml:space="preserve">and </w:t>
      </w:r>
      <w:r>
        <w:rPr>
          <w:spacing w:val="-2"/>
          <w:sz w:val="21"/>
        </w:rPr>
        <w:t>indicators</w:t>
      </w:r>
    </w:p>
    <w:p w14:paraId="6426CE7A" w14:textId="77777777" w:rsidR="009D54AF" w:rsidRDefault="00000000">
      <w:pPr>
        <w:pStyle w:val="ListParagraph"/>
        <w:numPr>
          <w:ilvl w:val="0"/>
          <w:numId w:val="37"/>
        </w:numPr>
        <w:tabs>
          <w:tab w:val="left" w:pos="424"/>
        </w:tabs>
        <w:spacing w:before="57"/>
        <w:ind w:left="424" w:hanging="268"/>
        <w:rPr>
          <w:sz w:val="21"/>
        </w:rPr>
      </w:pPr>
      <w:r>
        <w:rPr>
          <w:sz w:val="21"/>
        </w:rPr>
        <w:t>monitoring</w:t>
      </w:r>
      <w:r>
        <w:rPr>
          <w:spacing w:val="-4"/>
          <w:sz w:val="21"/>
        </w:rPr>
        <w:t xml:space="preserve"> </w:t>
      </w:r>
      <w:r>
        <w:rPr>
          <w:sz w:val="21"/>
        </w:rPr>
        <w:t>the</w:t>
      </w:r>
      <w:r>
        <w:rPr>
          <w:spacing w:val="-2"/>
          <w:sz w:val="21"/>
        </w:rPr>
        <w:t xml:space="preserve"> </w:t>
      </w:r>
      <w:r>
        <w:rPr>
          <w:sz w:val="21"/>
        </w:rPr>
        <w:t>implementation</w:t>
      </w:r>
      <w:r>
        <w:rPr>
          <w:spacing w:val="-1"/>
          <w:sz w:val="21"/>
        </w:rPr>
        <w:t xml:space="preserve"> </w:t>
      </w:r>
      <w:r>
        <w:rPr>
          <w:sz w:val="21"/>
        </w:rPr>
        <w:t>and</w:t>
      </w:r>
      <w:r>
        <w:rPr>
          <w:spacing w:val="-2"/>
          <w:sz w:val="21"/>
        </w:rPr>
        <w:t xml:space="preserve"> </w:t>
      </w:r>
      <w:r>
        <w:rPr>
          <w:sz w:val="21"/>
        </w:rPr>
        <w:t>impact</w:t>
      </w:r>
      <w:r>
        <w:rPr>
          <w:spacing w:val="-1"/>
          <w:sz w:val="21"/>
        </w:rPr>
        <w:t xml:space="preserve"> </w:t>
      </w:r>
      <w:r>
        <w:rPr>
          <w:sz w:val="21"/>
        </w:rPr>
        <w:t>of</w:t>
      </w:r>
      <w:r>
        <w:rPr>
          <w:spacing w:val="-2"/>
          <w:sz w:val="21"/>
        </w:rPr>
        <w:t xml:space="preserve"> </w:t>
      </w:r>
      <w:r>
        <w:rPr>
          <w:sz w:val="21"/>
        </w:rPr>
        <w:t>the</w:t>
      </w:r>
      <w:r>
        <w:rPr>
          <w:spacing w:val="-1"/>
          <w:sz w:val="21"/>
        </w:rPr>
        <w:t xml:space="preserve"> </w:t>
      </w:r>
      <w:r>
        <w:rPr>
          <w:spacing w:val="-2"/>
          <w:sz w:val="21"/>
        </w:rPr>
        <w:t>standards</w:t>
      </w:r>
    </w:p>
    <w:p w14:paraId="3FCC1B14" w14:textId="77777777" w:rsidR="009D54AF" w:rsidRDefault="00000000">
      <w:pPr>
        <w:pStyle w:val="ListParagraph"/>
        <w:numPr>
          <w:ilvl w:val="0"/>
          <w:numId w:val="37"/>
        </w:numPr>
        <w:tabs>
          <w:tab w:val="left" w:pos="424"/>
          <w:tab w:val="left" w:pos="440"/>
        </w:tabs>
        <w:spacing w:line="278" w:lineRule="auto"/>
        <w:ind w:right="1072" w:hanging="284"/>
        <w:rPr>
          <w:sz w:val="21"/>
        </w:rPr>
      </w:pPr>
      <w:r>
        <w:rPr>
          <w:sz w:val="21"/>
        </w:rPr>
        <w:t>promoting,</w:t>
      </w:r>
      <w:r>
        <w:rPr>
          <w:spacing w:val="-2"/>
          <w:sz w:val="21"/>
        </w:rPr>
        <w:t xml:space="preserve"> </w:t>
      </w:r>
      <w:r>
        <w:rPr>
          <w:sz w:val="21"/>
        </w:rPr>
        <w:t>supporting</w:t>
      </w:r>
      <w:r>
        <w:rPr>
          <w:spacing w:val="-2"/>
          <w:sz w:val="21"/>
        </w:rPr>
        <w:t xml:space="preserve"> </w:t>
      </w:r>
      <w:r>
        <w:rPr>
          <w:sz w:val="21"/>
        </w:rPr>
        <w:t>and</w:t>
      </w:r>
      <w:r>
        <w:rPr>
          <w:spacing w:val="-2"/>
          <w:sz w:val="21"/>
        </w:rPr>
        <w:t xml:space="preserve"> </w:t>
      </w:r>
      <w:r>
        <w:rPr>
          <w:sz w:val="21"/>
        </w:rPr>
        <w:t>encouraging</w:t>
      </w:r>
      <w:r>
        <w:rPr>
          <w:spacing w:val="-2"/>
          <w:sz w:val="21"/>
        </w:rPr>
        <w:t xml:space="preserve"> </w:t>
      </w:r>
      <w:r>
        <w:rPr>
          <w:sz w:val="21"/>
        </w:rPr>
        <w:t>the</w:t>
      </w:r>
      <w:r>
        <w:rPr>
          <w:spacing w:val="-2"/>
          <w:sz w:val="21"/>
        </w:rPr>
        <w:t xml:space="preserve"> </w:t>
      </w:r>
      <w:r>
        <w:rPr>
          <w:sz w:val="21"/>
        </w:rPr>
        <w:t>implementation</w:t>
      </w:r>
      <w:r>
        <w:rPr>
          <w:spacing w:val="-2"/>
          <w:sz w:val="21"/>
        </w:rPr>
        <w:t xml:space="preserve"> </w:t>
      </w:r>
      <w:r>
        <w:rPr>
          <w:sz w:val="21"/>
        </w:rPr>
        <w:t>of</w:t>
      </w:r>
      <w:r>
        <w:rPr>
          <w:spacing w:val="-2"/>
          <w:sz w:val="21"/>
        </w:rPr>
        <w:t xml:space="preserve"> </w:t>
      </w:r>
      <w:r>
        <w:rPr>
          <w:sz w:val="21"/>
        </w:rPr>
        <w:t>programs</w:t>
      </w:r>
      <w:r>
        <w:rPr>
          <w:spacing w:val="-2"/>
          <w:sz w:val="21"/>
        </w:rPr>
        <w:t xml:space="preserve"> </w:t>
      </w:r>
      <w:r>
        <w:rPr>
          <w:sz w:val="21"/>
        </w:rPr>
        <w:t>and</w:t>
      </w:r>
      <w:r>
        <w:rPr>
          <w:spacing w:val="-2"/>
          <w:sz w:val="21"/>
        </w:rPr>
        <w:t xml:space="preserve"> </w:t>
      </w:r>
      <w:r>
        <w:rPr>
          <w:sz w:val="21"/>
        </w:rPr>
        <w:t>initiatives</w:t>
      </w:r>
      <w:r>
        <w:rPr>
          <w:spacing w:val="-2"/>
          <w:sz w:val="21"/>
        </w:rPr>
        <w:t xml:space="preserve"> </w:t>
      </w:r>
      <w:r>
        <w:rPr>
          <w:sz w:val="21"/>
        </w:rPr>
        <w:t>relating</w:t>
      </w:r>
      <w:r>
        <w:rPr>
          <w:spacing w:val="-2"/>
          <w:sz w:val="21"/>
        </w:rPr>
        <w:t xml:space="preserve"> </w:t>
      </w:r>
      <w:r>
        <w:rPr>
          <w:sz w:val="21"/>
        </w:rPr>
        <w:t>to healthcare safety and quality</w:t>
      </w:r>
    </w:p>
    <w:p w14:paraId="1437924E" w14:textId="77777777" w:rsidR="009D54AF" w:rsidRDefault="00000000">
      <w:pPr>
        <w:pStyle w:val="ListParagraph"/>
        <w:numPr>
          <w:ilvl w:val="0"/>
          <w:numId w:val="37"/>
        </w:numPr>
        <w:tabs>
          <w:tab w:val="left" w:pos="424"/>
          <w:tab w:val="left" w:pos="440"/>
        </w:tabs>
        <w:spacing w:before="56" w:line="278" w:lineRule="auto"/>
        <w:ind w:right="1328" w:hanging="284"/>
        <w:rPr>
          <w:sz w:val="21"/>
        </w:rPr>
      </w:pPr>
      <w:r>
        <w:rPr>
          <w:sz w:val="21"/>
        </w:rPr>
        <w:t>formulating</w:t>
      </w:r>
      <w:r>
        <w:rPr>
          <w:spacing w:val="-1"/>
          <w:sz w:val="21"/>
        </w:rPr>
        <w:t xml:space="preserve"> </w:t>
      </w:r>
      <w:r>
        <w:rPr>
          <w:sz w:val="21"/>
        </w:rPr>
        <w:t>model</w:t>
      </w:r>
      <w:r>
        <w:rPr>
          <w:spacing w:val="-1"/>
          <w:sz w:val="21"/>
        </w:rPr>
        <w:t xml:space="preserve"> </w:t>
      </w:r>
      <w:r>
        <w:rPr>
          <w:sz w:val="21"/>
        </w:rPr>
        <w:t>national</w:t>
      </w:r>
      <w:r>
        <w:rPr>
          <w:spacing w:val="-1"/>
          <w:sz w:val="21"/>
        </w:rPr>
        <w:t xml:space="preserve"> </w:t>
      </w:r>
      <w:r>
        <w:rPr>
          <w:sz w:val="21"/>
        </w:rPr>
        <w:t>schemes</w:t>
      </w:r>
      <w:r>
        <w:rPr>
          <w:spacing w:val="-1"/>
          <w:sz w:val="21"/>
        </w:rPr>
        <w:t xml:space="preserve"> </w:t>
      </w:r>
      <w:r>
        <w:rPr>
          <w:sz w:val="21"/>
        </w:rPr>
        <w:t>that</w:t>
      </w:r>
      <w:r>
        <w:rPr>
          <w:spacing w:val="-1"/>
          <w:sz w:val="21"/>
        </w:rPr>
        <w:t xml:space="preserve"> </w:t>
      </w:r>
      <w:r>
        <w:rPr>
          <w:sz w:val="21"/>
        </w:rPr>
        <w:t>support</w:t>
      </w:r>
      <w:r>
        <w:rPr>
          <w:spacing w:val="-1"/>
          <w:sz w:val="21"/>
        </w:rPr>
        <w:t xml:space="preserve"> </w:t>
      </w:r>
      <w:r>
        <w:rPr>
          <w:sz w:val="21"/>
        </w:rPr>
        <w:t>healthcare</w:t>
      </w:r>
      <w:r>
        <w:rPr>
          <w:spacing w:val="-1"/>
          <w:sz w:val="21"/>
        </w:rPr>
        <w:t xml:space="preserve"> </w:t>
      </w:r>
      <w:r>
        <w:rPr>
          <w:sz w:val="21"/>
        </w:rPr>
        <w:t>safety</w:t>
      </w:r>
      <w:r>
        <w:rPr>
          <w:spacing w:val="-1"/>
          <w:sz w:val="21"/>
        </w:rPr>
        <w:t xml:space="preserve"> </w:t>
      </w:r>
      <w:r>
        <w:rPr>
          <w:sz w:val="21"/>
        </w:rPr>
        <w:t>and</w:t>
      </w:r>
      <w:r>
        <w:rPr>
          <w:spacing w:val="-1"/>
          <w:sz w:val="21"/>
        </w:rPr>
        <w:t xml:space="preserve"> </w:t>
      </w:r>
      <w:r>
        <w:rPr>
          <w:sz w:val="21"/>
        </w:rPr>
        <w:t>quality</w:t>
      </w:r>
      <w:r>
        <w:rPr>
          <w:spacing w:val="-1"/>
          <w:sz w:val="21"/>
        </w:rPr>
        <w:t xml:space="preserve"> </w:t>
      </w:r>
      <w:r>
        <w:rPr>
          <w:sz w:val="21"/>
        </w:rPr>
        <w:t>and</w:t>
      </w:r>
      <w:r>
        <w:rPr>
          <w:spacing w:val="-1"/>
          <w:sz w:val="21"/>
        </w:rPr>
        <w:t xml:space="preserve"> </w:t>
      </w:r>
      <w:r>
        <w:rPr>
          <w:sz w:val="21"/>
        </w:rPr>
        <w:t>enable</w:t>
      </w:r>
      <w:r>
        <w:rPr>
          <w:spacing w:val="-1"/>
          <w:sz w:val="21"/>
        </w:rPr>
        <w:t xml:space="preserve"> </w:t>
      </w:r>
      <w:r>
        <w:rPr>
          <w:sz w:val="21"/>
        </w:rPr>
        <w:t xml:space="preserve">the accreditation of </w:t>
      </w:r>
      <w:proofErr w:type="spellStart"/>
      <w:r>
        <w:rPr>
          <w:sz w:val="21"/>
        </w:rPr>
        <w:t>organisations</w:t>
      </w:r>
      <w:proofErr w:type="spellEnd"/>
      <w:r>
        <w:rPr>
          <w:sz w:val="21"/>
        </w:rPr>
        <w:t xml:space="preserve"> that provide safe and high-quality healthcare services</w:t>
      </w:r>
    </w:p>
    <w:p w14:paraId="32F46B1E" w14:textId="77777777" w:rsidR="009D54AF" w:rsidRDefault="00000000">
      <w:pPr>
        <w:pStyle w:val="ListParagraph"/>
        <w:numPr>
          <w:ilvl w:val="0"/>
          <w:numId w:val="37"/>
        </w:numPr>
        <w:tabs>
          <w:tab w:val="left" w:pos="424"/>
        </w:tabs>
        <w:spacing w:before="57"/>
        <w:ind w:left="424" w:hanging="268"/>
        <w:rPr>
          <w:sz w:val="21"/>
        </w:rPr>
      </w:pPr>
      <w:r>
        <w:rPr>
          <w:sz w:val="21"/>
        </w:rPr>
        <w:t>publishing</w:t>
      </w:r>
      <w:r>
        <w:rPr>
          <w:spacing w:val="-3"/>
          <w:sz w:val="21"/>
        </w:rPr>
        <w:t xml:space="preserve"> </w:t>
      </w:r>
      <w:r>
        <w:rPr>
          <w:sz w:val="21"/>
        </w:rPr>
        <w:t>reports</w:t>
      </w:r>
      <w:r>
        <w:rPr>
          <w:spacing w:val="-1"/>
          <w:sz w:val="21"/>
        </w:rPr>
        <w:t xml:space="preserve"> </w:t>
      </w:r>
      <w:r>
        <w:rPr>
          <w:sz w:val="21"/>
        </w:rPr>
        <w:t>and</w:t>
      </w:r>
      <w:r>
        <w:rPr>
          <w:spacing w:val="-1"/>
          <w:sz w:val="21"/>
        </w:rPr>
        <w:t xml:space="preserve"> </w:t>
      </w:r>
      <w:r>
        <w:rPr>
          <w:sz w:val="21"/>
        </w:rPr>
        <w:t>papers</w:t>
      </w:r>
      <w:r>
        <w:rPr>
          <w:spacing w:val="-1"/>
          <w:sz w:val="21"/>
        </w:rPr>
        <w:t xml:space="preserve"> </w:t>
      </w:r>
      <w:r>
        <w:rPr>
          <w:sz w:val="21"/>
        </w:rPr>
        <w:t>relating</w:t>
      </w:r>
      <w:r>
        <w:rPr>
          <w:spacing w:val="-1"/>
          <w:sz w:val="21"/>
        </w:rPr>
        <w:t xml:space="preserve"> </w:t>
      </w:r>
      <w:r>
        <w:rPr>
          <w:sz w:val="21"/>
        </w:rPr>
        <w:t>to</w:t>
      </w:r>
      <w:r>
        <w:rPr>
          <w:spacing w:val="-1"/>
          <w:sz w:val="21"/>
        </w:rPr>
        <w:t xml:space="preserve"> </w:t>
      </w:r>
      <w:r>
        <w:rPr>
          <w:sz w:val="21"/>
        </w:rPr>
        <w:t>healthcare</w:t>
      </w:r>
      <w:r>
        <w:rPr>
          <w:spacing w:val="-1"/>
          <w:sz w:val="21"/>
        </w:rPr>
        <w:t xml:space="preserve"> </w:t>
      </w:r>
      <w:r>
        <w:rPr>
          <w:sz w:val="21"/>
        </w:rPr>
        <w:t>safety</w:t>
      </w:r>
      <w:r>
        <w:rPr>
          <w:spacing w:val="-1"/>
          <w:sz w:val="21"/>
        </w:rPr>
        <w:t xml:space="preserve"> </w:t>
      </w:r>
      <w:r>
        <w:rPr>
          <w:sz w:val="21"/>
        </w:rPr>
        <w:t>and</w:t>
      </w:r>
      <w:r>
        <w:rPr>
          <w:spacing w:val="-1"/>
          <w:sz w:val="21"/>
        </w:rPr>
        <w:t xml:space="preserve"> </w:t>
      </w:r>
      <w:r>
        <w:rPr>
          <w:spacing w:val="-2"/>
          <w:sz w:val="21"/>
        </w:rPr>
        <w:t>quality.</w:t>
      </w:r>
    </w:p>
    <w:p w14:paraId="65BE1AE3" w14:textId="77777777" w:rsidR="009D54AF" w:rsidRDefault="009D54AF">
      <w:pPr>
        <w:pStyle w:val="ListParagraph"/>
        <w:rPr>
          <w:sz w:val="21"/>
        </w:rPr>
        <w:sectPr w:rsidR="009D54AF">
          <w:pgSz w:w="11910" w:h="16840"/>
          <w:pgMar w:top="660" w:right="708" w:bottom="280" w:left="708" w:header="720" w:footer="720" w:gutter="0"/>
          <w:cols w:space="720"/>
        </w:sectPr>
      </w:pPr>
    </w:p>
    <w:p w14:paraId="491A711F" w14:textId="77777777" w:rsidR="009D54AF" w:rsidRDefault="00000000">
      <w:pPr>
        <w:pStyle w:val="Heading5"/>
        <w:spacing w:before="66"/>
      </w:pPr>
      <w:bookmarkStart w:id="5" w:name="_bookmark0"/>
      <w:bookmarkEnd w:id="5"/>
      <w:r>
        <w:lastRenderedPageBreak/>
        <w:t>Our</w:t>
      </w:r>
      <w:r>
        <w:rPr>
          <w:spacing w:val="-1"/>
        </w:rPr>
        <w:t xml:space="preserve"> </w:t>
      </w:r>
      <w:r>
        <w:rPr>
          <w:spacing w:val="-2"/>
        </w:rPr>
        <w:t>accountability</w:t>
      </w:r>
    </w:p>
    <w:p w14:paraId="1672995E" w14:textId="77777777" w:rsidR="009D54AF" w:rsidRDefault="00000000">
      <w:pPr>
        <w:pStyle w:val="BodyText"/>
        <w:spacing w:before="132" w:line="278" w:lineRule="auto"/>
        <w:ind w:left="142" w:right="285"/>
      </w:pPr>
      <w:r>
        <w:t>The Commission is a corporate Commonwealth entity and part of the Health portfolio of the Australian Government.</w:t>
      </w:r>
      <w:r>
        <w:rPr>
          <w:spacing w:val="-2"/>
        </w:rPr>
        <w:t xml:space="preserve"> </w:t>
      </w:r>
      <w:r>
        <w:t>As</w:t>
      </w:r>
      <w:r>
        <w:rPr>
          <w:spacing w:val="-2"/>
        </w:rPr>
        <w:t xml:space="preserve"> </w:t>
      </w:r>
      <w:r>
        <w:t>such,</w:t>
      </w:r>
      <w:r>
        <w:rPr>
          <w:spacing w:val="-2"/>
        </w:rPr>
        <w:t xml:space="preserve"> </w:t>
      </w:r>
      <w:r>
        <w:t>it</w:t>
      </w:r>
      <w:r>
        <w:rPr>
          <w:spacing w:val="-2"/>
        </w:rPr>
        <w:t xml:space="preserve"> </w:t>
      </w:r>
      <w:r>
        <w:t>is</w:t>
      </w:r>
      <w:r>
        <w:rPr>
          <w:spacing w:val="-2"/>
        </w:rPr>
        <w:t xml:space="preserve"> </w:t>
      </w:r>
      <w:r>
        <w:t>accountable</w:t>
      </w:r>
      <w:r>
        <w:rPr>
          <w:spacing w:val="-2"/>
        </w:rPr>
        <w:t xml:space="preserve"> </w:t>
      </w:r>
      <w:r>
        <w:t>to</w:t>
      </w:r>
      <w:r>
        <w:rPr>
          <w:spacing w:val="-2"/>
        </w:rPr>
        <w:t xml:space="preserve"> </w:t>
      </w:r>
      <w:r>
        <w:t>the</w:t>
      </w:r>
      <w:r>
        <w:rPr>
          <w:spacing w:val="-2"/>
        </w:rPr>
        <w:t xml:space="preserve"> </w:t>
      </w:r>
      <w:r>
        <w:t>Australian</w:t>
      </w:r>
      <w:r>
        <w:rPr>
          <w:spacing w:val="-2"/>
        </w:rPr>
        <w:t xml:space="preserve"> </w:t>
      </w:r>
      <w:r>
        <w:t>Parliament</w:t>
      </w:r>
      <w:r>
        <w:rPr>
          <w:spacing w:val="-2"/>
        </w:rPr>
        <w:t xml:space="preserve"> </w:t>
      </w:r>
      <w:r>
        <w:t>and</w:t>
      </w:r>
      <w:r>
        <w:rPr>
          <w:spacing w:val="-2"/>
        </w:rPr>
        <w:t xml:space="preserve"> </w:t>
      </w:r>
      <w:r>
        <w:t>the</w:t>
      </w:r>
      <w:r>
        <w:rPr>
          <w:spacing w:val="-2"/>
        </w:rPr>
        <w:t xml:space="preserve"> </w:t>
      </w:r>
      <w:r>
        <w:t>Minister</w:t>
      </w:r>
      <w:r>
        <w:rPr>
          <w:spacing w:val="-2"/>
        </w:rPr>
        <w:t xml:space="preserve"> </w:t>
      </w:r>
      <w:r>
        <w:t>for</w:t>
      </w:r>
      <w:r>
        <w:rPr>
          <w:spacing w:val="-2"/>
        </w:rPr>
        <w:t xml:space="preserve"> </w:t>
      </w:r>
      <w:r>
        <w:t>Health</w:t>
      </w:r>
      <w:r>
        <w:rPr>
          <w:spacing w:val="-2"/>
        </w:rPr>
        <w:t xml:space="preserve"> </w:t>
      </w:r>
      <w:r>
        <w:t>and</w:t>
      </w:r>
      <w:r>
        <w:rPr>
          <w:spacing w:val="-2"/>
        </w:rPr>
        <w:t xml:space="preserve"> </w:t>
      </w:r>
      <w:r>
        <w:t>Ageing and the Minister for Disability and the National Disability Insurance Scheme the Hon Mark Butler, MP.</w:t>
      </w:r>
    </w:p>
    <w:p w14:paraId="45725C3A" w14:textId="77777777" w:rsidR="009D54AF" w:rsidRDefault="00000000">
      <w:pPr>
        <w:pStyle w:val="Heading1"/>
        <w:spacing w:before="124"/>
      </w:pPr>
      <w:bookmarkStart w:id="6" w:name="_New_Strategic_Plan"/>
      <w:bookmarkStart w:id="7" w:name="_Toc243037266"/>
      <w:bookmarkEnd w:id="6"/>
      <w:r>
        <w:rPr>
          <w:spacing w:val="-2"/>
        </w:rPr>
        <w:t>New</w:t>
      </w:r>
      <w:r>
        <w:rPr>
          <w:spacing w:val="-17"/>
        </w:rPr>
        <w:t xml:space="preserve"> </w:t>
      </w:r>
      <w:r>
        <w:rPr>
          <w:spacing w:val="-2"/>
        </w:rPr>
        <w:t>Strategic</w:t>
      </w:r>
      <w:r>
        <w:rPr>
          <w:spacing w:val="-15"/>
        </w:rPr>
        <w:t xml:space="preserve"> </w:t>
      </w:r>
      <w:r>
        <w:rPr>
          <w:spacing w:val="-2"/>
        </w:rPr>
        <w:t>Plan</w:t>
      </w:r>
      <w:r>
        <w:rPr>
          <w:spacing w:val="-14"/>
        </w:rPr>
        <w:t xml:space="preserve"> </w:t>
      </w:r>
      <w:r>
        <w:rPr>
          <w:spacing w:val="-2"/>
        </w:rPr>
        <w:t>2025–</w:t>
      </w:r>
      <w:r>
        <w:rPr>
          <w:spacing w:val="-4"/>
        </w:rPr>
        <w:t>2030</w:t>
      </w:r>
      <w:bookmarkEnd w:id="7"/>
    </w:p>
    <w:p w14:paraId="4F48F5EF" w14:textId="77777777" w:rsidR="009D54AF" w:rsidRDefault="00000000">
      <w:pPr>
        <w:pStyle w:val="Heading9"/>
        <w:spacing w:line="268" w:lineRule="auto"/>
        <w:ind w:right="145"/>
      </w:pPr>
      <w:r>
        <w:t xml:space="preserve">In July 2025, the Board released the Commission’s new Strategic Plan 2025–2030. The new plan </w:t>
      </w:r>
      <w:proofErr w:type="spellStart"/>
      <w:r>
        <w:t>recognises</w:t>
      </w:r>
      <w:proofErr w:type="spellEnd"/>
      <w:r>
        <w:t xml:space="preserve"> that the next 5 years will be dynamic, and will bring changes to workforce, models</w:t>
      </w:r>
      <w:r>
        <w:rPr>
          <w:spacing w:val="-9"/>
        </w:rPr>
        <w:t xml:space="preserve"> </w:t>
      </w:r>
      <w:r>
        <w:t>of</w:t>
      </w:r>
      <w:r>
        <w:rPr>
          <w:spacing w:val="-9"/>
        </w:rPr>
        <w:t xml:space="preserve"> </w:t>
      </w:r>
      <w:r>
        <w:t>care,</w:t>
      </w:r>
      <w:r>
        <w:rPr>
          <w:spacing w:val="-9"/>
        </w:rPr>
        <w:t xml:space="preserve"> </w:t>
      </w:r>
      <w:r>
        <w:t>patient</w:t>
      </w:r>
      <w:r>
        <w:rPr>
          <w:spacing w:val="-9"/>
        </w:rPr>
        <w:t xml:space="preserve"> </w:t>
      </w:r>
      <w:r>
        <w:t>and</w:t>
      </w:r>
      <w:r>
        <w:rPr>
          <w:spacing w:val="-9"/>
        </w:rPr>
        <w:t xml:space="preserve"> </w:t>
      </w:r>
      <w:r>
        <w:t>carer</w:t>
      </w:r>
      <w:r>
        <w:rPr>
          <w:spacing w:val="-9"/>
        </w:rPr>
        <w:t xml:space="preserve"> </w:t>
      </w:r>
      <w:r>
        <w:t>needs,</w:t>
      </w:r>
      <w:r>
        <w:rPr>
          <w:spacing w:val="-9"/>
        </w:rPr>
        <w:t xml:space="preserve"> </w:t>
      </w:r>
      <w:r>
        <w:t>technology,</w:t>
      </w:r>
      <w:r>
        <w:rPr>
          <w:spacing w:val="-9"/>
        </w:rPr>
        <w:t xml:space="preserve"> </w:t>
      </w:r>
      <w:r>
        <w:t>community</w:t>
      </w:r>
      <w:r>
        <w:rPr>
          <w:spacing w:val="-9"/>
        </w:rPr>
        <w:t xml:space="preserve"> </w:t>
      </w:r>
      <w:r>
        <w:t>trust,</w:t>
      </w:r>
      <w:r>
        <w:rPr>
          <w:spacing w:val="-9"/>
        </w:rPr>
        <w:t xml:space="preserve"> </w:t>
      </w:r>
      <w:r>
        <w:t>and</w:t>
      </w:r>
      <w:r>
        <w:rPr>
          <w:spacing w:val="-9"/>
        </w:rPr>
        <w:t xml:space="preserve"> </w:t>
      </w:r>
      <w:r>
        <w:t>in</w:t>
      </w:r>
      <w:r>
        <w:rPr>
          <w:spacing w:val="-9"/>
        </w:rPr>
        <w:t xml:space="preserve"> </w:t>
      </w:r>
      <w:r>
        <w:t>socioeconomic</w:t>
      </w:r>
      <w:r>
        <w:rPr>
          <w:spacing w:val="-9"/>
        </w:rPr>
        <w:t xml:space="preserve"> </w:t>
      </w:r>
      <w:r>
        <w:t>and environmental impacts on health.</w:t>
      </w:r>
    </w:p>
    <w:p w14:paraId="3D0FBC00" w14:textId="77777777" w:rsidR="009D54AF" w:rsidRDefault="009D54AF">
      <w:pPr>
        <w:pStyle w:val="BodyText"/>
        <w:spacing w:before="43"/>
      </w:pPr>
    </w:p>
    <w:p w14:paraId="1FAC0E3D" w14:textId="77777777" w:rsidR="009D54AF" w:rsidRDefault="00000000">
      <w:pPr>
        <w:pStyle w:val="BodyText"/>
        <w:spacing w:before="1" w:line="278" w:lineRule="auto"/>
        <w:ind w:left="142" w:right="562"/>
      </w:pPr>
      <w:r>
        <w:t>Our</w:t>
      </w:r>
      <w:r>
        <w:rPr>
          <w:spacing w:val="-2"/>
        </w:rPr>
        <w:t xml:space="preserve"> </w:t>
      </w:r>
      <w:r>
        <w:t>strategic</w:t>
      </w:r>
      <w:r>
        <w:rPr>
          <w:spacing w:val="-2"/>
        </w:rPr>
        <w:t xml:space="preserve"> </w:t>
      </w:r>
      <w:r>
        <w:t>plan</w:t>
      </w:r>
      <w:r>
        <w:rPr>
          <w:spacing w:val="-2"/>
        </w:rPr>
        <w:t xml:space="preserve"> </w:t>
      </w:r>
      <w:r>
        <w:t>responds</w:t>
      </w:r>
      <w:r>
        <w:rPr>
          <w:spacing w:val="-2"/>
        </w:rPr>
        <w:t xml:space="preserve"> </w:t>
      </w:r>
      <w:r>
        <w:t>to</w:t>
      </w:r>
      <w:r>
        <w:rPr>
          <w:spacing w:val="-2"/>
        </w:rPr>
        <w:t xml:space="preserve"> </w:t>
      </w:r>
      <w:r>
        <w:t>these</w:t>
      </w:r>
      <w:r>
        <w:rPr>
          <w:spacing w:val="-2"/>
        </w:rPr>
        <w:t xml:space="preserve"> </w:t>
      </w:r>
      <w:r>
        <w:t>changes,</w:t>
      </w:r>
      <w:r>
        <w:rPr>
          <w:spacing w:val="-2"/>
        </w:rPr>
        <w:t xml:space="preserve"> </w:t>
      </w:r>
      <w:r>
        <w:t>and</w:t>
      </w:r>
      <w:r>
        <w:rPr>
          <w:spacing w:val="-2"/>
        </w:rPr>
        <w:t xml:space="preserve"> </w:t>
      </w:r>
      <w:r>
        <w:t>leverages</w:t>
      </w:r>
      <w:r>
        <w:rPr>
          <w:spacing w:val="-2"/>
        </w:rPr>
        <w:t xml:space="preserve"> </w:t>
      </w:r>
      <w:r>
        <w:t>our</w:t>
      </w:r>
      <w:r>
        <w:rPr>
          <w:spacing w:val="-2"/>
        </w:rPr>
        <w:t xml:space="preserve"> </w:t>
      </w:r>
      <w:r>
        <w:t>unique</w:t>
      </w:r>
      <w:r>
        <w:rPr>
          <w:spacing w:val="-2"/>
        </w:rPr>
        <w:t xml:space="preserve"> </w:t>
      </w:r>
      <w:r>
        <w:t>role,</w:t>
      </w:r>
      <w:r>
        <w:rPr>
          <w:spacing w:val="-2"/>
        </w:rPr>
        <w:t xml:space="preserve"> </w:t>
      </w:r>
      <w:r>
        <w:t>connections,</w:t>
      </w:r>
      <w:r>
        <w:rPr>
          <w:spacing w:val="-2"/>
        </w:rPr>
        <w:t xml:space="preserve"> </w:t>
      </w:r>
      <w:r>
        <w:t>capability</w:t>
      </w:r>
      <w:r>
        <w:rPr>
          <w:spacing w:val="-2"/>
        </w:rPr>
        <w:t xml:space="preserve"> </w:t>
      </w:r>
      <w:r>
        <w:t>and evidence-led culture to lead safety and quality improvement nationally.</w:t>
      </w:r>
    </w:p>
    <w:p w14:paraId="26AB0384" w14:textId="77777777" w:rsidR="009D54AF" w:rsidRDefault="00000000">
      <w:pPr>
        <w:pStyle w:val="BodyText"/>
        <w:spacing w:before="28"/>
        <w:rPr>
          <w:sz w:val="20"/>
        </w:rPr>
      </w:pPr>
      <w:r>
        <w:rPr>
          <w:noProof/>
          <w:sz w:val="20"/>
        </w:rPr>
        <mc:AlternateContent>
          <mc:Choice Requires="wpg">
            <w:drawing>
              <wp:anchor distT="0" distB="0" distL="0" distR="0" simplePos="0" relativeHeight="487589888" behindDoc="1" locked="0" layoutInCell="1" allowOverlap="1" wp14:anchorId="1F4D1729" wp14:editId="6B7E33F8">
                <wp:simplePos x="0" y="0"/>
                <wp:positionH relativeFrom="page">
                  <wp:posOffset>527300</wp:posOffset>
                </wp:positionH>
                <wp:positionV relativeFrom="paragraph">
                  <wp:posOffset>179375</wp:posOffset>
                </wp:positionV>
                <wp:extent cx="6505575" cy="1316990"/>
                <wp:effectExtent l="0" t="0" r="0" b="0"/>
                <wp:wrapTopAndBottom/>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05575" cy="1316990"/>
                          <a:chOff x="0" y="0"/>
                          <a:chExt cx="6505575" cy="1316990"/>
                        </a:xfrm>
                      </wpg:grpSpPr>
                      <wps:wsp>
                        <wps:cNvPr id="16" name="Graphic 16"/>
                        <wps:cNvSpPr/>
                        <wps:spPr>
                          <a:xfrm>
                            <a:off x="12700" y="12700"/>
                            <a:ext cx="6480175" cy="335280"/>
                          </a:xfrm>
                          <a:custGeom>
                            <a:avLst/>
                            <a:gdLst/>
                            <a:ahLst/>
                            <a:cxnLst/>
                            <a:rect l="l" t="t" r="r" b="b"/>
                            <a:pathLst>
                              <a:path w="6480175" h="335280">
                                <a:moveTo>
                                  <a:pt x="0" y="334937"/>
                                </a:moveTo>
                                <a:lnTo>
                                  <a:pt x="0" y="0"/>
                                </a:lnTo>
                                <a:lnTo>
                                  <a:pt x="6479997" y="0"/>
                                </a:lnTo>
                                <a:lnTo>
                                  <a:pt x="6479997" y="334937"/>
                                </a:lnTo>
                              </a:path>
                            </a:pathLst>
                          </a:custGeom>
                          <a:ln w="25400">
                            <a:solidFill>
                              <a:srgbClr val="A28FC4"/>
                            </a:solidFill>
                            <a:prstDash val="solid"/>
                          </a:ln>
                        </wps:spPr>
                        <wps:bodyPr wrap="square" lIns="0" tIns="0" rIns="0" bIns="0" rtlCol="0">
                          <a:prstTxWarp prst="textNoShape">
                            <a:avLst/>
                          </a:prstTxWarp>
                          <a:noAutofit/>
                        </wps:bodyPr>
                      </wps:wsp>
                      <wps:wsp>
                        <wps:cNvPr id="17" name="Graphic 17"/>
                        <wps:cNvSpPr/>
                        <wps:spPr>
                          <a:xfrm>
                            <a:off x="12700" y="285606"/>
                            <a:ext cx="1270" cy="341630"/>
                          </a:xfrm>
                          <a:custGeom>
                            <a:avLst/>
                            <a:gdLst/>
                            <a:ahLst/>
                            <a:cxnLst/>
                            <a:rect l="l" t="t" r="r" b="b"/>
                            <a:pathLst>
                              <a:path h="341630">
                                <a:moveTo>
                                  <a:pt x="0" y="341147"/>
                                </a:moveTo>
                                <a:lnTo>
                                  <a:pt x="0" y="0"/>
                                </a:lnTo>
                              </a:path>
                            </a:pathLst>
                          </a:custGeom>
                          <a:ln w="25400">
                            <a:solidFill>
                              <a:srgbClr val="A28FC4"/>
                            </a:solidFill>
                            <a:prstDash val="solid"/>
                          </a:ln>
                        </wps:spPr>
                        <wps:bodyPr wrap="square" lIns="0" tIns="0" rIns="0" bIns="0" rtlCol="0">
                          <a:prstTxWarp prst="textNoShape">
                            <a:avLst/>
                          </a:prstTxWarp>
                          <a:noAutofit/>
                        </wps:bodyPr>
                      </wps:wsp>
                      <wps:wsp>
                        <wps:cNvPr id="18" name="Graphic 18"/>
                        <wps:cNvSpPr/>
                        <wps:spPr>
                          <a:xfrm>
                            <a:off x="6492699" y="285609"/>
                            <a:ext cx="1270" cy="341630"/>
                          </a:xfrm>
                          <a:custGeom>
                            <a:avLst/>
                            <a:gdLst/>
                            <a:ahLst/>
                            <a:cxnLst/>
                            <a:rect l="l" t="t" r="r" b="b"/>
                            <a:pathLst>
                              <a:path h="341630">
                                <a:moveTo>
                                  <a:pt x="0" y="0"/>
                                </a:moveTo>
                                <a:lnTo>
                                  <a:pt x="0" y="341147"/>
                                </a:lnTo>
                              </a:path>
                            </a:pathLst>
                          </a:custGeom>
                          <a:ln w="25400">
                            <a:solidFill>
                              <a:srgbClr val="A28FC4"/>
                            </a:solidFill>
                            <a:prstDash val="solid"/>
                          </a:ln>
                        </wps:spPr>
                        <wps:bodyPr wrap="square" lIns="0" tIns="0" rIns="0" bIns="0" rtlCol="0">
                          <a:prstTxWarp prst="textNoShape">
                            <a:avLst/>
                          </a:prstTxWarp>
                          <a:noAutofit/>
                        </wps:bodyPr>
                      </wps:wsp>
                      <wps:wsp>
                        <wps:cNvPr id="19" name="Graphic 19"/>
                        <wps:cNvSpPr/>
                        <wps:spPr>
                          <a:xfrm>
                            <a:off x="12702" y="607409"/>
                            <a:ext cx="6480175" cy="697230"/>
                          </a:xfrm>
                          <a:custGeom>
                            <a:avLst/>
                            <a:gdLst/>
                            <a:ahLst/>
                            <a:cxnLst/>
                            <a:rect l="l" t="t" r="r" b="b"/>
                            <a:pathLst>
                              <a:path w="6480175" h="697230">
                                <a:moveTo>
                                  <a:pt x="6479997" y="0"/>
                                </a:moveTo>
                                <a:lnTo>
                                  <a:pt x="6479997" y="696747"/>
                                </a:lnTo>
                                <a:lnTo>
                                  <a:pt x="0" y="696747"/>
                                </a:lnTo>
                                <a:lnTo>
                                  <a:pt x="0" y="0"/>
                                </a:lnTo>
                              </a:path>
                            </a:pathLst>
                          </a:custGeom>
                          <a:ln w="25400">
                            <a:solidFill>
                              <a:srgbClr val="A28FC4"/>
                            </a:solidFill>
                            <a:prstDash val="solid"/>
                          </a:ln>
                        </wps:spPr>
                        <wps:bodyPr wrap="square" lIns="0" tIns="0" rIns="0" bIns="0" rtlCol="0">
                          <a:prstTxWarp prst="textNoShape">
                            <a:avLst/>
                          </a:prstTxWarp>
                          <a:noAutofit/>
                        </wps:bodyPr>
                      </wps:wsp>
                      <wps:wsp>
                        <wps:cNvPr id="20" name="Textbox 20"/>
                        <wps:cNvSpPr txBox="1"/>
                        <wps:spPr>
                          <a:xfrm>
                            <a:off x="25401" y="607410"/>
                            <a:ext cx="6454775" cy="684530"/>
                          </a:xfrm>
                          <a:prstGeom prst="rect">
                            <a:avLst/>
                          </a:prstGeom>
                          <a:solidFill>
                            <a:srgbClr val="F3EFF7"/>
                          </a:solidFill>
                        </wps:spPr>
                        <wps:txbx>
                          <w:txbxContent>
                            <w:p w14:paraId="103A06E2" w14:textId="77777777" w:rsidR="009D54AF" w:rsidRDefault="00000000">
                              <w:pPr>
                                <w:spacing w:before="12" w:line="278" w:lineRule="auto"/>
                                <w:ind w:left="206"/>
                                <w:rPr>
                                  <w:color w:val="000000"/>
                                  <w:sz w:val="21"/>
                                </w:rPr>
                              </w:pPr>
                              <w:r>
                                <w:rPr>
                                  <w:b/>
                                  <w:color w:val="000000"/>
                                  <w:sz w:val="21"/>
                                </w:rPr>
                                <w:t xml:space="preserve">Outcome: </w:t>
                              </w:r>
                              <w:r>
                                <w:rPr>
                                  <w:color w:val="000000"/>
                                  <w:sz w:val="21"/>
                                </w:rPr>
                                <w:t>Consistently excellent care, responsive to patient needs and preferences, is delivered. The health</w:t>
                              </w:r>
                              <w:r>
                                <w:rPr>
                                  <w:color w:val="000000"/>
                                  <w:spacing w:val="-3"/>
                                  <w:sz w:val="21"/>
                                </w:rPr>
                                <w:t xml:space="preserve"> </w:t>
                              </w:r>
                              <w:r>
                                <w:rPr>
                                  <w:color w:val="000000"/>
                                  <w:sz w:val="21"/>
                                </w:rPr>
                                <w:t>system</w:t>
                              </w:r>
                              <w:r>
                                <w:rPr>
                                  <w:color w:val="000000"/>
                                  <w:spacing w:val="-3"/>
                                  <w:sz w:val="21"/>
                                </w:rPr>
                                <w:t xml:space="preserve"> </w:t>
                              </w:r>
                              <w:r>
                                <w:rPr>
                                  <w:color w:val="000000"/>
                                  <w:sz w:val="21"/>
                                </w:rPr>
                                <w:t>responds</w:t>
                              </w:r>
                              <w:r>
                                <w:rPr>
                                  <w:color w:val="000000"/>
                                  <w:spacing w:val="-3"/>
                                  <w:sz w:val="21"/>
                                </w:rPr>
                                <w:t xml:space="preserve"> </w:t>
                              </w:r>
                              <w:r>
                                <w:rPr>
                                  <w:color w:val="000000"/>
                                  <w:sz w:val="21"/>
                                </w:rPr>
                                <w:t>to</w:t>
                              </w:r>
                              <w:r>
                                <w:rPr>
                                  <w:color w:val="000000"/>
                                  <w:spacing w:val="-3"/>
                                  <w:sz w:val="21"/>
                                </w:rPr>
                                <w:t xml:space="preserve"> </w:t>
                              </w:r>
                              <w:r>
                                <w:rPr>
                                  <w:color w:val="000000"/>
                                  <w:sz w:val="21"/>
                                </w:rPr>
                                <w:t>the</w:t>
                              </w:r>
                              <w:r>
                                <w:rPr>
                                  <w:color w:val="000000"/>
                                  <w:spacing w:val="-3"/>
                                  <w:sz w:val="21"/>
                                </w:rPr>
                                <w:t xml:space="preserve"> </w:t>
                              </w:r>
                              <w:r>
                                <w:rPr>
                                  <w:color w:val="000000"/>
                                  <w:sz w:val="21"/>
                                </w:rPr>
                                <w:t>evolving</w:t>
                              </w:r>
                              <w:r>
                                <w:rPr>
                                  <w:color w:val="000000"/>
                                  <w:spacing w:val="-3"/>
                                  <w:sz w:val="21"/>
                                </w:rPr>
                                <w:t xml:space="preserve"> </w:t>
                              </w:r>
                              <w:r>
                                <w:rPr>
                                  <w:color w:val="000000"/>
                                  <w:sz w:val="21"/>
                                </w:rPr>
                                <w:t>environment</w:t>
                              </w:r>
                              <w:r>
                                <w:rPr>
                                  <w:color w:val="000000"/>
                                  <w:spacing w:val="-3"/>
                                  <w:sz w:val="21"/>
                                </w:rPr>
                                <w:t xml:space="preserve"> </w:t>
                              </w:r>
                              <w:r>
                                <w:rPr>
                                  <w:color w:val="000000"/>
                                  <w:sz w:val="21"/>
                                </w:rPr>
                                <w:t>including</w:t>
                              </w:r>
                              <w:r>
                                <w:rPr>
                                  <w:color w:val="000000"/>
                                  <w:spacing w:val="-3"/>
                                  <w:sz w:val="21"/>
                                </w:rPr>
                                <w:t xml:space="preserve"> </w:t>
                              </w:r>
                              <w:r>
                                <w:rPr>
                                  <w:color w:val="000000"/>
                                  <w:sz w:val="21"/>
                                </w:rPr>
                                <w:t>to</w:t>
                              </w:r>
                              <w:r>
                                <w:rPr>
                                  <w:color w:val="000000"/>
                                  <w:spacing w:val="-3"/>
                                  <w:sz w:val="21"/>
                                </w:rPr>
                                <w:t xml:space="preserve"> </w:t>
                              </w:r>
                              <w:r>
                                <w:rPr>
                                  <w:color w:val="000000"/>
                                  <w:sz w:val="21"/>
                                </w:rPr>
                                <w:t>the</w:t>
                              </w:r>
                              <w:r>
                                <w:rPr>
                                  <w:color w:val="000000"/>
                                  <w:spacing w:val="-3"/>
                                  <w:sz w:val="21"/>
                                </w:rPr>
                                <w:t xml:space="preserve"> </w:t>
                              </w:r>
                              <w:r>
                                <w:rPr>
                                  <w:color w:val="000000"/>
                                  <w:sz w:val="21"/>
                                </w:rPr>
                                <w:t>impact</w:t>
                              </w:r>
                              <w:r>
                                <w:rPr>
                                  <w:color w:val="000000"/>
                                  <w:spacing w:val="-3"/>
                                  <w:sz w:val="21"/>
                                </w:rPr>
                                <w:t xml:space="preserve"> </w:t>
                              </w:r>
                              <w:r>
                                <w:rPr>
                                  <w:color w:val="000000"/>
                                  <w:sz w:val="21"/>
                                </w:rPr>
                                <w:t>of</w:t>
                              </w:r>
                              <w:r>
                                <w:rPr>
                                  <w:color w:val="000000"/>
                                  <w:spacing w:val="-3"/>
                                  <w:sz w:val="21"/>
                                </w:rPr>
                                <w:t xml:space="preserve"> </w:t>
                              </w:r>
                              <w:r>
                                <w:rPr>
                                  <w:color w:val="000000"/>
                                  <w:sz w:val="21"/>
                                </w:rPr>
                                <w:t>artificial</w:t>
                              </w:r>
                              <w:r>
                                <w:rPr>
                                  <w:color w:val="000000"/>
                                  <w:spacing w:val="-3"/>
                                  <w:sz w:val="21"/>
                                </w:rPr>
                                <w:t xml:space="preserve"> </w:t>
                              </w:r>
                              <w:r>
                                <w:rPr>
                                  <w:color w:val="000000"/>
                                  <w:sz w:val="21"/>
                                </w:rPr>
                                <w:t>intelligence,</w:t>
                              </w:r>
                              <w:r>
                                <w:rPr>
                                  <w:color w:val="000000"/>
                                  <w:spacing w:val="-3"/>
                                  <w:sz w:val="21"/>
                                </w:rPr>
                                <w:t xml:space="preserve"> </w:t>
                              </w:r>
                              <w:r>
                                <w:rPr>
                                  <w:color w:val="000000"/>
                                  <w:sz w:val="21"/>
                                </w:rPr>
                                <w:t>new models of care and climate change.</w:t>
                              </w:r>
                            </w:p>
                          </w:txbxContent>
                        </wps:txbx>
                        <wps:bodyPr wrap="square" lIns="0" tIns="0" rIns="0" bIns="0" rtlCol="0">
                          <a:noAutofit/>
                        </wps:bodyPr>
                      </wps:wsp>
                      <wps:wsp>
                        <wps:cNvPr id="21" name="Textbox 21"/>
                        <wps:cNvSpPr txBox="1"/>
                        <wps:spPr>
                          <a:xfrm>
                            <a:off x="25401" y="25400"/>
                            <a:ext cx="6454775" cy="565785"/>
                          </a:xfrm>
                          <a:prstGeom prst="rect">
                            <a:avLst/>
                          </a:prstGeom>
                          <a:solidFill>
                            <a:srgbClr val="F3EFF7"/>
                          </a:solidFill>
                        </wps:spPr>
                        <wps:txbx>
                          <w:txbxContent>
                            <w:p w14:paraId="7353D9A4" w14:textId="77777777" w:rsidR="009D54AF" w:rsidRDefault="00000000">
                              <w:pPr>
                                <w:spacing w:before="95"/>
                                <w:ind w:left="206"/>
                                <w:rPr>
                                  <w:b/>
                                  <w:color w:val="000000"/>
                                  <w:sz w:val="26"/>
                                </w:rPr>
                              </w:pPr>
                              <w:r>
                                <w:rPr>
                                  <w:b/>
                                  <w:color w:val="000000"/>
                                  <w:sz w:val="26"/>
                                </w:rPr>
                                <w:t>High-quality</w:t>
                              </w:r>
                              <w:r>
                                <w:rPr>
                                  <w:b/>
                                  <w:color w:val="000000"/>
                                  <w:spacing w:val="-3"/>
                                  <w:sz w:val="26"/>
                                </w:rPr>
                                <w:t xml:space="preserve"> </w:t>
                              </w:r>
                              <w:r>
                                <w:rPr>
                                  <w:b/>
                                  <w:color w:val="000000"/>
                                  <w:sz w:val="26"/>
                                </w:rPr>
                                <w:t>care</w:t>
                              </w:r>
                              <w:r>
                                <w:rPr>
                                  <w:b/>
                                  <w:color w:val="000000"/>
                                  <w:spacing w:val="-2"/>
                                  <w:sz w:val="26"/>
                                </w:rPr>
                                <w:t xml:space="preserve"> </w:t>
                              </w:r>
                              <w:r>
                                <w:rPr>
                                  <w:b/>
                                  <w:color w:val="000000"/>
                                  <w:sz w:val="26"/>
                                </w:rPr>
                                <w:t>in</w:t>
                              </w:r>
                              <w:r>
                                <w:rPr>
                                  <w:b/>
                                  <w:color w:val="000000"/>
                                  <w:spacing w:val="-2"/>
                                  <w:sz w:val="26"/>
                                </w:rPr>
                                <w:t xml:space="preserve"> </w:t>
                              </w:r>
                              <w:r>
                                <w:rPr>
                                  <w:b/>
                                  <w:color w:val="000000"/>
                                  <w:sz w:val="26"/>
                                </w:rPr>
                                <w:t>an</w:t>
                              </w:r>
                              <w:r>
                                <w:rPr>
                                  <w:b/>
                                  <w:color w:val="000000"/>
                                  <w:spacing w:val="-2"/>
                                  <w:sz w:val="26"/>
                                </w:rPr>
                                <w:t xml:space="preserve"> </w:t>
                              </w:r>
                              <w:r>
                                <w:rPr>
                                  <w:b/>
                                  <w:color w:val="000000"/>
                                  <w:sz w:val="26"/>
                                </w:rPr>
                                <w:t>evolving</w:t>
                              </w:r>
                              <w:r>
                                <w:rPr>
                                  <w:b/>
                                  <w:color w:val="000000"/>
                                  <w:spacing w:val="-2"/>
                                  <w:sz w:val="26"/>
                                </w:rPr>
                                <w:t xml:space="preserve"> environment</w:t>
                              </w:r>
                            </w:p>
                            <w:p w14:paraId="72D15CA4" w14:textId="77777777" w:rsidR="009D54AF" w:rsidRDefault="00000000">
                              <w:pPr>
                                <w:spacing w:before="141"/>
                                <w:ind w:left="206"/>
                                <w:rPr>
                                  <w:color w:val="000000"/>
                                  <w:sz w:val="21"/>
                                </w:rPr>
                              </w:pPr>
                              <w:r>
                                <w:rPr>
                                  <w:b/>
                                  <w:color w:val="000000"/>
                                  <w:sz w:val="21"/>
                                </w:rPr>
                                <w:t>Focus:</w:t>
                              </w:r>
                              <w:r>
                                <w:rPr>
                                  <w:b/>
                                  <w:color w:val="000000"/>
                                  <w:spacing w:val="-6"/>
                                  <w:sz w:val="21"/>
                                </w:rPr>
                                <w:t xml:space="preserve"> </w:t>
                              </w:r>
                              <w:r>
                                <w:rPr>
                                  <w:color w:val="000000"/>
                                  <w:sz w:val="21"/>
                                </w:rPr>
                                <w:t>High-quality</w:t>
                              </w:r>
                              <w:r>
                                <w:rPr>
                                  <w:color w:val="000000"/>
                                  <w:spacing w:val="-3"/>
                                  <w:sz w:val="21"/>
                                </w:rPr>
                                <w:t xml:space="preserve"> </w:t>
                              </w:r>
                              <w:r>
                                <w:rPr>
                                  <w:color w:val="000000"/>
                                  <w:sz w:val="21"/>
                                </w:rPr>
                                <w:t>health</w:t>
                              </w:r>
                              <w:r>
                                <w:rPr>
                                  <w:color w:val="000000"/>
                                  <w:spacing w:val="-3"/>
                                  <w:sz w:val="21"/>
                                </w:rPr>
                                <w:t xml:space="preserve"> </w:t>
                              </w:r>
                              <w:r>
                                <w:rPr>
                                  <w:color w:val="000000"/>
                                  <w:sz w:val="21"/>
                                </w:rPr>
                                <w:t>care</w:t>
                              </w:r>
                              <w:r>
                                <w:rPr>
                                  <w:color w:val="000000"/>
                                  <w:spacing w:val="-4"/>
                                  <w:sz w:val="21"/>
                                </w:rPr>
                                <w:t xml:space="preserve"> </w:t>
                              </w:r>
                              <w:r>
                                <w:rPr>
                                  <w:color w:val="000000"/>
                                  <w:sz w:val="21"/>
                                </w:rPr>
                                <w:t>is</w:t>
                              </w:r>
                              <w:r>
                                <w:rPr>
                                  <w:color w:val="000000"/>
                                  <w:spacing w:val="-3"/>
                                  <w:sz w:val="21"/>
                                </w:rPr>
                                <w:t xml:space="preserve"> </w:t>
                              </w:r>
                              <w:r>
                                <w:rPr>
                                  <w:color w:val="000000"/>
                                  <w:sz w:val="21"/>
                                </w:rPr>
                                <w:t>delivered</w:t>
                              </w:r>
                              <w:r>
                                <w:rPr>
                                  <w:color w:val="000000"/>
                                  <w:spacing w:val="-3"/>
                                  <w:sz w:val="21"/>
                                </w:rPr>
                                <w:t xml:space="preserve"> </w:t>
                              </w:r>
                              <w:r>
                                <w:rPr>
                                  <w:color w:val="000000"/>
                                  <w:sz w:val="21"/>
                                </w:rPr>
                                <w:t>consistently,</w:t>
                              </w:r>
                              <w:r>
                                <w:rPr>
                                  <w:color w:val="000000"/>
                                  <w:spacing w:val="-4"/>
                                  <w:sz w:val="21"/>
                                </w:rPr>
                                <w:t xml:space="preserve"> </w:t>
                              </w:r>
                              <w:r>
                                <w:rPr>
                                  <w:color w:val="000000"/>
                                  <w:sz w:val="21"/>
                                </w:rPr>
                                <w:t>reliably</w:t>
                              </w:r>
                              <w:r>
                                <w:rPr>
                                  <w:color w:val="000000"/>
                                  <w:spacing w:val="-3"/>
                                  <w:sz w:val="21"/>
                                </w:rPr>
                                <w:t xml:space="preserve"> </w:t>
                              </w:r>
                              <w:r>
                                <w:rPr>
                                  <w:color w:val="000000"/>
                                  <w:sz w:val="21"/>
                                </w:rPr>
                                <w:t>and</w:t>
                              </w:r>
                              <w:r>
                                <w:rPr>
                                  <w:color w:val="000000"/>
                                  <w:spacing w:val="-3"/>
                                  <w:sz w:val="21"/>
                                </w:rPr>
                                <w:t xml:space="preserve"> </w:t>
                              </w:r>
                              <w:r>
                                <w:rPr>
                                  <w:color w:val="000000"/>
                                  <w:sz w:val="21"/>
                                </w:rPr>
                                <w:t>equitably</w:t>
                              </w:r>
                              <w:r>
                                <w:rPr>
                                  <w:color w:val="000000"/>
                                  <w:spacing w:val="-4"/>
                                  <w:sz w:val="21"/>
                                </w:rPr>
                                <w:t xml:space="preserve"> </w:t>
                              </w:r>
                              <w:r>
                                <w:rPr>
                                  <w:color w:val="000000"/>
                                  <w:sz w:val="21"/>
                                </w:rPr>
                                <w:t>for</w:t>
                              </w:r>
                              <w:r>
                                <w:rPr>
                                  <w:color w:val="000000"/>
                                  <w:spacing w:val="-3"/>
                                  <w:sz w:val="21"/>
                                </w:rPr>
                                <w:t xml:space="preserve"> </w:t>
                              </w:r>
                              <w:r>
                                <w:rPr>
                                  <w:color w:val="000000"/>
                                  <w:sz w:val="21"/>
                                </w:rPr>
                                <w:t>all</w:t>
                              </w:r>
                              <w:r>
                                <w:rPr>
                                  <w:color w:val="000000"/>
                                  <w:spacing w:val="-3"/>
                                  <w:sz w:val="21"/>
                                </w:rPr>
                                <w:t xml:space="preserve"> </w:t>
                              </w:r>
                              <w:r>
                                <w:rPr>
                                  <w:color w:val="000000"/>
                                  <w:spacing w:val="-2"/>
                                  <w:sz w:val="21"/>
                                </w:rPr>
                                <w:t>Australians.</w:t>
                              </w:r>
                            </w:p>
                          </w:txbxContent>
                        </wps:txbx>
                        <wps:bodyPr wrap="square" lIns="0" tIns="0" rIns="0" bIns="0" rtlCol="0">
                          <a:noAutofit/>
                        </wps:bodyPr>
                      </wps:wsp>
                    </wpg:wgp>
                  </a:graphicData>
                </a:graphic>
              </wp:anchor>
            </w:drawing>
          </mc:Choice>
          <mc:Fallback>
            <w:pict>
              <v:group w14:anchorId="1F4D1729" id="Group 15" o:spid="_x0000_s1026" style="position:absolute;margin-left:41.5pt;margin-top:14.1pt;width:512.25pt;height:103.7pt;z-index:-15726592;mso-wrap-distance-left:0;mso-wrap-distance-right:0;mso-position-horizontal-relative:page" coordsize="65055,1316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">
                <v:shape id="Graphic 16" o:spid="_x0000_s1027" style="position:absolute;left:127;top:127;width:64801;height:3352;visibility:visible;mso-wrap-style:square;v-text-anchor:top" coordsize="6480175,33528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" path="m,334937l,,6479997,r,334937e" filled="f" strokecolor="#a28fc4" strokeweight="2pt">
                  <v:path arrowok="t"/>
                </v:shape>
                <v:shape id="Graphic 17" o:spid="_x0000_s1028" style="position:absolute;left:127;top:2856;width:12;height:3416;visibility:visible;mso-wrap-style:square;v-text-anchor:top" coordsize="1270,34163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" path="m,341147l,e" filled="f" strokecolor="#a28fc4" strokeweight="2pt">
                  <v:path arrowok="t"/>
                </v:shape>
                <v:shape id="Graphic 18" o:spid="_x0000_s1029" style="position:absolute;left:64926;top:2856;width:13;height:3416;visibility:visible;mso-wrap-style:square;v-text-anchor:top" coordsize="1270,34163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" path="m,l,341147e" filled="f" strokecolor="#a28fc4" strokeweight="2pt">
                  <v:path arrowok="t"/>
                </v:shape>
                <v:shape id="Graphic 19" o:spid="_x0000_s1030" style="position:absolute;left:127;top:6074;width:64801;height:6972;visibility:visible;mso-wrap-style:square;v-text-anchor:top" coordsize="6480175,69723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" path="m6479997,r,696747l,696747,,e" filled="f" strokecolor="#a28fc4" strokeweight="2pt">
                  <v:path arrowok="t"/>
                </v:shape>
                <v:shapetype id="_x0000_t202" coordsize="21600,21600" o:spt="202" path="m,l,21600r21600,l21600,xe">
                  <v:stroke joinstyle="miter"/>
                  <v:path gradientshapeok="t" o:connecttype="rect"/>
                </v:shapetype>
                <v:shape id="Textbox 20" o:spid="_x0000_s1031" type="#_x0000_t202" style="position:absolute;left:254;top:6074;width:64547;height:684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" fillcolor="#f3eff7" stroked="f">
                  <v:textbox inset="0,0,0,0">
                    <w:txbxContent>
                      <w:p w14:paraId="103A06E2" w14:textId="77777777" w:rsidR="009D54AF" w:rsidRDefault="00000000">
                        <w:pPr>
                          <w:spacing w:before="12" w:line="278" w:lineRule="auto"/>
                          <w:ind w:left="206"/>
                          <w:rPr>
                            <w:color w:val="000000"/>
                            <w:sz w:val="21"/>
                          </w:rPr>
                        </w:pPr>
                        <w:r>
                          <w:rPr>
                            <w:b/>
                            <w:color w:val="000000"/>
                            <w:sz w:val="21"/>
                          </w:rPr>
                          <w:t xml:space="preserve">Outcome: </w:t>
                        </w:r>
                        <w:r>
                          <w:rPr>
                            <w:color w:val="000000"/>
                            <w:sz w:val="21"/>
                          </w:rPr>
                          <w:t>Consistently excellent care, responsive to patient needs and preferences, is delivered. The health</w:t>
                        </w:r>
                        <w:r>
                          <w:rPr>
                            <w:color w:val="000000"/>
                            <w:spacing w:val="-3"/>
                            <w:sz w:val="21"/>
                          </w:rPr>
                          <w:t xml:space="preserve"> </w:t>
                        </w:r>
                        <w:r>
                          <w:rPr>
                            <w:color w:val="000000"/>
                            <w:sz w:val="21"/>
                          </w:rPr>
                          <w:t>system</w:t>
                        </w:r>
                        <w:r>
                          <w:rPr>
                            <w:color w:val="000000"/>
                            <w:spacing w:val="-3"/>
                            <w:sz w:val="21"/>
                          </w:rPr>
                          <w:t xml:space="preserve"> </w:t>
                        </w:r>
                        <w:r>
                          <w:rPr>
                            <w:color w:val="000000"/>
                            <w:sz w:val="21"/>
                          </w:rPr>
                          <w:t>responds</w:t>
                        </w:r>
                        <w:r>
                          <w:rPr>
                            <w:color w:val="000000"/>
                            <w:spacing w:val="-3"/>
                            <w:sz w:val="21"/>
                          </w:rPr>
                          <w:t xml:space="preserve"> </w:t>
                        </w:r>
                        <w:r>
                          <w:rPr>
                            <w:color w:val="000000"/>
                            <w:sz w:val="21"/>
                          </w:rPr>
                          <w:t>to</w:t>
                        </w:r>
                        <w:r>
                          <w:rPr>
                            <w:color w:val="000000"/>
                            <w:spacing w:val="-3"/>
                            <w:sz w:val="21"/>
                          </w:rPr>
                          <w:t xml:space="preserve"> </w:t>
                        </w:r>
                        <w:r>
                          <w:rPr>
                            <w:color w:val="000000"/>
                            <w:sz w:val="21"/>
                          </w:rPr>
                          <w:t>the</w:t>
                        </w:r>
                        <w:r>
                          <w:rPr>
                            <w:color w:val="000000"/>
                            <w:spacing w:val="-3"/>
                            <w:sz w:val="21"/>
                          </w:rPr>
                          <w:t xml:space="preserve"> </w:t>
                        </w:r>
                        <w:r>
                          <w:rPr>
                            <w:color w:val="000000"/>
                            <w:sz w:val="21"/>
                          </w:rPr>
                          <w:t>evolving</w:t>
                        </w:r>
                        <w:r>
                          <w:rPr>
                            <w:color w:val="000000"/>
                            <w:spacing w:val="-3"/>
                            <w:sz w:val="21"/>
                          </w:rPr>
                          <w:t xml:space="preserve"> </w:t>
                        </w:r>
                        <w:r>
                          <w:rPr>
                            <w:color w:val="000000"/>
                            <w:sz w:val="21"/>
                          </w:rPr>
                          <w:t>environment</w:t>
                        </w:r>
                        <w:r>
                          <w:rPr>
                            <w:color w:val="000000"/>
                            <w:spacing w:val="-3"/>
                            <w:sz w:val="21"/>
                          </w:rPr>
                          <w:t xml:space="preserve"> </w:t>
                        </w:r>
                        <w:r>
                          <w:rPr>
                            <w:color w:val="000000"/>
                            <w:sz w:val="21"/>
                          </w:rPr>
                          <w:t>including</w:t>
                        </w:r>
                        <w:r>
                          <w:rPr>
                            <w:color w:val="000000"/>
                            <w:spacing w:val="-3"/>
                            <w:sz w:val="21"/>
                          </w:rPr>
                          <w:t xml:space="preserve"> </w:t>
                        </w:r>
                        <w:r>
                          <w:rPr>
                            <w:color w:val="000000"/>
                            <w:sz w:val="21"/>
                          </w:rPr>
                          <w:t>to</w:t>
                        </w:r>
                        <w:r>
                          <w:rPr>
                            <w:color w:val="000000"/>
                            <w:spacing w:val="-3"/>
                            <w:sz w:val="21"/>
                          </w:rPr>
                          <w:t xml:space="preserve"> </w:t>
                        </w:r>
                        <w:r>
                          <w:rPr>
                            <w:color w:val="000000"/>
                            <w:sz w:val="21"/>
                          </w:rPr>
                          <w:t>the</w:t>
                        </w:r>
                        <w:r>
                          <w:rPr>
                            <w:color w:val="000000"/>
                            <w:spacing w:val="-3"/>
                            <w:sz w:val="21"/>
                          </w:rPr>
                          <w:t xml:space="preserve"> </w:t>
                        </w:r>
                        <w:r>
                          <w:rPr>
                            <w:color w:val="000000"/>
                            <w:sz w:val="21"/>
                          </w:rPr>
                          <w:t>impact</w:t>
                        </w:r>
                        <w:r>
                          <w:rPr>
                            <w:color w:val="000000"/>
                            <w:spacing w:val="-3"/>
                            <w:sz w:val="21"/>
                          </w:rPr>
                          <w:t xml:space="preserve"> </w:t>
                        </w:r>
                        <w:r>
                          <w:rPr>
                            <w:color w:val="000000"/>
                            <w:sz w:val="21"/>
                          </w:rPr>
                          <w:t>of</w:t>
                        </w:r>
                        <w:r>
                          <w:rPr>
                            <w:color w:val="000000"/>
                            <w:spacing w:val="-3"/>
                            <w:sz w:val="21"/>
                          </w:rPr>
                          <w:t xml:space="preserve"> </w:t>
                        </w:r>
                        <w:r>
                          <w:rPr>
                            <w:color w:val="000000"/>
                            <w:sz w:val="21"/>
                          </w:rPr>
                          <w:t>artificial</w:t>
                        </w:r>
                        <w:r>
                          <w:rPr>
                            <w:color w:val="000000"/>
                            <w:spacing w:val="-3"/>
                            <w:sz w:val="21"/>
                          </w:rPr>
                          <w:t xml:space="preserve"> </w:t>
                        </w:r>
                        <w:r>
                          <w:rPr>
                            <w:color w:val="000000"/>
                            <w:sz w:val="21"/>
                          </w:rPr>
                          <w:t>intelligence,</w:t>
                        </w:r>
                        <w:r>
                          <w:rPr>
                            <w:color w:val="000000"/>
                            <w:spacing w:val="-3"/>
                            <w:sz w:val="21"/>
                          </w:rPr>
                          <w:t xml:space="preserve"> </w:t>
                        </w:r>
                        <w:r>
                          <w:rPr>
                            <w:color w:val="000000"/>
                            <w:sz w:val="21"/>
                          </w:rPr>
                          <w:t>new models of care and climate change.</w:t>
                        </w:r>
                      </w:p>
                    </w:txbxContent>
                  </v:textbox>
                </v:shape>
                <v:shape id="Textbox 21" o:spid="_x0000_s1032" type="#_x0000_t202" style="position:absolute;left:254;top:254;width:64547;height:56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" fillcolor="#f3eff7" stroked="f">
                  <v:textbox inset="0,0,0,0">
                    <w:txbxContent>
                      <w:p w14:paraId="7353D9A4" w14:textId="77777777" w:rsidR="009D54AF" w:rsidRDefault="00000000">
                        <w:pPr>
                          <w:spacing w:before="95"/>
                          <w:ind w:left="206"/>
                          <w:rPr>
                            <w:b/>
                            <w:color w:val="000000"/>
                            <w:sz w:val="26"/>
                          </w:rPr>
                        </w:pPr>
                        <w:r>
                          <w:rPr>
                            <w:b/>
                            <w:color w:val="000000"/>
                            <w:sz w:val="26"/>
                          </w:rPr>
                          <w:t>High-quality</w:t>
                        </w:r>
                        <w:r>
                          <w:rPr>
                            <w:b/>
                            <w:color w:val="000000"/>
                            <w:spacing w:val="-3"/>
                            <w:sz w:val="26"/>
                          </w:rPr>
                          <w:t xml:space="preserve"> </w:t>
                        </w:r>
                        <w:r>
                          <w:rPr>
                            <w:b/>
                            <w:color w:val="000000"/>
                            <w:sz w:val="26"/>
                          </w:rPr>
                          <w:t>care</w:t>
                        </w:r>
                        <w:r>
                          <w:rPr>
                            <w:b/>
                            <w:color w:val="000000"/>
                            <w:spacing w:val="-2"/>
                            <w:sz w:val="26"/>
                          </w:rPr>
                          <w:t xml:space="preserve"> </w:t>
                        </w:r>
                        <w:r>
                          <w:rPr>
                            <w:b/>
                            <w:color w:val="000000"/>
                            <w:sz w:val="26"/>
                          </w:rPr>
                          <w:t>in</w:t>
                        </w:r>
                        <w:r>
                          <w:rPr>
                            <w:b/>
                            <w:color w:val="000000"/>
                            <w:spacing w:val="-2"/>
                            <w:sz w:val="26"/>
                          </w:rPr>
                          <w:t xml:space="preserve"> </w:t>
                        </w:r>
                        <w:r>
                          <w:rPr>
                            <w:b/>
                            <w:color w:val="000000"/>
                            <w:sz w:val="26"/>
                          </w:rPr>
                          <w:t>an</w:t>
                        </w:r>
                        <w:r>
                          <w:rPr>
                            <w:b/>
                            <w:color w:val="000000"/>
                            <w:spacing w:val="-2"/>
                            <w:sz w:val="26"/>
                          </w:rPr>
                          <w:t xml:space="preserve"> </w:t>
                        </w:r>
                        <w:r>
                          <w:rPr>
                            <w:b/>
                            <w:color w:val="000000"/>
                            <w:sz w:val="26"/>
                          </w:rPr>
                          <w:t>evolving</w:t>
                        </w:r>
                        <w:r>
                          <w:rPr>
                            <w:b/>
                            <w:color w:val="000000"/>
                            <w:spacing w:val="-2"/>
                            <w:sz w:val="26"/>
                          </w:rPr>
                          <w:t xml:space="preserve"> environment</w:t>
                        </w:r>
                      </w:p>
                      <w:p w14:paraId="72D15CA4" w14:textId="77777777" w:rsidR="009D54AF" w:rsidRDefault="00000000">
                        <w:pPr>
                          <w:spacing w:before="141"/>
                          <w:ind w:left="206"/>
                          <w:rPr>
                            <w:color w:val="000000"/>
                            <w:sz w:val="21"/>
                          </w:rPr>
                        </w:pPr>
                        <w:r>
                          <w:rPr>
                            <w:b/>
                            <w:color w:val="000000"/>
                            <w:sz w:val="21"/>
                          </w:rPr>
                          <w:t>Focus:</w:t>
                        </w:r>
                        <w:r>
                          <w:rPr>
                            <w:b/>
                            <w:color w:val="000000"/>
                            <w:spacing w:val="-6"/>
                            <w:sz w:val="21"/>
                          </w:rPr>
                          <w:t xml:space="preserve"> </w:t>
                        </w:r>
                        <w:r>
                          <w:rPr>
                            <w:color w:val="000000"/>
                            <w:sz w:val="21"/>
                          </w:rPr>
                          <w:t>High-quality</w:t>
                        </w:r>
                        <w:r>
                          <w:rPr>
                            <w:color w:val="000000"/>
                            <w:spacing w:val="-3"/>
                            <w:sz w:val="21"/>
                          </w:rPr>
                          <w:t xml:space="preserve"> </w:t>
                        </w:r>
                        <w:r>
                          <w:rPr>
                            <w:color w:val="000000"/>
                            <w:sz w:val="21"/>
                          </w:rPr>
                          <w:t>health</w:t>
                        </w:r>
                        <w:r>
                          <w:rPr>
                            <w:color w:val="000000"/>
                            <w:spacing w:val="-3"/>
                            <w:sz w:val="21"/>
                          </w:rPr>
                          <w:t xml:space="preserve"> </w:t>
                        </w:r>
                        <w:r>
                          <w:rPr>
                            <w:color w:val="000000"/>
                            <w:sz w:val="21"/>
                          </w:rPr>
                          <w:t>care</w:t>
                        </w:r>
                        <w:r>
                          <w:rPr>
                            <w:color w:val="000000"/>
                            <w:spacing w:val="-4"/>
                            <w:sz w:val="21"/>
                          </w:rPr>
                          <w:t xml:space="preserve"> </w:t>
                        </w:r>
                        <w:r>
                          <w:rPr>
                            <w:color w:val="000000"/>
                            <w:sz w:val="21"/>
                          </w:rPr>
                          <w:t>is</w:t>
                        </w:r>
                        <w:r>
                          <w:rPr>
                            <w:color w:val="000000"/>
                            <w:spacing w:val="-3"/>
                            <w:sz w:val="21"/>
                          </w:rPr>
                          <w:t xml:space="preserve"> </w:t>
                        </w:r>
                        <w:r>
                          <w:rPr>
                            <w:color w:val="000000"/>
                            <w:sz w:val="21"/>
                          </w:rPr>
                          <w:t>delivered</w:t>
                        </w:r>
                        <w:r>
                          <w:rPr>
                            <w:color w:val="000000"/>
                            <w:spacing w:val="-3"/>
                            <w:sz w:val="21"/>
                          </w:rPr>
                          <w:t xml:space="preserve"> </w:t>
                        </w:r>
                        <w:r>
                          <w:rPr>
                            <w:color w:val="000000"/>
                            <w:sz w:val="21"/>
                          </w:rPr>
                          <w:t>consistently,</w:t>
                        </w:r>
                        <w:r>
                          <w:rPr>
                            <w:color w:val="000000"/>
                            <w:spacing w:val="-4"/>
                            <w:sz w:val="21"/>
                          </w:rPr>
                          <w:t xml:space="preserve"> </w:t>
                        </w:r>
                        <w:r>
                          <w:rPr>
                            <w:color w:val="000000"/>
                            <w:sz w:val="21"/>
                          </w:rPr>
                          <w:t>reliably</w:t>
                        </w:r>
                        <w:r>
                          <w:rPr>
                            <w:color w:val="000000"/>
                            <w:spacing w:val="-3"/>
                            <w:sz w:val="21"/>
                          </w:rPr>
                          <w:t xml:space="preserve"> </w:t>
                        </w:r>
                        <w:r>
                          <w:rPr>
                            <w:color w:val="000000"/>
                            <w:sz w:val="21"/>
                          </w:rPr>
                          <w:t>and</w:t>
                        </w:r>
                        <w:r>
                          <w:rPr>
                            <w:color w:val="000000"/>
                            <w:spacing w:val="-3"/>
                            <w:sz w:val="21"/>
                          </w:rPr>
                          <w:t xml:space="preserve"> </w:t>
                        </w:r>
                        <w:r>
                          <w:rPr>
                            <w:color w:val="000000"/>
                            <w:sz w:val="21"/>
                          </w:rPr>
                          <w:t>equitably</w:t>
                        </w:r>
                        <w:r>
                          <w:rPr>
                            <w:color w:val="000000"/>
                            <w:spacing w:val="-4"/>
                            <w:sz w:val="21"/>
                          </w:rPr>
                          <w:t xml:space="preserve"> </w:t>
                        </w:r>
                        <w:r>
                          <w:rPr>
                            <w:color w:val="000000"/>
                            <w:sz w:val="21"/>
                          </w:rPr>
                          <w:t>for</w:t>
                        </w:r>
                        <w:r>
                          <w:rPr>
                            <w:color w:val="000000"/>
                            <w:spacing w:val="-3"/>
                            <w:sz w:val="21"/>
                          </w:rPr>
                          <w:t xml:space="preserve"> </w:t>
                        </w:r>
                        <w:r>
                          <w:rPr>
                            <w:color w:val="000000"/>
                            <w:sz w:val="21"/>
                          </w:rPr>
                          <w:t>all</w:t>
                        </w:r>
                        <w:r>
                          <w:rPr>
                            <w:color w:val="000000"/>
                            <w:spacing w:val="-3"/>
                            <w:sz w:val="21"/>
                          </w:rPr>
                          <w:t xml:space="preserve"> </w:t>
                        </w:r>
                        <w:r>
                          <w:rPr>
                            <w:color w:val="000000"/>
                            <w:spacing w:val="-2"/>
                            <w:sz w:val="21"/>
                          </w:rPr>
                          <w:t>Australians.</w:t>
                        </w:r>
                      </w:p>
                    </w:txbxContent>
                  </v:textbox>
                </v:shape>
                <w10:wrap type="topAndBottom" anchorx="page"/>
              </v:group>
            </w:pict>
          </mc:Fallback>
        </mc:AlternateContent>
      </w:r>
      <w:r>
        <w:rPr>
          <w:noProof/>
          <w:sz w:val="20"/>
        </w:rPr>
        <mc:AlternateContent>
          <mc:Choice Requires="wpg">
            <w:drawing>
              <wp:anchor distT="0" distB="0" distL="0" distR="0" simplePos="0" relativeHeight="487590400" behindDoc="1" locked="0" layoutInCell="1" allowOverlap="1" wp14:anchorId="639C9426" wp14:editId="08EC54BE">
                <wp:simplePos x="0" y="0"/>
                <wp:positionH relativeFrom="page">
                  <wp:posOffset>527300</wp:posOffset>
                </wp:positionH>
                <wp:positionV relativeFrom="paragraph">
                  <wp:posOffset>1705774</wp:posOffset>
                </wp:positionV>
                <wp:extent cx="6505575" cy="1139190"/>
                <wp:effectExtent l="0" t="0" r="0" b="0"/>
                <wp:wrapTopAndBottom/>
                <wp:docPr id="22"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05575" cy="1139190"/>
                          <a:chOff x="0" y="0"/>
                          <a:chExt cx="6505575" cy="1139190"/>
                        </a:xfrm>
                      </wpg:grpSpPr>
                      <wps:wsp>
                        <wps:cNvPr id="23" name="Graphic 23"/>
                        <wps:cNvSpPr/>
                        <wps:spPr>
                          <a:xfrm>
                            <a:off x="12700" y="12700"/>
                            <a:ext cx="6480175" cy="335280"/>
                          </a:xfrm>
                          <a:custGeom>
                            <a:avLst/>
                            <a:gdLst/>
                            <a:ahLst/>
                            <a:cxnLst/>
                            <a:rect l="l" t="t" r="r" b="b"/>
                            <a:pathLst>
                              <a:path w="6480175" h="335280">
                                <a:moveTo>
                                  <a:pt x="0" y="334937"/>
                                </a:moveTo>
                                <a:lnTo>
                                  <a:pt x="0" y="0"/>
                                </a:lnTo>
                                <a:lnTo>
                                  <a:pt x="6479997" y="0"/>
                                </a:lnTo>
                                <a:lnTo>
                                  <a:pt x="6479997" y="334937"/>
                                </a:lnTo>
                              </a:path>
                            </a:pathLst>
                          </a:custGeom>
                          <a:ln w="25400">
                            <a:solidFill>
                              <a:srgbClr val="A28FC4"/>
                            </a:solidFill>
                            <a:prstDash val="solid"/>
                          </a:ln>
                        </wps:spPr>
                        <wps:bodyPr wrap="square" lIns="0" tIns="0" rIns="0" bIns="0" rtlCol="0">
                          <a:prstTxWarp prst="textNoShape">
                            <a:avLst/>
                          </a:prstTxWarp>
                          <a:noAutofit/>
                        </wps:bodyPr>
                      </wps:wsp>
                      <wps:wsp>
                        <wps:cNvPr id="24" name="Graphic 24"/>
                        <wps:cNvSpPr/>
                        <wps:spPr>
                          <a:xfrm>
                            <a:off x="12700" y="285607"/>
                            <a:ext cx="1270" cy="341630"/>
                          </a:xfrm>
                          <a:custGeom>
                            <a:avLst/>
                            <a:gdLst/>
                            <a:ahLst/>
                            <a:cxnLst/>
                            <a:rect l="l" t="t" r="r" b="b"/>
                            <a:pathLst>
                              <a:path h="341630">
                                <a:moveTo>
                                  <a:pt x="0" y="341147"/>
                                </a:moveTo>
                                <a:lnTo>
                                  <a:pt x="0" y="0"/>
                                </a:lnTo>
                              </a:path>
                            </a:pathLst>
                          </a:custGeom>
                          <a:ln w="25400">
                            <a:solidFill>
                              <a:srgbClr val="A28FC4"/>
                            </a:solidFill>
                            <a:prstDash val="solid"/>
                          </a:ln>
                        </wps:spPr>
                        <wps:bodyPr wrap="square" lIns="0" tIns="0" rIns="0" bIns="0" rtlCol="0">
                          <a:prstTxWarp prst="textNoShape">
                            <a:avLst/>
                          </a:prstTxWarp>
                          <a:noAutofit/>
                        </wps:bodyPr>
                      </wps:wsp>
                      <wps:wsp>
                        <wps:cNvPr id="25" name="Graphic 25"/>
                        <wps:cNvSpPr/>
                        <wps:spPr>
                          <a:xfrm>
                            <a:off x="6492699" y="285610"/>
                            <a:ext cx="1270" cy="341630"/>
                          </a:xfrm>
                          <a:custGeom>
                            <a:avLst/>
                            <a:gdLst/>
                            <a:ahLst/>
                            <a:cxnLst/>
                            <a:rect l="l" t="t" r="r" b="b"/>
                            <a:pathLst>
                              <a:path h="341630">
                                <a:moveTo>
                                  <a:pt x="0" y="0"/>
                                </a:moveTo>
                                <a:lnTo>
                                  <a:pt x="0" y="341147"/>
                                </a:lnTo>
                              </a:path>
                            </a:pathLst>
                          </a:custGeom>
                          <a:ln w="25400">
                            <a:solidFill>
                              <a:srgbClr val="A28FC4"/>
                            </a:solidFill>
                            <a:prstDash val="solid"/>
                          </a:ln>
                        </wps:spPr>
                        <wps:bodyPr wrap="square" lIns="0" tIns="0" rIns="0" bIns="0" rtlCol="0">
                          <a:prstTxWarp prst="textNoShape">
                            <a:avLst/>
                          </a:prstTxWarp>
                          <a:noAutofit/>
                        </wps:bodyPr>
                      </wps:wsp>
                      <wps:wsp>
                        <wps:cNvPr id="26" name="Graphic 26"/>
                        <wps:cNvSpPr/>
                        <wps:spPr>
                          <a:xfrm>
                            <a:off x="12702" y="607409"/>
                            <a:ext cx="6480175" cy="519430"/>
                          </a:xfrm>
                          <a:custGeom>
                            <a:avLst/>
                            <a:gdLst/>
                            <a:ahLst/>
                            <a:cxnLst/>
                            <a:rect l="l" t="t" r="r" b="b"/>
                            <a:pathLst>
                              <a:path w="6480175" h="519430">
                                <a:moveTo>
                                  <a:pt x="6479997" y="0"/>
                                </a:moveTo>
                                <a:lnTo>
                                  <a:pt x="6479997" y="518947"/>
                                </a:lnTo>
                                <a:lnTo>
                                  <a:pt x="0" y="518947"/>
                                </a:lnTo>
                                <a:lnTo>
                                  <a:pt x="0" y="0"/>
                                </a:lnTo>
                              </a:path>
                            </a:pathLst>
                          </a:custGeom>
                          <a:ln w="25400">
                            <a:solidFill>
                              <a:srgbClr val="A28FC4"/>
                            </a:solidFill>
                            <a:prstDash val="solid"/>
                          </a:ln>
                        </wps:spPr>
                        <wps:bodyPr wrap="square" lIns="0" tIns="0" rIns="0" bIns="0" rtlCol="0">
                          <a:prstTxWarp prst="textNoShape">
                            <a:avLst/>
                          </a:prstTxWarp>
                          <a:noAutofit/>
                        </wps:bodyPr>
                      </wps:wsp>
                      <wps:wsp>
                        <wps:cNvPr id="27" name="Textbox 27"/>
                        <wps:cNvSpPr txBox="1"/>
                        <wps:spPr>
                          <a:xfrm>
                            <a:off x="25401" y="607411"/>
                            <a:ext cx="6454775" cy="506730"/>
                          </a:xfrm>
                          <a:prstGeom prst="rect">
                            <a:avLst/>
                          </a:prstGeom>
                          <a:solidFill>
                            <a:srgbClr val="F3EFF7"/>
                          </a:solidFill>
                        </wps:spPr>
                        <wps:txbx>
                          <w:txbxContent>
                            <w:p w14:paraId="63475790" w14:textId="77777777" w:rsidR="009D54AF" w:rsidRDefault="00000000">
                              <w:pPr>
                                <w:spacing w:before="12" w:line="278" w:lineRule="auto"/>
                                <w:ind w:left="206"/>
                                <w:rPr>
                                  <w:color w:val="000000"/>
                                  <w:sz w:val="21"/>
                                </w:rPr>
                              </w:pPr>
                              <w:r>
                                <w:rPr>
                                  <w:b/>
                                  <w:color w:val="000000"/>
                                  <w:sz w:val="21"/>
                                </w:rPr>
                                <w:t>Outcome:</w:t>
                              </w:r>
                              <w:r>
                                <w:rPr>
                                  <w:b/>
                                  <w:color w:val="000000"/>
                                  <w:spacing w:val="-3"/>
                                  <w:sz w:val="21"/>
                                </w:rPr>
                                <w:t xml:space="preserve"> </w:t>
                              </w:r>
                              <w:r>
                                <w:rPr>
                                  <w:color w:val="000000"/>
                                  <w:sz w:val="21"/>
                                </w:rPr>
                                <w:t>The</w:t>
                              </w:r>
                              <w:r>
                                <w:rPr>
                                  <w:color w:val="000000"/>
                                  <w:spacing w:val="-3"/>
                                  <w:sz w:val="21"/>
                                </w:rPr>
                                <w:t xml:space="preserve"> </w:t>
                              </w:r>
                              <w:r>
                                <w:rPr>
                                  <w:color w:val="000000"/>
                                  <w:sz w:val="21"/>
                                </w:rPr>
                                <w:t>health</w:t>
                              </w:r>
                              <w:r>
                                <w:rPr>
                                  <w:color w:val="000000"/>
                                  <w:spacing w:val="-3"/>
                                  <w:sz w:val="21"/>
                                </w:rPr>
                                <w:t xml:space="preserve"> </w:t>
                              </w:r>
                              <w:r>
                                <w:rPr>
                                  <w:color w:val="000000"/>
                                  <w:sz w:val="21"/>
                                </w:rPr>
                                <w:t>system</w:t>
                              </w:r>
                              <w:r>
                                <w:rPr>
                                  <w:color w:val="000000"/>
                                  <w:spacing w:val="-3"/>
                                  <w:sz w:val="21"/>
                                </w:rPr>
                                <w:t xml:space="preserve"> </w:t>
                              </w:r>
                              <w:r>
                                <w:rPr>
                                  <w:color w:val="000000"/>
                                  <w:sz w:val="21"/>
                                </w:rPr>
                                <w:t>is</w:t>
                              </w:r>
                              <w:r>
                                <w:rPr>
                                  <w:color w:val="000000"/>
                                  <w:spacing w:val="-3"/>
                                  <w:sz w:val="21"/>
                                </w:rPr>
                                <w:t xml:space="preserve"> </w:t>
                              </w:r>
                              <w:r>
                                <w:rPr>
                                  <w:color w:val="000000"/>
                                  <w:sz w:val="21"/>
                                </w:rPr>
                                <w:t>connected,</w:t>
                              </w:r>
                              <w:r>
                                <w:rPr>
                                  <w:color w:val="000000"/>
                                  <w:spacing w:val="-3"/>
                                  <w:sz w:val="21"/>
                                </w:rPr>
                                <w:t xml:space="preserve"> </w:t>
                              </w:r>
                              <w:r>
                                <w:rPr>
                                  <w:color w:val="000000"/>
                                  <w:sz w:val="21"/>
                                </w:rPr>
                                <w:t>with</w:t>
                              </w:r>
                              <w:r>
                                <w:rPr>
                                  <w:color w:val="000000"/>
                                  <w:spacing w:val="-3"/>
                                  <w:sz w:val="21"/>
                                </w:rPr>
                                <w:t xml:space="preserve"> </w:t>
                              </w:r>
                              <w:r>
                                <w:rPr>
                                  <w:color w:val="000000"/>
                                  <w:sz w:val="21"/>
                                </w:rPr>
                                <w:t>strong</w:t>
                              </w:r>
                              <w:r>
                                <w:rPr>
                                  <w:color w:val="000000"/>
                                  <w:spacing w:val="-3"/>
                                  <w:sz w:val="21"/>
                                </w:rPr>
                                <w:t xml:space="preserve"> </w:t>
                              </w:r>
                              <w:r>
                                <w:rPr>
                                  <w:color w:val="000000"/>
                                  <w:sz w:val="21"/>
                                </w:rPr>
                                <w:t>leadership</w:t>
                              </w:r>
                              <w:r>
                                <w:rPr>
                                  <w:color w:val="000000"/>
                                  <w:spacing w:val="-3"/>
                                  <w:sz w:val="21"/>
                                </w:rPr>
                                <w:t xml:space="preserve"> </w:t>
                              </w:r>
                              <w:r>
                                <w:rPr>
                                  <w:color w:val="000000"/>
                                  <w:sz w:val="21"/>
                                </w:rPr>
                                <w:t>and</w:t>
                              </w:r>
                              <w:r>
                                <w:rPr>
                                  <w:color w:val="000000"/>
                                  <w:spacing w:val="-3"/>
                                  <w:sz w:val="21"/>
                                </w:rPr>
                                <w:t xml:space="preserve"> </w:t>
                              </w:r>
                              <w:r>
                                <w:rPr>
                                  <w:color w:val="000000"/>
                                  <w:sz w:val="21"/>
                                </w:rPr>
                                <w:t>governance,</w:t>
                              </w:r>
                              <w:r>
                                <w:rPr>
                                  <w:color w:val="000000"/>
                                  <w:spacing w:val="-3"/>
                                  <w:sz w:val="21"/>
                                </w:rPr>
                                <w:t xml:space="preserve"> </w:t>
                              </w:r>
                              <w:r>
                                <w:rPr>
                                  <w:color w:val="000000"/>
                                  <w:sz w:val="21"/>
                                </w:rPr>
                                <w:t>and</w:t>
                              </w:r>
                              <w:r>
                                <w:rPr>
                                  <w:color w:val="000000"/>
                                  <w:spacing w:val="-3"/>
                                  <w:sz w:val="21"/>
                                </w:rPr>
                                <w:t xml:space="preserve"> </w:t>
                              </w:r>
                              <w:r>
                                <w:rPr>
                                  <w:color w:val="000000"/>
                                  <w:sz w:val="21"/>
                                </w:rPr>
                                <w:t>is</w:t>
                              </w:r>
                              <w:r>
                                <w:rPr>
                                  <w:color w:val="000000"/>
                                  <w:spacing w:val="-3"/>
                                  <w:sz w:val="21"/>
                                </w:rPr>
                                <w:t xml:space="preserve"> </w:t>
                              </w:r>
                              <w:r>
                                <w:rPr>
                                  <w:color w:val="000000"/>
                                  <w:sz w:val="21"/>
                                </w:rPr>
                                <w:t>increasingly shaped by data and evidence about outcomes.</w:t>
                              </w:r>
                            </w:p>
                          </w:txbxContent>
                        </wps:txbx>
                        <wps:bodyPr wrap="square" lIns="0" tIns="0" rIns="0" bIns="0" rtlCol="0">
                          <a:noAutofit/>
                        </wps:bodyPr>
                      </wps:wsp>
                      <wps:wsp>
                        <wps:cNvPr id="28" name="Textbox 28"/>
                        <wps:cNvSpPr txBox="1"/>
                        <wps:spPr>
                          <a:xfrm>
                            <a:off x="25401" y="25400"/>
                            <a:ext cx="6454775" cy="565785"/>
                          </a:xfrm>
                          <a:prstGeom prst="rect">
                            <a:avLst/>
                          </a:prstGeom>
                          <a:solidFill>
                            <a:srgbClr val="F3EFF7"/>
                          </a:solidFill>
                        </wps:spPr>
                        <wps:txbx>
                          <w:txbxContent>
                            <w:p w14:paraId="1B3DC24C" w14:textId="77777777" w:rsidR="009D54AF" w:rsidRDefault="00000000">
                              <w:pPr>
                                <w:spacing w:before="95"/>
                                <w:ind w:left="206"/>
                                <w:rPr>
                                  <w:b/>
                                  <w:color w:val="000000"/>
                                  <w:sz w:val="26"/>
                                </w:rPr>
                              </w:pPr>
                              <w:r>
                                <w:rPr>
                                  <w:b/>
                                  <w:color w:val="000000"/>
                                  <w:sz w:val="26"/>
                                </w:rPr>
                                <w:t>Strong,</w:t>
                              </w:r>
                              <w:r>
                                <w:rPr>
                                  <w:b/>
                                  <w:color w:val="000000"/>
                                  <w:spacing w:val="-2"/>
                                  <w:sz w:val="26"/>
                                </w:rPr>
                                <w:t xml:space="preserve"> </w:t>
                              </w:r>
                              <w:r>
                                <w:rPr>
                                  <w:b/>
                                  <w:color w:val="000000"/>
                                  <w:sz w:val="26"/>
                                </w:rPr>
                                <w:t>outcome-focused</w:t>
                              </w:r>
                              <w:r>
                                <w:rPr>
                                  <w:b/>
                                  <w:color w:val="000000"/>
                                  <w:spacing w:val="-2"/>
                                  <w:sz w:val="26"/>
                                </w:rPr>
                                <w:t xml:space="preserve"> </w:t>
                              </w:r>
                              <w:r>
                                <w:rPr>
                                  <w:b/>
                                  <w:color w:val="000000"/>
                                  <w:sz w:val="26"/>
                                </w:rPr>
                                <w:t>clinical</w:t>
                              </w:r>
                              <w:r>
                                <w:rPr>
                                  <w:b/>
                                  <w:color w:val="000000"/>
                                  <w:spacing w:val="-1"/>
                                  <w:sz w:val="26"/>
                                </w:rPr>
                                <w:t xml:space="preserve"> </w:t>
                              </w:r>
                              <w:r>
                                <w:rPr>
                                  <w:b/>
                                  <w:color w:val="000000"/>
                                  <w:spacing w:val="-2"/>
                                  <w:sz w:val="26"/>
                                </w:rPr>
                                <w:t>governance</w:t>
                              </w:r>
                            </w:p>
                            <w:p w14:paraId="2B53A6E4" w14:textId="77777777" w:rsidR="009D54AF" w:rsidRDefault="00000000">
                              <w:pPr>
                                <w:spacing w:before="141"/>
                                <w:ind w:left="206"/>
                                <w:rPr>
                                  <w:color w:val="000000"/>
                                  <w:sz w:val="21"/>
                                </w:rPr>
                              </w:pPr>
                              <w:r>
                                <w:rPr>
                                  <w:b/>
                                  <w:color w:val="000000"/>
                                  <w:sz w:val="21"/>
                                </w:rPr>
                                <w:t>Focus:</w:t>
                              </w:r>
                              <w:r>
                                <w:rPr>
                                  <w:b/>
                                  <w:color w:val="000000"/>
                                  <w:spacing w:val="-6"/>
                                  <w:sz w:val="21"/>
                                </w:rPr>
                                <w:t xml:space="preserve"> </w:t>
                              </w:r>
                              <w:r>
                                <w:rPr>
                                  <w:color w:val="000000"/>
                                  <w:sz w:val="21"/>
                                </w:rPr>
                                <w:t>Clinical</w:t>
                              </w:r>
                              <w:r>
                                <w:rPr>
                                  <w:color w:val="000000"/>
                                  <w:spacing w:val="-4"/>
                                  <w:sz w:val="21"/>
                                </w:rPr>
                                <w:t xml:space="preserve"> </w:t>
                              </w:r>
                              <w:r>
                                <w:rPr>
                                  <w:color w:val="000000"/>
                                  <w:sz w:val="21"/>
                                </w:rPr>
                                <w:t>governance,</w:t>
                              </w:r>
                              <w:r>
                                <w:rPr>
                                  <w:color w:val="000000"/>
                                  <w:spacing w:val="-4"/>
                                  <w:sz w:val="21"/>
                                </w:rPr>
                                <w:t xml:space="preserve"> </w:t>
                              </w:r>
                              <w:r>
                                <w:rPr>
                                  <w:color w:val="000000"/>
                                  <w:sz w:val="21"/>
                                </w:rPr>
                                <w:t>integrated</w:t>
                              </w:r>
                              <w:r>
                                <w:rPr>
                                  <w:color w:val="000000"/>
                                  <w:spacing w:val="-4"/>
                                  <w:sz w:val="21"/>
                                </w:rPr>
                                <w:t xml:space="preserve"> </w:t>
                              </w:r>
                              <w:r>
                                <w:rPr>
                                  <w:color w:val="000000"/>
                                  <w:sz w:val="21"/>
                                </w:rPr>
                                <w:t>standards</w:t>
                              </w:r>
                              <w:r>
                                <w:rPr>
                                  <w:color w:val="000000"/>
                                  <w:spacing w:val="-4"/>
                                  <w:sz w:val="21"/>
                                </w:rPr>
                                <w:t xml:space="preserve"> </w:t>
                              </w:r>
                              <w:r>
                                <w:rPr>
                                  <w:color w:val="000000"/>
                                  <w:sz w:val="21"/>
                                </w:rPr>
                                <w:t>and</w:t>
                              </w:r>
                              <w:r>
                                <w:rPr>
                                  <w:color w:val="000000"/>
                                  <w:spacing w:val="-4"/>
                                  <w:sz w:val="21"/>
                                </w:rPr>
                                <w:t xml:space="preserve"> </w:t>
                              </w:r>
                              <w:r>
                                <w:rPr>
                                  <w:color w:val="000000"/>
                                  <w:sz w:val="21"/>
                                </w:rPr>
                                <w:t>accreditation</w:t>
                              </w:r>
                              <w:r>
                                <w:rPr>
                                  <w:color w:val="000000"/>
                                  <w:spacing w:val="-4"/>
                                  <w:sz w:val="21"/>
                                </w:rPr>
                                <w:t xml:space="preserve"> </w:t>
                              </w:r>
                              <w:r>
                                <w:rPr>
                                  <w:color w:val="000000"/>
                                  <w:sz w:val="21"/>
                                </w:rPr>
                                <w:t>drive</w:t>
                              </w:r>
                              <w:r>
                                <w:rPr>
                                  <w:color w:val="000000"/>
                                  <w:spacing w:val="-4"/>
                                  <w:sz w:val="21"/>
                                </w:rPr>
                                <w:t xml:space="preserve"> </w:t>
                              </w:r>
                              <w:r>
                                <w:rPr>
                                  <w:color w:val="000000"/>
                                  <w:sz w:val="21"/>
                                </w:rPr>
                                <w:t>better</w:t>
                              </w:r>
                              <w:r>
                                <w:rPr>
                                  <w:color w:val="000000"/>
                                  <w:spacing w:val="-4"/>
                                  <w:sz w:val="21"/>
                                </w:rPr>
                                <w:t xml:space="preserve"> </w:t>
                              </w:r>
                              <w:r>
                                <w:rPr>
                                  <w:color w:val="000000"/>
                                  <w:sz w:val="21"/>
                                </w:rPr>
                                <w:t>patient</w:t>
                              </w:r>
                              <w:r>
                                <w:rPr>
                                  <w:color w:val="000000"/>
                                  <w:spacing w:val="-4"/>
                                  <w:sz w:val="21"/>
                                </w:rPr>
                                <w:t xml:space="preserve"> </w:t>
                              </w:r>
                              <w:r>
                                <w:rPr>
                                  <w:color w:val="000000"/>
                                  <w:spacing w:val="-2"/>
                                  <w:sz w:val="21"/>
                                </w:rPr>
                                <w:t>outcomes.</w:t>
                              </w:r>
                            </w:p>
                          </w:txbxContent>
                        </wps:txbx>
                        <wps:bodyPr wrap="square" lIns="0" tIns="0" rIns="0" bIns="0" rtlCol="0">
                          <a:noAutofit/>
                        </wps:bodyPr>
                      </wps:wsp>
                    </wpg:wgp>
                  </a:graphicData>
                </a:graphic>
              </wp:anchor>
            </w:drawing>
          </mc:Choice>
          <mc:Fallback>
            <w:pict>
              <v:group w14:anchorId="639C9426" id="Group 22" o:spid="_x0000_s1033" style="position:absolute;margin-left:41.5pt;margin-top:134.3pt;width:512.25pt;height:89.7pt;z-index:-15726080;mso-wrap-distance-left:0;mso-wrap-distance-right:0;mso-position-horizontal-relative:page" coordsize="65055,1139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">
                <v:shape id="Graphic 23" o:spid="_x0000_s1034" style="position:absolute;left:127;top:127;width:64801;height:3352;visibility:visible;mso-wrap-style:square;v-text-anchor:top" coordsize="6480175,33528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" path="m,334937l,,6479997,r,334937e" filled="f" strokecolor="#a28fc4" strokeweight="2pt">
                  <v:path arrowok="t"/>
                </v:shape>
                <v:shape id="Graphic 24" o:spid="_x0000_s1035" style="position:absolute;left:127;top:2856;width:12;height:3416;visibility:visible;mso-wrap-style:square;v-text-anchor:top" coordsize="1270,34163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" path="m,341147l,e" filled="f" strokecolor="#a28fc4" strokeweight="2pt">
                  <v:path arrowok="t"/>
                </v:shape>
                <v:shape id="Graphic 25" o:spid="_x0000_s1036" style="position:absolute;left:64926;top:2856;width:13;height:3416;visibility:visible;mso-wrap-style:square;v-text-anchor:top" coordsize="1270,34163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" path="m,l,341147e" filled="f" strokecolor="#a28fc4" strokeweight="2pt">
                  <v:path arrowok="t"/>
                </v:shape>
                <v:shape id="Graphic 26" o:spid="_x0000_s1037" style="position:absolute;left:127;top:6074;width:64801;height:5194;visibility:visible;mso-wrap-style:square;v-text-anchor:top" coordsize="6480175,51943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" path="m6479997,r,518947l,518947,,e" filled="f" strokecolor="#a28fc4" strokeweight="2pt">
                  <v:path arrowok="t"/>
                </v:shape>
                <v:shape id="Textbox 27" o:spid="_x0000_s1038" type="#_x0000_t202" style="position:absolute;left:254;top:6074;width:64547;height:506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" fillcolor="#f3eff7" stroked="f">
                  <v:textbox inset="0,0,0,0">
                    <w:txbxContent>
                      <w:p w14:paraId="63475790" w14:textId="77777777" w:rsidR="009D54AF" w:rsidRDefault="00000000">
                        <w:pPr>
                          <w:spacing w:before="12" w:line="278" w:lineRule="auto"/>
                          <w:ind w:left="206"/>
                          <w:rPr>
                            <w:color w:val="000000"/>
                            <w:sz w:val="21"/>
                          </w:rPr>
                        </w:pPr>
                        <w:r>
                          <w:rPr>
                            <w:b/>
                            <w:color w:val="000000"/>
                            <w:sz w:val="21"/>
                          </w:rPr>
                          <w:t>Outcome:</w:t>
                        </w:r>
                        <w:r>
                          <w:rPr>
                            <w:b/>
                            <w:color w:val="000000"/>
                            <w:spacing w:val="-3"/>
                            <w:sz w:val="21"/>
                          </w:rPr>
                          <w:t xml:space="preserve"> </w:t>
                        </w:r>
                        <w:r>
                          <w:rPr>
                            <w:color w:val="000000"/>
                            <w:sz w:val="21"/>
                          </w:rPr>
                          <w:t>The</w:t>
                        </w:r>
                        <w:r>
                          <w:rPr>
                            <w:color w:val="000000"/>
                            <w:spacing w:val="-3"/>
                            <w:sz w:val="21"/>
                          </w:rPr>
                          <w:t xml:space="preserve"> </w:t>
                        </w:r>
                        <w:r>
                          <w:rPr>
                            <w:color w:val="000000"/>
                            <w:sz w:val="21"/>
                          </w:rPr>
                          <w:t>health</w:t>
                        </w:r>
                        <w:r>
                          <w:rPr>
                            <w:color w:val="000000"/>
                            <w:spacing w:val="-3"/>
                            <w:sz w:val="21"/>
                          </w:rPr>
                          <w:t xml:space="preserve"> </w:t>
                        </w:r>
                        <w:r>
                          <w:rPr>
                            <w:color w:val="000000"/>
                            <w:sz w:val="21"/>
                          </w:rPr>
                          <w:t>system</w:t>
                        </w:r>
                        <w:r>
                          <w:rPr>
                            <w:color w:val="000000"/>
                            <w:spacing w:val="-3"/>
                            <w:sz w:val="21"/>
                          </w:rPr>
                          <w:t xml:space="preserve"> </w:t>
                        </w:r>
                        <w:r>
                          <w:rPr>
                            <w:color w:val="000000"/>
                            <w:sz w:val="21"/>
                          </w:rPr>
                          <w:t>is</w:t>
                        </w:r>
                        <w:r>
                          <w:rPr>
                            <w:color w:val="000000"/>
                            <w:spacing w:val="-3"/>
                            <w:sz w:val="21"/>
                          </w:rPr>
                          <w:t xml:space="preserve"> </w:t>
                        </w:r>
                        <w:r>
                          <w:rPr>
                            <w:color w:val="000000"/>
                            <w:sz w:val="21"/>
                          </w:rPr>
                          <w:t>connected,</w:t>
                        </w:r>
                        <w:r>
                          <w:rPr>
                            <w:color w:val="000000"/>
                            <w:spacing w:val="-3"/>
                            <w:sz w:val="21"/>
                          </w:rPr>
                          <w:t xml:space="preserve"> </w:t>
                        </w:r>
                        <w:r>
                          <w:rPr>
                            <w:color w:val="000000"/>
                            <w:sz w:val="21"/>
                          </w:rPr>
                          <w:t>with</w:t>
                        </w:r>
                        <w:r>
                          <w:rPr>
                            <w:color w:val="000000"/>
                            <w:spacing w:val="-3"/>
                            <w:sz w:val="21"/>
                          </w:rPr>
                          <w:t xml:space="preserve"> </w:t>
                        </w:r>
                        <w:r>
                          <w:rPr>
                            <w:color w:val="000000"/>
                            <w:sz w:val="21"/>
                          </w:rPr>
                          <w:t>strong</w:t>
                        </w:r>
                        <w:r>
                          <w:rPr>
                            <w:color w:val="000000"/>
                            <w:spacing w:val="-3"/>
                            <w:sz w:val="21"/>
                          </w:rPr>
                          <w:t xml:space="preserve"> </w:t>
                        </w:r>
                        <w:r>
                          <w:rPr>
                            <w:color w:val="000000"/>
                            <w:sz w:val="21"/>
                          </w:rPr>
                          <w:t>leadership</w:t>
                        </w:r>
                        <w:r>
                          <w:rPr>
                            <w:color w:val="000000"/>
                            <w:spacing w:val="-3"/>
                            <w:sz w:val="21"/>
                          </w:rPr>
                          <w:t xml:space="preserve"> </w:t>
                        </w:r>
                        <w:r>
                          <w:rPr>
                            <w:color w:val="000000"/>
                            <w:sz w:val="21"/>
                          </w:rPr>
                          <w:t>and</w:t>
                        </w:r>
                        <w:r>
                          <w:rPr>
                            <w:color w:val="000000"/>
                            <w:spacing w:val="-3"/>
                            <w:sz w:val="21"/>
                          </w:rPr>
                          <w:t xml:space="preserve"> </w:t>
                        </w:r>
                        <w:r>
                          <w:rPr>
                            <w:color w:val="000000"/>
                            <w:sz w:val="21"/>
                          </w:rPr>
                          <w:t>governance,</w:t>
                        </w:r>
                        <w:r>
                          <w:rPr>
                            <w:color w:val="000000"/>
                            <w:spacing w:val="-3"/>
                            <w:sz w:val="21"/>
                          </w:rPr>
                          <w:t xml:space="preserve"> </w:t>
                        </w:r>
                        <w:r>
                          <w:rPr>
                            <w:color w:val="000000"/>
                            <w:sz w:val="21"/>
                          </w:rPr>
                          <w:t>and</w:t>
                        </w:r>
                        <w:r>
                          <w:rPr>
                            <w:color w:val="000000"/>
                            <w:spacing w:val="-3"/>
                            <w:sz w:val="21"/>
                          </w:rPr>
                          <w:t xml:space="preserve"> </w:t>
                        </w:r>
                        <w:r>
                          <w:rPr>
                            <w:color w:val="000000"/>
                            <w:sz w:val="21"/>
                          </w:rPr>
                          <w:t>is</w:t>
                        </w:r>
                        <w:r>
                          <w:rPr>
                            <w:color w:val="000000"/>
                            <w:spacing w:val="-3"/>
                            <w:sz w:val="21"/>
                          </w:rPr>
                          <w:t xml:space="preserve"> </w:t>
                        </w:r>
                        <w:r>
                          <w:rPr>
                            <w:color w:val="000000"/>
                            <w:sz w:val="21"/>
                          </w:rPr>
                          <w:t>increasingly shaped by data and evidence about outcomes.</w:t>
                        </w:r>
                      </w:p>
                    </w:txbxContent>
                  </v:textbox>
                </v:shape>
                <v:shape id="Textbox 28" o:spid="_x0000_s1039" type="#_x0000_t202" style="position:absolute;left:254;top:254;width:64547;height:56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" fillcolor="#f3eff7" stroked="f">
                  <v:textbox inset="0,0,0,0">
                    <w:txbxContent>
                      <w:p w14:paraId="1B3DC24C" w14:textId="77777777" w:rsidR="009D54AF" w:rsidRDefault="00000000">
                        <w:pPr>
                          <w:spacing w:before="95"/>
                          <w:ind w:left="206"/>
                          <w:rPr>
                            <w:b/>
                            <w:color w:val="000000"/>
                            <w:sz w:val="26"/>
                          </w:rPr>
                        </w:pPr>
                        <w:r>
                          <w:rPr>
                            <w:b/>
                            <w:color w:val="000000"/>
                            <w:sz w:val="26"/>
                          </w:rPr>
                          <w:t>Strong,</w:t>
                        </w:r>
                        <w:r>
                          <w:rPr>
                            <w:b/>
                            <w:color w:val="000000"/>
                            <w:spacing w:val="-2"/>
                            <w:sz w:val="26"/>
                          </w:rPr>
                          <w:t xml:space="preserve"> </w:t>
                        </w:r>
                        <w:r>
                          <w:rPr>
                            <w:b/>
                            <w:color w:val="000000"/>
                            <w:sz w:val="26"/>
                          </w:rPr>
                          <w:t>outcome-focused</w:t>
                        </w:r>
                        <w:r>
                          <w:rPr>
                            <w:b/>
                            <w:color w:val="000000"/>
                            <w:spacing w:val="-2"/>
                            <w:sz w:val="26"/>
                          </w:rPr>
                          <w:t xml:space="preserve"> </w:t>
                        </w:r>
                        <w:r>
                          <w:rPr>
                            <w:b/>
                            <w:color w:val="000000"/>
                            <w:sz w:val="26"/>
                          </w:rPr>
                          <w:t>clinical</w:t>
                        </w:r>
                        <w:r>
                          <w:rPr>
                            <w:b/>
                            <w:color w:val="000000"/>
                            <w:spacing w:val="-1"/>
                            <w:sz w:val="26"/>
                          </w:rPr>
                          <w:t xml:space="preserve"> </w:t>
                        </w:r>
                        <w:r>
                          <w:rPr>
                            <w:b/>
                            <w:color w:val="000000"/>
                            <w:spacing w:val="-2"/>
                            <w:sz w:val="26"/>
                          </w:rPr>
                          <w:t>governance</w:t>
                        </w:r>
                      </w:p>
                      <w:p w14:paraId="2B53A6E4" w14:textId="77777777" w:rsidR="009D54AF" w:rsidRDefault="00000000">
                        <w:pPr>
                          <w:spacing w:before="141"/>
                          <w:ind w:left="206"/>
                          <w:rPr>
                            <w:color w:val="000000"/>
                            <w:sz w:val="21"/>
                          </w:rPr>
                        </w:pPr>
                        <w:r>
                          <w:rPr>
                            <w:b/>
                            <w:color w:val="000000"/>
                            <w:sz w:val="21"/>
                          </w:rPr>
                          <w:t>Focus:</w:t>
                        </w:r>
                        <w:r>
                          <w:rPr>
                            <w:b/>
                            <w:color w:val="000000"/>
                            <w:spacing w:val="-6"/>
                            <w:sz w:val="21"/>
                          </w:rPr>
                          <w:t xml:space="preserve"> </w:t>
                        </w:r>
                        <w:r>
                          <w:rPr>
                            <w:color w:val="000000"/>
                            <w:sz w:val="21"/>
                          </w:rPr>
                          <w:t>Clinical</w:t>
                        </w:r>
                        <w:r>
                          <w:rPr>
                            <w:color w:val="000000"/>
                            <w:spacing w:val="-4"/>
                            <w:sz w:val="21"/>
                          </w:rPr>
                          <w:t xml:space="preserve"> </w:t>
                        </w:r>
                        <w:r>
                          <w:rPr>
                            <w:color w:val="000000"/>
                            <w:sz w:val="21"/>
                          </w:rPr>
                          <w:t>governance,</w:t>
                        </w:r>
                        <w:r>
                          <w:rPr>
                            <w:color w:val="000000"/>
                            <w:spacing w:val="-4"/>
                            <w:sz w:val="21"/>
                          </w:rPr>
                          <w:t xml:space="preserve"> </w:t>
                        </w:r>
                        <w:r>
                          <w:rPr>
                            <w:color w:val="000000"/>
                            <w:sz w:val="21"/>
                          </w:rPr>
                          <w:t>integrated</w:t>
                        </w:r>
                        <w:r>
                          <w:rPr>
                            <w:color w:val="000000"/>
                            <w:spacing w:val="-4"/>
                            <w:sz w:val="21"/>
                          </w:rPr>
                          <w:t xml:space="preserve"> </w:t>
                        </w:r>
                        <w:r>
                          <w:rPr>
                            <w:color w:val="000000"/>
                            <w:sz w:val="21"/>
                          </w:rPr>
                          <w:t>standards</w:t>
                        </w:r>
                        <w:r>
                          <w:rPr>
                            <w:color w:val="000000"/>
                            <w:spacing w:val="-4"/>
                            <w:sz w:val="21"/>
                          </w:rPr>
                          <w:t xml:space="preserve"> </w:t>
                        </w:r>
                        <w:r>
                          <w:rPr>
                            <w:color w:val="000000"/>
                            <w:sz w:val="21"/>
                          </w:rPr>
                          <w:t>and</w:t>
                        </w:r>
                        <w:r>
                          <w:rPr>
                            <w:color w:val="000000"/>
                            <w:spacing w:val="-4"/>
                            <w:sz w:val="21"/>
                          </w:rPr>
                          <w:t xml:space="preserve"> </w:t>
                        </w:r>
                        <w:r>
                          <w:rPr>
                            <w:color w:val="000000"/>
                            <w:sz w:val="21"/>
                          </w:rPr>
                          <w:t>accreditation</w:t>
                        </w:r>
                        <w:r>
                          <w:rPr>
                            <w:color w:val="000000"/>
                            <w:spacing w:val="-4"/>
                            <w:sz w:val="21"/>
                          </w:rPr>
                          <w:t xml:space="preserve"> </w:t>
                        </w:r>
                        <w:r>
                          <w:rPr>
                            <w:color w:val="000000"/>
                            <w:sz w:val="21"/>
                          </w:rPr>
                          <w:t>drive</w:t>
                        </w:r>
                        <w:r>
                          <w:rPr>
                            <w:color w:val="000000"/>
                            <w:spacing w:val="-4"/>
                            <w:sz w:val="21"/>
                          </w:rPr>
                          <w:t xml:space="preserve"> </w:t>
                        </w:r>
                        <w:r>
                          <w:rPr>
                            <w:color w:val="000000"/>
                            <w:sz w:val="21"/>
                          </w:rPr>
                          <w:t>better</w:t>
                        </w:r>
                        <w:r>
                          <w:rPr>
                            <w:color w:val="000000"/>
                            <w:spacing w:val="-4"/>
                            <w:sz w:val="21"/>
                          </w:rPr>
                          <w:t xml:space="preserve"> </w:t>
                        </w:r>
                        <w:r>
                          <w:rPr>
                            <w:color w:val="000000"/>
                            <w:sz w:val="21"/>
                          </w:rPr>
                          <w:t>patient</w:t>
                        </w:r>
                        <w:r>
                          <w:rPr>
                            <w:color w:val="000000"/>
                            <w:spacing w:val="-4"/>
                            <w:sz w:val="21"/>
                          </w:rPr>
                          <w:t xml:space="preserve"> </w:t>
                        </w:r>
                        <w:r>
                          <w:rPr>
                            <w:color w:val="000000"/>
                            <w:spacing w:val="-2"/>
                            <w:sz w:val="21"/>
                          </w:rPr>
                          <w:t>outcomes.</w:t>
                        </w:r>
                      </w:p>
                    </w:txbxContent>
                  </v:textbox>
                </v:shape>
                <w10:wrap type="topAndBottom" anchorx="page"/>
              </v:group>
            </w:pict>
          </mc:Fallback>
        </mc:AlternateContent>
      </w:r>
      <w:r>
        <w:rPr>
          <w:noProof/>
          <w:sz w:val="20"/>
        </w:rPr>
        <mc:AlternateContent>
          <mc:Choice Requires="wpg">
            <w:drawing>
              <wp:anchor distT="0" distB="0" distL="0" distR="0" simplePos="0" relativeHeight="487590912" behindDoc="1" locked="0" layoutInCell="1" allowOverlap="1" wp14:anchorId="6D7BB5D1" wp14:editId="3DFB06FD">
                <wp:simplePos x="0" y="0"/>
                <wp:positionH relativeFrom="page">
                  <wp:posOffset>527300</wp:posOffset>
                </wp:positionH>
                <wp:positionV relativeFrom="paragraph">
                  <wp:posOffset>3054374</wp:posOffset>
                </wp:positionV>
                <wp:extent cx="6505575" cy="1316990"/>
                <wp:effectExtent l="0" t="0" r="0" b="0"/>
                <wp:wrapTopAndBottom/>
                <wp:docPr id="29"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05575" cy="1316990"/>
                          <a:chOff x="0" y="0"/>
                          <a:chExt cx="6505575" cy="1316990"/>
                        </a:xfrm>
                      </wpg:grpSpPr>
                      <wps:wsp>
                        <wps:cNvPr id="30" name="Graphic 30"/>
                        <wps:cNvSpPr/>
                        <wps:spPr>
                          <a:xfrm>
                            <a:off x="12700" y="12700"/>
                            <a:ext cx="6480175" cy="335280"/>
                          </a:xfrm>
                          <a:custGeom>
                            <a:avLst/>
                            <a:gdLst/>
                            <a:ahLst/>
                            <a:cxnLst/>
                            <a:rect l="l" t="t" r="r" b="b"/>
                            <a:pathLst>
                              <a:path w="6480175" h="335280">
                                <a:moveTo>
                                  <a:pt x="0" y="334937"/>
                                </a:moveTo>
                                <a:lnTo>
                                  <a:pt x="0" y="0"/>
                                </a:lnTo>
                                <a:lnTo>
                                  <a:pt x="6479997" y="0"/>
                                </a:lnTo>
                                <a:lnTo>
                                  <a:pt x="6479997" y="334937"/>
                                </a:lnTo>
                              </a:path>
                            </a:pathLst>
                          </a:custGeom>
                          <a:ln w="25400">
                            <a:solidFill>
                              <a:srgbClr val="A28FC4"/>
                            </a:solidFill>
                            <a:prstDash val="solid"/>
                          </a:ln>
                        </wps:spPr>
                        <wps:bodyPr wrap="square" lIns="0" tIns="0" rIns="0" bIns="0" rtlCol="0">
                          <a:prstTxWarp prst="textNoShape">
                            <a:avLst/>
                          </a:prstTxWarp>
                          <a:noAutofit/>
                        </wps:bodyPr>
                      </wps:wsp>
                      <wps:wsp>
                        <wps:cNvPr id="31" name="Graphic 31"/>
                        <wps:cNvSpPr/>
                        <wps:spPr>
                          <a:xfrm>
                            <a:off x="12700" y="285607"/>
                            <a:ext cx="1270" cy="341630"/>
                          </a:xfrm>
                          <a:custGeom>
                            <a:avLst/>
                            <a:gdLst/>
                            <a:ahLst/>
                            <a:cxnLst/>
                            <a:rect l="l" t="t" r="r" b="b"/>
                            <a:pathLst>
                              <a:path h="341630">
                                <a:moveTo>
                                  <a:pt x="0" y="341147"/>
                                </a:moveTo>
                                <a:lnTo>
                                  <a:pt x="0" y="0"/>
                                </a:lnTo>
                              </a:path>
                            </a:pathLst>
                          </a:custGeom>
                          <a:ln w="25400">
                            <a:solidFill>
                              <a:srgbClr val="A28FC4"/>
                            </a:solidFill>
                            <a:prstDash val="solid"/>
                          </a:ln>
                        </wps:spPr>
                        <wps:bodyPr wrap="square" lIns="0" tIns="0" rIns="0" bIns="0" rtlCol="0">
                          <a:prstTxWarp prst="textNoShape">
                            <a:avLst/>
                          </a:prstTxWarp>
                          <a:noAutofit/>
                        </wps:bodyPr>
                      </wps:wsp>
                      <wps:wsp>
                        <wps:cNvPr id="32" name="Graphic 32"/>
                        <wps:cNvSpPr/>
                        <wps:spPr>
                          <a:xfrm>
                            <a:off x="6492699" y="285609"/>
                            <a:ext cx="1270" cy="341630"/>
                          </a:xfrm>
                          <a:custGeom>
                            <a:avLst/>
                            <a:gdLst/>
                            <a:ahLst/>
                            <a:cxnLst/>
                            <a:rect l="l" t="t" r="r" b="b"/>
                            <a:pathLst>
                              <a:path h="341630">
                                <a:moveTo>
                                  <a:pt x="0" y="0"/>
                                </a:moveTo>
                                <a:lnTo>
                                  <a:pt x="0" y="341147"/>
                                </a:lnTo>
                              </a:path>
                            </a:pathLst>
                          </a:custGeom>
                          <a:ln w="25400">
                            <a:solidFill>
                              <a:srgbClr val="A28FC4"/>
                            </a:solidFill>
                            <a:prstDash val="solid"/>
                          </a:ln>
                        </wps:spPr>
                        <wps:bodyPr wrap="square" lIns="0" tIns="0" rIns="0" bIns="0" rtlCol="0">
                          <a:prstTxWarp prst="textNoShape">
                            <a:avLst/>
                          </a:prstTxWarp>
                          <a:noAutofit/>
                        </wps:bodyPr>
                      </wps:wsp>
                      <wps:wsp>
                        <wps:cNvPr id="33" name="Graphic 33"/>
                        <wps:cNvSpPr/>
                        <wps:spPr>
                          <a:xfrm>
                            <a:off x="12702" y="607409"/>
                            <a:ext cx="6480175" cy="697230"/>
                          </a:xfrm>
                          <a:custGeom>
                            <a:avLst/>
                            <a:gdLst/>
                            <a:ahLst/>
                            <a:cxnLst/>
                            <a:rect l="l" t="t" r="r" b="b"/>
                            <a:pathLst>
                              <a:path w="6480175" h="697230">
                                <a:moveTo>
                                  <a:pt x="6479997" y="0"/>
                                </a:moveTo>
                                <a:lnTo>
                                  <a:pt x="6479997" y="696747"/>
                                </a:lnTo>
                                <a:lnTo>
                                  <a:pt x="0" y="696747"/>
                                </a:lnTo>
                                <a:lnTo>
                                  <a:pt x="0" y="0"/>
                                </a:lnTo>
                              </a:path>
                            </a:pathLst>
                          </a:custGeom>
                          <a:ln w="25400">
                            <a:solidFill>
                              <a:srgbClr val="A28FC4"/>
                            </a:solidFill>
                            <a:prstDash val="solid"/>
                          </a:ln>
                        </wps:spPr>
                        <wps:bodyPr wrap="square" lIns="0" tIns="0" rIns="0" bIns="0" rtlCol="0">
                          <a:prstTxWarp prst="textNoShape">
                            <a:avLst/>
                          </a:prstTxWarp>
                          <a:noAutofit/>
                        </wps:bodyPr>
                      </wps:wsp>
                      <wps:wsp>
                        <wps:cNvPr id="34" name="Textbox 34"/>
                        <wps:cNvSpPr txBox="1"/>
                        <wps:spPr>
                          <a:xfrm>
                            <a:off x="25401" y="607411"/>
                            <a:ext cx="6454775" cy="684530"/>
                          </a:xfrm>
                          <a:prstGeom prst="rect">
                            <a:avLst/>
                          </a:prstGeom>
                          <a:solidFill>
                            <a:srgbClr val="F3EFF7"/>
                          </a:solidFill>
                        </wps:spPr>
                        <wps:txbx>
                          <w:txbxContent>
                            <w:p w14:paraId="14031355" w14:textId="77777777" w:rsidR="009D54AF" w:rsidRDefault="00000000">
                              <w:pPr>
                                <w:spacing w:before="12" w:line="278" w:lineRule="auto"/>
                                <w:ind w:left="206"/>
                                <w:rPr>
                                  <w:color w:val="000000"/>
                                  <w:sz w:val="21"/>
                                </w:rPr>
                              </w:pPr>
                              <w:r>
                                <w:rPr>
                                  <w:b/>
                                  <w:color w:val="000000"/>
                                  <w:sz w:val="21"/>
                                </w:rPr>
                                <w:t>Outcome:</w:t>
                              </w:r>
                              <w:r>
                                <w:rPr>
                                  <w:b/>
                                  <w:color w:val="000000"/>
                                  <w:spacing w:val="-3"/>
                                  <w:sz w:val="21"/>
                                </w:rPr>
                                <w:t xml:space="preserve"> </w:t>
                              </w:r>
                              <w:r>
                                <w:rPr>
                                  <w:color w:val="000000"/>
                                  <w:sz w:val="21"/>
                                </w:rPr>
                                <w:t>Patients</w:t>
                              </w:r>
                              <w:r>
                                <w:rPr>
                                  <w:color w:val="000000"/>
                                  <w:spacing w:val="-3"/>
                                  <w:sz w:val="21"/>
                                </w:rPr>
                                <w:t xml:space="preserve"> </w:t>
                              </w:r>
                              <w:r>
                                <w:rPr>
                                  <w:color w:val="000000"/>
                                  <w:sz w:val="21"/>
                                </w:rPr>
                                <w:t>are</w:t>
                              </w:r>
                              <w:r>
                                <w:rPr>
                                  <w:color w:val="000000"/>
                                  <w:spacing w:val="-3"/>
                                  <w:sz w:val="21"/>
                                </w:rPr>
                                <w:t xml:space="preserve"> </w:t>
                              </w:r>
                              <w:r>
                                <w:rPr>
                                  <w:color w:val="000000"/>
                                  <w:sz w:val="21"/>
                                </w:rPr>
                                <w:t>informed</w:t>
                              </w:r>
                              <w:r>
                                <w:rPr>
                                  <w:color w:val="000000"/>
                                  <w:spacing w:val="-3"/>
                                  <w:sz w:val="21"/>
                                </w:rPr>
                                <w:t xml:space="preserve"> </w:t>
                              </w:r>
                              <w:r>
                                <w:rPr>
                                  <w:color w:val="000000"/>
                                  <w:sz w:val="21"/>
                                </w:rPr>
                                <w:t>and</w:t>
                              </w:r>
                              <w:r>
                                <w:rPr>
                                  <w:color w:val="000000"/>
                                  <w:spacing w:val="-3"/>
                                  <w:sz w:val="21"/>
                                </w:rPr>
                                <w:t xml:space="preserve"> </w:t>
                              </w:r>
                              <w:r>
                                <w:rPr>
                                  <w:color w:val="000000"/>
                                  <w:sz w:val="21"/>
                                </w:rPr>
                                <w:t>empowered</w:t>
                              </w:r>
                              <w:r>
                                <w:rPr>
                                  <w:color w:val="000000"/>
                                  <w:spacing w:val="-3"/>
                                  <w:sz w:val="21"/>
                                </w:rPr>
                                <w:t xml:space="preserve"> </w:t>
                              </w:r>
                              <w:r>
                                <w:rPr>
                                  <w:color w:val="000000"/>
                                  <w:sz w:val="21"/>
                                </w:rPr>
                                <w:t>to</w:t>
                              </w:r>
                              <w:r>
                                <w:rPr>
                                  <w:color w:val="000000"/>
                                  <w:spacing w:val="-3"/>
                                  <w:sz w:val="21"/>
                                </w:rPr>
                                <w:t xml:space="preserve"> </w:t>
                              </w:r>
                              <w:r>
                                <w:rPr>
                                  <w:color w:val="000000"/>
                                  <w:sz w:val="21"/>
                                </w:rPr>
                                <w:t>shape</w:t>
                              </w:r>
                              <w:r>
                                <w:rPr>
                                  <w:color w:val="000000"/>
                                  <w:spacing w:val="-3"/>
                                  <w:sz w:val="21"/>
                                </w:rPr>
                                <w:t xml:space="preserve"> </w:t>
                              </w:r>
                              <w:r>
                                <w:rPr>
                                  <w:color w:val="000000"/>
                                  <w:sz w:val="21"/>
                                </w:rPr>
                                <w:t>their</w:t>
                              </w:r>
                              <w:r>
                                <w:rPr>
                                  <w:color w:val="000000"/>
                                  <w:spacing w:val="-3"/>
                                  <w:sz w:val="21"/>
                                </w:rPr>
                                <w:t xml:space="preserve"> </w:t>
                              </w:r>
                              <w:r>
                                <w:rPr>
                                  <w:color w:val="000000"/>
                                  <w:sz w:val="21"/>
                                </w:rPr>
                                <w:t>care.</w:t>
                              </w:r>
                              <w:r>
                                <w:rPr>
                                  <w:color w:val="000000"/>
                                  <w:spacing w:val="-3"/>
                                  <w:sz w:val="21"/>
                                </w:rPr>
                                <w:t xml:space="preserve"> </w:t>
                              </w:r>
                              <w:r>
                                <w:rPr>
                                  <w:color w:val="000000"/>
                                  <w:sz w:val="21"/>
                                </w:rPr>
                                <w:t>All</w:t>
                              </w:r>
                              <w:r>
                                <w:rPr>
                                  <w:color w:val="000000"/>
                                  <w:spacing w:val="-3"/>
                                  <w:sz w:val="21"/>
                                </w:rPr>
                                <w:t xml:space="preserve"> </w:t>
                              </w:r>
                              <w:proofErr w:type="spellStart"/>
                              <w:r>
                                <w:rPr>
                                  <w:color w:val="000000"/>
                                  <w:sz w:val="21"/>
                                </w:rPr>
                                <w:t>organisations</w:t>
                              </w:r>
                              <w:proofErr w:type="spellEnd"/>
                              <w:r>
                                <w:rPr>
                                  <w:color w:val="000000"/>
                                  <w:spacing w:val="-3"/>
                                  <w:sz w:val="21"/>
                                </w:rPr>
                                <w:t xml:space="preserve"> </w:t>
                              </w:r>
                              <w:r>
                                <w:rPr>
                                  <w:color w:val="000000"/>
                                  <w:sz w:val="21"/>
                                </w:rPr>
                                <w:t>have</w:t>
                              </w:r>
                              <w:r>
                                <w:rPr>
                                  <w:color w:val="000000"/>
                                  <w:spacing w:val="-3"/>
                                  <w:sz w:val="21"/>
                                </w:rPr>
                                <w:t xml:space="preserve"> </w:t>
                              </w:r>
                              <w:r>
                                <w:rPr>
                                  <w:color w:val="000000"/>
                                  <w:sz w:val="21"/>
                                </w:rPr>
                                <w:t>the</w:t>
                              </w:r>
                              <w:r>
                                <w:rPr>
                                  <w:color w:val="000000"/>
                                  <w:spacing w:val="-3"/>
                                  <w:sz w:val="21"/>
                                </w:rPr>
                                <w:t xml:space="preserve"> </w:t>
                              </w:r>
                              <w:r>
                                <w:rPr>
                                  <w:color w:val="000000"/>
                                  <w:sz w:val="21"/>
                                </w:rPr>
                                <w:t>systems and governance in place to integrate the patient, carer, consumer and community voice, at every level of healthcare design and delivery.</w:t>
                              </w:r>
                            </w:p>
                          </w:txbxContent>
                        </wps:txbx>
                        <wps:bodyPr wrap="square" lIns="0" tIns="0" rIns="0" bIns="0" rtlCol="0">
                          <a:noAutofit/>
                        </wps:bodyPr>
                      </wps:wsp>
                      <wps:wsp>
                        <wps:cNvPr id="35" name="Textbox 35"/>
                        <wps:cNvSpPr txBox="1"/>
                        <wps:spPr>
                          <a:xfrm>
                            <a:off x="25401" y="25400"/>
                            <a:ext cx="6454775" cy="565785"/>
                          </a:xfrm>
                          <a:prstGeom prst="rect">
                            <a:avLst/>
                          </a:prstGeom>
                          <a:solidFill>
                            <a:srgbClr val="F3EFF7"/>
                          </a:solidFill>
                        </wps:spPr>
                        <wps:txbx>
                          <w:txbxContent>
                            <w:p w14:paraId="65826C09" w14:textId="77777777" w:rsidR="009D54AF" w:rsidRDefault="00000000">
                              <w:pPr>
                                <w:spacing w:before="95"/>
                                <w:ind w:left="206"/>
                                <w:rPr>
                                  <w:b/>
                                  <w:color w:val="000000"/>
                                  <w:sz w:val="26"/>
                                </w:rPr>
                              </w:pPr>
                              <w:r>
                                <w:rPr>
                                  <w:b/>
                                  <w:color w:val="000000"/>
                                  <w:sz w:val="26"/>
                                </w:rPr>
                                <w:t>Empowered</w:t>
                              </w:r>
                              <w:r>
                                <w:rPr>
                                  <w:b/>
                                  <w:color w:val="000000"/>
                                  <w:spacing w:val="-1"/>
                                  <w:sz w:val="26"/>
                                </w:rPr>
                                <w:t xml:space="preserve"> </w:t>
                              </w:r>
                              <w:r>
                                <w:rPr>
                                  <w:b/>
                                  <w:color w:val="000000"/>
                                  <w:sz w:val="26"/>
                                </w:rPr>
                                <w:t>patients,</w:t>
                              </w:r>
                              <w:r>
                                <w:rPr>
                                  <w:b/>
                                  <w:color w:val="000000"/>
                                  <w:spacing w:val="-1"/>
                                  <w:sz w:val="26"/>
                                </w:rPr>
                                <w:t xml:space="preserve"> </w:t>
                              </w:r>
                              <w:r>
                                <w:rPr>
                                  <w:b/>
                                  <w:color w:val="000000"/>
                                  <w:sz w:val="26"/>
                                </w:rPr>
                                <w:t>carers</w:t>
                              </w:r>
                              <w:r>
                                <w:rPr>
                                  <w:b/>
                                  <w:color w:val="000000"/>
                                  <w:spacing w:val="-1"/>
                                  <w:sz w:val="26"/>
                                </w:rPr>
                                <w:t xml:space="preserve"> </w:t>
                              </w:r>
                              <w:r>
                                <w:rPr>
                                  <w:b/>
                                  <w:color w:val="000000"/>
                                  <w:sz w:val="26"/>
                                </w:rPr>
                                <w:t>and</w:t>
                              </w:r>
                              <w:r>
                                <w:rPr>
                                  <w:b/>
                                  <w:color w:val="000000"/>
                                  <w:spacing w:val="-1"/>
                                  <w:sz w:val="26"/>
                                </w:rPr>
                                <w:t xml:space="preserve"> </w:t>
                              </w:r>
                              <w:r>
                                <w:rPr>
                                  <w:b/>
                                  <w:color w:val="000000"/>
                                  <w:spacing w:val="-2"/>
                                  <w:sz w:val="26"/>
                                </w:rPr>
                                <w:t>communities</w:t>
                              </w:r>
                            </w:p>
                            <w:p w14:paraId="57777C25" w14:textId="77777777" w:rsidR="009D54AF" w:rsidRDefault="00000000">
                              <w:pPr>
                                <w:spacing w:before="141"/>
                                <w:ind w:left="206"/>
                                <w:rPr>
                                  <w:color w:val="000000"/>
                                  <w:sz w:val="21"/>
                                </w:rPr>
                              </w:pPr>
                              <w:r>
                                <w:rPr>
                                  <w:b/>
                                  <w:color w:val="000000"/>
                                  <w:sz w:val="21"/>
                                </w:rPr>
                                <w:t>Focus:</w:t>
                              </w:r>
                              <w:r>
                                <w:rPr>
                                  <w:b/>
                                  <w:color w:val="000000"/>
                                  <w:spacing w:val="-5"/>
                                  <w:sz w:val="21"/>
                                </w:rPr>
                                <w:t xml:space="preserve"> </w:t>
                              </w:r>
                              <w:r>
                                <w:rPr>
                                  <w:color w:val="000000"/>
                                  <w:sz w:val="21"/>
                                </w:rPr>
                                <w:t>Health</w:t>
                              </w:r>
                              <w:r>
                                <w:rPr>
                                  <w:color w:val="000000"/>
                                  <w:spacing w:val="-3"/>
                                  <w:sz w:val="21"/>
                                </w:rPr>
                                <w:t xml:space="preserve"> </w:t>
                              </w:r>
                              <w:r>
                                <w:rPr>
                                  <w:color w:val="000000"/>
                                  <w:sz w:val="21"/>
                                </w:rPr>
                                <w:t>care</w:t>
                              </w:r>
                              <w:r>
                                <w:rPr>
                                  <w:color w:val="000000"/>
                                  <w:spacing w:val="-2"/>
                                  <w:sz w:val="21"/>
                                </w:rPr>
                                <w:t xml:space="preserve"> </w:t>
                              </w:r>
                              <w:r>
                                <w:rPr>
                                  <w:color w:val="000000"/>
                                  <w:sz w:val="21"/>
                                </w:rPr>
                                <w:t>is</w:t>
                              </w:r>
                              <w:r>
                                <w:rPr>
                                  <w:color w:val="000000"/>
                                  <w:spacing w:val="-3"/>
                                  <w:sz w:val="21"/>
                                </w:rPr>
                                <w:t xml:space="preserve"> </w:t>
                              </w:r>
                              <w:r>
                                <w:rPr>
                                  <w:color w:val="000000"/>
                                  <w:sz w:val="21"/>
                                </w:rPr>
                                <w:t>designed</w:t>
                              </w:r>
                              <w:r>
                                <w:rPr>
                                  <w:color w:val="000000"/>
                                  <w:spacing w:val="-2"/>
                                  <w:sz w:val="21"/>
                                </w:rPr>
                                <w:t xml:space="preserve"> </w:t>
                              </w:r>
                              <w:r>
                                <w:rPr>
                                  <w:color w:val="000000"/>
                                  <w:sz w:val="21"/>
                                </w:rPr>
                                <w:t>and</w:t>
                              </w:r>
                              <w:r>
                                <w:rPr>
                                  <w:color w:val="000000"/>
                                  <w:spacing w:val="-3"/>
                                  <w:sz w:val="21"/>
                                </w:rPr>
                                <w:t xml:space="preserve"> </w:t>
                              </w:r>
                              <w:r>
                                <w:rPr>
                                  <w:color w:val="000000"/>
                                  <w:sz w:val="21"/>
                                </w:rPr>
                                <w:t>delivered</w:t>
                              </w:r>
                              <w:r>
                                <w:rPr>
                                  <w:color w:val="000000"/>
                                  <w:spacing w:val="-3"/>
                                  <w:sz w:val="21"/>
                                </w:rPr>
                                <w:t xml:space="preserve"> </w:t>
                              </w:r>
                              <w:r>
                                <w:rPr>
                                  <w:color w:val="000000"/>
                                  <w:sz w:val="21"/>
                                </w:rPr>
                                <w:t>with</w:t>
                              </w:r>
                              <w:r>
                                <w:rPr>
                                  <w:color w:val="000000"/>
                                  <w:spacing w:val="-2"/>
                                  <w:sz w:val="21"/>
                                </w:rPr>
                                <w:t xml:space="preserve"> </w:t>
                              </w:r>
                              <w:r>
                                <w:rPr>
                                  <w:color w:val="000000"/>
                                  <w:sz w:val="21"/>
                                </w:rPr>
                                <w:t>patients</w:t>
                              </w:r>
                              <w:r>
                                <w:rPr>
                                  <w:color w:val="000000"/>
                                  <w:spacing w:val="-3"/>
                                  <w:sz w:val="21"/>
                                </w:rPr>
                                <w:t xml:space="preserve"> </w:t>
                              </w:r>
                              <w:r>
                                <w:rPr>
                                  <w:color w:val="000000"/>
                                  <w:sz w:val="21"/>
                                </w:rPr>
                                <w:t>and</w:t>
                              </w:r>
                              <w:r>
                                <w:rPr>
                                  <w:color w:val="000000"/>
                                  <w:spacing w:val="-2"/>
                                  <w:sz w:val="21"/>
                                </w:rPr>
                                <w:t xml:space="preserve"> communities.</w:t>
                              </w:r>
                            </w:p>
                          </w:txbxContent>
                        </wps:txbx>
                        <wps:bodyPr wrap="square" lIns="0" tIns="0" rIns="0" bIns="0" rtlCol="0">
                          <a:noAutofit/>
                        </wps:bodyPr>
                      </wps:wsp>
                    </wpg:wgp>
                  </a:graphicData>
                </a:graphic>
              </wp:anchor>
            </w:drawing>
          </mc:Choice>
          <mc:Fallback>
            <w:pict>
              <v:group w14:anchorId="6D7BB5D1" id="Group 29" o:spid="_x0000_s1040" style="position:absolute;margin-left:41.5pt;margin-top:240.5pt;width:512.25pt;height:103.7pt;z-index:-15725568;mso-wrap-distance-left:0;mso-wrap-distance-right:0;mso-position-horizontal-relative:page" coordsize="65055,1316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">
                <v:shape id="Graphic 30" o:spid="_x0000_s1041" style="position:absolute;left:127;top:127;width:64801;height:3352;visibility:visible;mso-wrap-style:square;v-text-anchor:top" coordsize="6480175,33528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" path="m,334937l,,6479997,r,334937e" filled="f" strokecolor="#a28fc4" strokeweight="2pt">
                  <v:path arrowok="t"/>
                </v:shape>
                <v:shape id="Graphic 31" o:spid="_x0000_s1042" style="position:absolute;left:127;top:2856;width:12;height:3416;visibility:visible;mso-wrap-style:square;v-text-anchor:top" coordsize="1270,34163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" path="m,341147l,e" filled="f" strokecolor="#a28fc4" strokeweight="2pt">
                  <v:path arrowok="t"/>
                </v:shape>
                <v:shape id="Graphic 32" o:spid="_x0000_s1043" style="position:absolute;left:64926;top:2856;width:13;height:3416;visibility:visible;mso-wrap-style:square;v-text-anchor:top" coordsize="1270,34163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" path="m,l,341147e" filled="f" strokecolor="#a28fc4" strokeweight="2pt">
                  <v:path arrowok="t"/>
                </v:shape>
                <v:shape id="Graphic 33" o:spid="_x0000_s1044" style="position:absolute;left:127;top:6074;width:64801;height:6972;visibility:visible;mso-wrap-style:square;v-text-anchor:top" coordsize="6480175,69723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" path="m6479997,r,696747l,696747,,e" filled="f" strokecolor="#a28fc4" strokeweight="2pt">
                  <v:path arrowok="t"/>
                </v:shape>
                <v:shape id="Textbox 34" o:spid="_x0000_s1045" type="#_x0000_t202" style="position:absolute;left:254;top:6074;width:64547;height:684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" fillcolor="#f3eff7" stroked="f">
                  <v:textbox inset="0,0,0,0">
                    <w:txbxContent>
                      <w:p w14:paraId="14031355" w14:textId="77777777" w:rsidR="009D54AF" w:rsidRDefault="00000000">
                        <w:pPr>
                          <w:spacing w:before="12" w:line="278" w:lineRule="auto"/>
                          <w:ind w:left="206"/>
                          <w:rPr>
                            <w:color w:val="000000"/>
                            <w:sz w:val="21"/>
                          </w:rPr>
                        </w:pPr>
                        <w:r>
                          <w:rPr>
                            <w:b/>
                            <w:color w:val="000000"/>
                            <w:sz w:val="21"/>
                          </w:rPr>
                          <w:t>Outcome:</w:t>
                        </w:r>
                        <w:r>
                          <w:rPr>
                            <w:b/>
                            <w:color w:val="000000"/>
                            <w:spacing w:val="-3"/>
                            <w:sz w:val="21"/>
                          </w:rPr>
                          <w:t xml:space="preserve"> </w:t>
                        </w:r>
                        <w:r>
                          <w:rPr>
                            <w:color w:val="000000"/>
                            <w:sz w:val="21"/>
                          </w:rPr>
                          <w:t>Patients</w:t>
                        </w:r>
                        <w:r>
                          <w:rPr>
                            <w:color w:val="000000"/>
                            <w:spacing w:val="-3"/>
                            <w:sz w:val="21"/>
                          </w:rPr>
                          <w:t xml:space="preserve"> </w:t>
                        </w:r>
                        <w:r>
                          <w:rPr>
                            <w:color w:val="000000"/>
                            <w:sz w:val="21"/>
                          </w:rPr>
                          <w:t>are</w:t>
                        </w:r>
                        <w:r>
                          <w:rPr>
                            <w:color w:val="000000"/>
                            <w:spacing w:val="-3"/>
                            <w:sz w:val="21"/>
                          </w:rPr>
                          <w:t xml:space="preserve"> </w:t>
                        </w:r>
                        <w:r>
                          <w:rPr>
                            <w:color w:val="000000"/>
                            <w:sz w:val="21"/>
                          </w:rPr>
                          <w:t>informed</w:t>
                        </w:r>
                        <w:r>
                          <w:rPr>
                            <w:color w:val="000000"/>
                            <w:spacing w:val="-3"/>
                            <w:sz w:val="21"/>
                          </w:rPr>
                          <w:t xml:space="preserve"> </w:t>
                        </w:r>
                        <w:r>
                          <w:rPr>
                            <w:color w:val="000000"/>
                            <w:sz w:val="21"/>
                          </w:rPr>
                          <w:t>and</w:t>
                        </w:r>
                        <w:r>
                          <w:rPr>
                            <w:color w:val="000000"/>
                            <w:spacing w:val="-3"/>
                            <w:sz w:val="21"/>
                          </w:rPr>
                          <w:t xml:space="preserve"> </w:t>
                        </w:r>
                        <w:r>
                          <w:rPr>
                            <w:color w:val="000000"/>
                            <w:sz w:val="21"/>
                          </w:rPr>
                          <w:t>empowered</w:t>
                        </w:r>
                        <w:r>
                          <w:rPr>
                            <w:color w:val="000000"/>
                            <w:spacing w:val="-3"/>
                            <w:sz w:val="21"/>
                          </w:rPr>
                          <w:t xml:space="preserve"> </w:t>
                        </w:r>
                        <w:r>
                          <w:rPr>
                            <w:color w:val="000000"/>
                            <w:sz w:val="21"/>
                          </w:rPr>
                          <w:t>to</w:t>
                        </w:r>
                        <w:r>
                          <w:rPr>
                            <w:color w:val="000000"/>
                            <w:spacing w:val="-3"/>
                            <w:sz w:val="21"/>
                          </w:rPr>
                          <w:t xml:space="preserve"> </w:t>
                        </w:r>
                        <w:r>
                          <w:rPr>
                            <w:color w:val="000000"/>
                            <w:sz w:val="21"/>
                          </w:rPr>
                          <w:t>shape</w:t>
                        </w:r>
                        <w:r>
                          <w:rPr>
                            <w:color w:val="000000"/>
                            <w:spacing w:val="-3"/>
                            <w:sz w:val="21"/>
                          </w:rPr>
                          <w:t xml:space="preserve"> </w:t>
                        </w:r>
                        <w:r>
                          <w:rPr>
                            <w:color w:val="000000"/>
                            <w:sz w:val="21"/>
                          </w:rPr>
                          <w:t>their</w:t>
                        </w:r>
                        <w:r>
                          <w:rPr>
                            <w:color w:val="000000"/>
                            <w:spacing w:val="-3"/>
                            <w:sz w:val="21"/>
                          </w:rPr>
                          <w:t xml:space="preserve"> </w:t>
                        </w:r>
                        <w:r>
                          <w:rPr>
                            <w:color w:val="000000"/>
                            <w:sz w:val="21"/>
                          </w:rPr>
                          <w:t>care.</w:t>
                        </w:r>
                        <w:r>
                          <w:rPr>
                            <w:color w:val="000000"/>
                            <w:spacing w:val="-3"/>
                            <w:sz w:val="21"/>
                          </w:rPr>
                          <w:t xml:space="preserve"> </w:t>
                        </w:r>
                        <w:r>
                          <w:rPr>
                            <w:color w:val="000000"/>
                            <w:sz w:val="21"/>
                          </w:rPr>
                          <w:t>All</w:t>
                        </w:r>
                        <w:r>
                          <w:rPr>
                            <w:color w:val="000000"/>
                            <w:spacing w:val="-3"/>
                            <w:sz w:val="21"/>
                          </w:rPr>
                          <w:t xml:space="preserve"> </w:t>
                        </w:r>
                        <w:proofErr w:type="spellStart"/>
                        <w:r>
                          <w:rPr>
                            <w:color w:val="000000"/>
                            <w:sz w:val="21"/>
                          </w:rPr>
                          <w:t>organisations</w:t>
                        </w:r>
                        <w:proofErr w:type="spellEnd"/>
                        <w:r>
                          <w:rPr>
                            <w:color w:val="000000"/>
                            <w:spacing w:val="-3"/>
                            <w:sz w:val="21"/>
                          </w:rPr>
                          <w:t xml:space="preserve"> </w:t>
                        </w:r>
                        <w:r>
                          <w:rPr>
                            <w:color w:val="000000"/>
                            <w:sz w:val="21"/>
                          </w:rPr>
                          <w:t>have</w:t>
                        </w:r>
                        <w:r>
                          <w:rPr>
                            <w:color w:val="000000"/>
                            <w:spacing w:val="-3"/>
                            <w:sz w:val="21"/>
                          </w:rPr>
                          <w:t xml:space="preserve"> </w:t>
                        </w:r>
                        <w:r>
                          <w:rPr>
                            <w:color w:val="000000"/>
                            <w:sz w:val="21"/>
                          </w:rPr>
                          <w:t>the</w:t>
                        </w:r>
                        <w:r>
                          <w:rPr>
                            <w:color w:val="000000"/>
                            <w:spacing w:val="-3"/>
                            <w:sz w:val="21"/>
                          </w:rPr>
                          <w:t xml:space="preserve"> </w:t>
                        </w:r>
                        <w:r>
                          <w:rPr>
                            <w:color w:val="000000"/>
                            <w:sz w:val="21"/>
                          </w:rPr>
                          <w:t>systems and governance in place to integrate the patient, carer, consumer and community voice, at every level of healthcare design and delivery.</w:t>
                        </w:r>
                      </w:p>
                    </w:txbxContent>
                  </v:textbox>
                </v:shape>
                <v:shape id="Textbox 35" o:spid="_x0000_s1046" type="#_x0000_t202" style="position:absolute;left:254;top:254;width:64547;height:56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" fillcolor="#f3eff7" stroked="f">
                  <v:textbox inset="0,0,0,0">
                    <w:txbxContent>
                      <w:p w14:paraId="65826C09" w14:textId="77777777" w:rsidR="009D54AF" w:rsidRDefault="00000000">
                        <w:pPr>
                          <w:spacing w:before="95"/>
                          <w:ind w:left="206"/>
                          <w:rPr>
                            <w:b/>
                            <w:color w:val="000000"/>
                            <w:sz w:val="26"/>
                          </w:rPr>
                        </w:pPr>
                        <w:r>
                          <w:rPr>
                            <w:b/>
                            <w:color w:val="000000"/>
                            <w:sz w:val="26"/>
                          </w:rPr>
                          <w:t>Empowered</w:t>
                        </w:r>
                        <w:r>
                          <w:rPr>
                            <w:b/>
                            <w:color w:val="000000"/>
                            <w:spacing w:val="-1"/>
                            <w:sz w:val="26"/>
                          </w:rPr>
                          <w:t xml:space="preserve"> </w:t>
                        </w:r>
                        <w:r>
                          <w:rPr>
                            <w:b/>
                            <w:color w:val="000000"/>
                            <w:sz w:val="26"/>
                          </w:rPr>
                          <w:t>patients,</w:t>
                        </w:r>
                        <w:r>
                          <w:rPr>
                            <w:b/>
                            <w:color w:val="000000"/>
                            <w:spacing w:val="-1"/>
                            <w:sz w:val="26"/>
                          </w:rPr>
                          <w:t xml:space="preserve"> </w:t>
                        </w:r>
                        <w:r>
                          <w:rPr>
                            <w:b/>
                            <w:color w:val="000000"/>
                            <w:sz w:val="26"/>
                          </w:rPr>
                          <w:t>carers</w:t>
                        </w:r>
                        <w:r>
                          <w:rPr>
                            <w:b/>
                            <w:color w:val="000000"/>
                            <w:spacing w:val="-1"/>
                            <w:sz w:val="26"/>
                          </w:rPr>
                          <w:t xml:space="preserve"> </w:t>
                        </w:r>
                        <w:r>
                          <w:rPr>
                            <w:b/>
                            <w:color w:val="000000"/>
                            <w:sz w:val="26"/>
                          </w:rPr>
                          <w:t>and</w:t>
                        </w:r>
                        <w:r>
                          <w:rPr>
                            <w:b/>
                            <w:color w:val="000000"/>
                            <w:spacing w:val="-1"/>
                            <w:sz w:val="26"/>
                          </w:rPr>
                          <w:t xml:space="preserve"> </w:t>
                        </w:r>
                        <w:r>
                          <w:rPr>
                            <w:b/>
                            <w:color w:val="000000"/>
                            <w:spacing w:val="-2"/>
                            <w:sz w:val="26"/>
                          </w:rPr>
                          <w:t>communities</w:t>
                        </w:r>
                      </w:p>
                      <w:p w14:paraId="57777C25" w14:textId="77777777" w:rsidR="009D54AF" w:rsidRDefault="00000000">
                        <w:pPr>
                          <w:spacing w:before="141"/>
                          <w:ind w:left="206"/>
                          <w:rPr>
                            <w:color w:val="000000"/>
                            <w:sz w:val="21"/>
                          </w:rPr>
                        </w:pPr>
                        <w:r>
                          <w:rPr>
                            <w:b/>
                            <w:color w:val="000000"/>
                            <w:sz w:val="21"/>
                          </w:rPr>
                          <w:t>Focus:</w:t>
                        </w:r>
                        <w:r>
                          <w:rPr>
                            <w:b/>
                            <w:color w:val="000000"/>
                            <w:spacing w:val="-5"/>
                            <w:sz w:val="21"/>
                          </w:rPr>
                          <w:t xml:space="preserve"> </w:t>
                        </w:r>
                        <w:r>
                          <w:rPr>
                            <w:color w:val="000000"/>
                            <w:sz w:val="21"/>
                          </w:rPr>
                          <w:t>Health</w:t>
                        </w:r>
                        <w:r>
                          <w:rPr>
                            <w:color w:val="000000"/>
                            <w:spacing w:val="-3"/>
                            <w:sz w:val="21"/>
                          </w:rPr>
                          <w:t xml:space="preserve"> </w:t>
                        </w:r>
                        <w:r>
                          <w:rPr>
                            <w:color w:val="000000"/>
                            <w:sz w:val="21"/>
                          </w:rPr>
                          <w:t>care</w:t>
                        </w:r>
                        <w:r>
                          <w:rPr>
                            <w:color w:val="000000"/>
                            <w:spacing w:val="-2"/>
                            <w:sz w:val="21"/>
                          </w:rPr>
                          <w:t xml:space="preserve"> </w:t>
                        </w:r>
                        <w:r>
                          <w:rPr>
                            <w:color w:val="000000"/>
                            <w:sz w:val="21"/>
                          </w:rPr>
                          <w:t>is</w:t>
                        </w:r>
                        <w:r>
                          <w:rPr>
                            <w:color w:val="000000"/>
                            <w:spacing w:val="-3"/>
                            <w:sz w:val="21"/>
                          </w:rPr>
                          <w:t xml:space="preserve"> </w:t>
                        </w:r>
                        <w:r>
                          <w:rPr>
                            <w:color w:val="000000"/>
                            <w:sz w:val="21"/>
                          </w:rPr>
                          <w:t>designed</w:t>
                        </w:r>
                        <w:r>
                          <w:rPr>
                            <w:color w:val="000000"/>
                            <w:spacing w:val="-2"/>
                            <w:sz w:val="21"/>
                          </w:rPr>
                          <w:t xml:space="preserve"> </w:t>
                        </w:r>
                        <w:r>
                          <w:rPr>
                            <w:color w:val="000000"/>
                            <w:sz w:val="21"/>
                          </w:rPr>
                          <w:t>and</w:t>
                        </w:r>
                        <w:r>
                          <w:rPr>
                            <w:color w:val="000000"/>
                            <w:spacing w:val="-3"/>
                            <w:sz w:val="21"/>
                          </w:rPr>
                          <w:t xml:space="preserve"> </w:t>
                        </w:r>
                        <w:r>
                          <w:rPr>
                            <w:color w:val="000000"/>
                            <w:sz w:val="21"/>
                          </w:rPr>
                          <w:t>delivered</w:t>
                        </w:r>
                        <w:r>
                          <w:rPr>
                            <w:color w:val="000000"/>
                            <w:spacing w:val="-3"/>
                            <w:sz w:val="21"/>
                          </w:rPr>
                          <w:t xml:space="preserve"> </w:t>
                        </w:r>
                        <w:r>
                          <w:rPr>
                            <w:color w:val="000000"/>
                            <w:sz w:val="21"/>
                          </w:rPr>
                          <w:t>with</w:t>
                        </w:r>
                        <w:r>
                          <w:rPr>
                            <w:color w:val="000000"/>
                            <w:spacing w:val="-2"/>
                            <w:sz w:val="21"/>
                          </w:rPr>
                          <w:t xml:space="preserve"> </w:t>
                        </w:r>
                        <w:r>
                          <w:rPr>
                            <w:color w:val="000000"/>
                            <w:sz w:val="21"/>
                          </w:rPr>
                          <w:t>patients</w:t>
                        </w:r>
                        <w:r>
                          <w:rPr>
                            <w:color w:val="000000"/>
                            <w:spacing w:val="-3"/>
                            <w:sz w:val="21"/>
                          </w:rPr>
                          <w:t xml:space="preserve"> </w:t>
                        </w:r>
                        <w:r>
                          <w:rPr>
                            <w:color w:val="000000"/>
                            <w:sz w:val="21"/>
                          </w:rPr>
                          <w:t>and</w:t>
                        </w:r>
                        <w:r>
                          <w:rPr>
                            <w:color w:val="000000"/>
                            <w:spacing w:val="-2"/>
                            <w:sz w:val="21"/>
                          </w:rPr>
                          <w:t xml:space="preserve"> communities.</w:t>
                        </w:r>
                      </w:p>
                    </w:txbxContent>
                  </v:textbox>
                </v:shape>
                <w10:wrap type="topAndBottom" anchorx="page"/>
              </v:group>
            </w:pict>
          </mc:Fallback>
        </mc:AlternateContent>
      </w:r>
      <w:r>
        <w:rPr>
          <w:noProof/>
          <w:sz w:val="20"/>
        </w:rPr>
        <mc:AlternateContent>
          <mc:Choice Requires="wpg">
            <w:drawing>
              <wp:anchor distT="0" distB="0" distL="0" distR="0" simplePos="0" relativeHeight="487591424" behindDoc="1" locked="0" layoutInCell="1" allowOverlap="1" wp14:anchorId="6247FFAF" wp14:editId="7F28CC5D">
                <wp:simplePos x="0" y="0"/>
                <wp:positionH relativeFrom="page">
                  <wp:posOffset>527300</wp:posOffset>
                </wp:positionH>
                <wp:positionV relativeFrom="paragraph">
                  <wp:posOffset>4580775</wp:posOffset>
                </wp:positionV>
                <wp:extent cx="6505575" cy="1316990"/>
                <wp:effectExtent l="0" t="0" r="0" b="0"/>
                <wp:wrapTopAndBottom/>
                <wp:docPr id="36"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05575" cy="1316990"/>
                          <a:chOff x="0" y="0"/>
                          <a:chExt cx="6505575" cy="1316990"/>
                        </a:xfrm>
                      </wpg:grpSpPr>
                      <wps:wsp>
                        <wps:cNvPr id="37" name="Graphic 37"/>
                        <wps:cNvSpPr/>
                        <wps:spPr>
                          <a:xfrm>
                            <a:off x="12700" y="12700"/>
                            <a:ext cx="6480175" cy="335280"/>
                          </a:xfrm>
                          <a:custGeom>
                            <a:avLst/>
                            <a:gdLst/>
                            <a:ahLst/>
                            <a:cxnLst/>
                            <a:rect l="l" t="t" r="r" b="b"/>
                            <a:pathLst>
                              <a:path w="6480175" h="335280">
                                <a:moveTo>
                                  <a:pt x="0" y="334937"/>
                                </a:moveTo>
                                <a:lnTo>
                                  <a:pt x="0" y="0"/>
                                </a:lnTo>
                                <a:lnTo>
                                  <a:pt x="6479997" y="0"/>
                                </a:lnTo>
                                <a:lnTo>
                                  <a:pt x="6479997" y="334937"/>
                                </a:lnTo>
                              </a:path>
                            </a:pathLst>
                          </a:custGeom>
                          <a:ln w="25400">
                            <a:solidFill>
                              <a:srgbClr val="A28FC4"/>
                            </a:solidFill>
                            <a:prstDash val="solid"/>
                          </a:ln>
                        </wps:spPr>
                        <wps:bodyPr wrap="square" lIns="0" tIns="0" rIns="0" bIns="0" rtlCol="0">
                          <a:prstTxWarp prst="textNoShape">
                            <a:avLst/>
                          </a:prstTxWarp>
                          <a:noAutofit/>
                        </wps:bodyPr>
                      </wps:wsp>
                      <wps:wsp>
                        <wps:cNvPr id="38" name="Graphic 38"/>
                        <wps:cNvSpPr/>
                        <wps:spPr>
                          <a:xfrm>
                            <a:off x="12700" y="285607"/>
                            <a:ext cx="1270" cy="341630"/>
                          </a:xfrm>
                          <a:custGeom>
                            <a:avLst/>
                            <a:gdLst/>
                            <a:ahLst/>
                            <a:cxnLst/>
                            <a:rect l="l" t="t" r="r" b="b"/>
                            <a:pathLst>
                              <a:path h="341630">
                                <a:moveTo>
                                  <a:pt x="0" y="341147"/>
                                </a:moveTo>
                                <a:lnTo>
                                  <a:pt x="0" y="0"/>
                                </a:lnTo>
                              </a:path>
                            </a:pathLst>
                          </a:custGeom>
                          <a:ln w="25400">
                            <a:solidFill>
                              <a:srgbClr val="A28FC4"/>
                            </a:solidFill>
                            <a:prstDash val="solid"/>
                          </a:ln>
                        </wps:spPr>
                        <wps:bodyPr wrap="square" lIns="0" tIns="0" rIns="0" bIns="0" rtlCol="0">
                          <a:prstTxWarp prst="textNoShape">
                            <a:avLst/>
                          </a:prstTxWarp>
                          <a:noAutofit/>
                        </wps:bodyPr>
                      </wps:wsp>
                      <wps:wsp>
                        <wps:cNvPr id="39" name="Graphic 39"/>
                        <wps:cNvSpPr/>
                        <wps:spPr>
                          <a:xfrm>
                            <a:off x="6492699" y="285609"/>
                            <a:ext cx="1270" cy="341630"/>
                          </a:xfrm>
                          <a:custGeom>
                            <a:avLst/>
                            <a:gdLst/>
                            <a:ahLst/>
                            <a:cxnLst/>
                            <a:rect l="l" t="t" r="r" b="b"/>
                            <a:pathLst>
                              <a:path h="341630">
                                <a:moveTo>
                                  <a:pt x="0" y="0"/>
                                </a:moveTo>
                                <a:lnTo>
                                  <a:pt x="0" y="341147"/>
                                </a:lnTo>
                              </a:path>
                            </a:pathLst>
                          </a:custGeom>
                          <a:ln w="25400">
                            <a:solidFill>
                              <a:srgbClr val="A28FC4"/>
                            </a:solidFill>
                            <a:prstDash val="solid"/>
                          </a:ln>
                        </wps:spPr>
                        <wps:bodyPr wrap="square" lIns="0" tIns="0" rIns="0" bIns="0" rtlCol="0">
                          <a:prstTxWarp prst="textNoShape">
                            <a:avLst/>
                          </a:prstTxWarp>
                          <a:noAutofit/>
                        </wps:bodyPr>
                      </wps:wsp>
                      <wps:wsp>
                        <wps:cNvPr id="40" name="Graphic 40"/>
                        <wps:cNvSpPr/>
                        <wps:spPr>
                          <a:xfrm>
                            <a:off x="12702" y="607409"/>
                            <a:ext cx="6480175" cy="697230"/>
                          </a:xfrm>
                          <a:custGeom>
                            <a:avLst/>
                            <a:gdLst/>
                            <a:ahLst/>
                            <a:cxnLst/>
                            <a:rect l="l" t="t" r="r" b="b"/>
                            <a:pathLst>
                              <a:path w="6480175" h="697230">
                                <a:moveTo>
                                  <a:pt x="6479997" y="0"/>
                                </a:moveTo>
                                <a:lnTo>
                                  <a:pt x="6479997" y="696747"/>
                                </a:lnTo>
                                <a:lnTo>
                                  <a:pt x="0" y="696747"/>
                                </a:lnTo>
                                <a:lnTo>
                                  <a:pt x="0" y="0"/>
                                </a:lnTo>
                              </a:path>
                            </a:pathLst>
                          </a:custGeom>
                          <a:ln w="25400">
                            <a:solidFill>
                              <a:srgbClr val="A28FC4"/>
                            </a:solidFill>
                            <a:prstDash val="solid"/>
                          </a:ln>
                        </wps:spPr>
                        <wps:bodyPr wrap="square" lIns="0" tIns="0" rIns="0" bIns="0" rtlCol="0">
                          <a:prstTxWarp prst="textNoShape">
                            <a:avLst/>
                          </a:prstTxWarp>
                          <a:noAutofit/>
                        </wps:bodyPr>
                      </wps:wsp>
                      <wps:wsp>
                        <wps:cNvPr id="41" name="Textbox 41"/>
                        <wps:cNvSpPr txBox="1"/>
                        <wps:spPr>
                          <a:xfrm>
                            <a:off x="25401" y="607411"/>
                            <a:ext cx="6454775" cy="684530"/>
                          </a:xfrm>
                          <a:prstGeom prst="rect">
                            <a:avLst/>
                          </a:prstGeom>
                          <a:solidFill>
                            <a:srgbClr val="F3EFF7"/>
                          </a:solidFill>
                        </wps:spPr>
                        <wps:txbx>
                          <w:txbxContent>
                            <w:p w14:paraId="15626ED6" w14:textId="77777777" w:rsidR="009D54AF" w:rsidRDefault="00000000">
                              <w:pPr>
                                <w:spacing w:before="12" w:line="278" w:lineRule="auto"/>
                                <w:ind w:left="206" w:right="161"/>
                                <w:rPr>
                                  <w:color w:val="000000"/>
                                  <w:sz w:val="21"/>
                                </w:rPr>
                              </w:pPr>
                              <w:r>
                                <w:rPr>
                                  <w:b/>
                                  <w:color w:val="000000"/>
                                  <w:sz w:val="21"/>
                                </w:rPr>
                                <w:t>Outcome:</w:t>
                              </w:r>
                              <w:r>
                                <w:rPr>
                                  <w:b/>
                                  <w:color w:val="000000"/>
                                  <w:spacing w:val="-3"/>
                                  <w:sz w:val="21"/>
                                </w:rPr>
                                <w:t xml:space="preserve"> </w:t>
                              </w:r>
                              <w:r>
                                <w:rPr>
                                  <w:color w:val="000000"/>
                                  <w:sz w:val="21"/>
                                </w:rPr>
                                <w:t>Improvement</w:t>
                              </w:r>
                              <w:r>
                                <w:rPr>
                                  <w:color w:val="000000"/>
                                  <w:spacing w:val="-3"/>
                                  <w:sz w:val="21"/>
                                </w:rPr>
                                <w:t xml:space="preserve"> </w:t>
                              </w:r>
                              <w:r>
                                <w:rPr>
                                  <w:color w:val="000000"/>
                                  <w:sz w:val="21"/>
                                </w:rPr>
                                <w:t>is</w:t>
                              </w:r>
                              <w:r>
                                <w:rPr>
                                  <w:color w:val="000000"/>
                                  <w:spacing w:val="-3"/>
                                  <w:sz w:val="21"/>
                                </w:rPr>
                                <w:t xml:space="preserve"> </w:t>
                              </w:r>
                              <w:r>
                                <w:rPr>
                                  <w:color w:val="000000"/>
                                  <w:sz w:val="21"/>
                                </w:rPr>
                                <w:t>embedded</w:t>
                              </w:r>
                              <w:r>
                                <w:rPr>
                                  <w:color w:val="000000"/>
                                  <w:spacing w:val="-3"/>
                                  <w:sz w:val="21"/>
                                </w:rPr>
                                <w:t xml:space="preserve"> </w:t>
                              </w:r>
                              <w:r>
                                <w:rPr>
                                  <w:color w:val="000000"/>
                                  <w:sz w:val="21"/>
                                </w:rPr>
                                <w:t>in</w:t>
                              </w:r>
                              <w:r>
                                <w:rPr>
                                  <w:color w:val="000000"/>
                                  <w:spacing w:val="-3"/>
                                  <w:sz w:val="21"/>
                                </w:rPr>
                                <w:t xml:space="preserve"> </w:t>
                              </w:r>
                              <w:proofErr w:type="spellStart"/>
                              <w:r>
                                <w:rPr>
                                  <w:color w:val="000000"/>
                                  <w:sz w:val="21"/>
                                </w:rPr>
                                <w:t>organisational</w:t>
                              </w:r>
                              <w:proofErr w:type="spellEnd"/>
                              <w:r>
                                <w:rPr>
                                  <w:color w:val="000000"/>
                                  <w:spacing w:val="-3"/>
                                  <w:sz w:val="21"/>
                                </w:rPr>
                                <w:t xml:space="preserve"> </w:t>
                              </w:r>
                              <w:r>
                                <w:rPr>
                                  <w:color w:val="000000"/>
                                  <w:sz w:val="21"/>
                                </w:rPr>
                                <w:t>workforce</w:t>
                              </w:r>
                              <w:r>
                                <w:rPr>
                                  <w:color w:val="000000"/>
                                  <w:spacing w:val="-3"/>
                                  <w:sz w:val="21"/>
                                </w:rPr>
                                <w:t xml:space="preserve"> </w:t>
                              </w:r>
                              <w:r>
                                <w:rPr>
                                  <w:color w:val="000000"/>
                                  <w:sz w:val="21"/>
                                </w:rPr>
                                <w:t>culture</w:t>
                              </w:r>
                              <w:r>
                                <w:rPr>
                                  <w:color w:val="000000"/>
                                  <w:spacing w:val="-3"/>
                                  <w:sz w:val="21"/>
                                </w:rPr>
                                <w:t xml:space="preserve"> </w:t>
                              </w:r>
                              <w:r>
                                <w:rPr>
                                  <w:color w:val="000000"/>
                                  <w:sz w:val="21"/>
                                </w:rPr>
                                <w:t>and</w:t>
                              </w:r>
                              <w:r>
                                <w:rPr>
                                  <w:color w:val="000000"/>
                                  <w:spacing w:val="-3"/>
                                  <w:sz w:val="21"/>
                                </w:rPr>
                                <w:t xml:space="preserve"> </w:t>
                              </w:r>
                              <w:r>
                                <w:rPr>
                                  <w:color w:val="000000"/>
                                  <w:sz w:val="21"/>
                                </w:rPr>
                                <w:t>healthcare</w:t>
                              </w:r>
                              <w:r>
                                <w:rPr>
                                  <w:color w:val="000000"/>
                                  <w:spacing w:val="-3"/>
                                  <w:sz w:val="21"/>
                                </w:rPr>
                                <w:t xml:space="preserve"> </w:t>
                              </w:r>
                              <w:r>
                                <w:rPr>
                                  <w:color w:val="000000"/>
                                  <w:sz w:val="21"/>
                                </w:rPr>
                                <w:t>delivery.</w:t>
                              </w:r>
                              <w:r>
                                <w:rPr>
                                  <w:color w:val="000000"/>
                                  <w:spacing w:val="-3"/>
                                  <w:sz w:val="21"/>
                                </w:rPr>
                                <w:t xml:space="preserve"> </w:t>
                              </w:r>
                              <w:r>
                                <w:rPr>
                                  <w:color w:val="000000"/>
                                  <w:sz w:val="21"/>
                                </w:rPr>
                                <w:t>This includes fostering accountability, continuous learning, cultural safety, and a readiness to speak up, act and improve.</w:t>
                              </w:r>
                            </w:p>
                          </w:txbxContent>
                        </wps:txbx>
                        <wps:bodyPr wrap="square" lIns="0" tIns="0" rIns="0" bIns="0" rtlCol="0">
                          <a:noAutofit/>
                        </wps:bodyPr>
                      </wps:wsp>
                      <wps:wsp>
                        <wps:cNvPr id="42" name="Textbox 42"/>
                        <wps:cNvSpPr txBox="1"/>
                        <wps:spPr>
                          <a:xfrm>
                            <a:off x="25401" y="25400"/>
                            <a:ext cx="6454775" cy="565785"/>
                          </a:xfrm>
                          <a:prstGeom prst="rect">
                            <a:avLst/>
                          </a:prstGeom>
                          <a:solidFill>
                            <a:srgbClr val="F3EFF7"/>
                          </a:solidFill>
                        </wps:spPr>
                        <wps:txbx>
                          <w:txbxContent>
                            <w:p w14:paraId="295CAAC4" w14:textId="77777777" w:rsidR="009D54AF" w:rsidRDefault="00000000">
                              <w:pPr>
                                <w:spacing w:before="95"/>
                                <w:ind w:left="206"/>
                                <w:rPr>
                                  <w:b/>
                                  <w:color w:val="000000"/>
                                  <w:sz w:val="26"/>
                                </w:rPr>
                              </w:pPr>
                              <w:r>
                                <w:rPr>
                                  <w:b/>
                                  <w:color w:val="000000"/>
                                  <w:sz w:val="26"/>
                                </w:rPr>
                                <w:t>An</w:t>
                              </w:r>
                              <w:r>
                                <w:rPr>
                                  <w:b/>
                                  <w:color w:val="000000"/>
                                  <w:spacing w:val="-7"/>
                                  <w:sz w:val="26"/>
                                </w:rPr>
                                <w:t xml:space="preserve"> </w:t>
                              </w:r>
                              <w:r>
                                <w:rPr>
                                  <w:b/>
                                  <w:color w:val="000000"/>
                                  <w:sz w:val="26"/>
                                </w:rPr>
                                <w:t>improvement-driven</w:t>
                              </w:r>
                              <w:r>
                                <w:rPr>
                                  <w:b/>
                                  <w:color w:val="000000"/>
                                  <w:spacing w:val="-4"/>
                                  <w:sz w:val="26"/>
                                </w:rPr>
                                <w:t xml:space="preserve"> </w:t>
                              </w:r>
                              <w:r>
                                <w:rPr>
                                  <w:b/>
                                  <w:color w:val="000000"/>
                                  <w:sz w:val="26"/>
                                </w:rPr>
                                <w:t>workforce</w:t>
                              </w:r>
                              <w:r>
                                <w:rPr>
                                  <w:b/>
                                  <w:color w:val="000000"/>
                                  <w:spacing w:val="-4"/>
                                  <w:sz w:val="26"/>
                                </w:rPr>
                                <w:t xml:space="preserve"> </w:t>
                              </w:r>
                              <w:r>
                                <w:rPr>
                                  <w:b/>
                                  <w:color w:val="000000"/>
                                  <w:spacing w:val="-2"/>
                                  <w:sz w:val="26"/>
                                </w:rPr>
                                <w:t>culture</w:t>
                              </w:r>
                            </w:p>
                            <w:p w14:paraId="630FDBB8" w14:textId="77777777" w:rsidR="009D54AF" w:rsidRDefault="00000000">
                              <w:pPr>
                                <w:spacing w:before="141"/>
                                <w:ind w:left="206"/>
                                <w:rPr>
                                  <w:color w:val="000000"/>
                                  <w:sz w:val="21"/>
                                </w:rPr>
                              </w:pPr>
                              <w:r>
                                <w:rPr>
                                  <w:b/>
                                  <w:color w:val="000000"/>
                                  <w:sz w:val="21"/>
                                </w:rPr>
                                <w:t>Focus:</w:t>
                              </w:r>
                              <w:r>
                                <w:rPr>
                                  <w:b/>
                                  <w:color w:val="000000"/>
                                  <w:spacing w:val="-7"/>
                                  <w:sz w:val="21"/>
                                </w:rPr>
                                <w:t xml:space="preserve"> </w:t>
                              </w:r>
                              <w:r>
                                <w:rPr>
                                  <w:color w:val="000000"/>
                                  <w:sz w:val="21"/>
                                </w:rPr>
                                <w:t>Better</w:t>
                              </w:r>
                              <w:r>
                                <w:rPr>
                                  <w:color w:val="000000"/>
                                  <w:spacing w:val="-6"/>
                                  <w:sz w:val="21"/>
                                </w:rPr>
                                <w:t xml:space="preserve"> </w:t>
                              </w:r>
                              <w:r>
                                <w:rPr>
                                  <w:color w:val="000000"/>
                                  <w:sz w:val="21"/>
                                </w:rPr>
                                <w:t>health</w:t>
                              </w:r>
                              <w:r>
                                <w:rPr>
                                  <w:color w:val="000000"/>
                                  <w:spacing w:val="-6"/>
                                  <w:sz w:val="21"/>
                                </w:rPr>
                                <w:t xml:space="preserve"> </w:t>
                              </w:r>
                              <w:r>
                                <w:rPr>
                                  <w:color w:val="000000"/>
                                  <w:sz w:val="21"/>
                                </w:rPr>
                                <w:t>care</w:t>
                              </w:r>
                              <w:r>
                                <w:rPr>
                                  <w:color w:val="000000"/>
                                  <w:spacing w:val="-6"/>
                                  <w:sz w:val="21"/>
                                </w:rPr>
                                <w:t xml:space="preserve"> </w:t>
                              </w:r>
                              <w:r>
                                <w:rPr>
                                  <w:color w:val="000000"/>
                                  <w:sz w:val="21"/>
                                </w:rPr>
                                <w:t>is</w:t>
                              </w:r>
                              <w:r>
                                <w:rPr>
                                  <w:color w:val="000000"/>
                                  <w:spacing w:val="-6"/>
                                  <w:sz w:val="21"/>
                                </w:rPr>
                                <w:t xml:space="preserve"> </w:t>
                              </w:r>
                              <w:r>
                                <w:rPr>
                                  <w:color w:val="000000"/>
                                  <w:sz w:val="21"/>
                                </w:rPr>
                                <w:t>everyone’s</w:t>
                              </w:r>
                              <w:r>
                                <w:rPr>
                                  <w:color w:val="000000"/>
                                  <w:spacing w:val="-6"/>
                                  <w:sz w:val="21"/>
                                </w:rPr>
                                <w:t xml:space="preserve"> </w:t>
                              </w:r>
                              <w:r>
                                <w:rPr>
                                  <w:color w:val="000000"/>
                                  <w:sz w:val="21"/>
                                </w:rPr>
                                <w:t>responsibility,</w:t>
                              </w:r>
                              <w:r>
                                <w:rPr>
                                  <w:color w:val="000000"/>
                                  <w:spacing w:val="-6"/>
                                  <w:sz w:val="21"/>
                                </w:rPr>
                                <w:t xml:space="preserve"> </w:t>
                              </w:r>
                              <w:r>
                                <w:rPr>
                                  <w:color w:val="000000"/>
                                  <w:sz w:val="21"/>
                                </w:rPr>
                                <w:t>every</w:t>
                              </w:r>
                              <w:r>
                                <w:rPr>
                                  <w:color w:val="000000"/>
                                  <w:spacing w:val="-6"/>
                                  <w:sz w:val="21"/>
                                </w:rPr>
                                <w:t xml:space="preserve"> </w:t>
                              </w:r>
                              <w:r>
                                <w:rPr>
                                  <w:color w:val="000000"/>
                                  <w:spacing w:val="-4"/>
                                  <w:sz w:val="21"/>
                                </w:rPr>
                                <w:t>day.</w:t>
                              </w:r>
                            </w:p>
                          </w:txbxContent>
                        </wps:txbx>
                        <wps:bodyPr wrap="square" lIns="0" tIns="0" rIns="0" bIns="0" rtlCol="0">
                          <a:noAutofit/>
                        </wps:bodyPr>
                      </wps:wsp>
                    </wpg:wgp>
                  </a:graphicData>
                </a:graphic>
              </wp:anchor>
            </w:drawing>
          </mc:Choice>
          <mc:Fallback>
            <w:pict>
              <v:group w14:anchorId="6247FFAF" id="Group 36" o:spid="_x0000_s1047" style="position:absolute;margin-left:41.5pt;margin-top:360.7pt;width:512.25pt;height:103.7pt;z-index:-15725056;mso-wrap-distance-left:0;mso-wrap-distance-right:0;mso-position-horizontal-relative:page" coordsize="65055,1316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">
                <v:shape id="Graphic 37" o:spid="_x0000_s1048" style="position:absolute;left:127;top:127;width:64801;height:3352;visibility:visible;mso-wrap-style:square;v-text-anchor:top" coordsize="6480175,33528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" path="m,334937l,,6479997,r,334937e" filled="f" strokecolor="#a28fc4" strokeweight="2pt">
                  <v:path arrowok="t"/>
                </v:shape>
                <v:shape id="Graphic 38" o:spid="_x0000_s1049" style="position:absolute;left:127;top:2856;width:12;height:3416;visibility:visible;mso-wrap-style:square;v-text-anchor:top" coordsize="1270,34163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" path="m,341147l,e" filled="f" strokecolor="#a28fc4" strokeweight="2pt">
                  <v:path arrowok="t"/>
                </v:shape>
                <v:shape id="Graphic 39" o:spid="_x0000_s1050" style="position:absolute;left:64926;top:2856;width:13;height:3416;visibility:visible;mso-wrap-style:square;v-text-anchor:top" coordsize="1270,34163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" path="m,l,341147e" filled="f" strokecolor="#a28fc4" strokeweight="2pt">
                  <v:path arrowok="t"/>
                </v:shape>
                <v:shape id="Graphic 40" o:spid="_x0000_s1051" style="position:absolute;left:127;top:6074;width:64801;height:6972;visibility:visible;mso-wrap-style:square;v-text-anchor:top" coordsize="6480175,69723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" path="m6479997,r,696747l,696747,,e" filled="f" strokecolor="#a28fc4" strokeweight="2pt">
                  <v:path arrowok="t"/>
                </v:shape>
                <v:shape id="Textbox 41" o:spid="_x0000_s1052" type="#_x0000_t202" style="position:absolute;left:254;top:6074;width:64547;height:684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" fillcolor="#f3eff7" stroked="f">
                  <v:textbox inset="0,0,0,0">
                    <w:txbxContent>
                      <w:p w14:paraId="15626ED6" w14:textId="77777777" w:rsidR="009D54AF" w:rsidRDefault="00000000">
                        <w:pPr>
                          <w:spacing w:before="12" w:line="278" w:lineRule="auto"/>
                          <w:ind w:left="206" w:right="161"/>
                          <w:rPr>
                            <w:color w:val="000000"/>
                            <w:sz w:val="21"/>
                          </w:rPr>
                        </w:pPr>
                        <w:r>
                          <w:rPr>
                            <w:b/>
                            <w:color w:val="000000"/>
                            <w:sz w:val="21"/>
                          </w:rPr>
                          <w:t>Outcome:</w:t>
                        </w:r>
                        <w:r>
                          <w:rPr>
                            <w:b/>
                            <w:color w:val="000000"/>
                            <w:spacing w:val="-3"/>
                            <w:sz w:val="21"/>
                          </w:rPr>
                          <w:t xml:space="preserve"> </w:t>
                        </w:r>
                        <w:r>
                          <w:rPr>
                            <w:color w:val="000000"/>
                            <w:sz w:val="21"/>
                          </w:rPr>
                          <w:t>Improvement</w:t>
                        </w:r>
                        <w:r>
                          <w:rPr>
                            <w:color w:val="000000"/>
                            <w:spacing w:val="-3"/>
                            <w:sz w:val="21"/>
                          </w:rPr>
                          <w:t xml:space="preserve"> </w:t>
                        </w:r>
                        <w:r>
                          <w:rPr>
                            <w:color w:val="000000"/>
                            <w:sz w:val="21"/>
                          </w:rPr>
                          <w:t>is</w:t>
                        </w:r>
                        <w:r>
                          <w:rPr>
                            <w:color w:val="000000"/>
                            <w:spacing w:val="-3"/>
                            <w:sz w:val="21"/>
                          </w:rPr>
                          <w:t xml:space="preserve"> </w:t>
                        </w:r>
                        <w:r>
                          <w:rPr>
                            <w:color w:val="000000"/>
                            <w:sz w:val="21"/>
                          </w:rPr>
                          <w:t>embedded</w:t>
                        </w:r>
                        <w:r>
                          <w:rPr>
                            <w:color w:val="000000"/>
                            <w:spacing w:val="-3"/>
                            <w:sz w:val="21"/>
                          </w:rPr>
                          <w:t xml:space="preserve"> </w:t>
                        </w:r>
                        <w:r>
                          <w:rPr>
                            <w:color w:val="000000"/>
                            <w:sz w:val="21"/>
                          </w:rPr>
                          <w:t>in</w:t>
                        </w:r>
                        <w:r>
                          <w:rPr>
                            <w:color w:val="000000"/>
                            <w:spacing w:val="-3"/>
                            <w:sz w:val="21"/>
                          </w:rPr>
                          <w:t xml:space="preserve"> </w:t>
                        </w:r>
                        <w:proofErr w:type="spellStart"/>
                        <w:r>
                          <w:rPr>
                            <w:color w:val="000000"/>
                            <w:sz w:val="21"/>
                          </w:rPr>
                          <w:t>organisational</w:t>
                        </w:r>
                        <w:proofErr w:type="spellEnd"/>
                        <w:r>
                          <w:rPr>
                            <w:color w:val="000000"/>
                            <w:spacing w:val="-3"/>
                            <w:sz w:val="21"/>
                          </w:rPr>
                          <w:t xml:space="preserve"> </w:t>
                        </w:r>
                        <w:r>
                          <w:rPr>
                            <w:color w:val="000000"/>
                            <w:sz w:val="21"/>
                          </w:rPr>
                          <w:t>workforce</w:t>
                        </w:r>
                        <w:r>
                          <w:rPr>
                            <w:color w:val="000000"/>
                            <w:spacing w:val="-3"/>
                            <w:sz w:val="21"/>
                          </w:rPr>
                          <w:t xml:space="preserve"> </w:t>
                        </w:r>
                        <w:r>
                          <w:rPr>
                            <w:color w:val="000000"/>
                            <w:sz w:val="21"/>
                          </w:rPr>
                          <w:t>culture</w:t>
                        </w:r>
                        <w:r>
                          <w:rPr>
                            <w:color w:val="000000"/>
                            <w:spacing w:val="-3"/>
                            <w:sz w:val="21"/>
                          </w:rPr>
                          <w:t xml:space="preserve"> </w:t>
                        </w:r>
                        <w:r>
                          <w:rPr>
                            <w:color w:val="000000"/>
                            <w:sz w:val="21"/>
                          </w:rPr>
                          <w:t>and</w:t>
                        </w:r>
                        <w:r>
                          <w:rPr>
                            <w:color w:val="000000"/>
                            <w:spacing w:val="-3"/>
                            <w:sz w:val="21"/>
                          </w:rPr>
                          <w:t xml:space="preserve"> </w:t>
                        </w:r>
                        <w:r>
                          <w:rPr>
                            <w:color w:val="000000"/>
                            <w:sz w:val="21"/>
                          </w:rPr>
                          <w:t>healthcare</w:t>
                        </w:r>
                        <w:r>
                          <w:rPr>
                            <w:color w:val="000000"/>
                            <w:spacing w:val="-3"/>
                            <w:sz w:val="21"/>
                          </w:rPr>
                          <w:t xml:space="preserve"> </w:t>
                        </w:r>
                        <w:r>
                          <w:rPr>
                            <w:color w:val="000000"/>
                            <w:sz w:val="21"/>
                          </w:rPr>
                          <w:t>delivery.</w:t>
                        </w:r>
                        <w:r>
                          <w:rPr>
                            <w:color w:val="000000"/>
                            <w:spacing w:val="-3"/>
                            <w:sz w:val="21"/>
                          </w:rPr>
                          <w:t xml:space="preserve"> </w:t>
                        </w:r>
                        <w:r>
                          <w:rPr>
                            <w:color w:val="000000"/>
                            <w:sz w:val="21"/>
                          </w:rPr>
                          <w:t>This includes fostering accountability, continuous learning, cultural safety, and a readiness to speak up, act and improve.</w:t>
                        </w:r>
                      </w:p>
                    </w:txbxContent>
                  </v:textbox>
                </v:shape>
                <v:shape id="Textbox 42" o:spid="_x0000_s1053" type="#_x0000_t202" style="position:absolute;left:254;top:254;width:64547;height:56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" fillcolor="#f3eff7" stroked="f">
                  <v:textbox inset="0,0,0,0">
                    <w:txbxContent>
                      <w:p w14:paraId="295CAAC4" w14:textId="77777777" w:rsidR="009D54AF" w:rsidRDefault="00000000">
                        <w:pPr>
                          <w:spacing w:before="95"/>
                          <w:ind w:left="206"/>
                          <w:rPr>
                            <w:b/>
                            <w:color w:val="000000"/>
                            <w:sz w:val="26"/>
                          </w:rPr>
                        </w:pPr>
                        <w:r>
                          <w:rPr>
                            <w:b/>
                            <w:color w:val="000000"/>
                            <w:sz w:val="26"/>
                          </w:rPr>
                          <w:t>An</w:t>
                        </w:r>
                        <w:r>
                          <w:rPr>
                            <w:b/>
                            <w:color w:val="000000"/>
                            <w:spacing w:val="-7"/>
                            <w:sz w:val="26"/>
                          </w:rPr>
                          <w:t xml:space="preserve"> </w:t>
                        </w:r>
                        <w:r>
                          <w:rPr>
                            <w:b/>
                            <w:color w:val="000000"/>
                            <w:sz w:val="26"/>
                          </w:rPr>
                          <w:t>improvement-driven</w:t>
                        </w:r>
                        <w:r>
                          <w:rPr>
                            <w:b/>
                            <w:color w:val="000000"/>
                            <w:spacing w:val="-4"/>
                            <w:sz w:val="26"/>
                          </w:rPr>
                          <w:t xml:space="preserve"> </w:t>
                        </w:r>
                        <w:r>
                          <w:rPr>
                            <w:b/>
                            <w:color w:val="000000"/>
                            <w:sz w:val="26"/>
                          </w:rPr>
                          <w:t>workforce</w:t>
                        </w:r>
                        <w:r>
                          <w:rPr>
                            <w:b/>
                            <w:color w:val="000000"/>
                            <w:spacing w:val="-4"/>
                            <w:sz w:val="26"/>
                          </w:rPr>
                          <w:t xml:space="preserve"> </w:t>
                        </w:r>
                        <w:r>
                          <w:rPr>
                            <w:b/>
                            <w:color w:val="000000"/>
                            <w:spacing w:val="-2"/>
                            <w:sz w:val="26"/>
                          </w:rPr>
                          <w:t>culture</w:t>
                        </w:r>
                      </w:p>
                      <w:p w14:paraId="630FDBB8" w14:textId="77777777" w:rsidR="009D54AF" w:rsidRDefault="00000000">
                        <w:pPr>
                          <w:spacing w:before="141"/>
                          <w:ind w:left="206"/>
                          <w:rPr>
                            <w:color w:val="000000"/>
                            <w:sz w:val="21"/>
                          </w:rPr>
                        </w:pPr>
                        <w:r>
                          <w:rPr>
                            <w:b/>
                            <w:color w:val="000000"/>
                            <w:sz w:val="21"/>
                          </w:rPr>
                          <w:t>Focus:</w:t>
                        </w:r>
                        <w:r>
                          <w:rPr>
                            <w:b/>
                            <w:color w:val="000000"/>
                            <w:spacing w:val="-7"/>
                            <w:sz w:val="21"/>
                          </w:rPr>
                          <w:t xml:space="preserve"> </w:t>
                        </w:r>
                        <w:r>
                          <w:rPr>
                            <w:color w:val="000000"/>
                            <w:sz w:val="21"/>
                          </w:rPr>
                          <w:t>Better</w:t>
                        </w:r>
                        <w:r>
                          <w:rPr>
                            <w:color w:val="000000"/>
                            <w:spacing w:val="-6"/>
                            <w:sz w:val="21"/>
                          </w:rPr>
                          <w:t xml:space="preserve"> </w:t>
                        </w:r>
                        <w:r>
                          <w:rPr>
                            <w:color w:val="000000"/>
                            <w:sz w:val="21"/>
                          </w:rPr>
                          <w:t>health</w:t>
                        </w:r>
                        <w:r>
                          <w:rPr>
                            <w:color w:val="000000"/>
                            <w:spacing w:val="-6"/>
                            <w:sz w:val="21"/>
                          </w:rPr>
                          <w:t xml:space="preserve"> </w:t>
                        </w:r>
                        <w:r>
                          <w:rPr>
                            <w:color w:val="000000"/>
                            <w:sz w:val="21"/>
                          </w:rPr>
                          <w:t>care</w:t>
                        </w:r>
                        <w:r>
                          <w:rPr>
                            <w:color w:val="000000"/>
                            <w:spacing w:val="-6"/>
                            <w:sz w:val="21"/>
                          </w:rPr>
                          <w:t xml:space="preserve"> </w:t>
                        </w:r>
                        <w:r>
                          <w:rPr>
                            <w:color w:val="000000"/>
                            <w:sz w:val="21"/>
                          </w:rPr>
                          <w:t>is</w:t>
                        </w:r>
                        <w:r>
                          <w:rPr>
                            <w:color w:val="000000"/>
                            <w:spacing w:val="-6"/>
                            <w:sz w:val="21"/>
                          </w:rPr>
                          <w:t xml:space="preserve"> </w:t>
                        </w:r>
                        <w:r>
                          <w:rPr>
                            <w:color w:val="000000"/>
                            <w:sz w:val="21"/>
                          </w:rPr>
                          <w:t>everyone’s</w:t>
                        </w:r>
                        <w:r>
                          <w:rPr>
                            <w:color w:val="000000"/>
                            <w:spacing w:val="-6"/>
                            <w:sz w:val="21"/>
                          </w:rPr>
                          <w:t xml:space="preserve"> </w:t>
                        </w:r>
                        <w:r>
                          <w:rPr>
                            <w:color w:val="000000"/>
                            <w:sz w:val="21"/>
                          </w:rPr>
                          <w:t>responsibility,</w:t>
                        </w:r>
                        <w:r>
                          <w:rPr>
                            <w:color w:val="000000"/>
                            <w:spacing w:val="-6"/>
                            <w:sz w:val="21"/>
                          </w:rPr>
                          <w:t xml:space="preserve"> </w:t>
                        </w:r>
                        <w:r>
                          <w:rPr>
                            <w:color w:val="000000"/>
                            <w:sz w:val="21"/>
                          </w:rPr>
                          <w:t>every</w:t>
                        </w:r>
                        <w:r>
                          <w:rPr>
                            <w:color w:val="000000"/>
                            <w:spacing w:val="-6"/>
                            <w:sz w:val="21"/>
                          </w:rPr>
                          <w:t xml:space="preserve"> </w:t>
                        </w:r>
                        <w:r>
                          <w:rPr>
                            <w:color w:val="000000"/>
                            <w:spacing w:val="-4"/>
                            <w:sz w:val="21"/>
                          </w:rPr>
                          <w:t>day.</w:t>
                        </w:r>
                      </w:p>
                    </w:txbxContent>
                  </v:textbox>
                </v:shape>
                <w10:wrap type="topAndBottom" anchorx="page"/>
              </v:group>
            </w:pict>
          </mc:Fallback>
        </mc:AlternateContent>
      </w:r>
    </w:p>
    <w:p w14:paraId="09B2B221" w14:textId="77777777" w:rsidR="009D54AF" w:rsidRDefault="009D54AF">
      <w:pPr>
        <w:pStyle w:val="BodyText"/>
        <w:spacing w:before="76"/>
        <w:rPr>
          <w:sz w:val="20"/>
        </w:rPr>
      </w:pPr>
    </w:p>
    <w:p w14:paraId="276840EE" w14:textId="77777777" w:rsidR="009D54AF" w:rsidRDefault="009D54AF">
      <w:pPr>
        <w:pStyle w:val="BodyText"/>
        <w:spacing w:before="76"/>
        <w:rPr>
          <w:sz w:val="20"/>
        </w:rPr>
      </w:pPr>
    </w:p>
    <w:p w14:paraId="658FB2FD" w14:textId="77777777" w:rsidR="009D54AF" w:rsidRDefault="009D54AF">
      <w:pPr>
        <w:pStyle w:val="BodyText"/>
        <w:spacing w:before="76"/>
        <w:rPr>
          <w:sz w:val="20"/>
        </w:rPr>
      </w:pPr>
    </w:p>
    <w:p w14:paraId="10D5B21E" w14:textId="77777777" w:rsidR="00E26787" w:rsidRDefault="00E26787">
      <w:pPr>
        <w:rPr>
          <w:sz w:val="21"/>
          <w:szCs w:val="21"/>
        </w:rPr>
      </w:pPr>
      <w:r>
        <w:br w:type="page"/>
      </w:r>
    </w:p>
    <w:p w14:paraId="54D28D85" w14:textId="05405A52" w:rsidR="009D54AF" w:rsidRDefault="00000000">
      <w:pPr>
        <w:pStyle w:val="BodyText"/>
        <w:spacing w:before="189"/>
        <w:ind w:left="142"/>
      </w:pPr>
      <w:r>
        <w:lastRenderedPageBreak/>
        <w:t>The</w:t>
      </w:r>
      <w:r>
        <w:rPr>
          <w:spacing w:val="-5"/>
        </w:rPr>
        <w:t xml:space="preserve"> </w:t>
      </w:r>
      <w:r>
        <w:t>Commission</w:t>
      </w:r>
      <w:r>
        <w:rPr>
          <w:spacing w:val="-2"/>
        </w:rPr>
        <w:t xml:space="preserve"> </w:t>
      </w:r>
      <w:r>
        <w:t>is</w:t>
      </w:r>
      <w:r>
        <w:rPr>
          <w:spacing w:val="-3"/>
        </w:rPr>
        <w:t xml:space="preserve"> </w:t>
      </w:r>
      <w:r>
        <w:t>a</w:t>
      </w:r>
      <w:r>
        <w:rPr>
          <w:spacing w:val="-2"/>
        </w:rPr>
        <w:t xml:space="preserve"> </w:t>
      </w:r>
      <w:r>
        <w:t>trusted</w:t>
      </w:r>
      <w:r>
        <w:rPr>
          <w:spacing w:val="-2"/>
        </w:rPr>
        <w:t xml:space="preserve"> </w:t>
      </w:r>
      <w:r>
        <w:t>national</w:t>
      </w:r>
      <w:r>
        <w:rPr>
          <w:spacing w:val="-3"/>
        </w:rPr>
        <w:t xml:space="preserve"> </w:t>
      </w:r>
      <w:r>
        <w:t>steward</w:t>
      </w:r>
      <w:r>
        <w:rPr>
          <w:spacing w:val="-2"/>
        </w:rPr>
        <w:t xml:space="preserve"> </w:t>
      </w:r>
      <w:r>
        <w:t>of</w:t>
      </w:r>
      <w:r>
        <w:rPr>
          <w:spacing w:val="-3"/>
        </w:rPr>
        <w:t xml:space="preserve"> </w:t>
      </w:r>
      <w:r>
        <w:t>quality</w:t>
      </w:r>
      <w:r>
        <w:rPr>
          <w:spacing w:val="-2"/>
        </w:rPr>
        <w:t xml:space="preserve"> </w:t>
      </w:r>
      <w:r>
        <w:t>improvement</w:t>
      </w:r>
      <w:r>
        <w:rPr>
          <w:spacing w:val="-2"/>
        </w:rPr>
        <w:t xml:space="preserve"> </w:t>
      </w:r>
      <w:r>
        <w:t>for</w:t>
      </w:r>
      <w:r>
        <w:rPr>
          <w:spacing w:val="-3"/>
        </w:rPr>
        <w:t xml:space="preserve"> </w:t>
      </w:r>
      <w:r>
        <w:t>better</w:t>
      </w:r>
      <w:r>
        <w:rPr>
          <w:spacing w:val="-2"/>
        </w:rPr>
        <w:t xml:space="preserve"> </w:t>
      </w:r>
      <w:r>
        <w:t>health</w:t>
      </w:r>
      <w:r>
        <w:rPr>
          <w:spacing w:val="-2"/>
        </w:rPr>
        <w:t xml:space="preserve"> outcomes.</w:t>
      </w:r>
    </w:p>
    <w:p w14:paraId="2C8BF997" w14:textId="77777777" w:rsidR="009D54AF" w:rsidRDefault="00000000" w:rsidP="00E26787">
      <w:pPr>
        <w:pStyle w:val="BodyText"/>
        <w:spacing w:before="180" w:line="278" w:lineRule="auto"/>
        <w:ind w:left="142" w:right="284"/>
      </w:pPr>
      <w:r>
        <w:t>We</w:t>
      </w:r>
      <w:r>
        <w:rPr>
          <w:spacing w:val="-2"/>
        </w:rPr>
        <w:t xml:space="preserve"> </w:t>
      </w:r>
      <w:r>
        <w:t>collaborate</w:t>
      </w:r>
      <w:r>
        <w:rPr>
          <w:spacing w:val="-2"/>
        </w:rPr>
        <w:t xml:space="preserve"> </w:t>
      </w:r>
      <w:r>
        <w:t>with</w:t>
      </w:r>
      <w:r>
        <w:rPr>
          <w:spacing w:val="-2"/>
        </w:rPr>
        <w:t xml:space="preserve"> </w:t>
      </w:r>
      <w:r>
        <w:t>our</w:t>
      </w:r>
      <w:r>
        <w:rPr>
          <w:spacing w:val="-2"/>
        </w:rPr>
        <w:t xml:space="preserve"> </w:t>
      </w:r>
      <w:r>
        <w:t>key</w:t>
      </w:r>
      <w:r>
        <w:rPr>
          <w:spacing w:val="-2"/>
        </w:rPr>
        <w:t xml:space="preserve"> </w:t>
      </w:r>
      <w:r>
        <w:t>partners</w:t>
      </w:r>
      <w:r>
        <w:rPr>
          <w:spacing w:val="-2"/>
        </w:rPr>
        <w:t xml:space="preserve"> </w:t>
      </w:r>
      <w:r>
        <w:t>to</w:t>
      </w:r>
      <w:r>
        <w:rPr>
          <w:spacing w:val="-2"/>
        </w:rPr>
        <w:t xml:space="preserve"> </w:t>
      </w:r>
      <w:r>
        <w:t>drive</w:t>
      </w:r>
      <w:r>
        <w:rPr>
          <w:spacing w:val="-2"/>
        </w:rPr>
        <w:t xml:space="preserve"> </w:t>
      </w:r>
      <w:r>
        <w:t>the</w:t>
      </w:r>
      <w:r>
        <w:rPr>
          <w:spacing w:val="-2"/>
        </w:rPr>
        <w:t xml:space="preserve"> </w:t>
      </w:r>
      <w:r>
        <w:t>delivery</w:t>
      </w:r>
      <w:r>
        <w:rPr>
          <w:spacing w:val="-2"/>
        </w:rPr>
        <w:t xml:space="preserve"> </w:t>
      </w:r>
      <w:r>
        <w:t>of</w:t>
      </w:r>
      <w:r>
        <w:rPr>
          <w:spacing w:val="-2"/>
        </w:rPr>
        <w:t xml:space="preserve"> </w:t>
      </w:r>
      <w:r>
        <w:t>excellent</w:t>
      </w:r>
      <w:r>
        <w:rPr>
          <w:spacing w:val="-2"/>
        </w:rPr>
        <w:t xml:space="preserve"> </w:t>
      </w:r>
      <w:r>
        <w:t>health</w:t>
      </w:r>
      <w:r>
        <w:rPr>
          <w:spacing w:val="-2"/>
        </w:rPr>
        <w:t xml:space="preserve"> </w:t>
      </w:r>
      <w:r>
        <w:t>care</w:t>
      </w:r>
      <w:r>
        <w:rPr>
          <w:spacing w:val="-2"/>
        </w:rPr>
        <w:t xml:space="preserve"> </w:t>
      </w:r>
      <w:r>
        <w:t>across</w:t>
      </w:r>
      <w:r>
        <w:rPr>
          <w:spacing w:val="-2"/>
        </w:rPr>
        <w:t xml:space="preserve"> </w:t>
      </w:r>
      <w:r>
        <w:t>the</w:t>
      </w:r>
      <w:r>
        <w:rPr>
          <w:spacing w:val="-2"/>
        </w:rPr>
        <w:t xml:space="preserve"> </w:t>
      </w:r>
      <w:r>
        <w:t>health</w:t>
      </w:r>
      <w:r>
        <w:rPr>
          <w:spacing w:val="-2"/>
        </w:rPr>
        <w:t xml:space="preserve"> </w:t>
      </w:r>
      <w:r>
        <w:t>system and patient journey.</w:t>
      </w:r>
    </w:p>
    <w:p w14:paraId="10F2DA45" w14:textId="77777777" w:rsidR="009D54AF" w:rsidRDefault="00000000">
      <w:pPr>
        <w:pStyle w:val="BodyText"/>
        <w:spacing w:before="141" w:line="278" w:lineRule="auto"/>
        <w:ind w:left="142" w:right="448"/>
      </w:pPr>
      <w:r>
        <w:t>We</w:t>
      </w:r>
      <w:r>
        <w:rPr>
          <w:spacing w:val="-2"/>
        </w:rPr>
        <w:t xml:space="preserve"> </w:t>
      </w:r>
      <w:r>
        <w:t>harness</w:t>
      </w:r>
      <w:r>
        <w:rPr>
          <w:spacing w:val="-2"/>
        </w:rPr>
        <w:t xml:space="preserve"> </w:t>
      </w:r>
      <w:r>
        <w:t>evidence</w:t>
      </w:r>
      <w:r>
        <w:rPr>
          <w:spacing w:val="-2"/>
        </w:rPr>
        <w:t xml:space="preserve"> </w:t>
      </w:r>
      <w:r>
        <w:t>and</w:t>
      </w:r>
      <w:r>
        <w:rPr>
          <w:spacing w:val="-2"/>
        </w:rPr>
        <w:t xml:space="preserve"> </w:t>
      </w:r>
      <w:r>
        <w:t>the</w:t>
      </w:r>
      <w:r>
        <w:rPr>
          <w:spacing w:val="-2"/>
        </w:rPr>
        <w:t xml:space="preserve"> </w:t>
      </w:r>
      <w:r>
        <w:t>patient</w:t>
      </w:r>
      <w:r>
        <w:rPr>
          <w:spacing w:val="-2"/>
        </w:rPr>
        <w:t xml:space="preserve"> </w:t>
      </w:r>
      <w:r>
        <w:t>voice</w:t>
      </w:r>
      <w:r>
        <w:rPr>
          <w:spacing w:val="-2"/>
        </w:rPr>
        <w:t xml:space="preserve"> </w:t>
      </w:r>
      <w:r>
        <w:t>to</w:t>
      </w:r>
      <w:r>
        <w:rPr>
          <w:spacing w:val="-2"/>
        </w:rPr>
        <w:t xml:space="preserve"> </w:t>
      </w:r>
      <w:r>
        <w:t>inform</w:t>
      </w:r>
      <w:r>
        <w:rPr>
          <w:spacing w:val="-2"/>
        </w:rPr>
        <w:t xml:space="preserve"> </w:t>
      </w:r>
      <w:r>
        <w:t>the</w:t>
      </w:r>
      <w:r>
        <w:rPr>
          <w:spacing w:val="-2"/>
        </w:rPr>
        <w:t xml:space="preserve"> </w:t>
      </w:r>
      <w:r>
        <w:t>delivery</w:t>
      </w:r>
      <w:r>
        <w:rPr>
          <w:spacing w:val="-2"/>
        </w:rPr>
        <w:t xml:space="preserve"> </w:t>
      </w:r>
      <w:r>
        <w:t>of</w:t>
      </w:r>
      <w:r>
        <w:rPr>
          <w:spacing w:val="-2"/>
        </w:rPr>
        <w:t xml:space="preserve"> </w:t>
      </w:r>
      <w:r>
        <w:t>high-quality,</w:t>
      </w:r>
      <w:r>
        <w:rPr>
          <w:spacing w:val="-2"/>
        </w:rPr>
        <w:t xml:space="preserve"> </w:t>
      </w:r>
      <w:r>
        <w:t>equitable</w:t>
      </w:r>
      <w:r>
        <w:rPr>
          <w:spacing w:val="-2"/>
        </w:rPr>
        <w:t xml:space="preserve"> </w:t>
      </w:r>
      <w:r>
        <w:t>and</w:t>
      </w:r>
      <w:r>
        <w:rPr>
          <w:spacing w:val="-2"/>
        </w:rPr>
        <w:t xml:space="preserve"> </w:t>
      </w:r>
      <w:r>
        <w:t>sustainable person-</w:t>
      </w:r>
      <w:proofErr w:type="spellStart"/>
      <w:r>
        <w:t>centred</w:t>
      </w:r>
      <w:proofErr w:type="spellEnd"/>
      <w:r>
        <w:t xml:space="preserve"> health care.</w:t>
      </w:r>
    </w:p>
    <w:p w14:paraId="1CACDCE8" w14:textId="77777777" w:rsidR="009D54AF" w:rsidRDefault="00000000" w:rsidP="00E26787">
      <w:pPr>
        <w:pStyle w:val="BodyText"/>
        <w:spacing w:before="180" w:line="278" w:lineRule="auto"/>
        <w:ind w:left="142" w:right="284"/>
      </w:pPr>
      <w:bookmarkStart w:id="8" w:name="_bookmark1"/>
      <w:bookmarkEnd w:id="8"/>
      <w:r>
        <w:t>We</w:t>
      </w:r>
      <w:r>
        <w:rPr>
          <w:spacing w:val="-2"/>
        </w:rPr>
        <w:t xml:space="preserve"> </w:t>
      </w:r>
      <w:proofErr w:type="spellStart"/>
      <w:r>
        <w:t>prioritise</w:t>
      </w:r>
      <w:proofErr w:type="spellEnd"/>
      <w:r>
        <w:rPr>
          <w:spacing w:val="-2"/>
        </w:rPr>
        <w:t xml:space="preserve"> </w:t>
      </w:r>
      <w:r>
        <w:t>leadership</w:t>
      </w:r>
      <w:r>
        <w:rPr>
          <w:spacing w:val="-2"/>
        </w:rPr>
        <w:t xml:space="preserve"> </w:t>
      </w:r>
      <w:r>
        <w:t>by</w:t>
      </w:r>
      <w:r>
        <w:rPr>
          <w:spacing w:val="-2"/>
        </w:rPr>
        <w:t xml:space="preserve"> </w:t>
      </w:r>
      <w:r>
        <w:t>Aboriginal</w:t>
      </w:r>
      <w:r>
        <w:rPr>
          <w:spacing w:val="-2"/>
        </w:rPr>
        <w:t xml:space="preserve"> </w:t>
      </w:r>
      <w:r>
        <w:t>and</w:t>
      </w:r>
      <w:r>
        <w:rPr>
          <w:spacing w:val="-2"/>
        </w:rPr>
        <w:t xml:space="preserve"> </w:t>
      </w:r>
      <w:r>
        <w:t>Torres</w:t>
      </w:r>
      <w:r>
        <w:rPr>
          <w:spacing w:val="-2"/>
        </w:rPr>
        <w:t xml:space="preserve"> </w:t>
      </w:r>
      <w:r>
        <w:t>Strait</w:t>
      </w:r>
      <w:r>
        <w:rPr>
          <w:spacing w:val="-2"/>
        </w:rPr>
        <w:t xml:space="preserve"> </w:t>
      </w:r>
      <w:r>
        <w:t>Islander</w:t>
      </w:r>
      <w:r>
        <w:rPr>
          <w:spacing w:val="-2"/>
        </w:rPr>
        <w:t xml:space="preserve"> </w:t>
      </w:r>
      <w:r>
        <w:t>peoples</w:t>
      </w:r>
      <w:r>
        <w:rPr>
          <w:spacing w:val="-2"/>
        </w:rPr>
        <w:t xml:space="preserve"> </w:t>
      </w:r>
      <w:r>
        <w:t>and</w:t>
      </w:r>
      <w:r>
        <w:rPr>
          <w:spacing w:val="-2"/>
        </w:rPr>
        <w:t xml:space="preserve"> </w:t>
      </w:r>
      <w:r>
        <w:t>communities</w:t>
      </w:r>
      <w:r>
        <w:rPr>
          <w:spacing w:val="-2"/>
        </w:rPr>
        <w:t xml:space="preserve"> </w:t>
      </w:r>
      <w:r>
        <w:t>to</w:t>
      </w:r>
      <w:r>
        <w:rPr>
          <w:spacing w:val="-2"/>
        </w:rPr>
        <w:t xml:space="preserve"> </w:t>
      </w:r>
      <w:r>
        <w:t>support culturally safe care.</w:t>
      </w:r>
    </w:p>
    <w:p w14:paraId="5BB2B236" w14:textId="77777777" w:rsidR="009D54AF" w:rsidRDefault="009D54AF">
      <w:pPr>
        <w:pStyle w:val="BodyText"/>
        <w:spacing w:line="278" w:lineRule="auto"/>
      </w:pPr>
    </w:p>
    <w:p w14:paraId="2EA36016" w14:textId="77777777" w:rsidR="00E26787" w:rsidRDefault="00E26787">
      <w:pPr>
        <w:pStyle w:val="BodyText"/>
        <w:spacing w:line="278" w:lineRule="auto"/>
        <w:sectPr w:rsidR="00E26787">
          <w:pgSz w:w="11910" w:h="16840"/>
          <w:pgMar w:top="720" w:right="708" w:bottom="280" w:left="708" w:header="720" w:footer="720" w:gutter="0"/>
          <w:cols w:space="720"/>
        </w:sectPr>
      </w:pPr>
    </w:p>
    <w:p w14:paraId="4CAA017C" w14:textId="77777777" w:rsidR="009D54AF" w:rsidRDefault="00000000">
      <w:pPr>
        <w:pStyle w:val="Heading1"/>
        <w:spacing w:before="63"/>
      </w:pPr>
      <w:bookmarkStart w:id="9" w:name="_Report_from_the"/>
      <w:bookmarkStart w:id="10" w:name="_Toc243037267"/>
      <w:bookmarkEnd w:id="9"/>
      <w:r>
        <w:lastRenderedPageBreak/>
        <w:t>Report</w:t>
      </w:r>
      <w:r>
        <w:rPr>
          <w:spacing w:val="-23"/>
        </w:rPr>
        <w:t xml:space="preserve"> </w:t>
      </w:r>
      <w:r>
        <w:t>from</w:t>
      </w:r>
      <w:r>
        <w:rPr>
          <w:spacing w:val="-23"/>
        </w:rPr>
        <w:t xml:space="preserve"> </w:t>
      </w:r>
      <w:r>
        <w:t>the</w:t>
      </w:r>
      <w:r>
        <w:rPr>
          <w:spacing w:val="-23"/>
        </w:rPr>
        <w:t xml:space="preserve"> </w:t>
      </w:r>
      <w:r>
        <w:rPr>
          <w:spacing w:val="-4"/>
        </w:rPr>
        <w:t>Chair</w:t>
      </w:r>
      <w:bookmarkEnd w:id="10"/>
    </w:p>
    <w:p w14:paraId="3107D58E" w14:textId="77777777" w:rsidR="009D54AF" w:rsidRDefault="00000000">
      <w:pPr>
        <w:pStyle w:val="Heading8"/>
        <w:spacing w:before="171"/>
        <w:ind w:left="142"/>
      </w:pPr>
      <w:r>
        <w:t>Professor</w:t>
      </w:r>
      <w:r>
        <w:rPr>
          <w:spacing w:val="-6"/>
        </w:rPr>
        <w:t xml:space="preserve"> </w:t>
      </w:r>
      <w:r>
        <w:t>Christine</w:t>
      </w:r>
      <w:r>
        <w:rPr>
          <w:spacing w:val="-4"/>
        </w:rPr>
        <w:t xml:space="preserve"> </w:t>
      </w:r>
      <w:r>
        <w:t>Kilpatrick</w:t>
      </w:r>
      <w:r>
        <w:rPr>
          <w:spacing w:val="-4"/>
        </w:rPr>
        <w:t xml:space="preserve"> </w:t>
      </w:r>
      <w:r>
        <w:rPr>
          <w:spacing w:val="-5"/>
        </w:rPr>
        <w:t>AO</w:t>
      </w:r>
    </w:p>
    <w:p w14:paraId="14986475" w14:textId="77777777" w:rsidR="009D54AF" w:rsidRDefault="009D54AF">
      <w:pPr>
        <w:pStyle w:val="BodyText"/>
        <w:spacing w:before="41"/>
        <w:rPr>
          <w:b/>
          <w:sz w:val="24"/>
        </w:rPr>
      </w:pPr>
    </w:p>
    <w:p w14:paraId="35529500" w14:textId="77777777" w:rsidR="009D54AF" w:rsidRDefault="00000000">
      <w:pPr>
        <w:pStyle w:val="Heading9"/>
        <w:spacing w:before="0" w:line="268" w:lineRule="auto"/>
      </w:pPr>
      <w:r>
        <w:t>The</w:t>
      </w:r>
      <w:r>
        <w:rPr>
          <w:spacing w:val="-10"/>
        </w:rPr>
        <w:t xml:space="preserve"> </w:t>
      </w:r>
      <w:r>
        <w:t>Commission</w:t>
      </w:r>
      <w:r>
        <w:rPr>
          <w:spacing w:val="-10"/>
        </w:rPr>
        <w:t xml:space="preserve"> </w:t>
      </w:r>
      <w:r>
        <w:t>continued</w:t>
      </w:r>
      <w:r>
        <w:rPr>
          <w:spacing w:val="-10"/>
        </w:rPr>
        <w:t xml:space="preserve"> </w:t>
      </w:r>
      <w:r>
        <w:t>to</w:t>
      </w:r>
      <w:r>
        <w:rPr>
          <w:spacing w:val="-10"/>
        </w:rPr>
        <w:t xml:space="preserve"> </w:t>
      </w:r>
      <w:r>
        <w:t>provide</w:t>
      </w:r>
      <w:r>
        <w:rPr>
          <w:spacing w:val="-10"/>
        </w:rPr>
        <w:t xml:space="preserve"> </w:t>
      </w:r>
      <w:r>
        <w:t>trusted</w:t>
      </w:r>
      <w:r>
        <w:rPr>
          <w:spacing w:val="-10"/>
        </w:rPr>
        <w:t xml:space="preserve"> </w:t>
      </w:r>
      <w:r>
        <w:t>national</w:t>
      </w:r>
      <w:r>
        <w:rPr>
          <w:spacing w:val="-10"/>
        </w:rPr>
        <w:t xml:space="preserve"> </w:t>
      </w:r>
      <w:r>
        <w:t>leadership</w:t>
      </w:r>
      <w:r>
        <w:rPr>
          <w:spacing w:val="-10"/>
        </w:rPr>
        <w:t xml:space="preserve"> </w:t>
      </w:r>
      <w:r>
        <w:t>in</w:t>
      </w:r>
      <w:r>
        <w:rPr>
          <w:spacing w:val="-10"/>
        </w:rPr>
        <w:t xml:space="preserve"> </w:t>
      </w:r>
      <w:r>
        <w:t>supporting</w:t>
      </w:r>
      <w:r>
        <w:rPr>
          <w:spacing w:val="-10"/>
        </w:rPr>
        <w:t xml:space="preserve"> </w:t>
      </w:r>
      <w:r>
        <w:t>safe,</w:t>
      </w:r>
      <w:r>
        <w:rPr>
          <w:spacing w:val="-10"/>
        </w:rPr>
        <w:t xml:space="preserve"> </w:t>
      </w:r>
      <w:r>
        <w:t>high-quality and evidence-based health care across Australia.</w:t>
      </w:r>
    </w:p>
    <w:p w14:paraId="3C2AF931" w14:textId="77777777" w:rsidR="009D54AF" w:rsidRDefault="009D54AF">
      <w:pPr>
        <w:pStyle w:val="BodyText"/>
        <w:spacing w:before="7"/>
        <w:rPr>
          <w:sz w:val="24"/>
        </w:rPr>
      </w:pPr>
    </w:p>
    <w:p w14:paraId="57A69E9F" w14:textId="77777777" w:rsidR="009D54AF" w:rsidRDefault="00000000">
      <w:pPr>
        <w:pStyle w:val="BodyText"/>
        <w:spacing w:before="1" w:line="278" w:lineRule="auto"/>
        <w:ind w:left="142" w:right="486"/>
      </w:pPr>
      <w:r>
        <w:t>Over the past year, the Board and I have been pleased to contribute to the Commission’s strategic direction during an important period of change for the health system. This year the Commission released its new Strategic Plan 2025–2030, setting a clear direction for our work in high-quality care in an evolving environment,</w:t>
      </w:r>
      <w:r>
        <w:rPr>
          <w:spacing w:val="-2"/>
        </w:rPr>
        <w:t xml:space="preserve"> </w:t>
      </w:r>
      <w:r>
        <w:t>strong</w:t>
      </w:r>
      <w:r>
        <w:rPr>
          <w:spacing w:val="-2"/>
        </w:rPr>
        <w:t xml:space="preserve"> </w:t>
      </w:r>
      <w:r>
        <w:t>outcome-focused</w:t>
      </w:r>
      <w:r>
        <w:rPr>
          <w:spacing w:val="-2"/>
        </w:rPr>
        <w:t xml:space="preserve"> </w:t>
      </w:r>
      <w:r>
        <w:t>clinical</w:t>
      </w:r>
      <w:r>
        <w:rPr>
          <w:spacing w:val="-2"/>
        </w:rPr>
        <w:t xml:space="preserve"> </w:t>
      </w:r>
      <w:r>
        <w:t>governance,</w:t>
      </w:r>
      <w:r>
        <w:rPr>
          <w:spacing w:val="-2"/>
        </w:rPr>
        <w:t xml:space="preserve"> </w:t>
      </w:r>
      <w:r>
        <w:t>empowered</w:t>
      </w:r>
      <w:r>
        <w:rPr>
          <w:spacing w:val="-2"/>
        </w:rPr>
        <w:t xml:space="preserve"> </w:t>
      </w:r>
      <w:r>
        <w:t>patients,</w:t>
      </w:r>
      <w:r>
        <w:rPr>
          <w:spacing w:val="-2"/>
        </w:rPr>
        <w:t xml:space="preserve"> </w:t>
      </w:r>
      <w:r>
        <w:t>carers</w:t>
      </w:r>
      <w:r>
        <w:rPr>
          <w:spacing w:val="-2"/>
        </w:rPr>
        <w:t xml:space="preserve"> </w:t>
      </w:r>
      <w:r>
        <w:t>and</w:t>
      </w:r>
      <w:r>
        <w:rPr>
          <w:spacing w:val="-2"/>
        </w:rPr>
        <w:t xml:space="preserve"> </w:t>
      </w:r>
      <w:r>
        <w:t>communities, and an improvement-driven workforce.</w:t>
      </w:r>
    </w:p>
    <w:p w14:paraId="2E202117" w14:textId="77777777" w:rsidR="009D54AF" w:rsidRDefault="00000000">
      <w:pPr>
        <w:pStyle w:val="BodyText"/>
        <w:spacing w:before="141" w:line="278" w:lineRule="auto"/>
        <w:ind w:left="142" w:right="285"/>
      </w:pPr>
      <w:r>
        <w:t xml:space="preserve">The Strategic Plan </w:t>
      </w:r>
      <w:proofErr w:type="spellStart"/>
      <w:r>
        <w:t>recognises</w:t>
      </w:r>
      <w:proofErr w:type="spellEnd"/>
      <w:r>
        <w:t xml:space="preserve"> that the health system is changing rapidly. New models of care, digitally enabled services, artificial intelligence (AI), workforce pressures, climate-related risks and changing community</w:t>
      </w:r>
      <w:r>
        <w:rPr>
          <w:spacing w:val="-3"/>
        </w:rPr>
        <w:t xml:space="preserve"> </w:t>
      </w:r>
      <w:r>
        <w:t>expectations</w:t>
      </w:r>
      <w:r>
        <w:rPr>
          <w:spacing w:val="-3"/>
        </w:rPr>
        <w:t xml:space="preserve"> </w:t>
      </w:r>
      <w:r>
        <w:t>all</w:t>
      </w:r>
      <w:r>
        <w:rPr>
          <w:spacing w:val="-3"/>
        </w:rPr>
        <w:t xml:space="preserve"> </w:t>
      </w:r>
      <w:r>
        <w:t>require</w:t>
      </w:r>
      <w:r>
        <w:rPr>
          <w:spacing w:val="-3"/>
        </w:rPr>
        <w:t xml:space="preserve"> </w:t>
      </w:r>
      <w:r>
        <w:t>a</w:t>
      </w:r>
      <w:r>
        <w:rPr>
          <w:spacing w:val="-3"/>
        </w:rPr>
        <w:t xml:space="preserve"> </w:t>
      </w:r>
      <w:r>
        <w:t>coordinated</w:t>
      </w:r>
      <w:r>
        <w:rPr>
          <w:spacing w:val="-3"/>
        </w:rPr>
        <w:t xml:space="preserve"> </w:t>
      </w:r>
      <w:r>
        <w:t>national</w:t>
      </w:r>
      <w:r>
        <w:rPr>
          <w:spacing w:val="-3"/>
        </w:rPr>
        <w:t xml:space="preserve"> </w:t>
      </w:r>
      <w:r>
        <w:t>approach</w:t>
      </w:r>
      <w:r>
        <w:rPr>
          <w:spacing w:val="-3"/>
        </w:rPr>
        <w:t xml:space="preserve"> </w:t>
      </w:r>
      <w:r>
        <w:t>to</w:t>
      </w:r>
      <w:r>
        <w:rPr>
          <w:spacing w:val="-3"/>
        </w:rPr>
        <w:t xml:space="preserve"> </w:t>
      </w:r>
      <w:r>
        <w:t>safety</w:t>
      </w:r>
      <w:r>
        <w:rPr>
          <w:spacing w:val="-3"/>
        </w:rPr>
        <w:t xml:space="preserve"> </w:t>
      </w:r>
      <w:r>
        <w:t>and</w:t>
      </w:r>
      <w:r>
        <w:rPr>
          <w:spacing w:val="-3"/>
        </w:rPr>
        <w:t xml:space="preserve"> </w:t>
      </w:r>
      <w:r>
        <w:t>quality.</w:t>
      </w:r>
      <w:r>
        <w:rPr>
          <w:spacing w:val="-3"/>
        </w:rPr>
        <w:t xml:space="preserve"> </w:t>
      </w:r>
      <w:r>
        <w:t>The</w:t>
      </w:r>
      <w:r>
        <w:rPr>
          <w:spacing w:val="-3"/>
        </w:rPr>
        <w:t xml:space="preserve"> </w:t>
      </w:r>
      <w:r>
        <w:t xml:space="preserve">Commission’s role is to support the health system to respond to these changes while keeping patients, carers and communities at the </w:t>
      </w:r>
      <w:proofErr w:type="spellStart"/>
      <w:r>
        <w:t>centre</w:t>
      </w:r>
      <w:proofErr w:type="spellEnd"/>
      <w:r>
        <w:t xml:space="preserve"> of care.</w:t>
      </w:r>
    </w:p>
    <w:p w14:paraId="21A23557" w14:textId="77777777" w:rsidR="009D54AF" w:rsidRDefault="00000000">
      <w:pPr>
        <w:pStyle w:val="BodyText"/>
        <w:spacing w:before="141" w:line="278" w:lineRule="auto"/>
        <w:ind w:left="142"/>
      </w:pPr>
      <w:r>
        <w:t>With a renewed focus on high-quality health care that is delivered consistently, reliably and equitably for all Australians,</w:t>
      </w:r>
      <w:r>
        <w:rPr>
          <w:spacing w:val="-1"/>
        </w:rPr>
        <w:t xml:space="preserve"> </w:t>
      </w:r>
      <w:r>
        <w:t>the</w:t>
      </w:r>
      <w:r>
        <w:rPr>
          <w:spacing w:val="-1"/>
        </w:rPr>
        <w:t xml:space="preserve"> </w:t>
      </w:r>
      <w:r>
        <w:t>Commission</w:t>
      </w:r>
      <w:r>
        <w:rPr>
          <w:spacing w:val="-1"/>
        </w:rPr>
        <w:t xml:space="preserve"> </w:t>
      </w:r>
      <w:r>
        <w:t>strives</w:t>
      </w:r>
      <w:r>
        <w:rPr>
          <w:spacing w:val="-1"/>
        </w:rPr>
        <w:t xml:space="preserve"> </w:t>
      </w:r>
      <w:r>
        <w:t>for</w:t>
      </w:r>
      <w:r>
        <w:rPr>
          <w:spacing w:val="-1"/>
        </w:rPr>
        <w:t xml:space="preserve"> </w:t>
      </w:r>
      <w:r>
        <w:t>strong</w:t>
      </w:r>
      <w:r>
        <w:rPr>
          <w:spacing w:val="-1"/>
        </w:rPr>
        <w:t xml:space="preserve"> </w:t>
      </w:r>
      <w:r>
        <w:t>clinical</w:t>
      </w:r>
      <w:r>
        <w:rPr>
          <w:spacing w:val="-1"/>
        </w:rPr>
        <w:t xml:space="preserve"> </w:t>
      </w:r>
      <w:r>
        <w:t>governance,</w:t>
      </w:r>
      <w:r>
        <w:rPr>
          <w:spacing w:val="-1"/>
        </w:rPr>
        <w:t xml:space="preserve"> </w:t>
      </w:r>
      <w:r>
        <w:t>and</w:t>
      </w:r>
      <w:r>
        <w:rPr>
          <w:spacing w:val="-1"/>
        </w:rPr>
        <w:t xml:space="preserve"> </w:t>
      </w:r>
      <w:r>
        <w:t>greater</w:t>
      </w:r>
      <w:r>
        <w:rPr>
          <w:spacing w:val="-1"/>
        </w:rPr>
        <w:t xml:space="preserve"> </w:t>
      </w:r>
      <w:r>
        <w:t>connection</w:t>
      </w:r>
      <w:r>
        <w:rPr>
          <w:spacing w:val="-1"/>
        </w:rPr>
        <w:t xml:space="preserve"> </w:t>
      </w:r>
      <w:r>
        <w:t>across</w:t>
      </w:r>
      <w:r>
        <w:rPr>
          <w:spacing w:val="-1"/>
        </w:rPr>
        <w:t xml:space="preserve"> </w:t>
      </w:r>
      <w:r>
        <w:t>the</w:t>
      </w:r>
      <w:r>
        <w:rPr>
          <w:spacing w:val="-1"/>
        </w:rPr>
        <w:t xml:space="preserve"> </w:t>
      </w:r>
      <w:r>
        <w:t xml:space="preserve">health </w:t>
      </w:r>
      <w:r>
        <w:rPr>
          <w:spacing w:val="-2"/>
        </w:rPr>
        <w:t>system.</w:t>
      </w:r>
    </w:p>
    <w:p w14:paraId="66E5171B" w14:textId="77777777" w:rsidR="009D54AF" w:rsidRDefault="00000000">
      <w:pPr>
        <w:pStyle w:val="BodyText"/>
        <w:spacing w:before="141"/>
        <w:ind w:left="142"/>
      </w:pPr>
      <w:r>
        <w:t>The</w:t>
      </w:r>
      <w:r>
        <w:rPr>
          <w:spacing w:val="-4"/>
        </w:rPr>
        <w:t xml:space="preserve"> </w:t>
      </w:r>
      <w:r>
        <w:t>Commission’s</w:t>
      </w:r>
      <w:r>
        <w:rPr>
          <w:spacing w:val="-2"/>
        </w:rPr>
        <w:t xml:space="preserve"> </w:t>
      </w:r>
      <w:r>
        <w:t>work</w:t>
      </w:r>
      <w:r>
        <w:rPr>
          <w:spacing w:val="-2"/>
        </w:rPr>
        <w:t xml:space="preserve"> </w:t>
      </w:r>
      <w:r>
        <w:t>will</w:t>
      </w:r>
      <w:r>
        <w:rPr>
          <w:spacing w:val="-2"/>
        </w:rPr>
        <w:t xml:space="preserve"> </w:t>
      </w:r>
      <w:r>
        <w:t>be</w:t>
      </w:r>
      <w:r>
        <w:rPr>
          <w:spacing w:val="-2"/>
        </w:rPr>
        <w:t xml:space="preserve"> </w:t>
      </w:r>
      <w:r>
        <w:t>shaped</w:t>
      </w:r>
      <w:r>
        <w:rPr>
          <w:spacing w:val="-2"/>
        </w:rPr>
        <w:t xml:space="preserve"> </w:t>
      </w:r>
      <w:r>
        <w:t>by</w:t>
      </w:r>
      <w:r>
        <w:rPr>
          <w:spacing w:val="-2"/>
        </w:rPr>
        <w:t xml:space="preserve"> </w:t>
      </w:r>
      <w:r>
        <w:t>data</w:t>
      </w:r>
      <w:r>
        <w:rPr>
          <w:spacing w:val="-2"/>
        </w:rPr>
        <w:t xml:space="preserve"> </w:t>
      </w:r>
      <w:r>
        <w:t>and</w:t>
      </w:r>
      <w:r>
        <w:rPr>
          <w:spacing w:val="-2"/>
        </w:rPr>
        <w:t xml:space="preserve"> </w:t>
      </w:r>
      <w:r>
        <w:t>evidence</w:t>
      </w:r>
      <w:r>
        <w:rPr>
          <w:spacing w:val="-2"/>
        </w:rPr>
        <w:t xml:space="preserve"> </w:t>
      </w:r>
      <w:r>
        <w:t>and</w:t>
      </w:r>
      <w:r>
        <w:rPr>
          <w:spacing w:val="-2"/>
        </w:rPr>
        <w:t xml:space="preserve"> </w:t>
      </w:r>
      <w:r>
        <w:t>focus</w:t>
      </w:r>
      <w:r>
        <w:rPr>
          <w:spacing w:val="-2"/>
        </w:rPr>
        <w:t xml:space="preserve"> </w:t>
      </w:r>
      <w:r>
        <w:t>on</w:t>
      </w:r>
      <w:r>
        <w:rPr>
          <w:spacing w:val="-2"/>
        </w:rPr>
        <w:t xml:space="preserve"> </w:t>
      </w:r>
      <w:r>
        <w:t>measuring</w:t>
      </w:r>
      <w:r>
        <w:rPr>
          <w:spacing w:val="-2"/>
        </w:rPr>
        <w:t xml:space="preserve"> outcomes.</w:t>
      </w:r>
    </w:p>
    <w:p w14:paraId="7DB4521A" w14:textId="77777777" w:rsidR="009D54AF" w:rsidRDefault="00000000">
      <w:pPr>
        <w:pStyle w:val="BodyText"/>
        <w:spacing w:before="181" w:line="278" w:lineRule="auto"/>
        <w:ind w:left="142" w:right="285"/>
      </w:pPr>
      <w:r>
        <w:t>A</w:t>
      </w:r>
      <w:r>
        <w:rPr>
          <w:spacing w:val="-3"/>
        </w:rPr>
        <w:t xml:space="preserve"> </w:t>
      </w:r>
      <w:r>
        <w:t>major</w:t>
      </w:r>
      <w:r>
        <w:rPr>
          <w:spacing w:val="-3"/>
        </w:rPr>
        <w:t xml:space="preserve"> </w:t>
      </w:r>
      <w:r>
        <w:t>achievement</w:t>
      </w:r>
      <w:r>
        <w:rPr>
          <w:spacing w:val="-3"/>
        </w:rPr>
        <w:t xml:space="preserve"> </w:t>
      </w:r>
      <w:r>
        <w:t>this</w:t>
      </w:r>
      <w:r>
        <w:rPr>
          <w:spacing w:val="-3"/>
        </w:rPr>
        <w:t xml:space="preserve"> </w:t>
      </w:r>
      <w:r>
        <w:t>year</w:t>
      </w:r>
      <w:r>
        <w:rPr>
          <w:spacing w:val="-3"/>
        </w:rPr>
        <w:t xml:space="preserve"> </w:t>
      </w:r>
      <w:r>
        <w:t>was</w:t>
      </w:r>
      <w:r>
        <w:rPr>
          <w:spacing w:val="-3"/>
        </w:rPr>
        <w:t xml:space="preserve"> </w:t>
      </w:r>
      <w:r>
        <w:t>the</w:t>
      </w:r>
      <w:r>
        <w:rPr>
          <w:spacing w:val="-3"/>
        </w:rPr>
        <w:t xml:space="preserve"> </w:t>
      </w:r>
      <w:r>
        <w:t>release</w:t>
      </w:r>
      <w:r>
        <w:rPr>
          <w:spacing w:val="-3"/>
        </w:rPr>
        <w:t xml:space="preserve"> </w:t>
      </w:r>
      <w:r>
        <w:t>of</w:t>
      </w:r>
      <w:r>
        <w:rPr>
          <w:spacing w:val="-3"/>
        </w:rPr>
        <w:t xml:space="preserve"> </w:t>
      </w:r>
      <w:r>
        <w:t>the</w:t>
      </w:r>
      <w:r>
        <w:rPr>
          <w:spacing w:val="-3"/>
        </w:rPr>
        <w:t xml:space="preserve"> </w:t>
      </w:r>
      <w:r>
        <w:rPr>
          <w:i/>
        </w:rPr>
        <w:t>National</w:t>
      </w:r>
      <w:r>
        <w:rPr>
          <w:i/>
          <w:spacing w:val="-3"/>
        </w:rPr>
        <w:t xml:space="preserve"> </w:t>
      </w:r>
      <w:r>
        <w:rPr>
          <w:i/>
        </w:rPr>
        <w:t>Model</w:t>
      </w:r>
      <w:r>
        <w:rPr>
          <w:i/>
          <w:spacing w:val="-3"/>
        </w:rPr>
        <w:t xml:space="preserve"> </w:t>
      </w:r>
      <w:r>
        <w:rPr>
          <w:i/>
        </w:rPr>
        <w:t>for</w:t>
      </w:r>
      <w:r>
        <w:rPr>
          <w:i/>
          <w:spacing w:val="-3"/>
        </w:rPr>
        <w:t xml:space="preserve"> </w:t>
      </w:r>
      <w:r>
        <w:rPr>
          <w:i/>
        </w:rPr>
        <w:t>Clinical</w:t>
      </w:r>
      <w:r>
        <w:rPr>
          <w:i/>
          <w:spacing w:val="-3"/>
        </w:rPr>
        <w:t xml:space="preserve"> </w:t>
      </w:r>
      <w:r>
        <w:rPr>
          <w:i/>
        </w:rPr>
        <w:t>Governance</w:t>
      </w:r>
      <w:r>
        <w:t>.</w:t>
      </w:r>
      <w:r>
        <w:rPr>
          <w:spacing w:val="-3"/>
        </w:rPr>
        <w:t xml:space="preserve"> </w:t>
      </w:r>
      <w:r>
        <w:t>I</w:t>
      </w:r>
      <w:r>
        <w:rPr>
          <w:spacing w:val="-3"/>
        </w:rPr>
        <w:t xml:space="preserve"> </w:t>
      </w:r>
      <w:r>
        <w:t>was</w:t>
      </w:r>
      <w:r>
        <w:rPr>
          <w:spacing w:val="-3"/>
        </w:rPr>
        <w:t xml:space="preserve"> </w:t>
      </w:r>
      <w:r>
        <w:t>pleased to contribute to this work through the Clinical Governance Advisory Committee. The model represents an important shift in how clinical governance is understood, led and embedded across the health system.</w:t>
      </w:r>
    </w:p>
    <w:p w14:paraId="09BEB3D9" w14:textId="77777777" w:rsidR="009D54AF" w:rsidRDefault="00000000">
      <w:pPr>
        <w:pStyle w:val="BodyText"/>
        <w:spacing w:line="278" w:lineRule="auto"/>
        <w:ind w:left="142"/>
      </w:pPr>
      <w:r>
        <w:t>It</w:t>
      </w:r>
      <w:r>
        <w:rPr>
          <w:spacing w:val="-2"/>
        </w:rPr>
        <w:t xml:space="preserve"> </w:t>
      </w:r>
      <w:r>
        <w:t>reinforces</w:t>
      </w:r>
      <w:r>
        <w:rPr>
          <w:spacing w:val="-2"/>
        </w:rPr>
        <w:t xml:space="preserve"> </w:t>
      </w:r>
      <w:r>
        <w:t>that</w:t>
      </w:r>
      <w:r>
        <w:rPr>
          <w:spacing w:val="-2"/>
        </w:rPr>
        <w:t xml:space="preserve"> </w:t>
      </w:r>
      <w:r>
        <w:t>clinical</w:t>
      </w:r>
      <w:r>
        <w:rPr>
          <w:spacing w:val="-2"/>
        </w:rPr>
        <w:t xml:space="preserve"> </w:t>
      </w:r>
      <w:r>
        <w:t>governance</w:t>
      </w:r>
      <w:r>
        <w:rPr>
          <w:spacing w:val="-2"/>
        </w:rPr>
        <w:t xml:space="preserve"> </w:t>
      </w:r>
      <w:r>
        <w:t>is</w:t>
      </w:r>
      <w:r>
        <w:rPr>
          <w:spacing w:val="-2"/>
        </w:rPr>
        <w:t xml:space="preserve"> </w:t>
      </w:r>
      <w:r>
        <w:t>not</w:t>
      </w:r>
      <w:r>
        <w:rPr>
          <w:spacing w:val="-2"/>
        </w:rPr>
        <w:t xml:space="preserve"> </w:t>
      </w:r>
      <w:r>
        <w:t>only</w:t>
      </w:r>
      <w:r>
        <w:rPr>
          <w:spacing w:val="-2"/>
        </w:rPr>
        <w:t xml:space="preserve"> </w:t>
      </w:r>
      <w:r>
        <w:t>a</w:t>
      </w:r>
      <w:r>
        <w:rPr>
          <w:spacing w:val="-2"/>
        </w:rPr>
        <w:t xml:space="preserve"> </w:t>
      </w:r>
      <w:r>
        <w:t>responsibility</w:t>
      </w:r>
      <w:r>
        <w:rPr>
          <w:spacing w:val="-2"/>
        </w:rPr>
        <w:t xml:space="preserve"> </w:t>
      </w:r>
      <w:r>
        <w:t>of</w:t>
      </w:r>
      <w:r>
        <w:rPr>
          <w:spacing w:val="-2"/>
        </w:rPr>
        <w:t xml:space="preserve"> </w:t>
      </w:r>
      <w:r>
        <w:t>boards</w:t>
      </w:r>
      <w:r>
        <w:rPr>
          <w:spacing w:val="-2"/>
        </w:rPr>
        <w:t xml:space="preserve"> </w:t>
      </w:r>
      <w:r>
        <w:t>and</w:t>
      </w:r>
      <w:r>
        <w:rPr>
          <w:spacing w:val="-2"/>
        </w:rPr>
        <w:t xml:space="preserve"> </w:t>
      </w:r>
      <w:r>
        <w:t>executives,</w:t>
      </w:r>
      <w:r>
        <w:rPr>
          <w:spacing w:val="-2"/>
        </w:rPr>
        <w:t xml:space="preserve"> </w:t>
      </w:r>
      <w:r>
        <w:t>but</w:t>
      </w:r>
      <w:r>
        <w:rPr>
          <w:spacing w:val="-2"/>
        </w:rPr>
        <w:t xml:space="preserve"> </w:t>
      </w:r>
      <w:r>
        <w:t>a</w:t>
      </w:r>
      <w:r>
        <w:rPr>
          <w:spacing w:val="-2"/>
        </w:rPr>
        <w:t xml:space="preserve"> </w:t>
      </w:r>
      <w:r>
        <w:t>shared responsibility at every level of a health service.</w:t>
      </w:r>
    </w:p>
    <w:p w14:paraId="74063DCE" w14:textId="77777777" w:rsidR="009D54AF" w:rsidRDefault="00000000">
      <w:pPr>
        <w:pStyle w:val="BodyText"/>
        <w:spacing w:before="141" w:line="278" w:lineRule="auto"/>
        <w:ind w:left="142" w:right="145"/>
      </w:pPr>
      <w:r>
        <w:t xml:space="preserve">The </w:t>
      </w:r>
      <w:r>
        <w:rPr>
          <w:i/>
        </w:rPr>
        <w:t xml:space="preserve">National Model for Clinical Governance </w:t>
      </w:r>
      <w:r>
        <w:t>supports a stronger and more consistent approach to accountability, leadership, risk management and continuous improvement. Its foundations align with the National</w:t>
      </w:r>
      <w:r>
        <w:rPr>
          <w:spacing w:val="-1"/>
        </w:rPr>
        <w:t xml:space="preserve"> </w:t>
      </w:r>
      <w:r>
        <w:t>Safety</w:t>
      </w:r>
      <w:r>
        <w:rPr>
          <w:spacing w:val="-1"/>
        </w:rPr>
        <w:t xml:space="preserve"> </w:t>
      </w:r>
      <w:r>
        <w:t>and</w:t>
      </w:r>
      <w:r>
        <w:rPr>
          <w:spacing w:val="-1"/>
        </w:rPr>
        <w:t xml:space="preserve"> </w:t>
      </w:r>
      <w:r>
        <w:t>Quality</w:t>
      </w:r>
      <w:r>
        <w:rPr>
          <w:spacing w:val="-1"/>
        </w:rPr>
        <w:t xml:space="preserve"> </w:t>
      </w:r>
      <w:r>
        <w:t>Health</w:t>
      </w:r>
      <w:r>
        <w:rPr>
          <w:spacing w:val="-1"/>
        </w:rPr>
        <w:t xml:space="preserve"> </w:t>
      </w:r>
      <w:r>
        <w:t>Service</w:t>
      </w:r>
      <w:r>
        <w:rPr>
          <w:spacing w:val="-1"/>
        </w:rPr>
        <w:t xml:space="preserve"> </w:t>
      </w:r>
      <w:r>
        <w:t>(NSQHS)</w:t>
      </w:r>
      <w:r>
        <w:rPr>
          <w:spacing w:val="-1"/>
        </w:rPr>
        <w:t xml:space="preserve"> </w:t>
      </w:r>
      <w:r>
        <w:t>Standards,</w:t>
      </w:r>
      <w:r>
        <w:rPr>
          <w:spacing w:val="-1"/>
        </w:rPr>
        <w:t xml:space="preserve"> </w:t>
      </w:r>
      <w:r>
        <w:t>including</w:t>
      </w:r>
      <w:r>
        <w:rPr>
          <w:spacing w:val="-1"/>
        </w:rPr>
        <w:t xml:space="preserve"> </w:t>
      </w:r>
      <w:r>
        <w:t>the</w:t>
      </w:r>
      <w:r>
        <w:rPr>
          <w:spacing w:val="-1"/>
        </w:rPr>
        <w:t xml:space="preserve"> </w:t>
      </w:r>
      <w:r>
        <w:t>Clinical</w:t>
      </w:r>
      <w:r>
        <w:rPr>
          <w:spacing w:val="-1"/>
        </w:rPr>
        <w:t xml:space="preserve"> </w:t>
      </w:r>
      <w:r>
        <w:t>Governance</w:t>
      </w:r>
      <w:r>
        <w:rPr>
          <w:spacing w:val="-1"/>
        </w:rPr>
        <w:t xml:space="preserve"> </w:t>
      </w:r>
      <w:r>
        <w:t>Standard, to help health services strengthen the systems that support safe, reliable and high-quality care.</w:t>
      </w:r>
    </w:p>
    <w:p w14:paraId="2E7E0DF6" w14:textId="77777777" w:rsidR="009D54AF" w:rsidRDefault="00000000">
      <w:pPr>
        <w:pStyle w:val="BodyText"/>
        <w:spacing w:before="141" w:line="278" w:lineRule="auto"/>
        <w:ind w:left="142" w:right="383"/>
        <w:jc w:val="both"/>
      </w:pPr>
      <w:r>
        <w:t>The Commission continued to provide national leadership to support digitally enabled care and responsible use</w:t>
      </w:r>
      <w:r>
        <w:rPr>
          <w:spacing w:val="-2"/>
        </w:rPr>
        <w:t xml:space="preserve"> </w:t>
      </w:r>
      <w:r>
        <w:t>of</w:t>
      </w:r>
      <w:r>
        <w:rPr>
          <w:spacing w:val="-2"/>
        </w:rPr>
        <w:t xml:space="preserve"> </w:t>
      </w:r>
      <w:r>
        <w:t>AI.</w:t>
      </w:r>
      <w:r>
        <w:rPr>
          <w:spacing w:val="-2"/>
        </w:rPr>
        <w:t xml:space="preserve"> </w:t>
      </w:r>
      <w:r>
        <w:t>Digitally</w:t>
      </w:r>
      <w:r>
        <w:rPr>
          <w:spacing w:val="-2"/>
        </w:rPr>
        <w:t xml:space="preserve"> </w:t>
      </w:r>
      <w:r>
        <w:t>enabled</w:t>
      </w:r>
      <w:r>
        <w:rPr>
          <w:spacing w:val="-2"/>
        </w:rPr>
        <w:t xml:space="preserve"> </w:t>
      </w:r>
      <w:r>
        <w:t>care</w:t>
      </w:r>
      <w:r>
        <w:rPr>
          <w:spacing w:val="-2"/>
        </w:rPr>
        <w:t xml:space="preserve"> </w:t>
      </w:r>
      <w:r>
        <w:t>has</w:t>
      </w:r>
      <w:r>
        <w:rPr>
          <w:spacing w:val="-2"/>
        </w:rPr>
        <w:t xml:space="preserve"> </w:t>
      </w:r>
      <w:r>
        <w:t>enormous</w:t>
      </w:r>
      <w:r>
        <w:rPr>
          <w:spacing w:val="-2"/>
        </w:rPr>
        <w:t xml:space="preserve"> </w:t>
      </w:r>
      <w:r>
        <w:t>potential</w:t>
      </w:r>
      <w:r>
        <w:rPr>
          <w:spacing w:val="-2"/>
        </w:rPr>
        <w:t xml:space="preserve"> </w:t>
      </w:r>
      <w:r>
        <w:t>to</w:t>
      </w:r>
      <w:r>
        <w:rPr>
          <w:spacing w:val="-2"/>
        </w:rPr>
        <w:t xml:space="preserve"> </w:t>
      </w:r>
      <w:r>
        <w:t>improve</w:t>
      </w:r>
      <w:r>
        <w:rPr>
          <w:spacing w:val="-2"/>
        </w:rPr>
        <w:t xml:space="preserve"> </w:t>
      </w:r>
      <w:r>
        <w:t>access,</w:t>
      </w:r>
      <w:r>
        <w:rPr>
          <w:spacing w:val="-2"/>
        </w:rPr>
        <w:t xml:space="preserve"> </w:t>
      </w:r>
      <w:r>
        <w:t>coordination</w:t>
      </w:r>
      <w:r>
        <w:rPr>
          <w:spacing w:val="-2"/>
        </w:rPr>
        <w:t xml:space="preserve"> </w:t>
      </w:r>
      <w:r>
        <w:t>of</w:t>
      </w:r>
      <w:r>
        <w:rPr>
          <w:spacing w:val="-2"/>
        </w:rPr>
        <w:t xml:space="preserve"> </w:t>
      </w:r>
      <w:r>
        <w:t>care</w:t>
      </w:r>
      <w:r>
        <w:rPr>
          <w:spacing w:val="-2"/>
        </w:rPr>
        <w:t xml:space="preserve"> </w:t>
      </w:r>
      <w:r>
        <w:t>and</w:t>
      </w:r>
      <w:r>
        <w:rPr>
          <w:spacing w:val="-2"/>
        </w:rPr>
        <w:t xml:space="preserve"> </w:t>
      </w:r>
      <w:r>
        <w:t>health outcomes, but it must be designed and implemented safely.</w:t>
      </w:r>
    </w:p>
    <w:p w14:paraId="34EA4F3D" w14:textId="77777777" w:rsidR="009D54AF" w:rsidRDefault="00000000">
      <w:pPr>
        <w:pStyle w:val="BodyText"/>
        <w:spacing w:before="141" w:line="278" w:lineRule="auto"/>
        <w:ind w:left="142"/>
      </w:pPr>
      <w:r>
        <w:t>During 2025–26, the Commission progressed work on the safe use of digital tools, including guidance for clinicians on AI, and national guidance for the onscreen presentation of electronic discharge summaries, supporting safer transfer of information between care settings.</w:t>
      </w:r>
    </w:p>
    <w:p w14:paraId="1BEEABD5" w14:textId="77777777" w:rsidR="009D54AF" w:rsidRDefault="00000000">
      <w:pPr>
        <w:spacing w:before="142" w:line="278" w:lineRule="auto"/>
        <w:ind w:left="142" w:right="314"/>
        <w:rPr>
          <w:sz w:val="21"/>
        </w:rPr>
      </w:pPr>
      <w:r>
        <w:rPr>
          <w:sz w:val="21"/>
        </w:rPr>
        <w:t xml:space="preserve">The Commission worked with the Australian Digital Health Agency on </w:t>
      </w:r>
      <w:r>
        <w:rPr>
          <w:i/>
          <w:sz w:val="21"/>
        </w:rPr>
        <w:t xml:space="preserve">Usability Guidance for </w:t>
      </w:r>
      <w:proofErr w:type="spellStart"/>
      <w:r>
        <w:rPr>
          <w:i/>
          <w:sz w:val="21"/>
        </w:rPr>
        <w:t>Optimising</w:t>
      </w:r>
      <w:proofErr w:type="spellEnd"/>
      <w:r>
        <w:rPr>
          <w:i/>
          <w:sz w:val="21"/>
        </w:rPr>
        <w:t xml:space="preserve"> My Health Record Viewing Platforms in Acute Care</w:t>
      </w:r>
      <w:r>
        <w:rPr>
          <w:sz w:val="21"/>
        </w:rPr>
        <w:t>, offering practical guidance to improve access to patient information.</w:t>
      </w:r>
      <w:r>
        <w:rPr>
          <w:spacing w:val="-3"/>
          <w:sz w:val="21"/>
        </w:rPr>
        <w:t xml:space="preserve"> </w:t>
      </w:r>
      <w:r>
        <w:rPr>
          <w:sz w:val="21"/>
        </w:rPr>
        <w:t>The</w:t>
      </w:r>
      <w:r>
        <w:rPr>
          <w:spacing w:val="-3"/>
          <w:sz w:val="21"/>
        </w:rPr>
        <w:t xml:space="preserve"> </w:t>
      </w:r>
      <w:r>
        <w:rPr>
          <w:sz w:val="21"/>
        </w:rPr>
        <w:t>Commission</w:t>
      </w:r>
      <w:r>
        <w:rPr>
          <w:spacing w:val="-3"/>
          <w:sz w:val="21"/>
        </w:rPr>
        <w:t xml:space="preserve"> </w:t>
      </w:r>
      <w:r>
        <w:rPr>
          <w:sz w:val="21"/>
        </w:rPr>
        <w:t>also</w:t>
      </w:r>
      <w:r>
        <w:rPr>
          <w:spacing w:val="-3"/>
          <w:sz w:val="21"/>
        </w:rPr>
        <w:t xml:space="preserve"> </w:t>
      </w:r>
      <w:r>
        <w:rPr>
          <w:sz w:val="21"/>
        </w:rPr>
        <w:t>released</w:t>
      </w:r>
      <w:r>
        <w:rPr>
          <w:spacing w:val="-3"/>
          <w:sz w:val="21"/>
        </w:rPr>
        <w:t xml:space="preserve"> </w:t>
      </w:r>
      <w:r>
        <w:rPr>
          <w:sz w:val="21"/>
        </w:rPr>
        <w:t>the</w:t>
      </w:r>
      <w:r>
        <w:rPr>
          <w:spacing w:val="-4"/>
          <w:sz w:val="21"/>
        </w:rPr>
        <w:t xml:space="preserve"> </w:t>
      </w:r>
      <w:r>
        <w:rPr>
          <w:i/>
          <w:sz w:val="21"/>
        </w:rPr>
        <w:t>Medication</w:t>
      </w:r>
      <w:r>
        <w:rPr>
          <w:i/>
          <w:spacing w:val="-3"/>
          <w:sz w:val="21"/>
        </w:rPr>
        <w:t xml:space="preserve"> </w:t>
      </w:r>
      <w:r>
        <w:rPr>
          <w:i/>
          <w:sz w:val="21"/>
        </w:rPr>
        <w:t>Management</w:t>
      </w:r>
      <w:r>
        <w:rPr>
          <w:i/>
          <w:spacing w:val="-3"/>
          <w:sz w:val="21"/>
        </w:rPr>
        <w:t xml:space="preserve"> </w:t>
      </w:r>
      <w:r>
        <w:rPr>
          <w:i/>
          <w:sz w:val="21"/>
        </w:rPr>
        <w:t>at</w:t>
      </w:r>
      <w:r>
        <w:rPr>
          <w:i/>
          <w:spacing w:val="-3"/>
          <w:sz w:val="21"/>
        </w:rPr>
        <w:t xml:space="preserve"> </w:t>
      </w:r>
      <w:r>
        <w:rPr>
          <w:i/>
          <w:sz w:val="21"/>
        </w:rPr>
        <w:t>Transitions</w:t>
      </w:r>
      <w:r>
        <w:rPr>
          <w:i/>
          <w:spacing w:val="-3"/>
          <w:sz w:val="21"/>
        </w:rPr>
        <w:t xml:space="preserve"> </w:t>
      </w:r>
      <w:r>
        <w:rPr>
          <w:i/>
          <w:sz w:val="21"/>
        </w:rPr>
        <w:t>of</w:t>
      </w:r>
      <w:r>
        <w:rPr>
          <w:i/>
          <w:spacing w:val="-3"/>
          <w:sz w:val="21"/>
        </w:rPr>
        <w:t xml:space="preserve"> </w:t>
      </w:r>
      <w:r>
        <w:rPr>
          <w:i/>
          <w:sz w:val="21"/>
        </w:rPr>
        <w:t>Care</w:t>
      </w:r>
      <w:r>
        <w:rPr>
          <w:i/>
          <w:spacing w:val="-3"/>
          <w:sz w:val="21"/>
        </w:rPr>
        <w:t xml:space="preserve"> </w:t>
      </w:r>
      <w:r>
        <w:rPr>
          <w:i/>
          <w:sz w:val="21"/>
        </w:rPr>
        <w:t xml:space="preserve">Stewardship Framework </w:t>
      </w:r>
      <w:r>
        <w:rPr>
          <w:sz w:val="21"/>
        </w:rPr>
        <w:t>to improve communication between hospitals and primary and aged care to reduce the risk of medication-related harm during transitions of care and improve outcomes for patients.</w:t>
      </w:r>
    </w:p>
    <w:p w14:paraId="2E42C799" w14:textId="77777777" w:rsidR="009D54AF" w:rsidRDefault="00000000">
      <w:pPr>
        <w:pStyle w:val="BodyText"/>
        <w:spacing w:before="141" w:line="278" w:lineRule="auto"/>
        <w:ind w:left="142" w:right="285"/>
      </w:pPr>
      <w:r>
        <w:t>AI</w:t>
      </w:r>
      <w:r>
        <w:rPr>
          <w:spacing w:val="-3"/>
        </w:rPr>
        <w:t xml:space="preserve"> </w:t>
      </w:r>
      <w:r>
        <w:t>is</w:t>
      </w:r>
      <w:r>
        <w:rPr>
          <w:spacing w:val="-3"/>
        </w:rPr>
        <w:t xml:space="preserve"> </w:t>
      </w:r>
      <w:r>
        <w:t>already</w:t>
      </w:r>
      <w:r>
        <w:rPr>
          <w:spacing w:val="-3"/>
        </w:rPr>
        <w:t xml:space="preserve"> </w:t>
      </w:r>
      <w:r>
        <w:t>influencing</w:t>
      </w:r>
      <w:r>
        <w:rPr>
          <w:spacing w:val="-3"/>
        </w:rPr>
        <w:t xml:space="preserve"> </w:t>
      </w:r>
      <w:r>
        <w:t>healthcare</w:t>
      </w:r>
      <w:r>
        <w:rPr>
          <w:spacing w:val="-3"/>
        </w:rPr>
        <w:t xml:space="preserve"> </w:t>
      </w:r>
      <w:r>
        <w:t>delivery,</w:t>
      </w:r>
      <w:r>
        <w:rPr>
          <w:spacing w:val="-3"/>
        </w:rPr>
        <w:t xml:space="preserve"> </w:t>
      </w:r>
      <w:r>
        <w:t>and</w:t>
      </w:r>
      <w:r>
        <w:rPr>
          <w:spacing w:val="-3"/>
        </w:rPr>
        <w:t xml:space="preserve"> </w:t>
      </w:r>
      <w:r>
        <w:t>the</w:t>
      </w:r>
      <w:r>
        <w:rPr>
          <w:spacing w:val="-3"/>
        </w:rPr>
        <w:t xml:space="preserve"> </w:t>
      </w:r>
      <w:r>
        <w:t>Commission’s</w:t>
      </w:r>
      <w:r>
        <w:rPr>
          <w:spacing w:val="-3"/>
        </w:rPr>
        <w:t xml:space="preserve"> </w:t>
      </w:r>
      <w:r>
        <w:t>work</w:t>
      </w:r>
      <w:r>
        <w:rPr>
          <w:spacing w:val="-3"/>
        </w:rPr>
        <w:t xml:space="preserve"> </w:t>
      </w:r>
      <w:r>
        <w:t>in</w:t>
      </w:r>
      <w:r>
        <w:rPr>
          <w:spacing w:val="-3"/>
        </w:rPr>
        <w:t xml:space="preserve"> </w:t>
      </w:r>
      <w:r>
        <w:t>this</w:t>
      </w:r>
      <w:r>
        <w:rPr>
          <w:spacing w:val="-3"/>
        </w:rPr>
        <w:t xml:space="preserve"> </w:t>
      </w:r>
      <w:r>
        <w:t>area</w:t>
      </w:r>
      <w:r>
        <w:rPr>
          <w:spacing w:val="-3"/>
        </w:rPr>
        <w:t xml:space="preserve"> </w:t>
      </w:r>
      <w:r>
        <w:t>helps</w:t>
      </w:r>
      <w:r>
        <w:rPr>
          <w:spacing w:val="-3"/>
        </w:rPr>
        <w:t xml:space="preserve"> </w:t>
      </w:r>
      <w:r>
        <w:t>clinicians</w:t>
      </w:r>
      <w:r>
        <w:rPr>
          <w:spacing w:val="-3"/>
        </w:rPr>
        <w:t xml:space="preserve"> </w:t>
      </w:r>
      <w:r>
        <w:t>and health services understand both the opportunities and the risks.</w:t>
      </w:r>
    </w:p>
    <w:p w14:paraId="52EFFB6B" w14:textId="77777777" w:rsidR="009D54AF" w:rsidRDefault="00000000">
      <w:pPr>
        <w:pStyle w:val="BodyText"/>
        <w:spacing w:before="141" w:line="278" w:lineRule="auto"/>
        <w:ind w:left="142" w:right="371"/>
        <w:jc w:val="both"/>
      </w:pPr>
      <w:r>
        <w:t>The</w:t>
      </w:r>
      <w:r>
        <w:rPr>
          <w:spacing w:val="-2"/>
        </w:rPr>
        <w:t xml:space="preserve"> </w:t>
      </w:r>
      <w:r>
        <w:t>Commission’s</w:t>
      </w:r>
      <w:r>
        <w:rPr>
          <w:spacing w:val="-2"/>
        </w:rPr>
        <w:t xml:space="preserve"> </w:t>
      </w:r>
      <w:r>
        <w:t>pragmatic</w:t>
      </w:r>
      <w:r>
        <w:rPr>
          <w:spacing w:val="-2"/>
        </w:rPr>
        <w:t xml:space="preserve"> </w:t>
      </w:r>
      <w:r>
        <w:t>AI</w:t>
      </w:r>
      <w:r>
        <w:rPr>
          <w:spacing w:val="-2"/>
        </w:rPr>
        <w:t xml:space="preserve"> </w:t>
      </w:r>
      <w:r>
        <w:t>guidance</w:t>
      </w:r>
      <w:r>
        <w:rPr>
          <w:spacing w:val="-2"/>
        </w:rPr>
        <w:t xml:space="preserve"> </w:t>
      </w:r>
      <w:r>
        <w:t>for</w:t>
      </w:r>
      <w:r>
        <w:rPr>
          <w:spacing w:val="-2"/>
        </w:rPr>
        <w:t xml:space="preserve"> </w:t>
      </w:r>
      <w:r>
        <w:t>clinicians</w:t>
      </w:r>
      <w:r>
        <w:rPr>
          <w:spacing w:val="-2"/>
        </w:rPr>
        <w:t xml:space="preserve"> </w:t>
      </w:r>
      <w:r>
        <w:t>supports</w:t>
      </w:r>
      <w:r>
        <w:rPr>
          <w:spacing w:val="-2"/>
        </w:rPr>
        <w:t xml:space="preserve"> </w:t>
      </w:r>
      <w:r>
        <w:t>practical,</w:t>
      </w:r>
      <w:r>
        <w:rPr>
          <w:spacing w:val="-2"/>
        </w:rPr>
        <w:t xml:space="preserve"> </w:t>
      </w:r>
      <w:r>
        <w:t>safe</w:t>
      </w:r>
      <w:r>
        <w:rPr>
          <w:spacing w:val="-2"/>
        </w:rPr>
        <w:t xml:space="preserve"> </w:t>
      </w:r>
      <w:r>
        <w:t>and</w:t>
      </w:r>
      <w:r>
        <w:rPr>
          <w:spacing w:val="-2"/>
        </w:rPr>
        <w:t xml:space="preserve"> </w:t>
      </w:r>
      <w:r>
        <w:t>responsible</w:t>
      </w:r>
      <w:r>
        <w:rPr>
          <w:spacing w:val="-2"/>
        </w:rPr>
        <w:t xml:space="preserve"> </w:t>
      </w:r>
      <w:r>
        <w:t>use</w:t>
      </w:r>
      <w:r>
        <w:rPr>
          <w:spacing w:val="-2"/>
        </w:rPr>
        <w:t xml:space="preserve"> </w:t>
      </w:r>
      <w:r>
        <w:t>of</w:t>
      </w:r>
      <w:r>
        <w:rPr>
          <w:spacing w:val="-2"/>
        </w:rPr>
        <w:t xml:space="preserve"> </w:t>
      </w:r>
      <w:r>
        <w:t>AI</w:t>
      </w:r>
      <w:r>
        <w:rPr>
          <w:spacing w:val="-2"/>
        </w:rPr>
        <w:t xml:space="preserve"> </w:t>
      </w:r>
      <w:r>
        <w:t>in day-to-day care, while maintaining a focus on evidence, safety, transparency and patient outcomes.</w:t>
      </w:r>
    </w:p>
    <w:p w14:paraId="7C3DD732" w14:textId="77777777" w:rsidR="00E26787" w:rsidRDefault="00E26787">
      <w:pPr>
        <w:rPr>
          <w:sz w:val="21"/>
          <w:szCs w:val="21"/>
        </w:rPr>
      </w:pPr>
      <w:r>
        <w:br w:type="page"/>
      </w:r>
    </w:p>
    <w:p w14:paraId="5B8D129C" w14:textId="70D37BB6" w:rsidR="009D54AF" w:rsidRDefault="00000000">
      <w:pPr>
        <w:pStyle w:val="BodyText"/>
        <w:spacing w:before="142" w:line="278" w:lineRule="auto"/>
        <w:ind w:left="142"/>
      </w:pPr>
      <w:r>
        <w:lastRenderedPageBreak/>
        <w:t>I would like to acknowledge the Commission’s partners across the Australian</w:t>
      </w:r>
      <w:r>
        <w:rPr>
          <w:spacing w:val="-1"/>
        </w:rPr>
        <w:t xml:space="preserve"> </w:t>
      </w:r>
      <w:r>
        <w:t>Government,</w:t>
      </w:r>
      <w:r>
        <w:rPr>
          <w:spacing w:val="-1"/>
        </w:rPr>
        <w:t xml:space="preserve"> </w:t>
      </w:r>
      <w:r>
        <w:t>state</w:t>
      </w:r>
      <w:r>
        <w:rPr>
          <w:spacing w:val="-1"/>
        </w:rPr>
        <w:t xml:space="preserve"> </w:t>
      </w:r>
      <w:r>
        <w:t>and</w:t>
      </w:r>
      <w:r>
        <w:rPr>
          <w:spacing w:val="-1"/>
        </w:rPr>
        <w:t xml:space="preserve"> </w:t>
      </w:r>
      <w:r>
        <w:t>territory governments, private health services, primary care, aged care, medical colleges, accreditation agencies, consumer</w:t>
      </w:r>
      <w:r>
        <w:rPr>
          <w:spacing w:val="-2"/>
        </w:rPr>
        <w:t xml:space="preserve"> </w:t>
      </w:r>
      <w:r>
        <w:t>groups</w:t>
      </w:r>
      <w:r>
        <w:rPr>
          <w:spacing w:val="-2"/>
        </w:rPr>
        <w:t xml:space="preserve"> </w:t>
      </w:r>
      <w:r>
        <w:t>and</w:t>
      </w:r>
      <w:r>
        <w:rPr>
          <w:spacing w:val="-2"/>
        </w:rPr>
        <w:t xml:space="preserve"> </w:t>
      </w:r>
      <w:r>
        <w:t>professional</w:t>
      </w:r>
      <w:r>
        <w:rPr>
          <w:spacing w:val="-2"/>
        </w:rPr>
        <w:t xml:space="preserve"> </w:t>
      </w:r>
      <w:proofErr w:type="spellStart"/>
      <w:r>
        <w:t>organisations</w:t>
      </w:r>
      <w:proofErr w:type="spellEnd"/>
      <w:r>
        <w:t>.</w:t>
      </w:r>
      <w:r>
        <w:rPr>
          <w:spacing w:val="-2"/>
        </w:rPr>
        <w:t xml:space="preserve"> </w:t>
      </w:r>
      <w:r>
        <w:t>Their</w:t>
      </w:r>
      <w:r>
        <w:rPr>
          <w:spacing w:val="-2"/>
        </w:rPr>
        <w:t xml:space="preserve"> </w:t>
      </w:r>
      <w:r>
        <w:t>expertise</w:t>
      </w:r>
      <w:r>
        <w:rPr>
          <w:spacing w:val="-2"/>
        </w:rPr>
        <w:t xml:space="preserve"> </w:t>
      </w:r>
      <w:r>
        <w:t>and</w:t>
      </w:r>
      <w:r>
        <w:rPr>
          <w:spacing w:val="-2"/>
        </w:rPr>
        <w:t xml:space="preserve"> </w:t>
      </w:r>
      <w:r>
        <w:t>collaboration</w:t>
      </w:r>
      <w:r>
        <w:rPr>
          <w:spacing w:val="-2"/>
        </w:rPr>
        <w:t xml:space="preserve"> </w:t>
      </w:r>
      <w:r>
        <w:t>are</w:t>
      </w:r>
      <w:r>
        <w:rPr>
          <w:spacing w:val="-2"/>
        </w:rPr>
        <w:t xml:space="preserve"> </w:t>
      </w:r>
      <w:r>
        <w:t>essential</w:t>
      </w:r>
      <w:r>
        <w:rPr>
          <w:spacing w:val="-2"/>
        </w:rPr>
        <w:t xml:space="preserve"> </w:t>
      </w:r>
      <w:r>
        <w:t>to</w:t>
      </w:r>
      <w:r>
        <w:rPr>
          <w:spacing w:val="-2"/>
        </w:rPr>
        <w:t xml:space="preserve"> </w:t>
      </w:r>
      <w:r>
        <w:t>improving safety and quality across the health system.</w:t>
      </w:r>
    </w:p>
    <w:p w14:paraId="4DC1C976" w14:textId="77777777" w:rsidR="009D54AF" w:rsidRDefault="00000000">
      <w:pPr>
        <w:pStyle w:val="BodyText"/>
        <w:spacing w:before="66" w:line="278" w:lineRule="auto"/>
        <w:ind w:left="142" w:right="769"/>
      </w:pPr>
      <w:bookmarkStart w:id="11" w:name="_bookmark2"/>
      <w:bookmarkEnd w:id="11"/>
      <w:r>
        <w:t>I thank my fellow Board members for their guidance and contribution over the past year. I also thank</w:t>
      </w:r>
      <w:r>
        <w:rPr>
          <w:spacing w:val="40"/>
        </w:rPr>
        <w:t xml:space="preserve"> </w:t>
      </w:r>
      <w:r>
        <w:t>the</w:t>
      </w:r>
      <w:r>
        <w:rPr>
          <w:spacing w:val="-4"/>
        </w:rPr>
        <w:t xml:space="preserve"> </w:t>
      </w:r>
      <w:r>
        <w:t>Commission’s</w:t>
      </w:r>
      <w:r>
        <w:rPr>
          <w:spacing w:val="-4"/>
        </w:rPr>
        <w:t xml:space="preserve"> </w:t>
      </w:r>
      <w:r>
        <w:t>Chief</w:t>
      </w:r>
      <w:r>
        <w:rPr>
          <w:spacing w:val="-4"/>
        </w:rPr>
        <w:t xml:space="preserve"> </w:t>
      </w:r>
      <w:r>
        <w:t>Executive</w:t>
      </w:r>
      <w:r>
        <w:rPr>
          <w:spacing w:val="-4"/>
        </w:rPr>
        <w:t xml:space="preserve"> </w:t>
      </w:r>
      <w:r>
        <w:t>Officer,</w:t>
      </w:r>
      <w:r>
        <w:rPr>
          <w:spacing w:val="-4"/>
        </w:rPr>
        <w:t xml:space="preserve"> </w:t>
      </w:r>
      <w:r>
        <w:t>Conjoint</w:t>
      </w:r>
      <w:r>
        <w:rPr>
          <w:spacing w:val="-4"/>
        </w:rPr>
        <w:t xml:space="preserve"> </w:t>
      </w:r>
      <w:r>
        <w:t>Professor</w:t>
      </w:r>
      <w:r>
        <w:rPr>
          <w:spacing w:val="-4"/>
        </w:rPr>
        <w:t xml:space="preserve"> </w:t>
      </w:r>
      <w:r>
        <w:t>Anne</w:t>
      </w:r>
      <w:r>
        <w:rPr>
          <w:spacing w:val="-4"/>
        </w:rPr>
        <w:t xml:space="preserve"> </w:t>
      </w:r>
      <w:r>
        <w:t>Duggan,</w:t>
      </w:r>
      <w:r>
        <w:rPr>
          <w:spacing w:val="-4"/>
        </w:rPr>
        <w:t xml:space="preserve"> </w:t>
      </w:r>
      <w:r>
        <w:t>the</w:t>
      </w:r>
      <w:r>
        <w:rPr>
          <w:spacing w:val="-4"/>
        </w:rPr>
        <w:t xml:space="preserve"> </w:t>
      </w:r>
      <w:r>
        <w:t>executive</w:t>
      </w:r>
      <w:r>
        <w:rPr>
          <w:spacing w:val="-4"/>
        </w:rPr>
        <w:t xml:space="preserve"> </w:t>
      </w:r>
      <w:r>
        <w:t>team</w:t>
      </w:r>
      <w:r>
        <w:rPr>
          <w:spacing w:val="-4"/>
        </w:rPr>
        <w:t xml:space="preserve"> </w:t>
      </w:r>
      <w:r>
        <w:t>and</w:t>
      </w:r>
      <w:r>
        <w:rPr>
          <w:spacing w:val="-4"/>
        </w:rPr>
        <w:t xml:space="preserve"> </w:t>
      </w:r>
      <w:r>
        <w:t>all Commission staff for their continued commitment and leadership.</w:t>
      </w:r>
    </w:p>
    <w:p w14:paraId="1E5A8697" w14:textId="77777777" w:rsidR="009D54AF" w:rsidRDefault="00000000">
      <w:pPr>
        <w:pStyle w:val="BodyText"/>
        <w:spacing w:before="141" w:line="278" w:lineRule="auto"/>
        <w:ind w:left="142" w:right="214"/>
      </w:pPr>
      <w:r>
        <w:t>The</w:t>
      </w:r>
      <w:r>
        <w:rPr>
          <w:spacing w:val="-2"/>
        </w:rPr>
        <w:t xml:space="preserve"> </w:t>
      </w:r>
      <w:r>
        <w:t>Commission’s</w:t>
      </w:r>
      <w:r>
        <w:rPr>
          <w:spacing w:val="-2"/>
        </w:rPr>
        <w:t xml:space="preserve"> </w:t>
      </w:r>
      <w:r>
        <w:t>work</w:t>
      </w:r>
      <w:r>
        <w:rPr>
          <w:spacing w:val="-2"/>
        </w:rPr>
        <w:t xml:space="preserve"> </w:t>
      </w:r>
      <w:r>
        <w:t>remains</w:t>
      </w:r>
      <w:r>
        <w:rPr>
          <w:spacing w:val="-2"/>
        </w:rPr>
        <w:t xml:space="preserve"> </w:t>
      </w:r>
      <w:r>
        <w:t>central</w:t>
      </w:r>
      <w:r>
        <w:rPr>
          <w:spacing w:val="-2"/>
        </w:rPr>
        <w:t xml:space="preserve"> </w:t>
      </w:r>
      <w:r>
        <w:t>to</w:t>
      </w:r>
      <w:r>
        <w:rPr>
          <w:spacing w:val="-2"/>
        </w:rPr>
        <w:t xml:space="preserve"> </w:t>
      </w:r>
      <w:r>
        <w:t>supporting</w:t>
      </w:r>
      <w:r>
        <w:rPr>
          <w:spacing w:val="-2"/>
        </w:rPr>
        <w:t xml:space="preserve"> </w:t>
      </w:r>
      <w:r>
        <w:t>a</w:t>
      </w:r>
      <w:r>
        <w:rPr>
          <w:spacing w:val="-2"/>
        </w:rPr>
        <w:t xml:space="preserve"> </w:t>
      </w:r>
      <w:r>
        <w:t>health</w:t>
      </w:r>
      <w:r>
        <w:rPr>
          <w:spacing w:val="-2"/>
        </w:rPr>
        <w:t xml:space="preserve"> </w:t>
      </w:r>
      <w:r>
        <w:t>system</w:t>
      </w:r>
      <w:r>
        <w:rPr>
          <w:spacing w:val="-2"/>
        </w:rPr>
        <w:t xml:space="preserve"> </w:t>
      </w:r>
      <w:r>
        <w:t>that</w:t>
      </w:r>
      <w:r>
        <w:rPr>
          <w:spacing w:val="-2"/>
        </w:rPr>
        <w:t xml:space="preserve"> </w:t>
      </w:r>
      <w:r>
        <w:t>is</w:t>
      </w:r>
      <w:r>
        <w:rPr>
          <w:spacing w:val="-2"/>
        </w:rPr>
        <w:t xml:space="preserve"> </w:t>
      </w:r>
      <w:r>
        <w:t>safe,</w:t>
      </w:r>
      <w:r>
        <w:rPr>
          <w:spacing w:val="-2"/>
        </w:rPr>
        <w:t xml:space="preserve"> </w:t>
      </w:r>
      <w:r>
        <w:t>effective,</w:t>
      </w:r>
      <w:r>
        <w:rPr>
          <w:spacing w:val="-2"/>
        </w:rPr>
        <w:t xml:space="preserve"> </w:t>
      </w:r>
      <w:r>
        <w:t>person-</w:t>
      </w:r>
      <w:proofErr w:type="spellStart"/>
      <w:r>
        <w:t>centred</w:t>
      </w:r>
      <w:proofErr w:type="spellEnd"/>
      <w:r>
        <w:t>, equitable and responsive to change. I look forward to continuing to work with our partners to improve outcomes for all people receiving health care in Australia.</w:t>
      </w:r>
    </w:p>
    <w:p w14:paraId="18364C29" w14:textId="3A3ACAFE" w:rsidR="00E26787" w:rsidRDefault="00E26787">
      <w:pPr>
        <w:rPr>
          <w:b/>
          <w:bCs/>
          <w:spacing w:val="-2"/>
          <w:sz w:val="40"/>
          <w:szCs w:val="40"/>
        </w:rPr>
      </w:pPr>
      <w:bookmarkStart w:id="12" w:name="_Report_from_the_1"/>
      <w:bookmarkEnd w:id="12"/>
    </w:p>
    <w:p w14:paraId="11EA16B7" w14:textId="6B759086" w:rsidR="009D54AF" w:rsidRDefault="00000000">
      <w:pPr>
        <w:pStyle w:val="Heading1"/>
      </w:pPr>
      <w:bookmarkStart w:id="13" w:name="_Toc243037268"/>
      <w:r>
        <w:rPr>
          <w:spacing w:val="-2"/>
        </w:rPr>
        <w:t>Report</w:t>
      </w:r>
      <w:r>
        <w:rPr>
          <w:spacing w:val="-20"/>
        </w:rPr>
        <w:t xml:space="preserve"> </w:t>
      </w:r>
      <w:r>
        <w:rPr>
          <w:spacing w:val="-2"/>
        </w:rPr>
        <w:t>from</w:t>
      </w:r>
      <w:r>
        <w:rPr>
          <w:spacing w:val="-18"/>
        </w:rPr>
        <w:t xml:space="preserve"> </w:t>
      </w:r>
      <w:r>
        <w:rPr>
          <w:spacing w:val="-2"/>
        </w:rPr>
        <w:t>the</w:t>
      </w:r>
      <w:r>
        <w:rPr>
          <w:spacing w:val="-18"/>
        </w:rPr>
        <w:t xml:space="preserve"> </w:t>
      </w:r>
      <w:r>
        <w:rPr>
          <w:spacing w:val="-2"/>
        </w:rPr>
        <w:t>Chief</w:t>
      </w:r>
      <w:r>
        <w:rPr>
          <w:spacing w:val="-18"/>
        </w:rPr>
        <w:t xml:space="preserve"> </w:t>
      </w:r>
      <w:r>
        <w:rPr>
          <w:spacing w:val="-2"/>
        </w:rPr>
        <w:t>Executive</w:t>
      </w:r>
      <w:r>
        <w:rPr>
          <w:spacing w:val="-18"/>
        </w:rPr>
        <w:t xml:space="preserve"> </w:t>
      </w:r>
      <w:r>
        <w:rPr>
          <w:spacing w:val="-2"/>
        </w:rPr>
        <w:t>Officer</w:t>
      </w:r>
      <w:bookmarkEnd w:id="13"/>
    </w:p>
    <w:p w14:paraId="5C76255F" w14:textId="77777777" w:rsidR="009D54AF" w:rsidRDefault="00000000">
      <w:pPr>
        <w:spacing w:before="169"/>
        <w:ind w:left="142"/>
        <w:rPr>
          <w:b/>
          <w:sz w:val="21"/>
        </w:rPr>
      </w:pPr>
      <w:r>
        <w:rPr>
          <w:b/>
          <w:sz w:val="21"/>
        </w:rPr>
        <w:t>Conjoint</w:t>
      </w:r>
      <w:r>
        <w:rPr>
          <w:b/>
          <w:spacing w:val="2"/>
          <w:sz w:val="21"/>
        </w:rPr>
        <w:t xml:space="preserve"> </w:t>
      </w:r>
      <w:r>
        <w:rPr>
          <w:b/>
          <w:sz w:val="21"/>
        </w:rPr>
        <w:t>Professor</w:t>
      </w:r>
      <w:r>
        <w:rPr>
          <w:b/>
          <w:spacing w:val="2"/>
          <w:sz w:val="21"/>
        </w:rPr>
        <w:t xml:space="preserve"> </w:t>
      </w:r>
      <w:r>
        <w:rPr>
          <w:b/>
          <w:sz w:val="21"/>
        </w:rPr>
        <w:t>Anne</w:t>
      </w:r>
      <w:r>
        <w:rPr>
          <w:b/>
          <w:spacing w:val="3"/>
          <w:sz w:val="21"/>
        </w:rPr>
        <w:t xml:space="preserve"> </w:t>
      </w:r>
      <w:r>
        <w:rPr>
          <w:b/>
          <w:spacing w:val="-2"/>
          <w:sz w:val="21"/>
        </w:rPr>
        <w:t>Duggan</w:t>
      </w:r>
    </w:p>
    <w:p w14:paraId="3B84A4E0" w14:textId="77777777" w:rsidR="009D54AF" w:rsidRDefault="00000000">
      <w:pPr>
        <w:pStyle w:val="Heading9"/>
        <w:spacing w:before="182" w:line="268" w:lineRule="auto"/>
        <w:ind w:right="285"/>
      </w:pPr>
      <w:r>
        <w:t>The Commission delivered a broad program of work this year, aligned with our new Strategic Plan</w:t>
      </w:r>
      <w:r>
        <w:rPr>
          <w:spacing w:val="-12"/>
        </w:rPr>
        <w:t xml:space="preserve"> </w:t>
      </w:r>
      <w:r>
        <w:t>2025–2030,</w:t>
      </w:r>
      <w:r>
        <w:rPr>
          <w:spacing w:val="-12"/>
        </w:rPr>
        <w:t xml:space="preserve"> </w:t>
      </w:r>
      <w:r>
        <w:t>to</w:t>
      </w:r>
      <w:r>
        <w:rPr>
          <w:spacing w:val="-12"/>
        </w:rPr>
        <w:t xml:space="preserve"> </w:t>
      </w:r>
      <w:r>
        <w:t>support</w:t>
      </w:r>
      <w:r>
        <w:rPr>
          <w:spacing w:val="-12"/>
        </w:rPr>
        <w:t xml:space="preserve"> </w:t>
      </w:r>
      <w:r>
        <w:t>safer,</w:t>
      </w:r>
      <w:r>
        <w:rPr>
          <w:spacing w:val="-12"/>
        </w:rPr>
        <w:t xml:space="preserve"> </w:t>
      </w:r>
      <w:r>
        <w:t>higher-quality,</w:t>
      </w:r>
      <w:r>
        <w:rPr>
          <w:spacing w:val="-12"/>
        </w:rPr>
        <w:t xml:space="preserve"> </w:t>
      </w:r>
      <w:r>
        <w:t>person-</w:t>
      </w:r>
      <w:proofErr w:type="spellStart"/>
      <w:r>
        <w:t>centred</w:t>
      </w:r>
      <w:proofErr w:type="spellEnd"/>
      <w:r>
        <w:rPr>
          <w:spacing w:val="-12"/>
        </w:rPr>
        <w:t xml:space="preserve"> </w:t>
      </w:r>
      <w:r>
        <w:t>health</w:t>
      </w:r>
      <w:r>
        <w:rPr>
          <w:spacing w:val="-12"/>
        </w:rPr>
        <w:t xml:space="preserve"> </w:t>
      </w:r>
      <w:r>
        <w:t>care</w:t>
      </w:r>
      <w:r>
        <w:rPr>
          <w:spacing w:val="-12"/>
        </w:rPr>
        <w:t xml:space="preserve"> </w:t>
      </w:r>
      <w:r>
        <w:t>for</w:t>
      </w:r>
      <w:r>
        <w:rPr>
          <w:spacing w:val="-12"/>
        </w:rPr>
        <w:t xml:space="preserve"> </w:t>
      </w:r>
      <w:r>
        <w:t>all</w:t>
      </w:r>
      <w:r>
        <w:rPr>
          <w:spacing w:val="-12"/>
        </w:rPr>
        <w:t xml:space="preserve"> </w:t>
      </w:r>
      <w:r>
        <w:t>Australians.</w:t>
      </w:r>
    </w:p>
    <w:p w14:paraId="6AB5E669" w14:textId="77777777" w:rsidR="009D54AF" w:rsidRDefault="00000000">
      <w:pPr>
        <w:pStyle w:val="BodyText"/>
        <w:spacing w:before="141" w:line="278" w:lineRule="auto"/>
        <w:ind w:left="142"/>
      </w:pPr>
      <w:r>
        <w:t>In 2025–26 the Commission commenced consultation on and development of the third edition of the National Safety and Quality Health Service (NSQHS) Standards for public, private and day hospitals. This is a major national</w:t>
      </w:r>
      <w:r>
        <w:rPr>
          <w:spacing w:val="-2"/>
        </w:rPr>
        <w:t xml:space="preserve"> </w:t>
      </w:r>
      <w:r>
        <w:t>program</w:t>
      </w:r>
      <w:r>
        <w:rPr>
          <w:spacing w:val="-2"/>
        </w:rPr>
        <w:t xml:space="preserve"> </w:t>
      </w:r>
      <w:r>
        <w:t>that</w:t>
      </w:r>
      <w:r>
        <w:rPr>
          <w:spacing w:val="-2"/>
        </w:rPr>
        <w:t xml:space="preserve"> </w:t>
      </w:r>
      <w:r>
        <w:t>will</w:t>
      </w:r>
      <w:r>
        <w:rPr>
          <w:spacing w:val="-2"/>
        </w:rPr>
        <w:t xml:space="preserve"> </w:t>
      </w:r>
      <w:r>
        <w:t>ensure</w:t>
      </w:r>
      <w:r>
        <w:rPr>
          <w:spacing w:val="-2"/>
        </w:rPr>
        <w:t xml:space="preserve"> </w:t>
      </w:r>
      <w:r>
        <w:t>the</w:t>
      </w:r>
      <w:r>
        <w:rPr>
          <w:spacing w:val="-2"/>
        </w:rPr>
        <w:t xml:space="preserve"> </w:t>
      </w:r>
      <w:r>
        <w:t>standards</w:t>
      </w:r>
      <w:r>
        <w:rPr>
          <w:spacing w:val="-2"/>
        </w:rPr>
        <w:t xml:space="preserve"> </w:t>
      </w:r>
      <w:r>
        <w:t>remain</w:t>
      </w:r>
      <w:r>
        <w:rPr>
          <w:spacing w:val="-2"/>
        </w:rPr>
        <w:t xml:space="preserve"> </w:t>
      </w:r>
      <w:r>
        <w:t>contemporary</w:t>
      </w:r>
      <w:r>
        <w:rPr>
          <w:spacing w:val="-2"/>
        </w:rPr>
        <w:t xml:space="preserve"> </w:t>
      </w:r>
      <w:r>
        <w:t>and</w:t>
      </w:r>
      <w:r>
        <w:rPr>
          <w:spacing w:val="-2"/>
        </w:rPr>
        <w:t xml:space="preserve"> </w:t>
      </w:r>
      <w:r>
        <w:t>responsive</w:t>
      </w:r>
      <w:r>
        <w:rPr>
          <w:spacing w:val="-2"/>
        </w:rPr>
        <w:t xml:space="preserve"> </w:t>
      </w:r>
      <w:r>
        <w:t>to</w:t>
      </w:r>
      <w:r>
        <w:rPr>
          <w:spacing w:val="-2"/>
        </w:rPr>
        <w:t xml:space="preserve"> </w:t>
      </w:r>
      <w:r>
        <w:t>current</w:t>
      </w:r>
      <w:r>
        <w:rPr>
          <w:spacing w:val="-2"/>
        </w:rPr>
        <w:t xml:space="preserve"> </w:t>
      </w:r>
      <w:r>
        <w:t>and</w:t>
      </w:r>
      <w:r>
        <w:rPr>
          <w:spacing w:val="-2"/>
        </w:rPr>
        <w:t xml:space="preserve"> </w:t>
      </w:r>
      <w:r>
        <w:t>emerging models of care. Public consultation to inform the third edition of the NSQHS Standards was undertaken</w:t>
      </w:r>
    </w:p>
    <w:p w14:paraId="5F553D75" w14:textId="77777777" w:rsidR="009D54AF" w:rsidRDefault="00000000">
      <w:pPr>
        <w:pStyle w:val="BodyText"/>
        <w:spacing w:line="278" w:lineRule="auto"/>
        <w:ind w:left="142" w:right="486"/>
      </w:pPr>
      <w:r>
        <w:t>with health services, clinicians, consumers, jurisdictions and priority population groups. This engagement is</w:t>
      </w:r>
      <w:r>
        <w:rPr>
          <w:spacing w:val="-2"/>
        </w:rPr>
        <w:t xml:space="preserve"> </w:t>
      </w:r>
      <w:r>
        <w:t>essential</w:t>
      </w:r>
      <w:r>
        <w:rPr>
          <w:spacing w:val="-2"/>
        </w:rPr>
        <w:t xml:space="preserve"> </w:t>
      </w:r>
      <w:r>
        <w:t>to</w:t>
      </w:r>
      <w:r>
        <w:rPr>
          <w:spacing w:val="-2"/>
        </w:rPr>
        <w:t xml:space="preserve"> </w:t>
      </w:r>
      <w:r>
        <w:t>ensuring</w:t>
      </w:r>
      <w:r>
        <w:rPr>
          <w:spacing w:val="-2"/>
        </w:rPr>
        <w:t xml:space="preserve"> </w:t>
      </w:r>
      <w:r>
        <w:t>that</w:t>
      </w:r>
      <w:r>
        <w:rPr>
          <w:spacing w:val="-2"/>
        </w:rPr>
        <w:t xml:space="preserve"> </w:t>
      </w:r>
      <w:r>
        <w:t>the</w:t>
      </w:r>
      <w:r>
        <w:rPr>
          <w:spacing w:val="-2"/>
        </w:rPr>
        <w:t xml:space="preserve"> </w:t>
      </w:r>
      <w:r>
        <w:t>standards</w:t>
      </w:r>
      <w:r>
        <w:rPr>
          <w:spacing w:val="-2"/>
        </w:rPr>
        <w:t xml:space="preserve"> </w:t>
      </w:r>
      <w:r>
        <w:t>remain</w:t>
      </w:r>
      <w:r>
        <w:rPr>
          <w:spacing w:val="-2"/>
        </w:rPr>
        <w:t xml:space="preserve"> </w:t>
      </w:r>
      <w:r>
        <w:t>practical,</w:t>
      </w:r>
      <w:r>
        <w:rPr>
          <w:spacing w:val="-2"/>
        </w:rPr>
        <w:t xml:space="preserve"> </w:t>
      </w:r>
      <w:r>
        <w:t>flexible</w:t>
      </w:r>
      <w:r>
        <w:rPr>
          <w:spacing w:val="-2"/>
        </w:rPr>
        <w:t xml:space="preserve"> </w:t>
      </w:r>
      <w:r>
        <w:t>and</w:t>
      </w:r>
      <w:r>
        <w:rPr>
          <w:spacing w:val="-2"/>
        </w:rPr>
        <w:t xml:space="preserve"> </w:t>
      </w:r>
      <w:r>
        <w:t>relevant</w:t>
      </w:r>
      <w:r>
        <w:rPr>
          <w:spacing w:val="-2"/>
        </w:rPr>
        <w:t xml:space="preserve"> </w:t>
      </w:r>
      <w:r>
        <w:t>across</w:t>
      </w:r>
      <w:r>
        <w:rPr>
          <w:spacing w:val="-2"/>
        </w:rPr>
        <w:t xml:space="preserve"> </w:t>
      </w:r>
      <w:r>
        <w:t>diverse</w:t>
      </w:r>
      <w:r>
        <w:rPr>
          <w:spacing w:val="-2"/>
        </w:rPr>
        <w:t xml:space="preserve"> </w:t>
      </w:r>
      <w:r>
        <w:t xml:space="preserve">healthcare </w:t>
      </w:r>
      <w:r>
        <w:rPr>
          <w:spacing w:val="-2"/>
        </w:rPr>
        <w:t>settings.</w:t>
      </w:r>
    </w:p>
    <w:p w14:paraId="6423A03F" w14:textId="77777777" w:rsidR="009D54AF" w:rsidRDefault="00000000">
      <w:pPr>
        <w:pStyle w:val="BodyText"/>
        <w:spacing w:before="141" w:line="278" w:lineRule="auto"/>
        <w:ind w:left="142" w:right="285"/>
      </w:pPr>
      <w:r>
        <w:t>The extensive feedback we received from across the system informed the development of the initial draft of the</w:t>
      </w:r>
      <w:r>
        <w:rPr>
          <w:spacing w:val="-1"/>
        </w:rPr>
        <w:t xml:space="preserve"> </w:t>
      </w:r>
      <w:r>
        <w:t>third</w:t>
      </w:r>
      <w:r>
        <w:rPr>
          <w:spacing w:val="-1"/>
        </w:rPr>
        <w:t xml:space="preserve"> </w:t>
      </w:r>
      <w:r>
        <w:t>edition</w:t>
      </w:r>
      <w:r>
        <w:rPr>
          <w:spacing w:val="-1"/>
        </w:rPr>
        <w:t xml:space="preserve"> </w:t>
      </w:r>
      <w:r>
        <w:t>of</w:t>
      </w:r>
      <w:r>
        <w:rPr>
          <w:spacing w:val="-1"/>
        </w:rPr>
        <w:t xml:space="preserve"> </w:t>
      </w:r>
      <w:r>
        <w:t>the</w:t>
      </w:r>
      <w:r>
        <w:rPr>
          <w:spacing w:val="-1"/>
        </w:rPr>
        <w:t xml:space="preserve"> </w:t>
      </w:r>
      <w:r>
        <w:t>NSQHS</w:t>
      </w:r>
      <w:r>
        <w:rPr>
          <w:spacing w:val="-1"/>
        </w:rPr>
        <w:t xml:space="preserve"> </w:t>
      </w:r>
      <w:r>
        <w:t>Standards,</w:t>
      </w:r>
      <w:r>
        <w:rPr>
          <w:spacing w:val="-1"/>
        </w:rPr>
        <w:t xml:space="preserve"> </w:t>
      </w:r>
      <w:r>
        <w:t>which</w:t>
      </w:r>
      <w:r>
        <w:rPr>
          <w:spacing w:val="-1"/>
        </w:rPr>
        <w:t xml:space="preserve"> </w:t>
      </w:r>
      <w:r>
        <w:t>will</w:t>
      </w:r>
      <w:r>
        <w:rPr>
          <w:spacing w:val="-1"/>
        </w:rPr>
        <w:t xml:space="preserve"> </w:t>
      </w:r>
      <w:r>
        <w:t>aim</w:t>
      </w:r>
      <w:r>
        <w:rPr>
          <w:spacing w:val="-1"/>
        </w:rPr>
        <w:t xml:space="preserve"> </w:t>
      </w:r>
      <w:r>
        <w:t>to</w:t>
      </w:r>
      <w:r>
        <w:rPr>
          <w:spacing w:val="-1"/>
        </w:rPr>
        <w:t xml:space="preserve"> </w:t>
      </w:r>
      <w:r>
        <w:t>strengthen</w:t>
      </w:r>
      <w:r>
        <w:rPr>
          <w:spacing w:val="-1"/>
        </w:rPr>
        <w:t xml:space="preserve"> </w:t>
      </w:r>
      <w:r>
        <w:t>the</w:t>
      </w:r>
      <w:r>
        <w:rPr>
          <w:spacing w:val="-1"/>
        </w:rPr>
        <w:t xml:space="preserve"> </w:t>
      </w:r>
      <w:r>
        <w:t>link</w:t>
      </w:r>
      <w:r>
        <w:rPr>
          <w:spacing w:val="-1"/>
        </w:rPr>
        <w:t xml:space="preserve"> </w:t>
      </w:r>
      <w:r>
        <w:t>between</w:t>
      </w:r>
      <w:r>
        <w:rPr>
          <w:spacing w:val="-1"/>
        </w:rPr>
        <w:t xml:space="preserve"> </w:t>
      </w:r>
      <w:r>
        <w:t>clinical</w:t>
      </w:r>
      <w:r>
        <w:rPr>
          <w:spacing w:val="-1"/>
        </w:rPr>
        <w:t xml:space="preserve"> </w:t>
      </w:r>
      <w:r>
        <w:t>governance, workforce culture, data driven decision-making and patient outcomes. The third edition is designed to focus on integrated system-level safety and the delivery of high-quality care, every day.</w:t>
      </w:r>
    </w:p>
    <w:p w14:paraId="45C77C8F" w14:textId="77777777" w:rsidR="009D54AF" w:rsidRDefault="00000000">
      <w:pPr>
        <w:pStyle w:val="BodyText"/>
        <w:spacing w:before="142" w:line="278" w:lineRule="auto"/>
        <w:ind w:left="142" w:right="285"/>
      </w:pPr>
      <w:r>
        <w:t xml:space="preserve">During the year, the Commission continued to support implementation of national standards across a range of settings and programs. This included work on the National General Practice Accreditation Scheme, the National Safety and Quality Primary and Community Healthcare Standards, the National Safety and Quality Mental Health Standards for Community Managed </w:t>
      </w:r>
      <w:proofErr w:type="spellStart"/>
      <w:r>
        <w:t>Organisations</w:t>
      </w:r>
      <w:proofErr w:type="spellEnd"/>
      <w:r>
        <w:t>, the National Clinical Trials Governance Framework, and the Integrated Health and Aged Care Services Module.</w:t>
      </w:r>
    </w:p>
    <w:p w14:paraId="11025477" w14:textId="77777777" w:rsidR="009D54AF" w:rsidRDefault="00000000">
      <w:pPr>
        <w:pStyle w:val="BodyText"/>
        <w:spacing w:before="141" w:line="278" w:lineRule="auto"/>
        <w:ind w:left="142" w:right="332"/>
      </w:pPr>
      <w:r>
        <w:t>Clinical Care Standards continue to be one of the Commission’s most valuable contributions to improving care across Australia. These standards translate evidence into practical guidance for clinicians, services and patients on priority areas where there is variation in care and opportunity for improvement. In 2025–26, the Commission released a new Emergency Laparotomy Clinical Care Standard, updated Clinical Care Standards</w:t>
      </w:r>
      <w:r>
        <w:rPr>
          <w:spacing w:val="-3"/>
        </w:rPr>
        <w:t xml:space="preserve"> </w:t>
      </w:r>
      <w:r>
        <w:t>for</w:t>
      </w:r>
      <w:r>
        <w:rPr>
          <w:spacing w:val="-3"/>
        </w:rPr>
        <w:t xml:space="preserve"> </w:t>
      </w:r>
      <w:r>
        <w:t>stroke</w:t>
      </w:r>
      <w:r>
        <w:rPr>
          <w:spacing w:val="-3"/>
        </w:rPr>
        <w:t xml:space="preserve"> </w:t>
      </w:r>
      <w:r>
        <w:t>and</w:t>
      </w:r>
      <w:r>
        <w:rPr>
          <w:spacing w:val="-3"/>
        </w:rPr>
        <w:t xml:space="preserve"> </w:t>
      </w:r>
      <w:r>
        <w:t>colonoscopy</w:t>
      </w:r>
      <w:r>
        <w:rPr>
          <w:spacing w:val="-3"/>
        </w:rPr>
        <w:t xml:space="preserve"> </w:t>
      </w:r>
      <w:r>
        <w:t>and</w:t>
      </w:r>
      <w:r>
        <w:rPr>
          <w:spacing w:val="-3"/>
        </w:rPr>
        <w:t xml:space="preserve"> </w:t>
      </w:r>
      <w:r>
        <w:t>commenced</w:t>
      </w:r>
      <w:r>
        <w:rPr>
          <w:spacing w:val="-3"/>
        </w:rPr>
        <w:t xml:space="preserve"> </w:t>
      </w:r>
      <w:r>
        <w:t>review</w:t>
      </w:r>
      <w:r>
        <w:rPr>
          <w:spacing w:val="-3"/>
        </w:rPr>
        <w:t xml:space="preserve"> </w:t>
      </w:r>
      <w:r>
        <w:t>of</w:t>
      </w:r>
      <w:r>
        <w:rPr>
          <w:spacing w:val="-3"/>
        </w:rPr>
        <w:t xml:space="preserve"> </w:t>
      </w:r>
      <w:r>
        <w:t>the</w:t>
      </w:r>
      <w:r>
        <w:rPr>
          <w:spacing w:val="-3"/>
        </w:rPr>
        <w:t xml:space="preserve"> </w:t>
      </w:r>
      <w:r>
        <w:t>Venous</w:t>
      </w:r>
      <w:r>
        <w:rPr>
          <w:spacing w:val="-3"/>
        </w:rPr>
        <w:t xml:space="preserve"> </w:t>
      </w:r>
      <w:r>
        <w:t>Thromboembolism</w:t>
      </w:r>
      <w:r>
        <w:rPr>
          <w:spacing w:val="-3"/>
        </w:rPr>
        <w:t xml:space="preserve"> </w:t>
      </w:r>
      <w:r>
        <w:t>Prevention Clinical Care Standard and Acute Coronary Syndromes Clinical Care Standard.</w:t>
      </w:r>
    </w:p>
    <w:p w14:paraId="216F1CE5" w14:textId="77777777" w:rsidR="009D54AF" w:rsidRDefault="00000000">
      <w:pPr>
        <w:pStyle w:val="BodyText"/>
        <w:spacing w:before="141" w:line="278" w:lineRule="auto"/>
        <w:ind w:left="142" w:right="285"/>
      </w:pPr>
      <w:r>
        <w:t xml:space="preserve">The Commission also released the </w:t>
      </w:r>
      <w:r>
        <w:rPr>
          <w:i/>
        </w:rPr>
        <w:t>Atlas Focus Report: Colonoscopy</w:t>
      </w:r>
      <w:r>
        <w:t>. The Atlas highlighted variation in access,</w:t>
      </w:r>
      <w:r>
        <w:rPr>
          <w:spacing w:val="-1"/>
        </w:rPr>
        <w:t xml:space="preserve"> </w:t>
      </w:r>
      <w:r>
        <w:t>follow-up</w:t>
      </w:r>
      <w:r>
        <w:rPr>
          <w:spacing w:val="-1"/>
        </w:rPr>
        <w:t xml:space="preserve"> </w:t>
      </w:r>
      <w:r>
        <w:t>and</w:t>
      </w:r>
      <w:r>
        <w:rPr>
          <w:spacing w:val="-1"/>
        </w:rPr>
        <w:t xml:space="preserve"> </w:t>
      </w:r>
      <w:r>
        <w:t>outcomes</w:t>
      </w:r>
      <w:r>
        <w:rPr>
          <w:spacing w:val="-1"/>
        </w:rPr>
        <w:t xml:space="preserve"> </w:t>
      </w:r>
      <w:r>
        <w:t>for</w:t>
      </w:r>
      <w:r>
        <w:rPr>
          <w:spacing w:val="-1"/>
        </w:rPr>
        <w:t xml:space="preserve"> </w:t>
      </w:r>
      <w:r>
        <w:t>colonoscopy,</w:t>
      </w:r>
      <w:r>
        <w:rPr>
          <w:spacing w:val="-1"/>
        </w:rPr>
        <w:t xml:space="preserve"> </w:t>
      </w:r>
      <w:r>
        <w:t>and</w:t>
      </w:r>
      <w:r>
        <w:rPr>
          <w:spacing w:val="-1"/>
        </w:rPr>
        <w:t xml:space="preserve"> </w:t>
      </w:r>
      <w:r>
        <w:t>identified</w:t>
      </w:r>
      <w:r>
        <w:rPr>
          <w:spacing w:val="-1"/>
        </w:rPr>
        <w:t xml:space="preserve"> </w:t>
      </w:r>
      <w:r>
        <w:t>opportunities</w:t>
      </w:r>
      <w:r>
        <w:rPr>
          <w:spacing w:val="-1"/>
        </w:rPr>
        <w:t xml:space="preserve"> </w:t>
      </w:r>
      <w:r>
        <w:t>to</w:t>
      </w:r>
      <w:r>
        <w:rPr>
          <w:spacing w:val="-1"/>
        </w:rPr>
        <w:t xml:space="preserve"> </w:t>
      </w:r>
      <w:r>
        <w:t>improve</w:t>
      </w:r>
      <w:r>
        <w:rPr>
          <w:spacing w:val="-1"/>
        </w:rPr>
        <w:t xml:space="preserve"> </w:t>
      </w:r>
      <w:r>
        <w:t>care,</w:t>
      </w:r>
      <w:r>
        <w:rPr>
          <w:spacing w:val="-1"/>
        </w:rPr>
        <w:t xml:space="preserve"> </w:t>
      </w:r>
      <w:r>
        <w:t>including</w:t>
      </w:r>
      <w:r>
        <w:rPr>
          <w:spacing w:val="-1"/>
        </w:rPr>
        <w:t xml:space="preserve"> </w:t>
      </w:r>
      <w:r>
        <w:t>for people in rural and disadvantaged areas.</w:t>
      </w:r>
    </w:p>
    <w:p w14:paraId="3EB4317E" w14:textId="77777777" w:rsidR="009D54AF" w:rsidRDefault="00000000">
      <w:pPr>
        <w:pStyle w:val="BodyText"/>
        <w:spacing w:before="141" w:line="278" w:lineRule="auto"/>
        <w:ind w:left="142" w:right="192"/>
      </w:pPr>
      <w:r>
        <w:t>Person-</w:t>
      </w:r>
      <w:proofErr w:type="spellStart"/>
      <w:r>
        <w:t>centred</w:t>
      </w:r>
      <w:proofErr w:type="spellEnd"/>
      <w:r>
        <w:rPr>
          <w:spacing w:val="-1"/>
        </w:rPr>
        <w:t xml:space="preserve"> </w:t>
      </w:r>
      <w:r>
        <w:t>care</w:t>
      </w:r>
      <w:r>
        <w:rPr>
          <w:spacing w:val="-1"/>
        </w:rPr>
        <w:t xml:space="preserve"> </w:t>
      </w:r>
      <w:r>
        <w:t>remained</w:t>
      </w:r>
      <w:r>
        <w:rPr>
          <w:spacing w:val="-1"/>
        </w:rPr>
        <w:t xml:space="preserve"> </w:t>
      </w:r>
      <w:r>
        <w:t>central</w:t>
      </w:r>
      <w:r>
        <w:rPr>
          <w:spacing w:val="-1"/>
        </w:rPr>
        <w:t xml:space="preserve"> </w:t>
      </w:r>
      <w:r>
        <w:t>to</w:t>
      </w:r>
      <w:r>
        <w:rPr>
          <w:spacing w:val="-1"/>
        </w:rPr>
        <w:t xml:space="preserve"> </w:t>
      </w:r>
      <w:r>
        <w:t>the</w:t>
      </w:r>
      <w:r>
        <w:rPr>
          <w:spacing w:val="-1"/>
        </w:rPr>
        <w:t xml:space="preserve"> </w:t>
      </w:r>
      <w:r>
        <w:t>Commission’s</w:t>
      </w:r>
      <w:r>
        <w:rPr>
          <w:spacing w:val="-1"/>
        </w:rPr>
        <w:t xml:space="preserve"> </w:t>
      </w:r>
      <w:r>
        <w:t>work.</w:t>
      </w:r>
      <w:r>
        <w:rPr>
          <w:spacing w:val="-1"/>
        </w:rPr>
        <w:t xml:space="preserve"> </w:t>
      </w:r>
      <w:r>
        <w:t>We</w:t>
      </w:r>
      <w:r>
        <w:rPr>
          <w:spacing w:val="-1"/>
        </w:rPr>
        <w:t xml:space="preserve"> </w:t>
      </w:r>
      <w:r>
        <w:t>released</w:t>
      </w:r>
      <w:r>
        <w:rPr>
          <w:spacing w:val="-1"/>
        </w:rPr>
        <w:t xml:space="preserve"> </w:t>
      </w:r>
      <w:r>
        <w:t>resources</w:t>
      </w:r>
      <w:r>
        <w:rPr>
          <w:spacing w:val="-1"/>
        </w:rPr>
        <w:t xml:space="preserve"> </w:t>
      </w:r>
      <w:r>
        <w:t>to</w:t>
      </w:r>
      <w:r>
        <w:rPr>
          <w:spacing w:val="-1"/>
        </w:rPr>
        <w:t xml:space="preserve"> </w:t>
      </w:r>
      <w:r>
        <w:t>support</w:t>
      </w:r>
      <w:r>
        <w:rPr>
          <w:spacing w:val="-1"/>
        </w:rPr>
        <w:t xml:space="preserve"> </w:t>
      </w:r>
      <w:r>
        <w:t xml:space="preserve">informed consent and shared decision making. The revised </w:t>
      </w:r>
      <w:r>
        <w:rPr>
          <w:i/>
        </w:rPr>
        <w:t xml:space="preserve">Australian Open Disclosure Framework </w:t>
      </w:r>
      <w:r>
        <w:t>sets out a nationally consistent approach and practical guidance to support healthcare professionals across all settings to provide clear, timely and compassionate communication with patients.</w:t>
      </w:r>
    </w:p>
    <w:p w14:paraId="6037EA79" w14:textId="77777777" w:rsidR="00E26787" w:rsidRDefault="00E26787">
      <w:pPr>
        <w:rPr>
          <w:sz w:val="21"/>
          <w:szCs w:val="21"/>
        </w:rPr>
      </w:pPr>
      <w:r>
        <w:br w:type="page"/>
      </w:r>
    </w:p>
    <w:p w14:paraId="21DB805F" w14:textId="7C8A49A3" w:rsidR="009D54AF" w:rsidRDefault="00000000">
      <w:pPr>
        <w:pStyle w:val="BodyText"/>
        <w:spacing w:before="141" w:line="278" w:lineRule="auto"/>
        <w:ind w:left="142"/>
      </w:pPr>
      <w:r>
        <w:lastRenderedPageBreak/>
        <w:t>Improving cultural safety and outcomes for Aboriginal and Torres Strait Islander peoples remained a major priority. The Commission continued work to review standards for cultural safety for health services and to support</w:t>
      </w:r>
      <w:r>
        <w:rPr>
          <w:spacing w:val="-1"/>
        </w:rPr>
        <w:t xml:space="preserve"> </w:t>
      </w:r>
      <w:r>
        <w:t>alignment</w:t>
      </w:r>
      <w:r>
        <w:rPr>
          <w:spacing w:val="-1"/>
        </w:rPr>
        <w:t xml:space="preserve"> </w:t>
      </w:r>
      <w:r>
        <w:t>across</w:t>
      </w:r>
      <w:r>
        <w:rPr>
          <w:spacing w:val="-1"/>
        </w:rPr>
        <w:t xml:space="preserve"> </w:t>
      </w:r>
      <w:r>
        <w:t>national</w:t>
      </w:r>
      <w:r>
        <w:rPr>
          <w:spacing w:val="-1"/>
        </w:rPr>
        <w:t xml:space="preserve"> </w:t>
      </w:r>
      <w:r>
        <w:t>standards.</w:t>
      </w:r>
      <w:r>
        <w:rPr>
          <w:spacing w:val="-1"/>
        </w:rPr>
        <w:t xml:space="preserve"> </w:t>
      </w:r>
      <w:r>
        <w:t>This</w:t>
      </w:r>
      <w:r>
        <w:rPr>
          <w:spacing w:val="-1"/>
        </w:rPr>
        <w:t xml:space="preserve"> </w:t>
      </w:r>
      <w:r>
        <w:t>work</w:t>
      </w:r>
      <w:r>
        <w:rPr>
          <w:spacing w:val="-1"/>
        </w:rPr>
        <w:t xml:space="preserve"> </w:t>
      </w:r>
      <w:r>
        <w:t>contributes</w:t>
      </w:r>
      <w:r>
        <w:rPr>
          <w:spacing w:val="-1"/>
        </w:rPr>
        <w:t xml:space="preserve"> </w:t>
      </w:r>
      <w:r>
        <w:t>to</w:t>
      </w:r>
      <w:r>
        <w:rPr>
          <w:spacing w:val="-1"/>
        </w:rPr>
        <w:t xml:space="preserve"> </w:t>
      </w:r>
      <w:r>
        <w:t>the</w:t>
      </w:r>
      <w:r>
        <w:rPr>
          <w:spacing w:val="-1"/>
        </w:rPr>
        <w:t xml:space="preserve"> </w:t>
      </w:r>
      <w:r>
        <w:t>broader</w:t>
      </w:r>
      <w:r>
        <w:rPr>
          <w:spacing w:val="-1"/>
        </w:rPr>
        <w:t xml:space="preserve"> </w:t>
      </w:r>
      <w:r>
        <w:t>goal</w:t>
      </w:r>
      <w:r>
        <w:rPr>
          <w:spacing w:val="-1"/>
        </w:rPr>
        <w:t xml:space="preserve"> </w:t>
      </w:r>
      <w:r>
        <w:t>of</w:t>
      </w:r>
      <w:r>
        <w:rPr>
          <w:spacing w:val="-1"/>
        </w:rPr>
        <w:t xml:space="preserve"> </w:t>
      </w:r>
      <w:r>
        <w:t>ensuring</w:t>
      </w:r>
      <w:r>
        <w:rPr>
          <w:spacing w:val="-1"/>
        </w:rPr>
        <w:t xml:space="preserve"> </w:t>
      </w:r>
      <w:r>
        <w:t>that</w:t>
      </w:r>
      <w:r>
        <w:rPr>
          <w:spacing w:val="-1"/>
        </w:rPr>
        <w:t xml:space="preserve"> </w:t>
      </w:r>
      <w:r>
        <w:t>health care is culturally safe, respectful and responsive for Aboriginal and Torres Strait Islander peoples.</w:t>
      </w:r>
    </w:p>
    <w:p w14:paraId="7CD88EEE" w14:textId="77777777" w:rsidR="009D54AF" w:rsidRDefault="00000000">
      <w:pPr>
        <w:pStyle w:val="BodyText"/>
        <w:spacing w:before="142" w:line="278" w:lineRule="auto"/>
        <w:ind w:left="142"/>
      </w:pPr>
      <w:r>
        <w:t>The Commission progressed work on environmental sustainability in health care, including the release of the Healthcare</w:t>
      </w:r>
      <w:r>
        <w:rPr>
          <w:spacing w:val="-1"/>
        </w:rPr>
        <w:t xml:space="preserve"> </w:t>
      </w:r>
      <w:r>
        <w:t>Sustainability</w:t>
      </w:r>
      <w:r>
        <w:rPr>
          <w:spacing w:val="-1"/>
        </w:rPr>
        <w:t xml:space="preserve"> </w:t>
      </w:r>
      <w:r>
        <w:t>and</w:t>
      </w:r>
      <w:r>
        <w:rPr>
          <w:spacing w:val="-1"/>
        </w:rPr>
        <w:t xml:space="preserve"> </w:t>
      </w:r>
      <w:r>
        <w:t>Resilience</w:t>
      </w:r>
      <w:r>
        <w:rPr>
          <w:spacing w:val="-1"/>
        </w:rPr>
        <w:t xml:space="preserve"> </w:t>
      </w:r>
      <w:r>
        <w:t>Module.</w:t>
      </w:r>
      <w:r>
        <w:rPr>
          <w:spacing w:val="-1"/>
        </w:rPr>
        <w:t xml:space="preserve"> </w:t>
      </w:r>
      <w:r>
        <w:t>This</w:t>
      </w:r>
      <w:r>
        <w:rPr>
          <w:spacing w:val="-1"/>
        </w:rPr>
        <w:t xml:space="preserve"> </w:t>
      </w:r>
      <w:r>
        <w:t>work</w:t>
      </w:r>
      <w:r>
        <w:rPr>
          <w:spacing w:val="-1"/>
        </w:rPr>
        <w:t xml:space="preserve"> </w:t>
      </w:r>
      <w:r>
        <w:t>provides</w:t>
      </w:r>
      <w:r>
        <w:rPr>
          <w:spacing w:val="-1"/>
        </w:rPr>
        <w:t xml:space="preserve"> </w:t>
      </w:r>
      <w:r>
        <w:t>a</w:t>
      </w:r>
      <w:r>
        <w:rPr>
          <w:spacing w:val="-1"/>
        </w:rPr>
        <w:t xml:space="preserve"> </w:t>
      </w:r>
      <w:r>
        <w:t>framework</w:t>
      </w:r>
      <w:r>
        <w:rPr>
          <w:spacing w:val="-1"/>
        </w:rPr>
        <w:t xml:space="preserve"> </w:t>
      </w:r>
      <w:r>
        <w:t>of</w:t>
      </w:r>
      <w:r>
        <w:rPr>
          <w:spacing w:val="-1"/>
        </w:rPr>
        <w:t xml:space="preserve"> </w:t>
      </w:r>
      <w:r>
        <w:t>actions</w:t>
      </w:r>
      <w:r>
        <w:rPr>
          <w:spacing w:val="-1"/>
        </w:rPr>
        <w:t xml:space="preserve"> </w:t>
      </w:r>
      <w:r>
        <w:t>to</w:t>
      </w:r>
      <w:r>
        <w:rPr>
          <w:spacing w:val="-1"/>
        </w:rPr>
        <w:t xml:space="preserve"> </w:t>
      </w:r>
      <w:r>
        <w:t>support</w:t>
      </w:r>
      <w:r>
        <w:rPr>
          <w:spacing w:val="-1"/>
        </w:rPr>
        <w:t xml:space="preserve"> </w:t>
      </w:r>
      <w:r>
        <w:t xml:space="preserve">health service </w:t>
      </w:r>
      <w:proofErr w:type="spellStart"/>
      <w:r>
        <w:t>organisations</w:t>
      </w:r>
      <w:proofErr w:type="spellEnd"/>
      <w:r>
        <w:t xml:space="preserve"> address healthcare impacts on the environment and the climate risks affecting human health and equitable access to high-quality care.</w:t>
      </w:r>
    </w:p>
    <w:p w14:paraId="08E0FC46" w14:textId="77777777" w:rsidR="009D54AF" w:rsidRDefault="009D54AF">
      <w:pPr>
        <w:pStyle w:val="BodyText"/>
        <w:spacing w:line="278" w:lineRule="auto"/>
      </w:pPr>
    </w:p>
    <w:p w14:paraId="0CCE1871" w14:textId="77777777" w:rsidR="009D54AF" w:rsidRDefault="00000000">
      <w:pPr>
        <w:pStyle w:val="BodyText"/>
        <w:spacing w:before="66" w:line="278" w:lineRule="auto"/>
        <w:ind w:left="142" w:right="145"/>
      </w:pPr>
      <w:r>
        <w:t>As</w:t>
      </w:r>
      <w:r>
        <w:rPr>
          <w:spacing w:val="-5"/>
        </w:rPr>
        <w:t xml:space="preserve"> </w:t>
      </w:r>
      <w:r>
        <w:t>the</w:t>
      </w:r>
      <w:r>
        <w:rPr>
          <w:spacing w:val="-4"/>
        </w:rPr>
        <w:t xml:space="preserve"> </w:t>
      </w:r>
      <w:r>
        <w:t>health</w:t>
      </w:r>
      <w:r>
        <w:rPr>
          <w:spacing w:val="-4"/>
        </w:rPr>
        <w:t xml:space="preserve"> </w:t>
      </w:r>
      <w:r>
        <w:t>system</w:t>
      </w:r>
      <w:r>
        <w:rPr>
          <w:spacing w:val="-5"/>
        </w:rPr>
        <w:t xml:space="preserve"> </w:t>
      </w:r>
      <w:r>
        <w:t>continues</w:t>
      </w:r>
      <w:r>
        <w:rPr>
          <w:spacing w:val="-5"/>
        </w:rPr>
        <w:t xml:space="preserve"> </w:t>
      </w:r>
      <w:r>
        <w:t>to</w:t>
      </w:r>
      <w:r>
        <w:rPr>
          <w:spacing w:val="-4"/>
        </w:rPr>
        <w:t xml:space="preserve"> </w:t>
      </w:r>
      <w:r>
        <w:t>evolve,</w:t>
      </w:r>
      <w:r>
        <w:rPr>
          <w:spacing w:val="-5"/>
        </w:rPr>
        <w:t xml:space="preserve"> </w:t>
      </w:r>
      <w:r>
        <w:t>the</w:t>
      </w:r>
      <w:r>
        <w:rPr>
          <w:spacing w:val="-4"/>
        </w:rPr>
        <w:t xml:space="preserve"> </w:t>
      </w:r>
      <w:r>
        <w:t>Commission’s</w:t>
      </w:r>
      <w:r>
        <w:rPr>
          <w:spacing w:val="-4"/>
        </w:rPr>
        <w:t xml:space="preserve"> </w:t>
      </w:r>
      <w:r>
        <w:t>role</w:t>
      </w:r>
      <w:r>
        <w:rPr>
          <w:spacing w:val="-4"/>
        </w:rPr>
        <w:t xml:space="preserve"> </w:t>
      </w:r>
      <w:r>
        <w:t>remains</w:t>
      </w:r>
      <w:r>
        <w:rPr>
          <w:spacing w:val="-5"/>
        </w:rPr>
        <w:t xml:space="preserve"> </w:t>
      </w:r>
      <w:r>
        <w:t>clear:</w:t>
      </w:r>
      <w:r>
        <w:rPr>
          <w:spacing w:val="-5"/>
        </w:rPr>
        <w:t xml:space="preserve"> </w:t>
      </w:r>
      <w:r>
        <w:t>to</w:t>
      </w:r>
      <w:r>
        <w:rPr>
          <w:spacing w:val="-4"/>
        </w:rPr>
        <w:t xml:space="preserve"> </w:t>
      </w:r>
      <w:r>
        <w:t>provide</w:t>
      </w:r>
      <w:r>
        <w:rPr>
          <w:spacing w:val="-4"/>
        </w:rPr>
        <w:t xml:space="preserve"> </w:t>
      </w:r>
      <w:r>
        <w:t>national</w:t>
      </w:r>
      <w:r>
        <w:rPr>
          <w:spacing w:val="-4"/>
        </w:rPr>
        <w:t xml:space="preserve"> </w:t>
      </w:r>
      <w:r>
        <w:t>leadership, trusted standards, practical guidance and evidence-based resources that support safe and high-quality care for all people in Australia.</w:t>
      </w:r>
    </w:p>
    <w:p w14:paraId="598C5727" w14:textId="77777777" w:rsidR="009D54AF" w:rsidRDefault="00000000">
      <w:pPr>
        <w:pStyle w:val="BodyText"/>
        <w:spacing w:before="141" w:line="278" w:lineRule="auto"/>
        <w:ind w:left="142" w:right="285"/>
      </w:pPr>
      <w:r>
        <w:t>I thank the Board for their ongoing advice and guidance as the Commission continues to adapt to the challenges</w:t>
      </w:r>
      <w:r>
        <w:rPr>
          <w:spacing w:val="-2"/>
        </w:rPr>
        <w:t xml:space="preserve"> </w:t>
      </w:r>
      <w:r>
        <w:t>and</w:t>
      </w:r>
      <w:r>
        <w:rPr>
          <w:spacing w:val="-2"/>
        </w:rPr>
        <w:t xml:space="preserve"> </w:t>
      </w:r>
      <w:r>
        <w:t>opportunities</w:t>
      </w:r>
      <w:r>
        <w:rPr>
          <w:spacing w:val="-2"/>
        </w:rPr>
        <w:t xml:space="preserve"> </w:t>
      </w:r>
      <w:r>
        <w:t>in</w:t>
      </w:r>
      <w:r>
        <w:rPr>
          <w:spacing w:val="-2"/>
        </w:rPr>
        <w:t xml:space="preserve"> </w:t>
      </w:r>
      <w:r>
        <w:t>our</w:t>
      </w:r>
      <w:r>
        <w:rPr>
          <w:spacing w:val="-2"/>
        </w:rPr>
        <w:t xml:space="preserve"> </w:t>
      </w:r>
      <w:r>
        <w:t>rapidly</w:t>
      </w:r>
      <w:r>
        <w:rPr>
          <w:spacing w:val="-2"/>
        </w:rPr>
        <w:t xml:space="preserve"> </w:t>
      </w:r>
      <w:r>
        <w:t>changing</w:t>
      </w:r>
      <w:r>
        <w:rPr>
          <w:spacing w:val="-2"/>
        </w:rPr>
        <w:t xml:space="preserve"> </w:t>
      </w:r>
      <w:r>
        <w:t>healthcare</w:t>
      </w:r>
      <w:r>
        <w:rPr>
          <w:spacing w:val="-2"/>
        </w:rPr>
        <w:t xml:space="preserve"> </w:t>
      </w:r>
      <w:r>
        <w:t>environment.</w:t>
      </w:r>
      <w:r>
        <w:rPr>
          <w:spacing w:val="-2"/>
        </w:rPr>
        <w:t xml:space="preserve"> </w:t>
      </w:r>
      <w:r>
        <w:t>I</w:t>
      </w:r>
      <w:r>
        <w:rPr>
          <w:spacing w:val="-2"/>
        </w:rPr>
        <w:t xml:space="preserve"> </w:t>
      </w:r>
      <w:r>
        <w:t>also</w:t>
      </w:r>
      <w:r>
        <w:rPr>
          <w:spacing w:val="-2"/>
        </w:rPr>
        <w:t xml:space="preserve"> </w:t>
      </w:r>
      <w:r>
        <w:t>feel</w:t>
      </w:r>
      <w:r>
        <w:rPr>
          <w:spacing w:val="-2"/>
        </w:rPr>
        <w:t xml:space="preserve"> </w:t>
      </w:r>
      <w:r>
        <w:t>immense</w:t>
      </w:r>
      <w:r>
        <w:rPr>
          <w:spacing w:val="-2"/>
        </w:rPr>
        <w:t xml:space="preserve"> </w:t>
      </w:r>
      <w:r>
        <w:t>gratitude and thank our exceptional Commission staff for their dedication, skill and commitment in supporting quality improvement in health care.</w:t>
      </w:r>
    </w:p>
    <w:p w14:paraId="77F86488" w14:textId="77777777" w:rsidR="009D54AF" w:rsidRDefault="00000000">
      <w:pPr>
        <w:pStyle w:val="BodyText"/>
        <w:spacing w:before="141" w:line="278" w:lineRule="auto"/>
        <w:ind w:left="142" w:right="285"/>
      </w:pPr>
      <w:r>
        <w:t xml:space="preserve">I extend my sincere appreciation to all the clinicians, health professionals, patients, </w:t>
      </w:r>
      <w:proofErr w:type="spellStart"/>
      <w:r>
        <w:t>organisations</w:t>
      </w:r>
      <w:proofErr w:type="spellEnd"/>
      <w:r>
        <w:t xml:space="preserve"> and individuals who have contributed to the wide range of resources, events and standards delivered over the past</w:t>
      </w:r>
      <w:r>
        <w:rPr>
          <w:spacing w:val="-2"/>
        </w:rPr>
        <w:t xml:space="preserve"> </w:t>
      </w:r>
      <w:r>
        <w:t>12</w:t>
      </w:r>
      <w:r>
        <w:rPr>
          <w:spacing w:val="-2"/>
        </w:rPr>
        <w:t xml:space="preserve"> </w:t>
      </w:r>
      <w:r>
        <w:t>months.</w:t>
      </w:r>
      <w:r>
        <w:rPr>
          <w:spacing w:val="-2"/>
        </w:rPr>
        <w:t xml:space="preserve"> </w:t>
      </w:r>
      <w:r>
        <w:t>I</w:t>
      </w:r>
      <w:r>
        <w:rPr>
          <w:spacing w:val="-2"/>
        </w:rPr>
        <w:t xml:space="preserve"> </w:t>
      </w:r>
      <w:r>
        <w:t>look</w:t>
      </w:r>
      <w:r>
        <w:rPr>
          <w:spacing w:val="-2"/>
        </w:rPr>
        <w:t xml:space="preserve"> </w:t>
      </w:r>
      <w:r>
        <w:t>forward</w:t>
      </w:r>
      <w:r>
        <w:rPr>
          <w:spacing w:val="-2"/>
        </w:rPr>
        <w:t xml:space="preserve"> </w:t>
      </w:r>
      <w:r>
        <w:t>to</w:t>
      </w:r>
      <w:r>
        <w:rPr>
          <w:spacing w:val="-2"/>
        </w:rPr>
        <w:t xml:space="preserve"> </w:t>
      </w:r>
      <w:r>
        <w:t>collaborating</w:t>
      </w:r>
      <w:r>
        <w:rPr>
          <w:spacing w:val="-2"/>
        </w:rPr>
        <w:t xml:space="preserve"> </w:t>
      </w:r>
      <w:r>
        <w:t>with</w:t>
      </w:r>
      <w:r>
        <w:rPr>
          <w:spacing w:val="-2"/>
        </w:rPr>
        <w:t xml:space="preserve"> </w:t>
      </w:r>
      <w:r>
        <w:t>the</w:t>
      </w:r>
      <w:r>
        <w:rPr>
          <w:spacing w:val="-2"/>
        </w:rPr>
        <w:t xml:space="preserve"> </w:t>
      </w:r>
      <w:r>
        <w:t>Australian</w:t>
      </w:r>
      <w:r>
        <w:rPr>
          <w:spacing w:val="-2"/>
        </w:rPr>
        <w:t xml:space="preserve"> </w:t>
      </w:r>
      <w:r>
        <w:t>Government</w:t>
      </w:r>
      <w:r>
        <w:rPr>
          <w:spacing w:val="-2"/>
        </w:rPr>
        <w:t xml:space="preserve"> </w:t>
      </w:r>
      <w:r>
        <w:t>and</w:t>
      </w:r>
      <w:r>
        <w:rPr>
          <w:spacing w:val="-2"/>
        </w:rPr>
        <w:t xml:space="preserve"> </w:t>
      </w:r>
      <w:r>
        <w:t>state</w:t>
      </w:r>
      <w:r>
        <w:rPr>
          <w:spacing w:val="-2"/>
        </w:rPr>
        <w:t xml:space="preserve"> </w:t>
      </w:r>
      <w:r>
        <w:t>and</w:t>
      </w:r>
      <w:r>
        <w:rPr>
          <w:spacing w:val="-2"/>
        </w:rPr>
        <w:t xml:space="preserve"> </w:t>
      </w:r>
      <w:r>
        <w:t>territory</w:t>
      </w:r>
      <w:r>
        <w:rPr>
          <w:spacing w:val="-2"/>
        </w:rPr>
        <w:t xml:space="preserve"> </w:t>
      </w:r>
      <w:r>
        <w:t xml:space="preserve">health departments, as well as the many stakeholders and </w:t>
      </w:r>
      <w:proofErr w:type="spellStart"/>
      <w:r>
        <w:t>organisations</w:t>
      </w:r>
      <w:proofErr w:type="spellEnd"/>
      <w:r>
        <w:t xml:space="preserve"> that work with us to achieve our shared goal of supporting the delivery of safe and high-quality health care for all Australians.</w:t>
      </w:r>
    </w:p>
    <w:p w14:paraId="7B6AE958" w14:textId="77777777" w:rsidR="00E26787" w:rsidRDefault="00E26787">
      <w:pPr>
        <w:pStyle w:val="Heading1"/>
        <w:rPr>
          <w:spacing w:val="-2"/>
        </w:rPr>
      </w:pPr>
      <w:bookmarkStart w:id="14" w:name="_First_Nations_people’s"/>
      <w:bookmarkEnd w:id="14"/>
    </w:p>
    <w:p w14:paraId="0F35AECB" w14:textId="5C2B1253" w:rsidR="009D54AF" w:rsidRDefault="00000000">
      <w:pPr>
        <w:pStyle w:val="Heading1"/>
      </w:pPr>
      <w:bookmarkStart w:id="15" w:name="_Toc243037269"/>
      <w:r>
        <w:rPr>
          <w:spacing w:val="-2"/>
        </w:rPr>
        <w:t>First</w:t>
      </w:r>
      <w:r>
        <w:rPr>
          <w:spacing w:val="-24"/>
        </w:rPr>
        <w:t xml:space="preserve"> </w:t>
      </w:r>
      <w:r>
        <w:rPr>
          <w:spacing w:val="-2"/>
        </w:rPr>
        <w:t>Nations</w:t>
      </w:r>
      <w:r>
        <w:rPr>
          <w:spacing w:val="-22"/>
        </w:rPr>
        <w:t xml:space="preserve"> </w:t>
      </w:r>
      <w:r>
        <w:rPr>
          <w:spacing w:val="-2"/>
        </w:rPr>
        <w:t>people’s</w:t>
      </w:r>
      <w:r>
        <w:rPr>
          <w:spacing w:val="-22"/>
        </w:rPr>
        <w:t xml:space="preserve"> </w:t>
      </w:r>
      <w:r>
        <w:rPr>
          <w:spacing w:val="-2"/>
        </w:rPr>
        <w:t>health</w:t>
      </w:r>
      <w:r>
        <w:rPr>
          <w:spacing w:val="-22"/>
        </w:rPr>
        <w:t xml:space="preserve"> </w:t>
      </w:r>
      <w:r>
        <w:rPr>
          <w:spacing w:val="-2"/>
        </w:rPr>
        <w:t>and</w:t>
      </w:r>
      <w:r>
        <w:rPr>
          <w:spacing w:val="-22"/>
        </w:rPr>
        <w:t xml:space="preserve"> </w:t>
      </w:r>
      <w:r>
        <w:rPr>
          <w:spacing w:val="-2"/>
        </w:rPr>
        <w:t>reconciliation</w:t>
      </w:r>
      <w:bookmarkEnd w:id="15"/>
    </w:p>
    <w:p w14:paraId="197F5F1D" w14:textId="77777777" w:rsidR="009D54AF" w:rsidRDefault="00000000">
      <w:pPr>
        <w:pStyle w:val="Heading9"/>
        <w:spacing w:line="268" w:lineRule="auto"/>
        <w:ind w:right="285"/>
      </w:pPr>
      <w:r>
        <w:t>The</w:t>
      </w:r>
      <w:r>
        <w:rPr>
          <w:spacing w:val="-17"/>
        </w:rPr>
        <w:t xml:space="preserve"> </w:t>
      </w:r>
      <w:r>
        <w:t>Commission</w:t>
      </w:r>
      <w:r>
        <w:rPr>
          <w:spacing w:val="-17"/>
        </w:rPr>
        <w:t xml:space="preserve"> </w:t>
      </w:r>
      <w:proofErr w:type="spellStart"/>
      <w:r>
        <w:t>recognises</w:t>
      </w:r>
      <w:proofErr w:type="spellEnd"/>
      <w:r>
        <w:rPr>
          <w:spacing w:val="-16"/>
        </w:rPr>
        <w:t xml:space="preserve"> </w:t>
      </w:r>
      <w:r>
        <w:t>that</w:t>
      </w:r>
      <w:r>
        <w:rPr>
          <w:spacing w:val="-17"/>
        </w:rPr>
        <w:t xml:space="preserve"> </w:t>
      </w:r>
      <w:r>
        <w:t>racism</w:t>
      </w:r>
      <w:r>
        <w:rPr>
          <w:spacing w:val="-17"/>
        </w:rPr>
        <w:t xml:space="preserve"> </w:t>
      </w:r>
      <w:r>
        <w:t>and</w:t>
      </w:r>
      <w:r>
        <w:rPr>
          <w:spacing w:val="-17"/>
        </w:rPr>
        <w:t xml:space="preserve"> </w:t>
      </w:r>
      <w:r>
        <w:t>culturally</w:t>
      </w:r>
      <w:r>
        <w:rPr>
          <w:spacing w:val="-16"/>
        </w:rPr>
        <w:t xml:space="preserve"> </w:t>
      </w:r>
      <w:r>
        <w:t>unsafe</w:t>
      </w:r>
      <w:r>
        <w:rPr>
          <w:spacing w:val="-17"/>
        </w:rPr>
        <w:t xml:space="preserve"> </w:t>
      </w:r>
      <w:r>
        <w:t>care</w:t>
      </w:r>
      <w:r>
        <w:rPr>
          <w:spacing w:val="-17"/>
        </w:rPr>
        <w:t xml:space="preserve"> </w:t>
      </w:r>
      <w:r>
        <w:t>pose</w:t>
      </w:r>
      <w:r>
        <w:rPr>
          <w:spacing w:val="2"/>
        </w:rPr>
        <w:t xml:space="preserve"> </w:t>
      </w:r>
      <w:r>
        <w:t>a</w:t>
      </w:r>
      <w:r>
        <w:rPr>
          <w:spacing w:val="-16"/>
        </w:rPr>
        <w:t xml:space="preserve"> </w:t>
      </w:r>
      <w:r>
        <w:t>known</w:t>
      </w:r>
      <w:r>
        <w:rPr>
          <w:spacing w:val="-17"/>
        </w:rPr>
        <w:t xml:space="preserve"> </w:t>
      </w:r>
      <w:r>
        <w:t>and</w:t>
      </w:r>
      <w:r>
        <w:rPr>
          <w:spacing w:val="-17"/>
        </w:rPr>
        <w:t xml:space="preserve"> </w:t>
      </w:r>
      <w:r>
        <w:t>continuing risk of harm to First Nations people.</w:t>
      </w:r>
    </w:p>
    <w:p w14:paraId="4670AC4F" w14:textId="77777777" w:rsidR="009D54AF" w:rsidRDefault="00000000">
      <w:pPr>
        <w:pStyle w:val="BodyText"/>
        <w:spacing w:before="170" w:line="278" w:lineRule="auto"/>
        <w:ind w:left="142" w:right="285"/>
      </w:pPr>
      <w:r>
        <w:t>Recent reports have demonstrated that systemic and institutional racism remains embedded across Australian</w:t>
      </w:r>
      <w:r>
        <w:rPr>
          <w:spacing w:val="-1"/>
        </w:rPr>
        <w:t xml:space="preserve"> </w:t>
      </w:r>
      <w:r>
        <w:t>healthcare</w:t>
      </w:r>
      <w:r>
        <w:rPr>
          <w:spacing w:val="-1"/>
        </w:rPr>
        <w:t xml:space="preserve"> </w:t>
      </w:r>
      <w:r>
        <w:t>structures,</w:t>
      </w:r>
      <w:r>
        <w:rPr>
          <w:spacing w:val="-1"/>
        </w:rPr>
        <w:t xml:space="preserve"> </w:t>
      </w:r>
      <w:r>
        <w:t>policies</w:t>
      </w:r>
      <w:r>
        <w:rPr>
          <w:spacing w:val="-1"/>
        </w:rPr>
        <w:t xml:space="preserve"> </w:t>
      </w:r>
      <w:r>
        <w:t>and</w:t>
      </w:r>
      <w:r>
        <w:rPr>
          <w:spacing w:val="-1"/>
        </w:rPr>
        <w:t xml:space="preserve"> </w:t>
      </w:r>
      <w:r>
        <w:t>practices,</w:t>
      </w:r>
      <w:r>
        <w:rPr>
          <w:spacing w:val="-1"/>
        </w:rPr>
        <w:t xml:space="preserve"> </w:t>
      </w:r>
      <w:r>
        <w:t>and</w:t>
      </w:r>
      <w:r>
        <w:rPr>
          <w:spacing w:val="-1"/>
        </w:rPr>
        <w:t xml:space="preserve"> </w:t>
      </w:r>
      <w:r>
        <w:t>contributes</w:t>
      </w:r>
      <w:r>
        <w:rPr>
          <w:spacing w:val="-1"/>
        </w:rPr>
        <w:t xml:space="preserve"> </w:t>
      </w:r>
      <w:r>
        <w:t>directly</w:t>
      </w:r>
      <w:r>
        <w:rPr>
          <w:spacing w:val="-1"/>
        </w:rPr>
        <w:t xml:space="preserve"> </w:t>
      </w:r>
      <w:r>
        <w:t>to</w:t>
      </w:r>
      <w:r>
        <w:rPr>
          <w:spacing w:val="-1"/>
        </w:rPr>
        <w:t xml:space="preserve"> </w:t>
      </w:r>
      <w:r>
        <w:t>inequitable</w:t>
      </w:r>
      <w:r>
        <w:rPr>
          <w:spacing w:val="-1"/>
        </w:rPr>
        <w:t xml:space="preserve"> </w:t>
      </w:r>
      <w:r>
        <w:t>access</w:t>
      </w:r>
      <w:r>
        <w:rPr>
          <w:spacing w:val="-1"/>
        </w:rPr>
        <w:t xml:space="preserve"> </w:t>
      </w:r>
      <w:r>
        <w:t>and outcomes for First Nations people.</w:t>
      </w:r>
    </w:p>
    <w:p w14:paraId="6B8F2531" w14:textId="77777777" w:rsidR="009D54AF" w:rsidRDefault="00000000">
      <w:pPr>
        <w:pStyle w:val="BodyText"/>
        <w:spacing w:before="142" w:line="278" w:lineRule="auto"/>
        <w:ind w:left="142" w:right="228"/>
      </w:pPr>
      <w:r>
        <w:t>The</w:t>
      </w:r>
      <w:r>
        <w:rPr>
          <w:spacing w:val="-1"/>
        </w:rPr>
        <w:t xml:space="preserve"> </w:t>
      </w:r>
      <w:r>
        <w:t>Commission</w:t>
      </w:r>
      <w:r>
        <w:rPr>
          <w:spacing w:val="-1"/>
        </w:rPr>
        <w:t xml:space="preserve"> </w:t>
      </w:r>
      <w:proofErr w:type="spellStart"/>
      <w:r>
        <w:t>recognises</w:t>
      </w:r>
      <w:proofErr w:type="spellEnd"/>
      <w:r>
        <w:rPr>
          <w:spacing w:val="-1"/>
        </w:rPr>
        <w:t xml:space="preserve"> </w:t>
      </w:r>
      <w:r>
        <w:t>that</w:t>
      </w:r>
      <w:r>
        <w:rPr>
          <w:spacing w:val="-1"/>
        </w:rPr>
        <w:t xml:space="preserve"> </w:t>
      </w:r>
      <w:r>
        <w:t>reconciliation</w:t>
      </w:r>
      <w:r>
        <w:rPr>
          <w:spacing w:val="-1"/>
        </w:rPr>
        <w:t xml:space="preserve"> </w:t>
      </w:r>
      <w:r>
        <w:t>is</w:t>
      </w:r>
      <w:r>
        <w:rPr>
          <w:spacing w:val="-1"/>
        </w:rPr>
        <w:t xml:space="preserve"> </w:t>
      </w:r>
      <w:r>
        <w:t>a</w:t>
      </w:r>
      <w:r>
        <w:rPr>
          <w:spacing w:val="-1"/>
        </w:rPr>
        <w:t xml:space="preserve"> </w:t>
      </w:r>
      <w:r>
        <w:t>significant</w:t>
      </w:r>
      <w:r>
        <w:rPr>
          <w:spacing w:val="-1"/>
        </w:rPr>
        <w:t xml:space="preserve"> </w:t>
      </w:r>
      <w:r>
        <w:t>journey</w:t>
      </w:r>
      <w:r>
        <w:rPr>
          <w:spacing w:val="-1"/>
        </w:rPr>
        <w:t xml:space="preserve"> </w:t>
      </w:r>
      <w:r>
        <w:t>that</w:t>
      </w:r>
      <w:r>
        <w:rPr>
          <w:spacing w:val="-1"/>
        </w:rPr>
        <w:t xml:space="preserve"> </w:t>
      </w:r>
      <w:r>
        <w:t>will</w:t>
      </w:r>
      <w:r>
        <w:rPr>
          <w:spacing w:val="-1"/>
        </w:rPr>
        <w:t xml:space="preserve"> </w:t>
      </w:r>
      <w:r>
        <w:t>be</w:t>
      </w:r>
      <w:r>
        <w:rPr>
          <w:spacing w:val="-1"/>
        </w:rPr>
        <w:t xml:space="preserve"> </w:t>
      </w:r>
      <w:r>
        <w:t>a</w:t>
      </w:r>
      <w:r>
        <w:rPr>
          <w:spacing w:val="-1"/>
        </w:rPr>
        <w:t xml:space="preserve"> </w:t>
      </w:r>
      <w:r>
        <w:t>part</w:t>
      </w:r>
      <w:r>
        <w:rPr>
          <w:spacing w:val="-1"/>
        </w:rPr>
        <w:t xml:space="preserve"> </w:t>
      </w:r>
      <w:r>
        <w:t>of</w:t>
      </w:r>
      <w:r>
        <w:rPr>
          <w:spacing w:val="-1"/>
        </w:rPr>
        <w:t xml:space="preserve"> </w:t>
      </w:r>
      <w:r>
        <w:t>Australia’s</w:t>
      </w:r>
      <w:r>
        <w:rPr>
          <w:spacing w:val="-1"/>
        </w:rPr>
        <w:t xml:space="preserve"> </w:t>
      </w:r>
      <w:r>
        <w:t xml:space="preserve">history for many years to come. The Commission works in partnership with First Nations individuals, </w:t>
      </w:r>
      <w:proofErr w:type="spellStart"/>
      <w:r>
        <w:t>organisations</w:t>
      </w:r>
      <w:proofErr w:type="spellEnd"/>
      <w:r>
        <w:t xml:space="preserve"> and communities, and with other health </w:t>
      </w:r>
      <w:proofErr w:type="spellStart"/>
      <w:r>
        <w:t>organisations</w:t>
      </w:r>
      <w:proofErr w:type="spellEnd"/>
      <w:r>
        <w:t>, as an ally and change-maker in improving First Nations people’s health outcomes and experiences of health care.</w:t>
      </w:r>
    </w:p>
    <w:p w14:paraId="6D92C87A" w14:textId="77777777" w:rsidR="009D54AF" w:rsidRDefault="00000000">
      <w:pPr>
        <w:pStyle w:val="BodyText"/>
        <w:spacing w:before="141" w:line="278" w:lineRule="auto"/>
        <w:ind w:left="142" w:right="277"/>
        <w:jc w:val="both"/>
      </w:pPr>
      <w:r>
        <w:t>The</w:t>
      </w:r>
      <w:r>
        <w:rPr>
          <w:spacing w:val="-1"/>
        </w:rPr>
        <w:t xml:space="preserve"> </w:t>
      </w:r>
      <w:r>
        <w:t>Commission</w:t>
      </w:r>
      <w:r>
        <w:rPr>
          <w:spacing w:val="-1"/>
        </w:rPr>
        <w:t xml:space="preserve"> </w:t>
      </w:r>
      <w:r>
        <w:t>has</w:t>
      </w:r>
      <w:r>
        <w:rPr>
          <w:spacing w:val="-1"/>
        </w:rPr>
        <w:t xml:space="preserve"> </w:t>
      </w:r>
      <w:r>
        <w:t>committed</w:t>
      </w:r>
      <w:r>
        <w:rPr>
          <w:spacing w:val="-1"/>
        </w:rPr>
        <w:t xml:space="preserve"> </w:t>
      </w:r>
      <w:r>
        <w:t>to</w:t>
      </w:r>
      <w:r>
        <w:rPr>
          <w:spacing w:val="-1"/>
        </w:rPr>
        <w:t xml:space="preserve"> </w:t>
      </w:r>
      <w:r>
        <w:t>leading</w:t>
      </w:r>
      <w:r>
        <w:rPr>
          <w:spacing w:val="-1"/>
        </w:rPr>
        <w:t xml:space="preserve"> </w:t>
      </w:r>
      <w:r>
        <w:t>the</w:t>
      </w:r>
      <w:r>
        <w:rPr>
          <w:spacing w:val="-1"/>
        </w:rPr>
        <w:t xml:space="preserve"> </w:t>
      </w:r>
      <w:r>
        <w:t>health</w:t>
      </w:r>
      <w:r>
        <w:rPr>
          <w:spacing w:val="-1"/>
        </w:rPr>
        <w:t xml:space="preserve"> </w:t>
      </w:r>
      <w:r>
        <w:t>system</w:t>
      </w:r>
      <w:r>
        <w:rPr>
          <w:spacing w:val="-1"/>
        </w:rPr>
        <w:t xml:space="preserve"> </w:t>
      </w:r>
      <w:r>
        <w:t>to</w:t>
      </w:r>
      <w:r>
        <w:rPr>
          <w:spacing w:val="-1"/>
        </w:rPr>
        <w:t xml:space="preserve"> </w:t>
      </w:r>
      <w:r>
        <w:t>reorient</w:t>
      </w:r>
      <w:r>
        <w:rPr>
          <w:spacing w:val="-1"/>
        </w:rPr>
        <w:t xml:space="preserve"> </w:t>
      </w:r>
      <w:r>
        <w:t>the</w:t>
      </w:r>
      <w:r>
        <w:rPr>
          <w:spacing w:val="-1"/>
        </w:rPr>
        <w:t xml:space="preserve"> </w:t>
      </w:r>
      <w:r>
        <w:t>delivery</w:t>
      </w:r>
      <w:r>
        <w:rPr>
          <w:spacing w:val="-1"/>
        </w:rPr>
        <w:t xml:space="preserve"> </w:t>
      </w:r>
      <w:r>
        <w:t>of</w:t>
      </w:r>
      <w:r>
        <w:rPr>
          <w:spacing w:val="-1"/>
        </w:rPr>
        <w:t xml:space="preserve"> </w:t>
      </w:r>
      <w:r>
        <w:t>health</w:t>
      </w:r>
      <w:r>
        <w:rPr>
          <w:spacing w:val="-1"/>
        </w:rPr>
        <w:t xml:space="preserve"> </w:t>
      </w:r>
      <w:r>
        <w:t>care</w:t>
      </w:r>
      <w:r>
        <w:rPr>
          <w:spacing w:val="-1"/>
        </w:rPr>
        <w:t xml:space="preserve"> </w:t>
      </w:r>
      <w:r>
        <w:t>and</w:t>
      </w:r>
      <w:r>
        <w:rPr>
          <w:spacing w:val="-1"/>
        </w:rPr>
        <w:t xml:space="preserve"> </w:t>
      </w:r>
      <w:r>
        <w:t>build the capability and capacity of its staff to act in culturally safe and responsive ways. The Commission aims to ensure</w:t>
      </w:r>
      <w:r>
        <w:rPr>
          <w:spacing w:val="-1"/>
        </w:rPr>
        <w:t xml:space="preserve"> </w:t>
      </w:r>
      <w:r>
        <w:t>that</w:t>
      </w:r>
      <w:r>
        <w:rPr>
          <w:spacing w:val="-1"/>
        </w:rPr>
        <w:t xml:space="preserve"> </w:t>
      </w:r>
      <w:r>
        <w:t>it</w:t>
      </w:r>
      <w:r>
        <w:rPr>
          <w:spacing w:val="-1"/>
        </w:rPr>
        <w:t xml:space="preserve"> </w:t>
      </w:r>
      <w:r>
        <w:t>integrates</w:t>
      </w:r>
      <w:r>
        <w:rPr>
          <w:spacing w:val="-1"/>
        </w:rPr>
        <w:t xml:space="preserve"> </w:t>
      </w:r>
      <w:r>
        <w:t>cultural</w:t>
      </w:r>
      <w:r>
        <w:rPr>
          <w:spacing w:val="-1"/>
        </w:rPr>
        <w:t xml:space="preserve"> </w:t>
      </w:r>
      <w:r>
        <w:t>safety</w:t>
      </w:r>
      <w:r>
        <w:rPr>
          <w:spacing w:val="-1"/>
        </w:rPr>
        <w:t xml:space="preserve"> </w:t>
      </w:r>
      <w:r>
        <w:t>into</w:t>
      </w:r>
      <w:r>
        <w:rPr>
          <w:spacing w:val="-1"/>
        </w:rPr>
        <w:t xml:space="preserve"> </w:t>
      </w:r>
      <w:r>
        <w:t>all</w:t>
      </w:r>
      <w:r>
        <w:rPr>
          <w:spacing w:val="-1"/>
        </w:rPr>
        <w:t xml:space="preserve"> </w:t>
      </w:r>
      <w:r>
        <w:t>its</w:t>
      </w:r>
      <w:r>
        <w:rPr>
          <w:spacing w:val="-1"/>
        </w:rPr>
        <w:t xml:space="preserve"> </w:t>
      </w:r>
      <w:r>
        <w:t>work</w:t>
      </w:r>
      <w:r>
        <w:rPr>
          <w:spacing w:val="-1"/>
        </w:rPr>
        <w:t xml:space="preserve"> </w:t>
      </w:r>
      <w:r>
        <w:t>and</w:t>
      </w:r>
      <w:r>
        <w:rPr>
          <w:spacing w:val="-1"/>
        </w:rPr>
        <w:t xml:space="preserve"> </w:t>
      </w:r>
      <w:proofErr w:type="spellStart"/>
      <w:r>
        <w:t>recognises</w:t>
      </w:r>
      <w:proofErr w:type="spellEnd"/>
      <w:r>
        <w:rPr>
          <w:spacing w:val="-1"/>
        </w:rPr>
        <w:t xml:space="preserve"> </w:t>
      </w:r>
      <w:r>
        <w:t>that</w:t>
      </w:r>
      <w:r>
        <w:rPr>
          <w:spacing w:val="-1"/>
        </w:rPr>
        <w:t xml:space="preserve"> </w:t>
      </w:r>
      <w:r>
        <w:t>cultural</w:t>
      </w:r>
      <w:r>
        <w:rPr>
          <w:spacing w:val="-1"/>
        </w:rPr>
        <w:t xml:space="preserve"> </w:t>
      </w:r>
      <w:r>
        <w:t>safety</w:t>
      </w:r>
      <w:r>
        <w:rPr>
          <w:spacing w:val="-1"/>
        </w:rPr>
        <w:t xml:space="preserve"> </w:t>
      </w:r>
      <w:r>
        <w:t>is</w:t>
      </w:r>
      <w:r>
        <w:rPr>
          <w:spacing w:val="-1"/>
        </w:rPr>
        <w:t xml:space="preserve"> </w:t>
      </w:r>
      <w:r>
        <w:t>required</w:t>
      </w:r>
      <w:r>
        <w:rPr>
          <w:spacing w:val="-1"/>
        </w:rPr>
        <w:t xml:space="preserve"> </w:t>
      </w:r>
      <w:r>
        <w:t>for</w:t>
      </w:r>
      <w:r>
        <w:rPr>
          <w:spacing w:val="-1"/>
        </w:rPr>
        <w:t xml:space="preserve"> </w:t>
      </w:r>
      <w:r>
        <w:t>care to be clinically safe.</w:t>
      </w:r>
    </w:p>
    <w:p w14:paraId="3321DDF1" w14:textId="77777777" w:rsidR="009D54AF" w:rsidRDefault="00000000">
      <w:pPr>
        <w:pStyle w:val="BodyText"/>
        <w:spacing w:before="141" w:line="278" w:lineRule="auto"/>
        <w:ind w:left="142"/>
      </w:pPr>
      <w:r>
        <w:t>For</w:t>
      </w:r>
      <w:r>
        <w:rPr>
          <w:spacing w:val="-2"/>
        </w:rPr>
        <w:t xml:space="preserve"> </w:t>
      </w:r>
      <w:r>
        <w:t>the</w:t>
      </w:r>
      <w:r>
        <w:rPr>
          <w:spacing w:val="-2"/>
        </w:rPr>
        <w:t xml:space="preserve"> </w:t>
      </w:r>
      <w:r>
        <w:t>healthcare</w:t>
      </w:r>
      <w:r>
        <w:rPr>
          <w:spacing w:val="-2"/>
        </w:rPr>
        <w:t xml:space="preserve"> </w:t>
      </w:r>
      <w:r>
        <w:t>system</w:t>
      </w:r>
      <w:r>
        <w:rPr>
          <w:spacing w:val="-2"/>
        </w:rPr>
        <w:t xml:space="preserve"> </w:t>
      </w:r>
      <w:r>
        <w:t>to</w:t>
      </w:r>
      <w:r>
        <w:rPr>
          <w:spacing w:val="-2"/>
        </w:rPr>
        <w:t xml:space="preserve"> </w:t>
      </w:r>
      <w:r>
        <w:t>be</w:t>
      </w:r>
      <w:r>
        <w:rPr>
          <w:spacing w:val="-2"/>
        </w:rPr>
        <w:t xml:space="preserve"> </w:t>
      </w:r>
      <w:r>
        <w:t>effective</w:t>
      </w:r>
      <w:r>
        <w:rPr>
          <w:spacing w:val="-2"/>
        </w:rPr>
        <w:t xml:space="preserve"> </w:t>
      </w:r>
      <w:r>
        <w:t>and</w:t>
      </w:r>
      <w:r>
        <w:rPr>
          <w:spacing w:val="-2"/>
        </w:rPr>
        <w:t xml:space="preserve"> </w:t>
      </w:r>
      <w:r>
        <w:t>deliver</w:t>
      </w:r>
      <w:r>
        <w:rPr>
          <w:spacing w:val="-2"/>
        </w:rPr>
        <w:t xml:space="preserve"> </w:t>
      </w:r>
      <w:r>
        <w:t>better</w:t>
      </w:r>
      <w:r>
        <w:rPr>
          <w:spacing w:val="-2"/>
        </w:rPr>
        <w:t xml:space="preserve"> </w:t>
      </w:r>
      <w:r>
        <w:t>outcomes</w:t>
      </w:r>
      <w:r>
        <w:rPr>
          <w:spacing w:val="-2"/>
        </w:rPr>
        <w:t xml:space="preserve"> </w:t>
      </w:r>
      <w:r>
        <w:t>for</w:t>
      </w:r>
      <w:r>
        <w:rPr>
          <w:spacing w:val="-2"/>
        </w:rPr>
        <w:t xml:space="preserve"> </w:t>
      </w:r>
      <w:r>
        <w:t>First</w:t>
      </w:r>
      <w:r>
        <w:rPr>
          <w:spacing w:val="-2"/>
        </w:rPr>
        <w:t xml:space="preserve"> </w:t>
      </w:r>
      <w:r>
        <w:t>Nations</w:t>
      </w:r>
      <w:r>
        <w:rPr>
          <w:spacing w:val="-2"/>
        </w:rPr>
        <w:t xml:space="preserve"> </w:t>
      </w:r>
      <w:r>
        <w:t>people</w:t>
      </w:r>
      <w:r>
        <w:rPr>
          <w:spacing w:val="-2"/>
        </w:rPr>
        <w:t xml:space="preserve"> </w:t>
      </w:r>
      <w:r>
        <w:t>it</w:t>
      </w:r>
      <w:r>
        <w:rPr>
          <w:spacing w:val="-2"/>
        </w:rPr>
        <w:t xml:space="preserve"> </w:t>
      </w:r>
      <w:r>
        <w:t>must</w:t>
      </w:r>
      <w:r>
        <w:rPr>
          <w:spacing w:val="-2"/>
        </w:rPr>
        <w:t xml:space="preserve"> </w:t>
      </w:r>
      <w:r>
        <w:t>be culturally safe and free from racism and discrimination.</w:t>
      </w:r>
    </w:p>
    <w:p w14:paraId="354C3680" w14:textId="77777777" w:rsidR="009D54AF" w:rsidRDefault="00000000">
      <w:pPr>
        <w:pStyle w:val="BodyText"/>
        <w:spacing w:before="142" w:line="278" w:lineRule="auto"/>
        <w:ind w:left="142" w:right="214"/>
      </w:pPr>
      <w:r>
        <w:t xml:space="preserve">The Commission is working with First Nations </w:t>
      </w:r>
      <w:proofErr w:type="spellStart"/>
      <w:r>
        <w:t>organisations</w:t>
      </w:r>
      <w:proofErr w:type="spellEnd"/>
      <w:r>
        <w:t>, stakeholders, communities and experts to improve the cultural safety of health care through work such as the review of cultural safety standards for hospitals,</w:t>
      </w:r>
      <w:r>
        <w:rPr>
          <w:spacing w:val="-2"/>
        </w:rPr>
        <w:t xml:space="preserve"> </w:t>
      </w:r>
      <w:r>
        <w:t>the</w:t>
      </w:r>
      <w:r>
        <w:rPr>
          <w:spacing w:val="-3"/>
        </w:rPr>
        <w:t xml:space="preserve"> </w:t>
      </w:r>
      <w:r>
        <w:rPr>
          <w:i/>
        </w:rPr>
        <w:t>National</w:t>
      </w:r>
      <w:r>
        <w:rPr>
          <w:i/>
          <w:spacing w:val="-2"/>
        </w:rPr>
        <w:t xml:space="preserve"> </w:t>
      </w:r>
      <w:r>
        <w:rPr>
          <w:i/>
        </w:rPr>
        <w:t>Model</w:t>
      </w:r>
      <w:r>
        <w:rPr>
          <w:i/>
          <w:spacing w:val="-2"/>
        </w:rPr>
        <w:t xml:space="preserve"> </w:t>
      </w:r>
      <w:r>
        <w:rPr>
          <w:i/>
        </w:rPr>
        <w:t>for</w:t>
      </w:r>
      <w:r>
        <w:rPr>
          <w:i/>
          <w:spacing w:val="-2"/>
        </w:rPr>
        <w:t xml:space="preserve"> </w:t>
      </w:r>
      <w:r>
        <w:rPr>
          <w:i/>
        </w:rPr>
        <w:t>Clinical</w:t>
      </w:r>
      <w:r>
        <w:rPr>
          <w:i/>
          <w:spacing w:val="-2"/>
        </w:rPr>
        <w:t xml:space="preserve"> </w:t>
      </w:r>
      <w:r>
        <w:rPr>
          <w:i/>
        </w:rPr>
        <w:t>Governance</w:t>
      </w:r>
      <w:r>
        <w:rPr>
          <w:i/>
          <w:spacing w:val="-2"/>
        </w:rPr>
        <w:t xml:space="preserve"> </w:t>
      </w:r>
      <w:r>
        <w:t>and</w:t>
      </w:r>
      <w:r>
        <w:rPr>
          <w:spacing w:val="-2"/>
        </w:rPr>
        <w:t xml:space="preserve"> </w:t>
      </w:r>
      <w:r>
        <w:t>the</w:t>
      </w:r>
      <w:r>
        <w:rPr>
          <w:spacing w:val="-2"/>
        </w:rPr>
        <w:t xml:space="preserve"> </w:t>
      </w:r>
      <w:r>
        <w:t>development</w:t>
      </w:r>
      <w:r>
        <w:rPr>
          <w:spacing w:val="-2"/>
        </w:rPr>
        <w:t xml:space="preserve"> </w:t>
      </w:r>
      <w:r>
        <w:t>of</w:t>
      </w:r>
      <w:r>
        <w:rPr>
          <w:spacing w:val="-2"/>
        </w:rPr>
        <w:t xml:space="preserve"> </w:t>
      </w:r>
      <w:r>
        <w:t>the</w:t>
      </w:r>
      <w:r>
        <w:rPr>
          <w:spacing w:val="-2"/>
        </w:rPr>
        <w:t xml:space="preserve"> </w:t>
      </w:r>
      <w:r>
        <w:t>third</w:t>
      </w:r>
      <w:r>
        <w:rPr>
          <w:spacing w:val="-2"/>
        </w:rPr>
        <w:t xml:space="preserve"> </w:t>
      </w:r>
      <w:r>
        <w:t>edition</w:t>
      </w:r>
      <w:r>
        <w:rPr>
          <w:spacing w:val="-2"/>
        </w:rPr>
        <w:t xml:space="preserve"> </w:t>
      </w:r>
      <w:r>
        <w:t>of</w:t>
      </w:r>
      <w:r>
        <w:rPr>
          <w:spacing w:val="-2"/>
        </w:rPr>
        <w:t xml:space="preserve"> </w:t>
      </w:r>
      <w:r>
        <w:t>the</w:t>
      </w:r>
      <w:r>
        <w:rPr>
          <w:spacing w:val="-2"/>
        </w:rPr>
        <w:t xml:space="preserve"> </w:t>
      </w:r>
      <w:r>
        <w:t>National Safety and Quality Health Service (NSQHS) Standards.</w:t>
      </w:r>
    </w:p>
    <w:p w14:paraId="7BECC11E" w14:textId="77777777" w:rsidR="00E26787" w:rsidRDefault="00E26787">
      <w:pPr>
        <w:rPr>
          <w:sz w:val="21"/>
          <w:szCs w:val="21"/>
        </w:rPr>
      </w:pPr>
      <w:r>
        <w:rPr>
          <w:b/>
          <w:bCs/>
          <w:sz w:val="21"/>
          <w:szCs w:val="21"/>
        </w:rPr>
        <w:br w:type="page"/>
      </w:r>
    </w:p>
    <w:p w14:paraId="1C8A55D3" w14:textId="0333F939" w:rsidR="009D54AF" w:rsidRDefault="00000000">
      <w:pPr>
        <w:pStyle w:val="Heading5"/>
        <w:jc w:val="both"/>
      </w:pPr>
      <w:r>
        <w:lastRenderedPageBreak/>
        <w:t>Reconciliation</w:t>
      </w:r>
      <w:r>
        <w:rPr>
          <w:spacing w:val="-8"/>
        </w:rPr>
        <w:t xml:space="preserve"> </w:t>
      </w:r>
      <w:r>
        <w:t>Action</w:t>
      </w:r>
      <w:r>
        <w:rPr>
          <w:spacing w:val="-7"/>
        </w:rPr>
        <w:t xml:space="preserve"> </w:t>
      </w:r>
      <w:r>
        <w:rPr>
          <w:spacing w:val="-4"/>
        </w:rPr>
        <w:t>Plan</w:t>
      </w:r>
    </w:p>
    <w:p w14:paraId="020B42CB" w14:textId="77777777" w:rsidR="009D54AF" w:rsidRDefault="00000000">
      <w:pPr>
        <w:pStyle w:val="BodyText"/>
        <w:spacing w:before="133" w:line="278" w:lineRule="auto"/>
        <w:ind w:left="142" w:right="393"/>
        <w:jc w:val="both"/>
      </w:pPr>
      <w:r>
        <w:t>The</w:t>
      </w:r>
      <w:r>
        <w:rPr>
          <w:spacing w:val="-1"/>
        </w:rPr>
        <w:t xml:space="preserve"> </w:t>
      </w:r>
      <w:r>
        <w:t>Commission’s</w:t>
      </w:r>
      <w:r>
        <w:rPr>
          <w:spacing w:val="-1"/>
        </w:rPr>
        <w:t xml:space="preserve"> </w:t>
      </w:r>
      <w:r>
        <w:t>Reconciliation</w:t>
      </w:r>
      <w:r>
        <w:rPr>
          <w:spacing w:val="-1"/>
        </w:rPr>
        <w:t xml:space="preserve"> </w:t>
      </w:r>
      <w:r>
        <w:t>Action</w:t>
      </w:r>
      <w:r>
        <w:rPr>
          <w:spacing w:val="-1"/>
        </w:rPr>
        <w:t xml:space="preserve"> </w:t>
      </w:r>
      <w:r>
        <w:t>Plan</w:t>
      </w:r>
      <w:r>
        <w:rPr>
          <w:spacing w:val="-1"/>
        </w:rPr>
        <w:t xml:space="preserve"> </w:t>
      </w:r>
      <w:r>
        <w:t>(RAP)</w:t>
      </w:r>
      <w:r>
        <w:rPr>
          <w:spacing w:val="-1"/>
        </w:rPr>
        <w:t xml:space="preserve"> </w:t>
      </w:r>
      <w:r>
        <w:t>is</w:t>
      </w:r>
      <w:r>
        <w:rPr>
          <w:spacing w:val="-1"/>
        </w:rPr>
        <w:t xml:space="preserve"> </w:t>
      </w:r>
      <w:r>
        <w:t>an</w:t>
      </w:r>
      <w:r>
        <w:rPr>
          <w:spacing w:val="-1"/>
        </w:rPr>
        <w:t xml:space="preserve"> </w:t>
      </w:r>
      <w:r>
        <w:t>important</w:t>
      </w:r>
      <w:r>
        <w:rPr>
          <w:spacing w:val="-1"/>
        </w:rPr>
        <w:t xml:space="preserve"> </w:t>
      </w:r>
      <w:r>
        <w:t>part</w:t>
      </w:r>
      <w:r>
        <w:rPr>
          <w:spacing w:val="-1"/>
        </w:rPr>
        <w:t xml:space="preserve"> </w:t>
      </w:r>
      <w:r>
        <w:t>of</w:t>
      </w:r>
      <w:r>
        <w:rPr>
          <w:spacing w:val="-1"/>
        </w:rPr>
        <w:t xml:space="preserve"> </w:t>
      </w:r>
      <w:r>
        <w:t>its</w:t>
      </w:r>
      <w:r>
        <w:rPr>
          <w:spacing w:val="-1"/>
        </w:rPr>
        <w:t xml:space="preserve"> </w:t>
      </w:r>
      <w:r>
        <w:t>commitment</w:t>
      </w:r>
      <w:r>
        <w:rPr>
          <w:spacing w:val="-1"/>
        </w:rPr>
        <w:t xml:space="preserve"> </w:t>
      </w:r>
      <w:r>
        <w:t>to</w:t>
      </w:r>
      <w:r>
        <w:rPr>
          <w:spacing w:val="-1"/>
        </w:rPr>
        <w:t xml:space="preserve"> </w:t>
      </w:r>
      <w:r>
        <w:t>reconciliation and to improving the safety and quality of health care for First Nations people in Australia.</w:t>
      </w:r>
    </w:p>
    <w:p w14:paraId="050E0FA3" w14:textId="77777777" w:rsidR="009D54AF" w:rsidRDefault="00000000">
      <w:pPr>
        <w:pStyle w:val="BodyText"/>
        <w:spacing w:before="142" w:line="278" w:lineRule="auto"/>
        <w:ind w:left="142" w:right="214"/>
      </w:pPr>
      <w:r>
        <w:t xml:space="preserve">The Commission </w:t>
      </w:r>
      <w:proofErr w:type="spellStart"/>
      <w:r>
        <w:t>finalised</w:t>
      </w:r>
      <w:proofErr w:type="spellEnd"/>
      <w:r>
        <w:t xml:space="preserve"> and released </w:t>
      </w:r>
      <w:hyperlink r:id="rId17">
        <w:r>
          <w:rPr>
            <w:u w:val="single"/>
          </w:rPr>
          <w:t>Innovate RAP</w:t>
        </w:r>
      </w:hyperlink>
      <w:r>
        <w:t xml:space="preserve"> in 2024–25. Innovate RAP focuses on strengthening relationships</w:t>
      </w:r>
      <w:r>
        <w:rPr>
          <w:spacing w:val="-1"/>
        </w:rPr>
        <w:t xml:space="preserve"> </w:t>
      </w:r>
      <w:r>
        <w:t>with</w:t>
      </w:r>
      <w:r>
        <w:rPr>
          <w:spacing w:val="-1"/>
        </w:rPr>
        <w:t xml:space="preserve"> </w:t>
      </w:r>
      <w:r>
        <w:t>Aboriginal</w:t>
      </w:r>
      <w:r>
        <w:rPr>
          <w:spacing w:val="-1"/>
        </w:rPr>
        <w:t xml:space="preserve"> </w:t>
      </w:r>
      <w:r>
        <w:t>and</w:t>
      </w:r>
      <w:r>
        <w:rPr>
          <w:spacing w:val="-1"/>
        </w:rPr>
        <w:t xml:space="preserve"> </w:t>
      </w:r>
      <w:r>
        <w:t>Torres</w:t>
      </w:r>
      <w:r>
        <w:rPr>
          <w:spacing w:val="-1"/>
        </w:rPr>
        <w:t xml:space="preserve"> </w:t>
      </w:r>
      <w:r>
        <w:t>Strait</w:t>
      </w:r>
      <w:r>
        <w:rPr>
          <w:spacing w:val="-1"/>
        </w:rPr>
        <w:t xml:space="preserve"> </w:t>
      </w:r>
      <w:r>
        <w:t>Islander</w:t>
      </w:r>
      <w:r>
        <w:rPr>
          <w:spacing w:val="-1"/>
        </w:rPr>
        <w:t xml:space="preserve"> </w:t>
      </w:r>
      <w:r>
        <w:t>peoples</w:t>
      </w:r>
      <w:r>
        <w:rPr>
          <w:spacing w:val="-1"/>
        </w:rPr>
        <w:t xml:space="preserve"> </w:t>
      </w:r>
      <w:r>
        <w:t>and</w:t>
      </w:r>
      <w:r>
        <w:rPr>
          <w:spacing w:val="-1"/>
        </w:rPr>
        <w:t xml:space="preserve"> </w:t>
      </w:r>
      <w:r>
        <w:t>piloting</w:t>
      </w:r>
      <w:r>
        <w:rPr>
          <w:spacing w:val="-1"/>
        </w:rPr>
        <w:t xml:space="preserve"> </w:t>
      </w:r>
      <w:r>
        <w:t>strategies</w:t>
      </w:r>
      <w:r>
        <w:rPr>
          <w:spacing w:val="-1"/>
        </w:rPr>
        <w:t xml:space="preserve"> </w:t>
      </w:r>
      <w:r>
        <w:t>for</w:t>
      </w:r>
      <w:r>
        <w:rPr>
          <w:spacing w:val="-1"/>
        </w:rPr>
        <w:t xml:space="preserve"> </w:t>
      </w:r>
      <w:r>
        <w:t>more</w:t>
      </w:r>
      <w:r>
        <w:rPr>
          <w:spacing w:val="-1"/>
        </w:rPr>
        <w:t xml:space="preserve"> </w:t>
      </w:r>
      <w:r>
        <w:t>reconciliation commitments</w:t>
      </w:r>
      <w:r>
        <w:rPr>
          <w:spacing w:val="-3"/>
        </w:rPr>
        <w:t xml:space="preserve"> </w:t>
      </w:r>
      <w:r>
        <w:t>to</w:t>
      </w:r>
      <w:r>
        <w:rPr>
          <w:spacing w:val="-3"/>
        </w:rPr>
        <w:t xml:space="preserve"> </w:t>
      </w:r>
      <w:r>
        <w:t>empower</w:t>
      </w:r>
      <w:r>
        <w:rPr>
          <w:spacing w:val="-3"/>
        </w:rPr>
        <w:t xml:space="preserve"> </w:t>
      </w:r>
      <w:r>
        <w:t>Aboriginal</w:t>
      </w:r>
      <w:r>
        <w:rPr>
          <w:spacing w:val="-3"/>
        </w:rPr>
        <w:t xml:space="preserve"> </w:t>
      </w:r>
      <w:r>
        <w:t>and</w:t>
      </w:r>
      <w:r>
        <w:rPr>
          <w:spacing w:val="-3"/>
        </w:rPr>
        <w:t xml:space="preserve"> </w:t>
      </w:r>
      <w:r>
        <w:t>Torres</w:t>
      </w:r>
      <w:r>
        <w:rPr>
          <w:spacing w:val="-3"/>
        </w:rPr>
        <w:t xml:space="preserve"> </w:t>
      </w:r>
      <w:r>
        <w:t>Strait</w:t>
      </w:r>
      <w:r>
        <w:rPr>
          <w:spacing w:val="-3"/>
        </w:rPr>
        <w:t xml:space="preserve"> </w:t>
      </w:r>
      <w:r>
        <w:t>Islander</w:t>
      </w:r>
      <w:r>
        <w:rPr>
          <w:spacing w:val="-3"/>
        </w:rPr>
        <w:t xml:space="preserve"> </w:t>
      </w:r>
      <w:r>
        <w:t>peoples.</w:t>
      </w:r>
      <w:r>
        <w:rPr>
          <w:spacing w:val="-3"/>
        </w:rPr>
        <w:t xml:space="preserve"> </w:t>
      </w:r>
      <w:r>
        <w:t>Innovate</w:t>
      </w:r>
      <w:r>
        <w:rPr>
          <w:spacing w:val="-3"/>
        </w:rPr>
        <w:t xml:space="preserve"> </w:t>
      </w:r>
      <w:r>
        <w:t>RAP</w:t>
      </w:r>
      <w:r>
        <w:rPr>
          <w:spacing w:val="-3"/>
        </w:rPr>
        <w:t xml:space="preserve"> </w:t>
      </w:r>
      <w:r>
        <w:t>is</w:t>
      </w:r>
      <w:r>
        <w:rPr>
          <w:spacing w:val="-3"/>
        </w:rPr>
        <w:t xml:space="preserve"> </w:t>
      </w:r>
      <w:r>
        <w:t>being</w:t>
      </w:r>
      <w:r>
        <w:rPr>
          <w:spacing w:val="-3"/>
        </w:rPr>
        <w:t xml:space="preserve"> </w:t>
      </w:r>
      <w:r>
        <w:t>implemented over two years. To support the implementation of actions within the RAP, the Commission also established the Aboriginal and Torres Strait Islander Health Advisory Group and several internal working groups and processes to review implementation and progress against RAP objectives.</w:t>
      </w:r>
    </w:p>
    <w:p w14:paraId="1F5853AC" w14:textId="77777777" w:rsidR="00E26787" w:rsidRDefault="00E26787">
      <w:pPr>
        <w:pStyle w:val="Heading1"/>
        <w:spacing w:before="122"/>
        <w:jc w:val="both"/>
        <w:rPr>
          <w:spacing w:val="-2"/>
        </w:rPr>
      </w:pPr>
      <w:bookmarkStart w:id="16" w:name="_Working_across_health"/>
      <w:bookmarkEnd w:id="16"/>
    </w:p>
    <w:p w14:paraId="077A81F0" w14:textId="44B99A11" w:rsidR="009D54AF" w:rsidRDefault="00000000">
      <w:pPr>
        <w:pStyle w:val="Heading1"/>
        <w:spacing w:before="122"/>
        <w:jc w:val="both"/>
      </w:pPr>
      <w:bookmarkStart w:id="17" w:name="_Toc243037270"/>
      <w:r>
        <w:rPr>
          <w:spacing w:val="-2"/>
        </w:rPr>
        <w:t>Working</w:t>
      </w:r>
      <w:r>
        <w:rPr>
          <w:spacing w:val="-20"/>
        </w:rPr>
        <w:t xml:space="preserve"> </w:t>
      </w:r>
      <w:r>
        <w:rPr>
          <w:spacing w:val="-2"/>
        </w:rPr>
        <w:t>across</w:t>
      </w:r>
      <w:r>
        <w:rPr>
          <w:spacing w:val="-19"/>
        </w:rPr>
        <w:t xml:space="preserve"> </w:t>
      </w:r>
      <w:r>
        <w:rPr>
          <w:spacing w:val="-2"/>
        </w:rPr>
        <w:t>health</w:t>
      </w:r>
      <w:r>
        <w:rPr>
          <w:spacing w:val="-19"/>
        </w:rPr>
        <w:t xml:space="preserve"> </w:t>
      </w:r>
      <w:r>
        <w:rPr>
          <w:spacing w:val="-4"/>
        </w:rPr>
        <w:t>care</w:t>
      </w:r>
      <w:bookmarkEnd w:id="17"/>
    </w:p>
    <w:p w14:paraId="01D7949F" w14:textId="77777777" w:rsidR="009D54AF" w:rsidRDefault="00000000">
      <w:pPr>
        <w:pStyle w:val="Heading9"/>
        <w:spacing w:before="171" w:line="268" w:lineRule="auto"/>
        <w:ind w:right="285"/>
      </w:pPr>
      <w:r>
        <w:t>The</w:t>
      </w:r>
      <w:r>
        <w:rPr>
          <w:spacing w:val="-9"/>
        </w:rPr>
        <w:t xml:space="preserve"> </w:t>
      </w:r>
      <w:r>
        <w:t>Commission</w:t>
      </w:r>
      <w:r>
        <w:rPr>
          <w:spacing w:val="-9"/>
        </w:rPr>
        <w:t xml:space="preserve"> </w:t>
      </w:r>
      <w:r>
        <w:t>works</w:t>
      </w:r>
      <w:r>
        <w:rPr>
          <w:spacing w:val="-9"/>
        </w:rPr>
        <w:t xml:space="preserve"> </w:t>
      </w:r>
      <w:r>
        <w:t>in</w:t>
      </w:r>
      <w:r>
        <w:rPr>
          <w:spacing w:val="-9"/>
        </w:rPr>
        <w:t xml:space="preserve"> </w:t>
      </w:r>
      <w:r>
        <w:t>collaboration</w:t>
      </w:r>
      <w:r>
        <w:rPr>
          <w:spacing w:val="-9"/>
        </w:rPr>
        <w:t xml:space="preserve"> </w:t>
      </w:r>
      <w:r>
        <w:t>with</w:t>
      </w:r>
      <w:r>
        <w:rPr>
          <w:spacing w:val="-9"/>
        </w:rPr>
        <w:t xml:space="preserve"> </w:t>
      </w:r>
      <w:r>
        <w:t>a</w:t>
      </w:r>
      <w:r>
        <w:rPr>
          <w:spacing w:val="-9"/>
        </w:rPr>
        <w:t xml:space="preserve"> </w:t>
      </w:r>
      <w:r>
        <w:t>range</w:t>
      </w:r>
      <w:r>
        <w:rPr>
          <w:spacing w:val="-9"/>
        </w:rPr>
        <w:t xml:space="preserve"> </w:t>
      </w:r>
      <w:r>
        <w:t>of</w:t>
      </w:r>
      <w:r>
        <w:rPr>
          <w:spacing w:val="-9"/>
        </w:rPr>
        <w:t xml:space="preserve"> </w:t>
      </w:r>
      <w:r>
        <w:t>stakeholders</w:t>
      </w:r>
      <w:r>
        <w:rPr>
          <w:spacing w:val="-9"/>
        </w:rPr>
        <w:t xml:space="preserve"> </w:t>
      </w:r>
      <w:r>
        <w:t>to</w:t>
      </w:r>
      <w:r>
        <w:rPr>
          <w:spacing w:val="-9"/>
        </w:rPr>
        <w:t xml:space="preserve"> </w:t>
      </w:r>
      <w:r>
        <w:t>address</w:t>
      </w:r>
      <w:r>
        <w:rPr>
          <w:spacing w:val="-9"/>
        </w:rPr>
        <w:t xml:space="preserve"> </w:t>
      </w:r>
      <w:r>
        <w:t>key</w:t>
      </w:r>
      <w:r>
        <w:rPr>
          <w:spacing w:val="-9"/>
        </w:rPr>
        <w:t xml:space="preserve"> </w:t>
      </w:r>
      <w:r>
        <w:t>cross-sectoral issues in healthcare safety and quality.</w:t>
      </w:r>
    </w:p>
    <w:p w14:paraId="68D95533" w14:textId="77777777" w:rsidR="009D54AF" w:rsidRDefault="00000000">
      <w:pPr>
        <w:pStyle w:val="Heading5"/>
        <w:spacing w:before="66"/>
      </w:pPr>
      <w:bookmarkStart w:id="18" w:name="_bookmark3"/>
      <w:bookmarkEnd w:id="18"/>
      <w:r>
        <w:t>Australian</w:t>
      </w:r>
      <w:r>
        <w:rPr>
          <w:spacing w:val="-3"/>
        </w:rPr>
        <w:t xml:space="preserve"> </w:t>
      </w:r>
      <w:r>
        <w:t>Digital</w:t>
      </w:r>
      <w:r>
        <w:rPr>
          <w:spacing w:val="-3"/>
        </w:rPr>
        <w:t xml:space="preserve"> </w:t>
      </w:r>
      <w:r>
        <w:t>Health</w:t>
      </w:r>
      <w:r>
        <w:rPr>
          <w:spacing w:val="-3"/>
        </w:rPr>
        <w:t xml:space="preserve"> </w:t>
      </w:r>
      <w:r>
        <w:rPr>
          <w:spacing w:val="-2"/>
        </w:rPr>
        <w:t>Agency</w:t>
      </w:r>
    </w:p>
    <w:p w14:paraId="74A671F2" w14:textId="77777777" w:rsidR="009D54AF" w:rsidRDefault="00000000">
      <w:pPr>
        <w:pStyle w:val="BodyText"/>
        <w:spacing w:before="132" w:line="278" w:lineRule="auto"/>
        <w:ind w:left="142" w:right="285"/>
      </w:pPr>
      <w:r>
        <w:t>The Commission works in partnership with the Australian Digital Health Agency (ADHA) under a memorandum</w:t>
      </w:r>
      <w:r>
        <w:rPr>
          <w:spacing w:val="-3"/>
        </w:rPr>
        <w:t xml:space="preserve"> </w:t>
      </w:r>
      <w:r>
        <w:t>of</w:t>
      </w:r>
      <w:r>
        <w:rPr>
          <w:spacing w:val="-3"/>
        </w:rPr>
        <w:t xml:space="preserve"> </w:t>
      </w:r>
      <w:r>
        <w:t>understanding</w:t>
      </w:r>
      <w:r>
        <w:rPr>
          <w:spacing w:val="-3"/>
        </w:rPr>
        <w:t xml:space="preserve"> </w:t>
      </w:r>
      <w:r>
        <w:t>(MoU)</w:t>
      </w:r>
      <w:r>
        <w:rPr>
          <w:spacing w:val="-3"/>
        </w:rPr>
        <w:t xml:space="preserve"> </w:t>
      </w:r>
      <w:r>
        <w:t>that</w:t>
      </w:r>
      <w:r>
        <w:rPr>
          <w:spacing w:val="-3"/>
        </w:rPr>
        <w:t xml:space="preserve"> </w:t>
      </w:r>
      <w:r>
        <w:t>establishes</w:t>
      </w:r>
      <w:r>
        <w:rPr>
          <w:spacing w:val="-3"/>
        </w:rPr>
        <w:t xml:space="preserve"> </w:t>
      </w:r>
      <w:r>
        <w:t>a</w:t>
      </w:r>
      <w:r>
        <w:rPr>
          <w:spacing w:val="-3"/>
        </w:rPr>
        <w:t xml:space="preserve"> </w:t>
      </w:r>
      <w:r>
        <w:t>shared</w:t>
      </w:r>
      <w:r>
        <w:rPr>
          <w:spacing w:val="-3"/>
        </w:rPr>
        <w:t xml:space="preserve"> </w:t>
      </w:r>
      <w:r>
        <w:t>commitment</w:t>
      </w:r>
      <w:r>
        <w:rPr>
          <w:spacing w:val="-3"/>
        </w:rPr>
        <w:t xml:space="preserve"> </w:t>
      </w:r>
      <w:r>
        <w:t>to</w:t>
      </w:r>
      <w:r>
        <w:rPr>
          <w:spacing w:val="-3"/>
        </w:rPr>
        <w:t xml:space="preserve"> </w:t>
      </w:r>
      <w:r>
        <w:t>strengthening</w:t>
      </w:r>
      <w:r>
        <w:rPr>
          <w:spacing w:val="-3"/>
        </w:rPr>
        <w:t xml:space="preserve"> </w:t>
      </w:r>
      <w:r>
        <w:t>clinical governance, safety and quality across the national digital health work program.</w:t>
      </w:r>
    </w:p>
    <w:p w14:paraId="306E4AC0" w14:textId="77777777" w:rsidR="009D54AF" w:rsidRDefault="00000000">
      <w:pPr>
        <w:pStyle w:val="BodyText"/>
        <w:spacing w:before="142"/>
        <w:ind w:left="142"/>
      </w:pPr>
      <w:r>
        <w:t>The</w:t>
      </w:r>
      <w:r>
        <w:rPr>
          <w:spacing w:val="-3"/>
        </w:rPr>
        <w:t xml:space="preserve"> </w:t>
      </w:r>
      <w:r>
        <w:t>MoU provides a principles-based</w:t>
      </w:r>
      <w:r>
        <w:rPr>
          <w:spacing w:val="-1"/>
        </w:rPr>
        <w:t xml:space="preserve"> </w:t>
      </w:r>
      <w:r>
        <w:t xml:space="preserve">framework for collaboration, </w:t>
      </w:r>
      <w:r>
        <w:rPr>
          <w:spacing w:val="-2"/>
        </w:rPr>
        <w:t>including:</w:t>
      </w:r>
    </w:p>
    <w:p w14:paraId="123668B7" w14:textId="77777777" w:rsidR="009D54AF" w:rsidRDefault="00000000">
      <w:pPr>
        <w:pStyle w:val="ListParagraph"/>
        <w:numPr>
          <w:ilvl w:val="0"/>
          <w:numId w:val="36"/>
        </w:numPr>
        <w:tabs>
          <w:tab w:val="left" w:pos="424"/>
          <w:tab w:val="left" w:pos="440"/>
        </w:tabs>
        <w:spacing w:line="278" w:lineRule="auto"/>
        <w:ind w:right="1316" w:hanging="284"/>
        <w:rPr>
          <w:sz w:val="21"/>
        </w:rPr>
      </w:pPr>
      <w:r>
        <w:rPr>
          <w:sz w:val="21"/>
        </w:rPr>
        <w:t>a</w:t>
      </w:r>
      <w:r>
        <w:rPr>
          <w:spacing w:val="-2"/>
          <w:sz w:val="21"/>
        </w:rPr>
        <w:t xml:space="preserve"> </w:t>
      </w:r>
      <w:r>
        <w:rPr>
          <w:sz w:val="21"/>
        </w:rPr>
        <w:t>shared</w:t>
      </w:r>
      <w:r>
        <w:rPr>
          <w:spacing w:val="-2"/>
          <w:sz w:val="21"/>
        </w:rPr>
        <w:t xml:space="preserve"> </w:t>
      </w:r>
      <w:r>
        <w:rPr>
          <w:sz w:val="21"/>
        </w:rPr>
        <w:t>vision</w:t>
      </w:r>
      <w:r>
        <w:rPr>
          <w:spacing w:val="-2"/>
          <w:sz w:val="21"/>
        </w:rPr>
        <w:t xml:space="preserve"> </w:t>
      </w:r>
      <w:r>
        <w:rPr>
          <w:sz w:val="21"/>
        </w:rPr>
        <w:t>to</w:t>
      </w:r>
      <w:r>
        <w:rPr>
          <w:spacing w:val="-2"/>
          <w:sz w:val="21"/>
        </w:rPr>
        <w:t xml:space="preserve"> </w:t>
      </w:r>
      <w:r>
        <w:rPr>
          <w:sz w:val="21"/>
        </w:rPr>
        <w:t>embed</w:t>
      </w:r>
      <w:r>
        <w:rPr>
          <w:spacing w:val="-2"/>
          <w:sz w:val="21"/>
        </w:rPr>
        <w:t xml:space="preserve"> </w:t>
      </w:r>
      <w:r>
        <w:rPr>
          <w:sz w:val="21"/>
        </w:rPr>
        <w:t>safety</w:t>
      </w:r>
      <w:r>
        <w:rPr>
          <w:spacing w:val="-2"/>
          <w:sz w:val="21"/>
        </w:rPr>
        <w:t xml:space="preserve"> </w:t>
      </w:r>
      <w:r>
        <w:rPr>
          <w:sz w:val="21"/>
        </w:rPr>
        <w:t>and</w:t>
      </w:r>
      <w:r>
        <w:rPr>
          <w:spacing w:val="-2"/>
          <w:sz w:val="21"/>
        </w:rPr>
        <w:t xml:space="preserve"> </w:t>
      </w:r>
      <w:r>
        <w:rPr>
          <w:sz w:val="21"/>
        </w:rPr>
        <w:t>quality</w:t>
      </w:r>
      <w:r>
        <w:rPr>
          <w:spacing w:val="-2"/>
          <w:sz w:val="21"/>
        </w:rPr>
        <w:t xml:space="preserve"> </w:t>
      </w:r>
      <w:r>
        <w:rPr>
          <w:sz w:val="21"/>
        </w:rPr>
        <w:t>in</w:t>
      </w:r>
      <w:r>
        <w:rPr>
          <w:spacing w:val="-2"/>
          <w:sz w:val="21"/>
        </w:rPr>
        <w:t xml:space="preserve"> </w:t>
      </w:r>
      <w:r>
        <w:rPr>
          <w:sz w:val="21"/>
        </w:rPr>
        <w:t>digitally</w:t>
      </w:r>
      <w:r>
        <w:rPr>
          <w:spacing w:val="-2"/>
          <w:sz w:val="21"/>
        </w:rPr>
        <w:t xml:space="preserve"> </w:t>
      </w:r>
      <w:r>
        <w:rPr>
          <w:sz w:val="21"/>
        </w:rPr>
        <w:t>enabled</w:t>
      </w:r>
      <w:r>
        <w:rPr>
          <w:spacing w:val="-2"/>
          <w:sz w:val="21"/>
        </w:rPr>
        <w:t xml:space="preserve"> </w:t>
      </w:r>
      <w:r>
        <w:rPr>
          <w:sz w:val="21"/>
        </w:rPr>
        <w:t>care</w:t>
      </w:r>
      <w:r>
        <w:rPr>
          <w:spacing w:val="-2"/>
          <w:sz w:val="21"/>
        </w:rPr>
        <w:t xml:space="preserve"> </w:t>
      </w:r>
      <w:r>
        <w:rPr>
          <w:sz w:val="21"/>
        </w:rPr>
        <w:t>and</w:t>
      </w:r>
      <w:r>
        <w:rPr>
          <w:spacing w:val="-2"/>
          <w:sz w:val="21"/>
        </w:rPr>
        <w:t xml:space="preserve"> </w:t>
      </w:r>
      <w:r>
        <w:rPr>
          <w:sz w:val="21"/>
        </w:rPr>
        <w:t>national</w:t>
      </w:r>
      <w:r>
        <w:rPr>
          <w:spacing w:val="-2"/>
          <w:sz w:val="21"/>
        </w:rPr>
        <w:t xml:space="preserve"> </w:t>
      </w:r>
      <w:r>
        <w:rPr>
          <w:sz w:val="21"/>
        </w:rPr>
        <w:t>digital</w:t>
      </w:r>
      <w:r>
        <w:rPr>
          <w:spacing w:val="-2"/>
          <w:sz w:val="21"/>
        </w:rPr>
        <w:t xml:space="preserve"> </w:t>
      </w:r>
      <w:r>
        <w:rPr>
          <w:sz w:val="21"/>
        </w:rPr>
        <w:t>health infrastructure, such as My Health Record</w:t>
      </w:r>
    </w:p>
    <w:p w14:paraId="4C5BFA77" w14:textId="77777777" w:rsidR="009D54AF" w:rsidRDefault="00000000">
      <w:pPr>
        <w:pStyle w:val="ListParagraph"/>
        <w:numPr>
          <w:ilvl w:val="0"/>
          <w:numId w:val="36"/>
        </w:numPr>
        <w:tabs>
          <w:tab w:val="left" w:pos="424"/>
          <w:tab w:val="left" w:pos="440"/>
        </w:tabs>
        <w:spacing w:before="57" w:line="278" w:lineRule="auto"/>
        <w:ind w:right="594" w:hanging="284"/>
        <w:rPr>
          <w:sz w:val="21"/>
        </w:rPr>
      </w:pPr>
      <w:r>
        <w:rPr>
          <w:sz w:val="21"/>
        </w:rPr>
        <w:t>complementary</w:t>
      </w:r>
      <w:r>
        <w:rPr>
          <w:spacing w:val="-1"/>
          <w:sz w:val="21"/>
        </w:rPr>
        <w:t xml:space="preserve"> </w:t>
      </w:r>
      <w:r>
        <w:rPr>
          <w:sz w:val="21"/>
        </w:rPr>
        <w:t>roles,</w:t>
      </w:r>
      <w:r>
        <w:rPr>
          <w:spacing w:val="-1"/>
          <w:sz w:val="21"/>
        </w:rPr>
        <w:t xml:space="preserve"> </w:t>
      </w:r>
      <w:r>
        <w:rPr>
          <w:sz w:val="21"/>
        </w:rPr>
        <w:t>with</w:t>
      </w:r>
      <w:r>
        <w:rPr>
          <w:spacing w:val="-1"/>
          <w:sz w:val="21"/>
        </w:rPr>
        <w:t xml:space="preserve"> </w:t>
      </w:r>
      <w:r>
        <w:rPr>
          <w:sz w:val="21"/>
        </w:rPr>
        <w:t>the</w:t>
      </w:r>
      <w:r>
        <w:rPr>
          <w:spacing w:val="-1"/>
          <w:sz w:val="21"/>
        </w:rPr>
        <w:t xml:space="preserve"> </w:t>
      </w:r>
      <w:r>
        <w:rPr>
          <w:sz w:val="21"/>
        </w:rPr>
        <w:t>Commission</w:t>
      </w:r>
      <w:r>
        <w:rPr>
          <w:spacing w:val="-1"/>
          <w:sz w:val="21"/>
        </w:rPr>
        <w:t xml:space="preserve"> </w:t>
      </w:r>
      <w:r>
        <w:rPr>
          <w:sz w:val="21"/>
        </w:rPr>
        <w:t>leading</w:t>
      </w:r>
      <w:r>
        <w:rPr>
          <w:spacing w:val="-1"/>
          <w:sz w:val="21"/>
        </w:rPr>
        <w:t xml:space="preserve"> </w:t>
      </w:r>
      <w:r>
        <w:rPr>
          <w:sz w:val="21"/>
        </w:rPr>
        <w:t>clinical</w:t>
      </w:r>
      <w:r>
        <w:rPr>
          <w:spacing w:val="-1"/>
          <w:sz w:val="21"/>
        </w:rPr>
        <w:t xml:space="preserve"> </w:t>
      </w:r>
      <w:r>
        <w:rPr>
          <w:sz w:val="21"/>
        </w:rPr>
        <w:t>governance,</w:t>
      </w:r>
      <w:r>
        <w:rPr>
          <w:spacing w:val="-1"/>
          <w:sz w:val="21"/>
        </w:rPr>
        <w:t xml:space="preserve"> </w:t>
      </w:r>
      <w:r>
        <w:rPr>
          <w:sz w:val="21"/>
        </w:rPr>
        <w:t>safety</w:t>
      </w:r>
      <w:r>
        <w:rPr>
          <w:spacing w:val="-1"/>
          <w:sz w:val="21"/>
        </w:rPr>
        <w:t xml:space="preserve"> </w:t>
      </w:r>
      <w:r>
        <w:rPr>
          <w:sz w:val="21"/>
        </w:rPr>
        <w:t>and</w:t>
      </w:r>
      <w:r>
        <w:rPr>
          <w:spacing w:val="-1"/>
          <w:sz w:val="21"/>
        </w:rPr>
        <w:t xml:space="preserve"> </w:t>
      </w:r>
      <w:r>
        <w:rPr>
          <w:sz w:val="21"/>
        </w:rPr>
        <w:t>quality,</w:t>
      </w:r>
      <w:r>
        <w:rPr>
          <w:spacing w:val="-1"/>
          <w:sz w:val="21"/>
        </w:rPr>
        <w:t xml:space="preserve"> </w:t>
      </w:r>
      <w:r>
        <w:rPr>
          <w:sz w:val="21"/>
        </w:rPr>
        <w:t>and</w:t>
      </w:r>
      <w:r>
        <w:rPr>
          <w:spacing w:val="-1"/>
          <w:sz w:val="21"/>
        </w:rPr>
        <w:t xml:space="preserve"> </w:t>
      </w:r>
      <w:r>
        <w:rPr>
          <w:sz w:val="21"/>
        </w:rPr>
        <w:t>ADHA delivering national digital health infrastructure</w:t>
      </w:r>
    </w:p>
    <w:p w14:paraId="7FA473BB" w14:textId="77777777" w:rsidR="009D54AF" w:rsidRDefault="00000000">
      <w:pPr>
        <w:pStyle w:val="ListParagraph"/>
        <w:numPr>
          <w:ilvl w:val="0"/>
          <w:numId w:val="36"/>
        </w:numPr>
        <w:tabs>
          <w:tab w:val="left" w:pos="424"/>
          <w:tab w:val="left" w:pos="440"/>
        </w:tabs>
        <w:spacing w:before="56" w:line="278" w:lineRule="auto"/>
        <w:ind w:right="513" w:hanging="284"/>
        <w:rPr>
          <w:sz w:val="21"/>
        </w:rPr>
      </w:pPr>
      <w:r>
        <w:rPr>
          <w:sz w:val="21"/>
        </w:rPr>
        <w:t>joint</w:t>
      </w:r>
      <w:r>
        <w:rPr>
          <w:spacing w:val="-1"/>
          <w:sz w:val="21"/>
        </w:rPr>
        <w:t xml:space="preserve"> </w:t>
      </w:r>
      <w:r>
        <w:rPr>
          <w:sz w:val="21"/>
        </w:rPr>
        <w:t>identification</w:t>
      </w:r>
      <w:r>
        <w:rPr>
          <w:spacing w:val="-1"/>
          <w:sz w:val="21"/>
        </w:rPr>
        <w:t xml:space="preserve"> </w:t>
      </w:r>
      <w:r>
        <w:rPr>
          <w:sz w:val="21"/>
        </w:rPr>
        <w:t>and</w:t>
      </w:r>
      <w:r>
        <w:rPr>
          <w:spacing w:val="-1"/>
          <w:sz w:val="21"/>
        </w:rPr>
        <w:t xml:space="preserve"> </w:t>
      </w:r>
      <w:r>
        <w:rPr>
          <w:sz w:val="21"/>
        </w:rPr>
        <w:t>management</w:t>
      </w:r>
      <w:r>
        <w:rPr>
          <w:spacing w:val="-1"/>
          <w:sz w:val="21"/>
        </w:rPr>
        <w:t xml:space="preserve"> </w:t>
      </w:r>
      <w:r>
        <w:rPr>
          <w:sz w:val="21"/>
        </w:rPr>
        <w:t>of</w:t>
      </w:r>
      <w:r>
        <w:rPr>
          <w:spacing w:val="-1"/>
          <w:sz w:val="21"/>
        </w:rPr>
        <w:t xml:space="preserve"> </w:t>
      </w:r>
      <w:r>
        <w:rPr>
          <w:sz w:val="21"/>
        </w:rPr>
        <w:t>emerging</w:t>
      </w:r>
      <w:r>
        <w:rPr>
          <w:spacing w:val="-1"/>
          <w:sz w:val="21"/>
        </w:rPr>
        <w:t xml:space="preserve"> </w:t>
      </w:r>
      <w:r>
        <w:rPr>
          <w:sz w:val="21"/>
        </w:rPr>
        <w:t>clinical</w:t>
      </w:r>
      <w:r>
        <w:rPr>
          <w:spacing w:val="-1"/>
          <w:sz w:val="21"/>
        </w:rPr>
        <w:t xml:space="preserve"> </w:t>
      </w:r>
      <w:r>
        <w:rPr>
          <w:sz w:val="21"/>
        </w:rPr>
        <w:t>safety</w:t>
      </w:r>
      <w:r>
        <w:rPr>
          <w:spacing w:val="-1"/>
          <w:sz w:val="21"/>
        </w:rPr>
        <w:t xml:space="preserve"> </w:t>
      </w:r>
      <w:r>
        <w:rPr>
          <w:sz w:val="21"/>
        </w:rPr>
        <w:t>and</w:t>
      </w:r>
      <w:r>
        <w:rPr>
          <w:spacing w:val="-1"/>
          <w:sz w:val="21"/>
        </w:rPr>
        <w:t xml:space="preserve"> </w:t>
      </w:r>
      <w:r>
        <w:rPr>
          <w:sz w:val="21"/>
        </w:rPr>
        <w:t>quality</w:t>
      </w:r>
      <w:r>
        <w:rPr>
          <w:spacing w:val="-1"/>
          <w:sz w:val="21"/>
        </w:rPr>
        <w:t xml:space="preserve"> </w:t>
      </w:r>
      <w:r>
        <w:rPr>
          <w:sz w:val="21"/>
        </w:rPr>
        <w:t>risks</w:t>
      </w:r>
      <w:r>
        <w:rPr>
          <w:spacing w:val="-1"/>
          <w:sz w:val="21"/>
        </w:rPr>
        <w:t xml:space="preserve"> </w:t>
      </w:r>
      <w:r>
        <w:rPr>
          <w:sz w:val="21"/>
        </w:rPr>
        <w:t>within</w:t>
      </w:r>
      <w:r>
        <w:rPr>
          <w:spacing w:val="-1"/>
          <w:sz w:val="21"/>
        </w:rPr>
        <w:t xml:space="preserve"> </w:t>
      </w:r>
      <w:r>
        <w:rPr>
          <w:sz w:val="21"/>
        </w:rPr>
        <w:t>the</w:t>
      </w:r>
      <w:r>
        <w:rPr>
          <w:spacing w:val="-1"/>
          <w:sz w:val="21"/>
        </w:rPr>
        <w:t xml:space="preserve"> </w:t>
      </w:r>
      <w:r>
        <w:rPr>
          <w:sz w:val="21"/>
        </w:rPr>
        <w:t>digital</w:t>
      </w:r>
      <w:r>
        <w:rPr>
          <w:spacing w:val="-1"/>
          <w:sz w:val="21"/>
        </w:rPr>
        <w:t xml:space="preserve"> </w:t>
      </w:r>
      <w:r>
        <w:rPr>
          <w:sz w:val="21"/>
        </w:rPr>
        <w:t xml:space="preserve">health </w:t>
      </w:r>
      <w:r>
        <w:rPr>
          <w:spacing w:val="-2"/>
          <w:sz w:val="21"/>
        </w:rPr>
        <w:t>environment.</w:t>
      </w:r>
    </w:p>
    <w:p w14:paraId="62F8B83B" w14:textId="77777777" w:rsidR="009D54AF" w:rsidRDefault="00000000">
      <w:pPr>
        <w:pStyle w:val="BodyText"/>
        <w:spacing w:before="170" w:line="278" w:lineRule="auto"/>
        <w:ind w:left="142" w:right="285"/>
      </w:pPr>
      <w:r>
        <w:t>The partnership is supported by formal governance arrangements, including joint working and steering groups</w:t>
      </w:r>
      <w:r>
        <w:rPr>
          <w:spacing w:val="-4"/>
        </w:rPr>
        <w:t xml:space="preserve"> </w:t>
      </w:r>
      <w:r>
        <w:t>and</w:t>
      </w:r>
      <w:r>
        <w:rPr>
          <w:spacing w:val="-4"/>
        </w:rPr>
        <w:t xml:space="preserve"> </w:t>
      </w:r>
      <w:r>
        <w:t>regular</w:t>
      </w:r>
      <w:r>
        <w:rPr>
          <w:spacing w:val="-4"/>
        </w:rPr>
        <w:t xml:space="preserve"> </w:t>
      </w:r>
      <w:r>
        <w:t>engagement</w:t>
      </w:r>
      <w:r>
        <w:rPr>
          <w:spacing w:val="-4"/>
        </w:rPr>
        <w:t xml:space="preserve"> </w:t>
      </w:r>
      <w:r>
        <w:t>between</w:t>
      </w:r>
      <w:r>
        <w:rPr>
          <w:spacing w:val="-4"/>
        </w:rPr>
        <w:t xml:space="preserve"> </w:t>
      </w:r>
      <w:r>
        <w:t>senior</w:t>
      </w:r>
      <w:r>
        <w:rPr>
          <w:spacing w:val="-4"/>
        </w:rPr>
        <w:t xml:space="preserve"> </w:t>
      </w:r>
      <w:r>
        <w:t>executives,</w:t>
      </w:r>
      <w:r>
        <w:rPr>
          <w:spacing w:val="-4"/>
        </w:rPr>
        <w:t xml:space="preserve"> </w:t>
      </w:r>
      <w:r>
        <w:t>to</w:t>
      </w:r>
      <w:r>
        <w:rPr>
          <w:spacing w:val="-4"/>
        </w:rPr>
        <w:t xml:space="preserve"> </w:t>
      </w:r>
      <w:r>
        <w:t>provide</w:t>
      </w:r>
      <w:r>
        <w:rPr>
          <w:spacing w:val="-4"/>
        </w:rPr>
        <w:t xml:space="preserve"> </w:t>
      </w:r>
      <w:r>
        <w:t>strategic</w:t>
      </w:r>
      <w:r>
        <w:rPr>
          <w:spacing w:val="-4"/>
        </w:rPr>
        <w:t xml:space="preserve"> </w:t>
      </w:r>
      <w:r>
        <w:t>oversight</w:t>
      </w:r>
      <w:r>
        <w:rPr>
          <w:spacing w:val="-4"/>
        </w:rPr>
        <w:t xml:space="preserve"> </w:t>
      </w:r>
      <w:r>
        <w:t>and</w:t>
      </w:r>
      <w:r>
        <w:rPr>
          <w:spacing w:val="-4"/>
        </w:rPr>
        <w:t xml:space="preserve"> </w:t>
      </w:r>
      <w:r>
        <w:t>alignment</w:t>
      </w:r>
      <w:r>
        <w:rPr>
          <w:spacing w:val="-4"/>
        </w:rPr>
        <w:t xml:space="preserve"> </w:t>
      </w:r>
      <w:r>
        <w:t>on national priorities.</w:t>
      </w:r>
    </w:p>
    <w:p w14:paraId="7AC08D77" w14:textId="77777777" w:rsidR="009D54AF" w:rsidRDefault="00000000">
      <w:pPr>
        <w:pStyle w:val="BodyText"/>
        <w:spacing w:before="141" w:line="278" w:lineRule="auto"/>
        <w:ind w:left="142" w:right="285"/>
      </w:pPr>
      <w:r>
        <w:t>The Commission contributes to national digital health leadership through participation in ADHA governance and advisory committees relating to connected care, clinical governance, virtual care, and the ‘share by default’ national health reforms.</w:t>
      </w:r>
    </w:p>
    <w:p w14:paraId="48000CDC" w14:textId="77777777" w:rsidR="009D54AF" w:rsidRDefault="009D54AF">
      <w:pPr>
        <w:pStyle w:val="BodyText"/>
        <w:spacing w:before="66"/>
      </w:pPr>
    </w:p>
    <w:p w14:paraId="44FA2CDD" w14:textId="77777777" w:rsidR="009D54AF" w:rsidRDefault="00000000">
      <w:pPr>
        <w:pStyle w:val="Heading5"/>
      </w:pPr>
      <w:r>
        <w:t>Australian</w:t>
      </w:r>
      <w:r>
        <w:rPr>
          <w:spacing w:val="-5"/>
        </w:rPr>
        <w:t xml:space="preserve"> </w:t>
      </w:r>
      <w:r>
        <w:t>Institute</w:t>
      </w:r>
      <w:r>
        <w:rPr>
          <w:spacing w:val="-3"/>
        </w:rPr>
        <w:t xml:space="preserve"> </w:t>
      </w:r>
      <w:r>
        <w:t>of</w:t>
      </w:r>
      <w:r>
        <w:rPr>
          <w:spacing w:val="-3"/>
        </w:rPr>
        <w:t xml:space="preserve"> </w:t>
      </w:r>
      <w:r>
        <w:t>Health</w:t>
      </w:r>
      <w:r>
        <w:rPr>
          <w:spacing w:val="-3"/>
        </w:rPr>
        <w:t xml:space="preserve"> </w:t>
      </w:r>
      <w:r>
        <w:t>and</w:t>
      </w:r>
      <w:r>
        <w:rPr>
          <w:spacing w:val="-2"/>
        </w:rPr>
        <w:t xml:space="preserve"> Welfare</w:t>
      </w:r>
    </w:p>
    <w:p w14:paraId="4C97E510" w14:textId="77777777" w:rsidR="009D54AF" w:rsidRDefault="00000000">
      <w:pPr>
        <w:pStyle w:val="BodyText"/>
        <w:spacing w:before="133" w:line="278" w:lineRule="auto"/>
        <w:ind w:left="142" w:right="279"/>
      </w:pPr>
      <w:r>
        <w:t>A highlight of 2025–26 was cross-agency collaboration between the Commission and the Australian</w:t>
      </w:r>
      <w:r>
        <w:rPr>
          <w:spacing w:val="80"/>
        </w:rPr>
        <w:t xml:space="preserve"> </w:t>
      </w:r>
      <w:r>
        <w:t>Institute of Health and Welfare (AIHW) to develop the Australian Health System Performance Assessment Framework</w:t>
      </w:r>
      <w:r>
        <w:rPr>
          <w:spacing w:val="-5"/>
        </w:rPr>
        <w:t xml:space="preserve"> </w:t>
      </w:r>
      <w:r>
        <w:t>(SPA</w:t>
      </w:r>
      <w:r>
        <w:rPr>
          <w:spacing w:val="-5"/>
        </w:rPr>
        <w:t xml:space="preserve"> </w:t>
      </w:r>
      <w:r>
        <w:t>Framework).</w:t>
      </w:r>
      <w:r>
        <w:rPr>
          <w:spacing w:val="-5"/>
        </w:rPr>
        <w:t xml:space="preserve"> </w:t>
      </w:r>
      <w:r>
        <w:t>While</w:t>
      </w:r>
      <w:r>
        <w:rPr>
          <w:spacing w:val="-5"/>
        </w:rPr>
        <w:t xml:space="preserve"> </w:t>
      </w:r>
      <w:r>
        <w:t>negotiations</w:t>
      </w:r>
      <w:r>
        <w:rPr>
          <w:spacing w:val="-5"/>
        </w:rPr>
        <w:t xml:space="preserve"> </w:t>
      </w:r>
      <w:r>
        <w:t>were</w:t>
      </w:r>
      <w:r>
        <w:rPr>
          <w:spacing w:val="-5"/>
        </w:rPr>
        <w:t xml:space="preserve"> </w:t>
      </w:r>
      <w:r>
        <w:t>underway</w:t>
      </w:r>
      <w:r>
        <w:rPr>
          <w:spacing w:val="-5"/>
        </w:rPr>
        <w:t xml:space="preserve"> </w:t>
      </w:r>
      <w:r>
        <w:t>on</w:t>
      </w:r>
      <w:r>
        <w:rPr>
          <w:spacing w:val="-5"/>
        </w:rPr>
        <w:t xml:space="preserve"> </w:t>
      </w:r>
      <w:r>
        <w:t>the</w:t>
      </w:r>
      <w:r>
        <w:rPr>
          <w:spacing w:val="-5"/>
        </w:rPr>
        <w:t xml:space="preserve"> </w:t>
      </w:r>
      <w:r>
        <w:t>2026–2031</w:t>
      </w:r>
      <w:r>
        <w:rPr>
          <w:spacing w:val="-5"/>
        </w:rPr>
        <w:t xml:space="preserve"> </w:t>
      </w:r>
      <w:r>
        <w:t>National</w:t>
      </w:r>
      <w:r>
        <w:rPr>
          <w:spacing w:val="-5"/>
        </w:rPr>
        <w:t xml:space="preserve"> </w:t>
      </w:r>
      <w:r>
        <w:t>Health</w:t>
      </w:r>
      <w:r>
        <w:rPr>
          <w:spacing w:val="-5"/>
        </w:rPr>
        <w:t xml:space="preserve"> </w:t>
      </w:r>
      <w:r>
        <w:t>Reform Agreement addendum, AIHW was tasked with updating the Australian Health Performance Framework in a project funded by the Department of Health, Disability and Ageing.</w:t>
      </w:r>
    </w:p>
    <w:p w14:paraId="7A3B7B4A" w14:textId="77777777" w:rsidR="009D54AF" w:rsidRDefault="00000000">
      <w:pPr>
        <w:pStyle w:val="BodyText"/>
        <w:spacing w:before="141" w:line="278" w:lineRule="auto"/>
        <w:ind w:left="142" w:right="228"/>
      </w:pPr>
      <w:proofErr w:type="spellStart"/>
      <w:r>
        <w:t>Recognising</w:t>
      </w:r>
      <w:proofErr w:type="spellEnd"/>
      <w:r>
        <w:rPr>
          <w:spacing w:val="-1"/>
        </w:rPr>
        <w:t xml:space="preserve"> </w:t>
      </w:r>
      <w:r>
        <w:t>the</w:t>
      </w:r>
      <w:r>
        <w:rPr>
          <w:spacing w:val="-1"/>
        </w:rPr>
        <w:t xml:space="preserve"> </w:t>
      </w:r>
      <w:r>
        <w:t>relevance</w:t>
      </w:r>
      <w:r>
        <w:rPr>
          <w:spacing w:val="-1"/>
        </w:rPr>
        <w:t xml:space="preserve"> </w:t>
      </w:r>
      <w:r>
        <w:t>of</w:t>
      </w:r>
      <w:r>
        <w:rPr>
          <w:spacing w:val="-1"/>
        </w:rPr>
        <w:t xml:space="preserve"> </w:t>
      </w:r>
      <w:r>
        <w:t>the</w:t>
      </w:r>
      <w:r>
        <w:rPr>
          <w:spacing w:val="-1"/>
        </w:rPr>
        <w:t xml:space="preserve"> </w:t>
      </w:r>
      <w:r>
        <w:t>work</w:t>
      </w:r>
      <w:r>
        <w:rPr>
          <w:spacing w:val="-1"/>
        </w:rPr>
        <w:t xml:space="preserve"> </w:t>
      </w:r>
      <w:r>
        <w:t>to</w:t>
      </w:r>
      <w:r>
        <w:rPr>
          <w:spacing w:val="-1"/>
        </w:rPr>
        <w:t xml:space="preserve"> </w:t>
      </w:r>
      <w:r>
        <w:t>both</w:t>
      </w:r>
      <w:r>
        <w:rPr>
          <w:spacing w:val="-1"/>
        </w:rPr>
        <w:t xml:space="preserve"> </w:t>
      </w:r>
      <w:r>
        <w:t>parties</w:t>
      </w:r>
      <w:r>
        <w:rPr>
          <w:spacing w:val="-1"/>
        </w:rPr>
        <w:t xml:space="preserve"> </w:t>
      </w:r>
      <w:r>
        <w:t>and</w:t>
      </w:r>
      <w:r>
        <w:rPr>
          <w:spacing w:val="-1"/>
        </w:rPr>
        <w:t xml:space="preserve"> </w:t>
      </w:r>
      <w:r>
        <w:t>the</w:t>
      </w:r>
      <w:r>
        <w:rPr>
          <w:spacing w:val="-1"/>
        </w:rPr>
        <w:t xml:space="preserve"> </w:t>
      </w:r>
      <w:r>
        <w:t>potential</w:t>
      </w:r>
      <w:r>
        <w:rPr>
          <w:spacing w:val="-1"/>
        </w:rPr>
        <w:t xml:space="preserve"> </w:t>
      </w:r>
      <w:r>
        <w:t>to</w:t>
      </w:r>
      <w:r>
        <w:rPr>
          <w:spacing w:val="-1"/>
        </w:rPr>
        <w:t xml:space="preserve"> </w:t>
      </w:r>
      <w:r>
        <w:t>share</w:t>
      </w:r>
      <w:r>
        <w:rPr>
          <w:spacing w:val="-1"/>
        </w:rPr>
        <w:t xml:space="preserve"> </w:t>
      </w:r>
      <w:r>
        <w:t>expertise,</w:t>
      </w:r>
      <w:r>
        <w:rPr>
          <w:spacing w:val="-1"/>
        </w:rPr>
        <w:t xml:space="preserve"> </w:t>
      </w:r>
      <w:r>
        <w:t>a</w:t>
      </w:r>
      <w:r>
        <w:rPr>
          <w:spacing w:val="-1"/>
        </w:rPr>
        <w:t xml:space="preserve"> </w:t>
      </w:r>
      <w:r>
        <w:t>partnership</w:t>
      </w:r>
      <w:r>
        <w:rPr>
          <w:spacing w:val="-1"/>
        </w:rPr>
        <w:t xml:space="preserve"> </w:t>
      </w:r>
      <w:r>
        <w:t>was formed between AIHW and the Commission. A set of comprehensive definitions of the domains of quality care was identified as a useful resource to support development of the SPA Framework.</w:t>
      </w:r>
    </w:p>
    <w:p w14:paraId="56F5B5F9" w14:textId="77777777" w:rsidR="009D54AF" w:rsidRDefault="00000000">
      <w:pPr>
        <w:pStyle w:val="BodyText"/>
        <w:spacing w:before="141" w:line="278" w:lineRule="auto"/>
        <w:ind w:left="142"/>
      </w:pPr>
      <w:r>
        <w:t xml:space="preserve">The Commission and the AIHW , which included an embedded Commission officer, conducted a concurrent process to identify the key domains of quality and develop definitions of high-quality care that reflect the Australian context (see </w:t>
      </w:r>
      <w:hyperlink w:anchor="_bookmark12" w:history="1">
        <w:r>
          <w:rPr>
            <w:u w:val="single"/>
          </w:rPr>
          <w:t>Defining Quality in health care</w:t>
        </w:r>
      </w:hyperlink>
      <w:r>
        <w:t>). To support alignment, this definitional work was incorporated</w:t>
      </w:r>
      <w:r>
        <w:rPr>
          <w:spacing w:val="-3"/>
        </w:rPr>
        <w:t xml:space="preserve"> </w:t>
      </w:r>
      <w:r>
        <w:t>into</w:t>
      </w:r>
      <w:r>
        <w:rPr>
          <w:spacing w:val="-3"/>
        </w:rPr>
        <w:t xml:space="preserve"> </w:t>
      </w:r>
      <w:r>
        <w:t>the</w:t>
      </w:r>
      <w:r>
        <w:rPr>
          <w:spacing w:val="-3"/>
        </w:rPr>
        <w:t xml:space="preserve"> </w:t>
      </w:r>
      <w:r>
        <w:t>SPA</w:t>
      </w:r>
      <w:r>
        <w:rPr>
          <w:spacing w:val="-3"/>
        </w:rPr>
        <w:t xml:space="preserve"> </w:t>
      </w:r>
      <w:r>
        <w:t>Framework.</w:t>
      </w:r>
      <w:r>
        <w:rPr>
          <w:spacing w:val="-3"/>
        </w:rPr>
        <w:t xml:space="preserve"> </w:t>
      </w:r>
      <w:r>
        <w:t>The</w:t>
      </w:r>
      <w:r>
        <w:rPr>
          <w:spacing w:val="-3"/>
        </w:rPr>
        <w:t xml:space="preserve"> </w:t>
      </w:r>
      <w:r>
        <w:t>SPA</w:t>
      </w:r>
      <w:r>
        <w:rPr>
          <w:spacing w:val="-3"/>
        </w:rPr>
        <w:t xml:space="preserve"> </w:t>
      </w:r>
      <w:r>
        <w:t>Framework</w:t>
      </w:r>
      <w:r>
        <w:rPr>
          <w:spacing w:val="-3"/>
        </w:rPr>
        <w:t xml:space="preserve"> </w:t>
      </w:r>
      <w:r>
        <w:t>is</w:t>
      </w:r>
      <w:r>
        <w:rPr>
          <w:spacing w:val="-3"/>
        </w:rPr>
        <w:t xml:space="preserve"> </w:t>
      </w:r>
      <w:r>
        <w:t>scheduled</w:t>
      </w:r>
      <w:r>
        <w:rPr>
          <w:spacing w:val="-3"/>
        </w:rPr>
        <w:t xml:space="preserve"> </w:t>
      </w:r>
      <w:r>
        <w:t>for</w:t>
      </w:r>
      <w:r>
        <w:rPr>
          <w:spacing w:val="-3"/>
        </w:rPr>
        <w:t xml:space="preserve"> </w:t>
      </w:r>
      <w:r>
        <w:t>submission</w:t>
      </w:r>
      <w:r>
        <w:rPr>
          <w:spacing w:val="-3"/>
        </w:rPr>
        <w:t xml:space="preserve"> </w:t>
      </w:r>
      <w:r>
        <w:t>to</w:t>
      </w:r>
      <w:r>
        <w:rPr>
          <w:spacing w:val="-3"/>
        </w:rPr>
        <w:t xml:space="preserve"> </w:t>
      </w:r>
      <w:r>
        <w:t>the</w:t>
      </w:r>
      <w:r>
        <w:rPr>
          <w:spacing w:val="-3"/>
        </w:rPr>
        <w:t xml:space="preserve"> </w:t>
      </w:r>
      <w:r>
        <w:t>Department</w:t>
      </w:r>
      <w:r>
        <w:rPr>
          <w:spacing w:val="-3"/>
        </w:rPr>
        <w:t xml:space="preserve"> </w:t>
      </w:r>
      <w:r>
        <w:t>of Health, Disability and Ageing in the second half of 2026.</w:t>
      </w:r>
    </w:p>
    <w:p w14:paraId="2B530778" w14:textId="77777777" w:rsidR="009D54AF" w:rsidRDefault="009D54AF">
      <w:pPr>
        <w:pStyle w:val="BodyText"/>
        <w:spacing w:before="65"/>
      </w:pPr>
    </w:p>
    <w:p w14:paraId="2B5263A8" w14:textId="77777777" w:rsidR="009D54AF" w:rsidRDefault="00000000">
      <w:pPr>
        <w:pStyle w:val="Heading5"/>
      </w:pPr>
      <w:proofErr w:type="spellStart"/>
      <w:r>
        <w:rPr>
          <w:spacing w:val="-2"/>
        </w:rPr>
        <w:t>Healthdirect</w:t>
      </w:r>
      <w:proofErr w:type="spellEnd"/>
    </w:p>
    <w:p w14:paraId="12C5EE70" w14:textId="77777777" w:rsidR="009D54AF" w:rsidRDefault="00000000">
      <w:pPr>
        <w:pStyle w:val="BodyText"/>
        <w:spacing w:before="133" w:line="278" w:lineRule="auto"/>
        <w:ind w:left="142" w:right="182"/>
        <w:jc w:val="both"/>
      </w:pPr>
      <w:proofErr w:type="spellStart"/>
      <w:r>
        <w:t>Healthdirect</w:t>
      </w:r>
      <w:proofErr w:type="spellEnd"/>
      <w:r>
        <w:t>, Australia’s virtual public health information service, is a key partner in the Commission’s work to support safe, high-quality virtual care. The partnership is underpinned by strong executive engagement, with regular</w:t>
      </w:r>
      <w:r>
        <w:rPr>
          <w:spacing w:val="-1"/>
        </w:rPr>
        <w:t xml:space="preserve"> </w:t>
      </w:r>
      <w:r>
        <w:t>meetings</w:t>
      </w:r>
      <w:r>
        <w:rPr>
          <w:spacing w:val="-1"/>
        </w:rPr>
        <w:t xml:space="preserve"> </w:t>
      </w:r>
      <w:r>
        <w:t>between</w:t>
      </w:r>
      <w:r>
        <w:rPr>
          <w:spacing w:val="-1"/>
        </w:rPr>
        <w:t xml:space="preserve"> </w:t>
      </w:r>
      <w:r>
        <w:t>senior</w:t>
      </w:r>
      <w:r>
        <w:rPr>
          <w:spacing w:val="-1"/>
        </w:rPr>
        <w:t xml:space="preserve"> </w:t>
      </w:r>
      <w:r>
        <w:t>leaders</w:t>
      </w:r>
      <w:r>
        <w:rPr>
          <w:spacing w:val="-1"/>
        </w:rPr>
        <w:t xml:space="preserve"> </w:t>
      </w:r>
      <w:r>
        <w:t>to</w:t>
      </w:r>
      <w:r>
        <w:rPr>
          <w:spacing w:val="-1"/>
        </w:rPr>
        <w:t xml:space="preserve"> </w:t>
      </w:r>
      <w:r>
        <w:t>progress</w:t>
      </w:r>
      <w:r>
        <w:rPr>
          <w:spacing w:val="-1"/>
        </w:rPr>
        <w:t xml:space="preserve"> </w:t>
      </w:r>
      <w:r>
        <w:t>shared</w:t>
      </w:r>
      <w:r>
        <w:rPr>
          <w:spacing w:val="-1"/>
        </w:rPr>
        <w:t xml:space="preserve"> </w:t>
      </w:r>
      <w:r>
        <w:t>priorities</w:t>
      </w:r>
      <w:r>
        <w:rPr>
          <w:spacing w:val="-1"/>
        </w:rPr>
        <w:t xml:space="preserve"> </w:t>
      </w:r>
      <w:r>
        <w:t>in</w:t>
      </w:r>
      <w:r>
        <w:rPr>
          <w:spacing w:val="-1"/>
        </w:rPr>
        <w:t xml:space="preserve"> </w:t>
      </w:r>
      <w:r>
        <w:t>clinical</w:t>
      </w:r>
      <w:r>
        <w:rPr>
          <w:spacing w:val="-1"/>
        </w:rPr>
        <w:t xml:space="preserve"> </w:t>
      </w:r>
      <w:r>
        <w:t>governance,</w:t>
      </w:r>
      <w:r>
        <w:rPr>
          <w:spacing w:val="-1"/>
        </w:rPr>
        <w:t xml:space="preserve"> </w:t>
      </w:r>
      <w:r>
        <w:t>virtual</w:t>
      </w:r>
      <w:r>
        <w:rPr>
          <w:spacing w:val="-1"/>
        </w:rPr>
        <w:t xml:space="preserve"> </w:t>
      </w:r>
      <w:r>
        <w:t>care,</w:t>
      </w:r>
      <w:r>
        <w:rPr>
          <w:spacing w:val="-1"/>
        </w:rPr>
        <w:t xml:space="preserve"> </w:t>
      </w:r>
      <w:r>
        <w:t>and artificial intelligence.</w:t>
      </w:r>
    </w:p>
    <w:p w14:paraId="4E590053" w14:textId="77777777" w:rsidR="009D54AF" w:rsidRDefault="00000000">
      <w:pPr>
        <w:spacing w:before="142" w:line="278" w:lineRule="auto"/>
        <w:ind w:left="142" w:right="285"/>
        <w:rPr>
          <w:sz w:val="21"/>
        </w:rPr>
      </w:pPr>
      <w:proofErr w:type="spellStart"/>
      <w:r>
        <w:rPr>
          <w:sz w:val="21"/>
        </w:rPr>
        <w:t>Healthdirect</w:t>
      </w:r>
      <w:proofErr w:type="spellEnd"/>
      <w:r>
        <w:rPr>
          <w:sz w:val="21"/>
        </w:rPr>
        <w:t xml:space="preserve"> contributes senior clinical expertise through representation on the Commission’s Digitally Enabled Care Advisory Committee and the Artificial Intelligence Program Advisory Group. Clinical governance</w:t>
      </w:r>
      <w:r>
        <w:rPr>
          <w:spacing w:val="-2"/>
          <w:sz w:val="21"/>
        </w:rPr>
        <w:t xml:space="preserve"> </w:t>
      </w:r>
      <w:r>
        <w:rPr>
          <w:sz w:val="21"/>
        </w:rPr>
        <w:t>is</w:t>
      </w:r>
      <w:r>
        <w:rPr>
          <w:spacing w:val="-2"/>
          <w:sz w:val="21"/>
        </w:rPr>
        <w:t xml:space="preserve"> </w:t>
      </w:r>
      <w:r>
        <w:rPr>
          <w:sz w:val="21"/>
        </w:rPr>
        <w:t>central</w:t>
      </w:r>
      <w:r>
        <w:rPr>
          <w:spacing w:val="-2"/>
          <w:sz w:val="21"/>
        </w:rPr>
        <w:t xml:space="preserve"> </w:t>
      </w:r>
      <w:r>
        <w:rPr>
          <w:sz w:val="21"/>
        </w:rPr>
        <w:t>to</w:t>
      </w:r>
      <w:r>
        <w:rPr>
          <w:spacing w:val="-2"/>
          <w:sz w:val="21"/>
        </w:rPr>
        <w:t xml:space="preserve"> </w:t>
      </w:r>
      <w:r>
        <w:rPr>
          <w:sz w:val="21"/>
        </w:rPr>
        <w:t>the</w:t>
      </w:r>
      <w:r>
        <w:rPr>
          <w:spacing w:val="-2"/>
          <w:sz w:val="21"/>
        </w:rPr>
        <w:t xml:space="preserve"> </w:t>
      </w:r>
      <w:r>
        <w:rPr>
          <w:sz w:val="21"/>
        </w:rPr>
        <w:t>partnership,</w:t>
      </w:r>
      <w:r>
        <w:rPr>
          <w:spacing w:val="-2"/>
          <w:sz w:val="21"/>
        </w:rPr>
        <w:t xml:space="preserve"> </w:t>
      </w:r>
      <w:r>
        <w:rPr>
          <w:sz w:val="21"/>
        </w:rPr>
        <w:t>with</w:t>
      </w:r>
      <w:r>
        <w:rPr>
          <w:spacing w:val="-2"/>
          <w:sz w:val="21"/>
        </w:rPr>
        <w:t xml:space="preserve"> </w:t>
      </w:r>
      <w:proofErr w:type="spellStart"/>
      <w:r>
        <w:rPr>
          <w:sz w:val="21"/>
        </w:rPr>
        <w:t>Healthdirect’s</w:t>
      </w:r>
      <w:proofErr w:type="spellEnd"/>
      <w:r>
        <w:rPr>
          <w:spacing w:val="-3"/>
          <w:sz w:val="21"/>
        </w:rPr>
        <w:t xml:space="preserve"> </w:t>
      </w:r>
      <w:r>
        <w:rPr>
          <w:i/>
          <w:sz w:val="21"/>
        </w:rPr>
        <w:t>Clinical</w:t>
      </w:r>
      <w:r>
        <w:rPr>
          <w:i/>
          <w:spacing w:val="-2"/>
          <w:sz w:val="21"/>
        </w:rPr>
        <w:t xml:space="preserve"> </w:t>
      </w:r>
      <w:r>
        <w:rPr>
          <w:i/>
          <w:sz w:val="21"/>
        </w:rPr>
        <w:t>Governance</w:t>
      </w:r>
      <w:r>
        <w:rPr>
          <w:i/>
          <w:spacing w:val="-2"/>
          <w:sz w:val="21"/>
        </w:rPr>
        <w:t xml:space="preserve"> </w:t>
      </w:r>
      <w:r>
        <w:rPr>
          <w:i/>
          <w:sz w:val="21"/>
        </w:rPr>
        <w:t>and</w:t>
      </w:r>
      <w:r>
        <w:rPr>
          <w:i/>
          <w:spacing w:val="-2"/>
          <w:sz w:val="21"/>
        </w:rPr>
        <w:t xml:space="preserve"> </w:t>
      </w:r>
      <w:r>
        <w:rPr>
          <w:i/>
          <w:sz w:val="21"/>
        </w:rPr>
        <w:t>Quality</w:t>
      </w:r>
      <w:r>
        <w:rPr>
          <w:i/>
          <w:spacing w:val="-2"/>
          <w:sz w:val="21"/>
        </w:rPr>
        <w:t xml:space="preserve"> </w:t>
      </w:r>
      <w:r>
        <w:rPr>
          <w:i/>
          <w:sz w:val="21"/>
        </w:rPr>
        <w:t xml:space="preserve">Framework </w:t>
      </w:r>
      <w:r>
        <w:rPr>
          <w:sz w:val="21"/>
        </w:rPr>
        <w:t xml:space="preserve">aligned to the Commission’s </w:t>
      </w:r>
      <w:r>
        <w:rPr>
          <w:i/>
          <w:sz w:val="21"/>
        </w:rPr>
        <w:t>National Model for Clinical Governance</w:t>
      </w:r>
      <w:r>
        <w:rPr>
          <w:sz w:val="21"/>
        </w:rPr>
        <w:t>.</w:t>
      </w:r>
    </w:p>
    <w:p w14:paraId="476E4E7D" w14:textId="77777777" w:rsidR="009D54AF" w:rsidRDefault="00000000">
      <w:pPr>
        <w:pStyle w:val="BodyText"/>
        <w:spacing w:before="141" w:line="278" w:lineRule="auto"/>
        <w:ind w:left="142" w:right="285"/>
      </w:pPr>
      <w:r>
        <w:t xml:space="preserve">In 2025–26, </w:t>
      </w:r>
      <w:proofErr w:type="spellStart"/>
      <w:r>
        <w:t>Healthdirect</w:t>
      </w:r>
      <w:proofErr w:type="spellEnd"/>
      <w:r>
        <w:t xml:space="preserve"> supported the Commission’s virtual care priorities by exploring how the new </w:t>
      </w:r>
      <w:r>
        <w:rPr>
          <w:i/>
        </w:rPr>
        <w:t>National</w:t>
      </w:r>
      <w:r>
        <w:rPr>
          <w:i/>
          <w:spacing w:val="-1"/>
        </w:rPr>
        <w:t xml:space="preserve"> </w:t>
      </w:r>
      <w:r>
        <w:rPr>
          <w:i/>
        </w:rPr>
        <w:t>Model</w:t>
      </w:r>
      <w:r>
        <w:rPr>
          <w:i/>
          <w:spacing w:val="-1"/>
        </w:rPr>
        <w:t xml:space="preserve"> </w:t>
      </w:r>
      <w:r>
        <w:rPr>
          <w:i/>
        </w:rPr>
        <w:t>for</w:t>
      </w:r>
      <w:r>
        <w:rPr>
          <w:i/>
          <w:spacing w:val="-1"/>
        </w:rPr>
        <w:t xml:space="preserve"> </w:t>
      </w:r>
      <w:r>
        <w:rPr>
          <w:i/>
        </w:rPr>
        <w:t>Clinical</w:t>
      </w:r>
      <w:r>
        <w:rPr>
          <w:i/>
          <w:spacing w:val="-1"/>
        </w:rPr>
        <w:t xml:space="preserve"> </w:t>
      </w:r>
      <w:r>
        <w:rPr>
          <w:i/>
        </w:rPr>
        <w:t>Governance</w:t>
      </w:r>
      <w:r>
        <w:rPr>
          <w:i/>
          <w:spacing w:val="-1"/>
        </w:rPr>
        <w:t xml:space="preserve"> </w:t>
      </w:r>
      <w:r>
        <w:t>and</w:t>
      </w:r>
      <w:r>
        <w:rPr>
          <w:spacing w:val="-1"/>
        </w:rPr>
        <w:t xml:space="preserve"> </w:t>
      </w:r>
      <w:r>
        <w:t>the</w:t>
      </w:r>
      <w:r>
        <w:rPr>
          <w:spacing w:val="-1"/>
        </w:rPr>
        <w:t xml:space="preserve"> </w:t>
      </w:r>
      <w:r>
        <w:t>draft</w:t>
      </w:r>
      <w:r>
        <w:rPr>
          <w:spacing w:val="-1"/>
        </w:rPr>
        <w:t xml:space="preserve"> </w:t>
      </w:r>
      <w:r>
        <w:t>third</w:t>
      </w:r>
      <w:r>
        <w:rPr>
          <w:spacing w:val="-1"/>
        </w:rPr>
        <w:t xml:space="preserve"> </w:t>
      </w:r>
      <w:r>
        <w:t>edition</w:t>
      </w:r>
      <w:r>
        <w:rPr>
          <w:spacing w:val="-1"/>
        </w:rPr>
        <w:t xml:space="preserve"> </w:t>
      </w:r>
      <w:r>
        <w:t>of</w:t>
      </w:r>
      <w:r>
        <w:rPr>
          <w:spacing w:val="-1"/>
        </w:rPr>
        <w:t xml:space="preserve"> </w:t>
      </w:r>
      <w:r>
        <w:t>the</w:t>
      </w:r>
      <w:r>
        <w:rPr>
          <w:spacing w:val="-1"/>
        </w:rPr>
        <w:t xml:space="preserve"> </w:t>
      </w:r>
      <w:r>
        <w:t>NSQHS</w:t>
      </w:r>
      <w:r>
        <w:rPr>
          <w:spacing w:val="-1"/>
        </w:rPr>
        <w:t xml:space="preserve"> </w:t>
      </w:r>
      <w:r>
        <w:t>Standards</w:t>
      </w:r>
      <w:r>
        <w:rPr>
          <w:spacing w:val="-1"/>
        </w:rPr>
        <w:t xml:space="preserve"> </w:t>
      </w:r>
      <w:r>
        <w:t>could</w:t>
      </w:r>
      <w:r>
        <w:rPr>
          <w:spacing w:val="-1"/>
        </w:rPr>
        <w:t xml:space="preserve"> </w:t>
      </w:r>
      <w:r>
        <w:t>apply</w:t>
      </w:r>
      <w:r>
        <w:rPr>
          <w:spacing w:val="-1"/>
        </w:rPr>
        <w:t xml:space="preserve"> </w:t>
      </w:r>
      <w:r>
        <w:t>to virtual care services.</w:t>
      </w:r>
    </w:p>
    <w:p w14:paraId="6DC5DF2F" w14:textId="77777777" w:rsidR="009D54AF" w:rsidRDefault="009D54AF">
      <w:pPr>
        <w:pStyle w:val="BodyText"/>
        <w:spacing w:before="65"/>
      </w:pPr>
    </w:p>
    <w:p w14:paraId="5B0FFCBE" w14:textId="77777777" w:rsidR="009D54AF" w:rsidRDefault="00000000">
      <w:pPr>
        <w:pStyle w:val="Heading5"/>
      </w:pPr>
      <w:r>
        <w:t>Australian</w:t>
      </w:r>
      <w:r>
        <w:rPr>
          <w:spacing w:val="-8"/>
        </w:rPr>
        <w:t xml:space="preserve"> </w:t>
      </w:r>
      <w:r>
        <w:t>Health</w:t>
      </w:r>
      <w:r>
        <w:rPr>
          <w:spacing w:val="-5"/>
        </w:rPr>
        <w:t xml:space="preserve"> </w:t>
      </w:r>
      <w:r>
        <w:t>Practitioner</w:t>
      </w:r>
      <w:r>
        <w:rPr>
          <w:spacing w:val="-6"/>
        </w:rPr>
        <w:t xml:space="preserve"> </w:t>
      </w:r>
      <w:r>
        <w:t>Regulation</w:t>
      </w:r>
      <w:r>
        <w:rPr>
          <w:spacing w:val="-5"/>
        </w:rPr>
        <w:t xml:space="preserve"> </w:t>
      </w:r>
      <w:r>
        <w:rPr>
          <w:spacing w:val="-2"/>
        </w:rPr>
        <w:t>Agency</w:t>
      </w:r>
    </w:p>
    <w:p w14:paraId="6D994313" w14:textId="77777777" w:rsidR="009D54AF" w:rsidRDefault="00000000">
      <w:pPr>
        <w:pStyle w:val="BodyText"/>
        <w:spacing w:before="66" w:line="278" w:lineRule="auto"/>
        <w:ind w:left="142" w:right="285"/>
      </w:pPr>
      <w:r>
        <w:t>In May 2026, the Commission worked in partnership with the Australian Health Practitioner Regulation Agency</w:t>
      </w:r>
      <w:r>
        <w:rPr>
          <w:spacing w:val="-2"/>
        </w:rPr>
        <w:t xml:space="preserve"> </w:t>
      </w:r>
      <w:r>
        <w:t>(</w:t>
      </w:r>
      <w:proofErr w:type="spellStart"/>
      <w:r>
        <w:t>Ahpra</w:t>
      </w:r>
      <w:proofErr w:type="spellEnd"/>
      <w:r>
        <w:t>)</w:t>
      </w:r>
      <w:r>
        <w:rPr>
          <w:spacing w:val="-2"/>
        </w:rPr>
        <w:t xml:space="preserve"> </w:t>
      </w:r>
      <w:r>
        <w:t>to</w:t>
      </w:r>
      <w:r>
        <w:rPr>
          <w:spacing w:val="-2"/>
        </w:rPr>
        <w:t xml:space="preserve"> </w:t>
      </w:r>
      <w:r>
        <w:t>publish</w:t>
      </w:r>
      <w:r>
        <w:rPr>
          <w:spacing w:val="-2"/>
        </w:rPr>
        <w:t xml:space="preserve"> </w:t>
      </w:r>
      <w:r>
        <w:t>updated</w:t>
      </w:r>
      <w:r>
        <w:rPr>
          <w:spacing w:val="-3"/>
        </w:rPr>
        <w:t xml:space="preserve"> </w:t>
      </w:r>
      <w:hyperlink r:id="rId18">
        <w:r>
          <w:rPr>
            <w:u w:val="single"/>
          </w:rPr>
          <w:t>guidance</w:t>
        </w:r>
      </w:hyperlink>
      <w:r>
        <w:rPr>
          <w:spacing w:val="-3"/>
        </w:rPr>
        <w:t xml:space="preserve"> </w:t>
      </w:r>
      <w:r>
        <w:t>to</w:t>
      </w:r>
      <w:r>
        <w:rPr>
          <w:spacing w:val="-2"/>
        </w:rPr>
        <w:t xml:space="preserve"> </w:t>
      </w:r>
      <w:r>
        <w:t>strengthen</w:t>
      </w:r>
      <w:r>
        <w:rPr>
          <w:spacing w:val="-2"/>
        </w:rPr>
        <w:t xml:space="preserve"> </w:t>
      </w:r>
      <w:r>
        <w:t>the</w:t>
      </w:r>
      <w:r>
        <w:rPr>
          <w:spacing w:val="-2"/>
        </w:rPr>
        <w:t xml:space="preserve"> </w:t>
      </w:r>
      <w:r>
        <w:t>processes</w:t>
      </w:r>
      <w:r>
        <w:rPr>
          <w:spacing w:val="-2"/>
        </w:rPr>
        <w:t xml:space="preserve"> </w:t>
      </w:r>
      <w:r>
        <w:t>for</w:t>
      </w:r>
      <w:r>
        <w:rPr>
          <w:spacing w:val="-2"/>
        </w:rPr>
        <w:t xml:space="preserve"> </w:t>
      </w:r>
      <w:r>
        <w:t>credentialing,</w:t>
      </w:r>
      <w:r>
        <w:rPr>
          <w:spacing w:val="-2"/>
        </w:rPr>
        <w:t xml:space="preserve"> </w:t>
      </w:r>
      <w:r>
        <w:t>re-credentialing and defining facility-specific scope of clinical practice for public and private health services and clinicians. The guidance was developed in consultation with states, territories, the private health sector, colleges and specialty societies.</w:t>
      </w:r>
    </w:p>
    <w:p w14:paraId="2BAF156F" w14:textId="77777777" w:rsidR="009D54AF" w:rsidRDefault="00000000">
      <w:pPr>
        <w:pStyle w:val="BodyText"/>
        <w:spacing w:before="141" w:line="278" w:lineRule="auto"/>
        <w:ind w:left="142"/>
      </w:pPr>
      <w:r>
        <w:t>The</w:t>
      </w:r>
      <w:r>
        <w:rPr>
          <w:spacing w:val="-2"/>
        </w:rPr>
        <w:t xml:space="preserve"> </w:t>
      </w:r>
      <w:r>
        <w:t>updated</w:t>
      </w:r>
      <w:r>
        <w:rPr>
          <w:spacing w:val="-2"/>
        </w:rPr>
        <w:t xml:space="preserve"> </w:t>
      </w:r>
      <w:r>
        <w:t>guidance</w:t>
      </w:r>
      <w:r>
        <w:rPr>
          <w:spacing w:val="-2"/>
        </w:rPr>
        <w:t xml:space="preserve"> </w:t>
      </w:r>
      <w:r>
        <w:t>reflects</w:t>
      </w:r>
      <w:r>
        <w:rPr>
          <w:spacing w:val="-2"/>
        </w:rPr>
        <w:t xml:space="preserve"> </w:t>
      </w:r>
      <w:r>
        <w:t>improved</w:t>
      </w:r>
      <w:r>
        <w:rPr>
          <w:spacing w:val="-2"/>
        </w:rPr>
        <w:t xml:space="preserve"> </w:t>
      </w:r>
      <w:r>
        <w:t>requirements</w:t>
      </w:r>
      <w:r>
        <w:rPr>
          <w:spacing w:val="-2"/>
        </w:rPr>
        <w:t xml:space="preserve"> </w:t>
      </w:r>
      <w:r>
        <w:t>and</w:t>
      </w:r>
      <w:r>
        <w:rPr>
          <w:spacing w:val="-2"/>
        </w:rPr>
        <w:t xml:space="preserve"> </w:t>
      </w:r>
      <w:r>
        <w:t>processes</w:t>
      </w:r>
      <w:r>
        <w:rPr>
          <w:spacing w:val="-2"/>
        </w:rPr>
        <w:t xml:space="preserve"> </w:t>
      </w:r>
      <w:r>
        <w:t>developed</w:t>
      </w:r>
      <w:r>
        <w:rPr>
          <w:spacing w:val="-2"/>
        </w:rPr>
        <w:t xml:space="preserve"> </w:t>
      </w:r>
      <w:r>
        <w:t>by</w:t>
      </w:r>
      <w:r>
        <w:rPr>
          <w:spacing w:val="-2"/>
        </w:rPr>
        <w:t xml:space="preserve"> </w:t>
      </w:r>
      <w:proofErr w:type="spellStart"/>
      <w:r>
        <w:t>Ahpra</w:t>
      </w:r>
      <w:proofErr w:type="spellEnd"/>
      <w:r>
        <w:rPr>
          <w:spacing w:val="-2"/>
        </w:rPr>
        <w:t xml:space="preserve"> </w:t>
      </w:r>
      <w:r>
        <w:t>and</w:t>
      </w:r>
      <w:r>
        <w:rPr>
          <w:spacing w:val="-2"/>
        </w:rPr>
        <w:t xml:space="preserve"> </w:t>
      </w:r>
      <w:r>
        <w:t>the</w:t>
      </w:r>
      <w:r>
        <w:rPr>
          <w:spacing w:val="-2"/>
        </w:rPr>
        <w:t xml:space="preserve"> </w:t>
      </w:r>
      <w:r>
        <w:t>national boards regarding accreditation programs for health practitioner training, supervised practice for medical practitioners, continuing professional development and performance, and standards for scope of practice.</w:t>
      </w:r>
    </w:p>
    <w:p w14:paraId="76D5FB98" w14:textId="77777777" w:rsidR="009D54AF" w:rsidRDefault="009D54AF">
      <w:pPr>
        <w:pStyle w:val="BodyText"/>
        <w:spacing w:before="65"/>
      </w:pPr>
    </w:p>
    <w:p w14:paraId="0A21DFDF" w14:textId="77777777" w:rsidR="009D54AF" w:rsidRDefault="00000000">
      <w:pPr>
        <w:pStyle w:val="Heading5"/>
      </w:pPr>
      <w:r>
        <w:t>Digitally</w:t>
      </w:r>
      <w:r>
        <w:rPr>
          <w:spacing w:val="-4"/>
        </w:rPr>
        <w:t xml:space="preserve"> </w:t>
      </w:r>
      <w:r>
        <w:t>Enabled</w:t>
      </w:r>
      <w:r>
        <w:rPr>
          <w:spacing w:val="-2"/>
        </w:rPr>
        <w:t xml:space="preserve"> </w:t>
      </w:r>
      <w:r>
        <w:t>Care</w:t>
      </w:r>
      <w:r>
        <w:rPr>
          <w:spacing w:val="-2"/>
        </w:rPr>
        <w:t xml:space="preserve"> </w:t>
      </w:r>
      <w:r>
        <w:t>Advisory</w:t>
      </w:r>
      <w:r>
        <w:rPr>
          <w:spacing w:val="-2"/>
        </w:rPr>
        <w:t xml:space="preserve"> Committee</w:t>
      </w:r>
    </w:p>
    <w:p w14:paraId="509625FC" w14:textId="77777777" w:rsidR="009D54AF" w:rsidRDefault="00000000">
      <w:pPr>
        <w:pStyle w:val="BodyText"/>
        <w:spacing w:before="133" w:line="278" w:lineRule="auto"/>
        <w:ind w:left="142" w:right="145"/>
      </w:pPr>
      <w:r>
        <w:t>The Digitally Enabled Care Advisory Committee (DECAC) provides strategic advice to support the Commission’s work on digitally enabled care. The committee plays a key role in strengthening the safety, quality</w:t>
      </w:r>
      <w:r>
        <w:rPr>
          <w:spacing w:val="-4"/>
        </w:rPr>
        <w:t xml:space="preserve"> </w:t>
      </w:r>
      <w:r>
        <w:t>and</w:t>
      </w:r>
      <w:r>
        <w:rPr>
          <w:spacing w:val="-4"/>
        </w:rPr>
        <w:t xml:space="preserve"> </w:t>
      </w:r>
      <w:r>
        <w:t>equity</w:t>
      </w:r>
      <w:r>
        <w:rPr>
          <w:spacing w:val="-4"/>
        </w:rPr>
        <w:t xml:space="preserve"> </w:t>
      </w:r>
      <w:r>
        <w:t>of</w:t>
      </w:r>
      <w:r>
        <w:rPr>
          <w:spacing w:val="-4"/>
        </w:rPr>
        <w:t xml:space="preserve"> </w:t>
      </w:r>
      <w:r>
        <w:t>digitally</w:t>
      </w:r>
      <w:r>
        <w:rPr>
          <w:spacing w:val="-4"/>
        </w:rPr>
        <w:t xml:space="preserve"> </w:t>
      </w:r>
      <w:r>
        <w:t>enabled</w:t>
      </w:r>
      <w:r>
        <w:rPr>
          <w:spacing w:val="-4"/>
        </w:rPr>
        <w:t xml:space="preserve"> </w:t>
      </w:r>
      <w:r>
        <w:t>care</w:t>
      </w:r>
      <w:r>
        <w:rPr>
          <w:spacing w:val="-4"/>
        </w:rPr>
        <w:t xml:space="preserve"> </w:t>
      </w:r>
      <w:r>
        <w:t>across</w:t>
      </w:r>
      <w:r>
        <w:rPr>
          <w:spacing w:val="-4"/>
        </w:rPr>
        <w:t xml:space="preserve"> </w:t>
      </w:r>
      <w:r>
        <w:t>Australia’s</w:t>
      </w:r>
      <w:r>
        <w:rPr>
          <w:spacing w:val="-4"/>
        </w:rPr>
        <w:t xml:space="preserve"> </w:t>
      </w:r>
      <w:r>
        <w:t>health</w:t>
      </w:r>
      <w:r>
        <w:rPr>
          <w:spacing w:val="-4"/>
        </w:rPr>
        <w:t xml:space="preserve"> </w:t>
      </w:r>
      <w:r>
        <w:t>system,</w:t>
      </w:r>
      <w:r>
        <w:rPr>
          <w:spacing w:val="-4"/>
        </w:rPr>
        <w:t xml:space="preserve"> </w:t>
      </w:r>
      <w:r>
        <w:t>in</w:t>
      </w:r>
      <w:r>
        <w:rPr>
          <w:spacing w:val="-4"/>
        </w:rPr>
        <w:t xml:space="preserve"> </w:t>
      </w:r>
      <w:r>
        <w:t>alignment</w:t>
      </w:r>
      <w:r>
        <w:rPr>
          <w:spacing w:val="-4"/>
        </w:rPr>
        <w:t xml:space="preserve"> </w:t>
      </w:r>
      <w:r>
        <w:t>with</w:t>
      </w:r>
      <w:r>
        <w:rPr>
          <w:spacing w:val="-4"/>
        </w:rPr>
        <w:t xml:space="preserve"> </w:t>
      </w:r>
      <w:r>
        <w:t>Commonwealth, state and territory digital health strategies.</w:t>
      </w:r>
    </w:p>
    <w:p w14:paraId="2B3C0253" w14:textId="77777777" w:rsidR="009D54AF" w:rsidRDefault="00000000">
      <w:pPr>
        <w:pStyle w:val="BodyText"/>
        <w:spacing w:before="141" w:line="278" w:lineRule="auto"/>
        <w:ind w:left="142"/>
      </w:pPr>
      <w:r>
        <w:t>In</w:t>
      </w:r>
      <w:r>
        <w:rPr>
          <w:spacing w:val="-3"/>
        </w:rPr>
        <w:t xml:space="preserve"> </w:t>
      </w:r>
      <w:r>
        <w:t>2025–26,</w:t>
      </w:r>
      <w:r>
        <w:rPr>
          <w:spacing w:val="-3"/>
        </w:rPr>
        <w:t xml:space="preserve"> </w:t>
      </w:r>
      <w:r>
        <w:t>DECAC</w:t>
      </w:r>
      <w:r>
        <w:rPr>
          <w:spacing w:val="-3"/>
        </w:rPr>
        <w:t xml:space="preserve"> </w:t>
      </w:r>
      <w:r>
        <w:t>members</w:t>
      </w:r>
      <w:r>
        <w:rPr>
          <w:spacing w:val="-3"/>
        </w:rPr>
        <w:t xml:space="preserve"> </w:t>
      </w:r>
      <w:r>
        <w:t>were</w:t>
      </w:r>
      <w:r>
        <w:rPr>
          <w:spacing w:val="-3"/>
        </w:rPr>
        <w:t xml:space="preserve"> </w:t>
      </w:r>
      <w:r>
        <w:t>instrumental</w:t>
      </w:r>
      <w:r>
        <w:rPr>
          <w:spacing w:val="-3"/>
        </w:rPr>
        <w:t xml:space="preserve"> </w:t>
      </w:r>
      <w:r>
        <w:t>in</w:t>
      </w:r>
      <w:r>
        <w:rPr>
          <w:spacing w:val="-3"/>
        </w:rPr>
        <w:t xml:space="preserve"> </w:t>
      </w:r>
      <w:r>
        <w:t>shaping</w:t>
      </w:r>
      <w:r>
        <w:rPr>
          <w:spacing w:val="-3"/>
        </w:rPr>
        <w:t xml:space="preserve"> </w:t>
      </w:r>
      <w:r>
        <w:t>the</w:t>
      </w:r>
      <w:r>
        <w:rPr>
          <w:spacing w:val="-3"/>
        </w:rPr>
        <w:t xml:space="preserve"> </w:t>
      </w:r>
      <w:r>
        <w:t>Commission’s</w:t>
      </w:r>
      <w:r>
        <w:rPr>
          <w:spacing w:val="-3"/>
        </w:rPr>
        <w:t xml:space="preserve"> </w:t>
      </w:r>
      <w:r>
        <w:t>digitally</w:t>
      </w:r>
      <w:r>
        <w:rPr>
          <w:spacing w:val="-3"/>
        </w:rPr>
        <w:t xml:space="preserve"> </w:t>
      </w:r>
      <w:r>
        <w:t>enabled</w:t>
      </w:r>
      <w:r>
        <w:rPr>
          <w:spacing w:val="-3"/>
        </w:rPr>
        <w:t xml:space="preserve"> </w:t>
      </w:r>
      <w:r>
        <w:t>care</w:t>
      </w:r>
      <w:r>
        <w:rPr>
          <w:spacing w:val="-3"/>
        </w:rPr>
        <w:t xml:space="preserve"> </w:t>
      </w:r>
      <w:r>
        <w:t>agenda. This included guiding the approach to embedding digitally enabled care in the third edition of the NSQHS Standards, contributing to workplan priorities, and supporting the development of key resources.</w:t>
      </w:r>
    </w:p>
    <w:p w14:paraId="3831F275" w14:textId="77777777" w:rsidR="009D54AF" w:rsidRDefault="00000000">
      <w:pPr>
        <w:pStyle w:val="BodyText"/>
        <w:spacing w:before="142" w:line="278" w:lineRule="auto"/>
        <w:ind w:left="142" w:right="285"/>
      </w:pPr>
      <w:r>
        <w:t>DECAC membership includes senior clinical, consumer and digital health leaders from state and territory health</w:t>
      </w:r>
      <w:r>
        <w:rPr>
          <w:spacing w:val="-1"/>
        </w:rPr>
        <w:t xml:space="preserve"> </w:t>
      </w:r>
      <w:r>
        <w:t>departments,</w:t>
      </w:r>
      <w:r>
        <w:rPr>
          <w:spacing w:val="-1"/>
        </w:rPr>
        <w:t xml:space="preserve"> </w:t>
      </w:r>
      <w:r>
        <w:t>professional</w:t>
      </w:r>
      <w:r>
        <w:rPr>
          <w:spacing w:val="-1"/>
        </w:rPr>
        <w:t xml:space="preserve"> </w:t>
      </w:r>
      <w:r>
        <w:t>colleges,</w:t>
      </w:r>
      <w:r>
        <w:rPr>
          <w:spacing w:val="-1"/>
        </w:rPr>
        <w:t xml:space="preserve"> </w:t>
      </w:r>
      <w:r>
        <w:t>the</w:t>
      </w:r>
      <w:r>
        <w:rPr>
          <w:spacing w:val="-1"/>
        </w:rPr>
        <w:t xml:space="preserve"> </w:t>
      </w:r>
      <w:r>
        <w:t>private</w:t>
      </w:r>
      <w:r>
        <w:rPr>
          <w:spacing w:val="-1"/>
        </w:rPr>
        <w:t xml:space="preserve"> </w:t>
      </w:r>
      <w:r>
        <w:t>hospital</w:t>
      </w:r>
      <w:r>
        <w:rPr>
          <w:spacing w:val="-1"/>
        </w:rPr>
        <w:t xml:space="preserve"> </w:t>
      </w:r>
      <w:r>
        <w:t>sector,</w:t>
      </w:r>
      <w:r>
        <w:rPr>
          <w:spacing w:val="-1"/>
        </w:rPr>
        <w:t xml:space="preserve"> </w:t>
      </w:r>
      <w:r>
        <w:t>the</w:t>
      </w:r>
      <w:r>
        <w:rPr>
          <w:spacing w:val="-1"/>
        </w:rPr>
        <w:t xml:space="preserve"> </w:t>
      </w:r>
      <w:r>
        <w:t>Department</w:t>
      </w:r>
      <w:r>
        <w:rPr>
          <w:spacing w:val="-1"/>
        </w:rPr>
        <w:t xml:space="preserve"> </w:t>
      </w:r>
      <w:r>
        <w:t>of</w:t>
      </w:r>
      <w:r>
        <w:rPr>
          <w:spacing w:val="-1"/>
        </w:rPr>
        <w:t xml:space="preserve"> </w:t>
      </w:r>
      <w:r>
        <w:t>Health,</w:t>
      </w:r>
      <w:r>
        <w:rPr>
          <w:spacing w:val="-1"/>
        </w:rPr>
        <w:t xml:space="preserve"> </w:t>
      </w:r>
      <w:r>
        <w:t>Disability and Ageing, and ADHA.</w:t>
      </w:r>
    </w:p>
    <w:p w14:paraId="6F2F5734" w14:textId="77777777" w:rsidR="009D54AF" w:rsidRDefault="009D54AF">
      <w:pPr>
        <w:pStyle w:val="BodyText"/>
        <w:spacing w:before="65"/>
      </w:pPr>
    </w:p>
    <w:p w14:paraId="06316AE4" w14:textId="77777777" w:rsidR="009D54AF" w:rsidRDefault="00000000">
      <w:pPr>
        <w:pStyle w:val="Heading5"/>
      </w:pPr>
      <w:r>
        <w:t>National</w:t>
      </w:r>
      <w:r>
        <w:rPr>
          <w:spacing w:val="-6"/>
        </w:rPr>
        <w:t xml:space="preserve"> </w:t>
      </w:r>
      <w:r>
        <w:t>Aboriginal</w:t>
      </w:r>
      <w:r>
        <w:rPr>
          <w:spacing w:val="-3"/>
        </w:rPr>
        <w:t xml:space="preserve"> </w:t>
      </w:r>
      <w:r>
        <w:t>Community</w:t>
      </w:r>
      <w:r>
        <w:rPr>
          <w:spacing w:val="-3"/>
        </w:rPr>
        <w:t xml:space="preserve"> </w:t>
      </w:r>
      <w:r>
        <w:t>Controlled</w:t>
      </w:r>
      <w:r>
        <w:rPr>
          <w:spacing w:val="-3"/>
        </w:rPr>
        <w:t xml:space="preserve"> </w:t>
      </w:r>
      <w:r>
        <w:t>Health</w:t>
      </w:r>
      <w:r>
        <w:rPr>
          <w:spacing w:val="-3"/>
        </w:rPr>
        <w:t xml:space="preserve"> </w:t>
      </w:r>
      <w:proofErr w:type="spellStart"/>
      <w:r>
        <w:rPr>
          <w:spacing w:val="-2"/>
        </w:rPr>
        <w:t>Organisation</w:t>
      </w:r>
      <w:proofErr w:type="spellEnd"/>
    </w:p>
    <w:p w14:paraId="30DE7031" w14:textId="77777777" w:rsidR="009D54AF" w:rsidRDefault="00000000">
      <w:pPr>
        <w:pStyle w:val="BodyText"/>
        <w:spacing w:before="133" w:line="278" w:lineRule="auto"/>
        <w:ind w:left="142"/>
      </w:pPr>
      <w:r>
        <w:t>In 2025–26, the Commission continued working closely with the National Aboriginal Community Controlled Health</w:t>
      </w:r>
      <w:r>
        <w:rPr>
          <w:spacing w:val="-2"/>
        </w:rPr>
        <w:t xml:space="preserve"> </w:t>
      </w:r>
      <w:proofErr w:type="spellStart"/>
      <w:r>
        <w:t>Organisation</w:t>
      </w:r>
      <w:proofErr w:type="spellEnd"/>
      <w:r>
        <w:rPr>
          <w:spacing w:val="-2"/>
        </w:rPr>
        <w:t xml:space="preserve"> </w:t>
      </w:r>
      <w:r>
        <w:t>(NACCHO),</w:t>
      </w:r>
      <w:r>
        <w:rPr>
          <w:spacing w:val="-2"/>
        </w:rPr>
        <w:t xml:space="preserve"> </w:t>
      </w:r>
      <w:r>
        <w:t>sharing</w:t>
      </w:r>
      <w:r>
        <w:rPr>
          <w:spacing w:val="-2"/>
        </w:rPr>
        <w:t xml:space="preserve"> </w:t>
      </w:r>
      <w:r>
        <w:t>information,</w:t>
      </w:r>
      <w:r>
        <w:rPr>
          <w:spacing w:val="-2"/>
        </w:rPr>
        <w:t xml:space="preserve"> </w:t>
      </w:r>
      <w:r>
        <w:t>collaborating</w:t>
      </w:r>
      <w:r>
        <w:rPr>
          <w:spacing w:val="-2"/>
        </w:rPr>
        <w:t xml:space="preserve"> </w:t>
      </w:r>
      <w:r>
        <w:t>on</w:t>
      </w:r>
      <w:r>
        <w:rPr>
          <w:spacing w:val="-2"/>
        </w:rPr>
        <w:t xml:space="preserve"> </w:t>
      </w:r>
      <w:r>
        <w:t>guidance,</w:t>
      </w:r>
      <w:r>
        <w:rPr>
          <w:spacing w:val="-2"/>
        </w:rPr>
        <w:t xml:space="preserve"> </w:t>
      </w:r>
      <w:r>
        <w:t>and</w:t>
      </w:r>
      <w:r>
        <w:rPr>
          <w:spacing w:val="-2"/>
        </w:rPr>
        <w:t xml:space="preserve"> </w:t>
      </w:r>
      <w:r>
        <w:t>connecting</w:t>
      </w:r>
      <w:r>
        <w:rPr>
          <w:spacing w:val="-2"/>
        </w:rPr>
        <w:t xml:space="preserve"> </w:t>
      </w:r>
      <w:r>
        <w:t>policies</w:t>
      </w:r>
      <w:r>
        <w:rPr>
          <w:spacing w:val="-2"/>
        </w:rPr>
        <w:t xml:space="preserve"> </w:t>
      </w:r>
      <w:r>
        <w:t>and systems with the aim of improving health outcomes for First Nations people.</w:t>
      </w:r>
    </w:p>
    <w:p w14:paraId="6082C697" w14:textId="77777777" w:rsidR="009D54AF" w:rsidRDefault="00000000">
      <w:pPr>
        <w:pStyle w:val="BodyText"/>
        <w:spacing w:before="142" w:line="278" w:lineRule="auto"/>
        <w:ind w:left="142" w:right="285"/>
      </w:pPr>
      <w:r>
        <w:t>The Commission and NACCHO worked together under an MoU on projects to improve quality use of medicines,</w:t>
      </w:r>
      <w:r>
        <w:rPr>
          <w:spacing w:val="-2"/>
        </w:rPr>
        <w:t xml:space="preserve"> </w:t>
      </w:r>
      <w:r>
        <w:t>collaborated</w:t>
      </w:r>
      <w:r>
        <w:rPr>
          <w:spacing w:val="-2"/>
        </w:rPr>
        <w:t xml:space="preserve"> </w:t>
      </w:r>
      <w:r>
        <w:t>at</w:t>
      </w:r>
      <w:r>
        <w:rPr>
          <w:spacing w:val="-2"/>
        </w:rPr>
        <w:t xml:space="preserve"> </w:t>
      </w:r>
      <w:r>
        <w:t>the</w:t>
      </w:r>
      <w:r>
        <w:rPr>
          <w:spacing w:val="-2"/>
        </w:rPr>
        <w:t xml:space="preserve"> </w:t>
      </w:r>
      <w:r>
        <w:t>NACCHO</w:t>
      </w:r>
      <w:r>
        <w:rPr>
          <w:spacing w:val="-2"/>
        </w:rPr>
        <w:t xml:space="preserve"> </w:t>
      </w:r>
      <w:r>
        <w:t>conference</w:t>
      </w:r>
      <w:r>
        <w:rPr>
          <w:spacing w:val="-2"/>
        </w:rPr>
        <w:t xml:space="preserve"> </w:t>
      </w:r>
      <w:r>
        <w:t>and</w:t>
      </w:r>
      <w:r>
        <w:rPr>
          <w:spacing w:val="-2"/>
        </w:rPr>
        <w:t xml:space="preserve"> </w:t>
      </w:r>
      <w:r>
        <w:t>the</w:t>
      </w:r>
      <w:r>
        <w:rPr>
          <w:spacing w:val="-2"/>
        </w:rPr>
        <w:t xml:space="preserve"> </w:t>
      </w:r>
      <w:r>
        <w:t>National</w:t>
      </w:r>
      <w:r>
        <w:rPr>
          <w:spacing w:val="-2"/>
        </w:rPr>
        <w:t xml:space="preserve"> </w:t>
      </w:r>
      <w:r>
        <w:t>Medicines</w:t>
      </w:r>
      <w:r>
        <w:rPr>
          <w:spacing w:val="-2"/>
        </w:rPr>
        <w:t xml:space="preserve"> </w:t>
      </w:r>
      <w:r>
        <w:t>Symposium,</w:t>
      </w:r>
      <w:r>
        <w:rPr>
          <w:spacing w:val="-2"/>
        </w:rPr>
        <w:t xml:space="preserve"> </w:t>
      </w:r>
      <w:r>
        <w:t>and</w:t>
      </w:r>
      <w:r>
        <w:rPr>
          <w:spacing w:val="-2"/>
        </w:rPr>
        <w:t xml:space="preserve"> </w:t>
      </w:r>
      <w:r>
        <w:t>provided advice and guidance to shared committees.</w:t>
      </w:r>
    </w:p>
    <w:p w14:paraId="140970F1" w14:textId="1D3D80E0" w:rsidR="00E26787" w:rsidRDefault="00000000">
      <w:pPr>
        <w:pStyle w:val="BodyText"/>
        <w:spacing w:before="141"/>
        <w:ind w:left="142"/>
        <w:rPr>
          <w:spacing w:val="-5"/>
        </w:rPr>
      </w:pPr>
      <w:r>
        <w:t>NACCHO</w:t>
      </w:r>
      <w:r>
        <w:rPr>
          <w:spacing w:val="-1"/>
        </w:rPr>
        <w:t xml:space="preserve"> </w:t>
      </w:r>
      <w:r>
        <w:t>also provided</w:t>
      </w:r>
      <w:r>
        <w:rPr>
          <w:spacing w:val="-1"/>
        </w:rPr>
        <w:t xml:space="preserve"> </w:t>
      </w:r>
      <w:r>
        <w:t>support to the</w:t>
      </w:r>
      <w:r>
        <w:rPr>
          <w:spacing w:val="-1"/>
        </w:rPr>
        <w:t xml:space="preserve"> </w:t>
      </w:r>
      <w:r>
        <w:t>Commission’s First Nations</w:t>
      </w:r>
      <w:r>
        <w:rPr>
          <w:spacing w:val="-1"/>
        </w:rPr>
        <w:t xml:space="preserve"> </w:t>
      </w:r>
      <w:r>
        <w:t>staff in 2025–</w:t>
      </w:r>
      <w:r>
        <w:rPr>
          <w:spacing w:val="-5"/>
        </w:rPr>
        <w:t>26.</w:t>
      </w:r>
    </w:p>
    <w:p w14:paraId="5B85C00E" w14:textId="77777777" w:rsidR="00E26787" w:rsidRDefault="00E26787">
      <w:pPr>
        <w:rPr>
          <w:spacing w:val="-5"/>
          <w:sz w:val="21"/>
          <w:szCs w:val="21"/>
        </w:rPr>
      </w:pPr>
      <w:r>
        <w:rPr>
          <w:spacing w:val="-5"/>
        </w:rPr>
        <w:br w:type="page"/>
      </w:r>
    </w:p>
    <w:p w14:paraId="493E781C" w14:textId="77777777" w:rsidR="009D54AF" w:rsidRDefault="00000000">
      <w:pPr>
        <w:pStyle w:val="Heading1"/>
        <w:spacing w:before="162"/>
      </w:pPr>
      <w:bookmarkStart w:id="19" w:name="_International_engagement"/>
      <w:bookmarkStart w:id="20" w:name="_Toc243037271"/>
      <w:bookmarkEnd w:id="19"/>
      <w:r>
        <w:rPr>
          <w:spacing w:val="-2"/>
        </w:rPr>
        <w:lastRenderedPageBreak/>
        <w:t>International</w:t>
      </w:r>
      <w:r>
        <w:rPr>
          <w:spacing w:val="-7"/>
        </w:rPr>
        <w:t xml:space="preserve"> </w:t>
      </w:r>
      <w:r>
        <w:rPr>
          <w:spacing w:val="-2"/>
        </w:rPr>
        <w:t>engagement</w:t>
      </w:r>
      <w:bookmarkEnd w:id="20"/>
    </w:p>
    <w:p w14:paraId="7C92AA9A" w14:textId="77777777" w:rsidR="009D54AF" w:rsidRDefault="00000000">
      <w:pPr>
        <w:pStyle w:val="Heading9"/>
        <w:spacing w:line="268" w:lineRule="auto"/>
        <w:ind w:right="285"/>
      </w:pPr>
      <w:r>
        <w:t>In</w:t>
      </w:r>
      <w:r>
        <w:rPr>
          <w:spacing w:val="-10"/>
        </w:rPr>
        <w:t xml:space="preserve"> </w:t>
      </w:r>
      <w:r>
        <w:t>2025–26</w:t>
      </w:r>
      <w:r>
        <w:rPr>
          <w:spacing w:val="-10"/>
        </w:rPr>
        <w:t xml:space="preserve"> </w:t>
      </w:r>
      <w:r>
        <w:t>the</w:t>
      </w:r>
      <w:r>
        <w:rPr>
          <w:spacing w:val="-10"/>
        </w:rPr>
        <w:t xml:space="preserve"> </w:t>
      </w:r>
      <w:r>
        <w:t>Commission</w:t>
      </w:r>
      <w:r>
        <w:rPr>
          <w:spacing w:val="-10"/>
        </w:rPr>
        <w:t xml:space="preserve"> </w:t>
      </w:r>
      <w:r>
        <w:t>continued</w:t>
      </w:r>
      <w:r>
        <w:rPr>
          <w:spacing w:val="-10"/>
        </w:rPr>
        <w:t xml:space="preserve"> </w:t>
      </w:r>
      <w:r>
        <w:t>to</w:t>
      </w:r>
      <w:r>
        <w:rPr>
          <w:spacing w:val="-10"/>
        </w:rPr>
        <w:t xml:space="preserve"> </w:t>
      </w:r>
      <w:r>
        <w:t>represent</w:t>
      </w:r>
      <w:r>
        <w:rPr>
          <w:spacing w:val="-10"/>
        </w:rPr>
        <w:t xml:space="preserve"> </w:t>
      </w:r>
      <w:r>
        <w:t>Australia</w:t>
      </w:r>
      <w:r>
        <w:rPr>
          <w:spacing w:val="-10"/>
        </w:rPr>
        <w:t xml:space="preserve"> </w:t>
      </w:r>
      <w:r>
        <w:t>on</w:t>
      </w:r>
      <w:r>
        <w:rPr>
          <w:spacing w:val="-10"/>
        </w:rPr>
        <w:t xml:space="preserve"> </w:t>
      </w:r>
      <w:r>
        <w:t>the</w:t>
      </w:r>
      <w:r>
        <w:rPr>
          <w:spacing w:val="-10"/>
        </w:rPr>
        <w:t xml:space="preserve"> </w:t>
      </w:r>
      <w:r>
        <w:t>global</w:t>
      </w:r>
      <w:r>
        <w:rPr>
          <w:spacing w:val="-10"/>
        </w:rPr>
        <w:t xml:space="preserve"> </w:t>
      </w:r>
      <w:r>
        <w:t>stage,</w:t>
      </w:r>
      <w:r>
        <w:rPr>
          <w:spacing w:val="-10"/>
        </w:rPr>
        <w:t xml:space="preserve"> </w:t>
      </w:r>
      <w:r>
        <w:t>strengthening our leadership in healthcare safety and quality.</w:t>
      </w:r>
    </w:p>
    <w:p w14:paraId="3D7EF0C2" w14:textId="77777777" w:rsidR="009D54AF" w:rsidRDefault="00000000" w:rsidP="00E26787">
      <w:pPr>
        <w:pStyle w:val="BodyText"/>
        <w:spacing w:before="180"/>
        <w:ind w:left="142"/>
      </w:pPr>
      <w:r>
        <w:t>The</w:t>
      </w:r>
      <w:r>
        <w:rPr>
          <w:spacing w:val="-3"/>
        </w:rPr>
        <w:t xml:space="preserve"> </w:t>
      </w:r>
      <w:r>
        <w:t>Commission</w:t>
      </w:r>
      <w:r>
        <w:rPr>
          <w:spacing w:val="-2"/>
        </w:rPr>
        <w:t xml:space="preserve"> </w:t>
      </w:r>
      <w:r>
        <w:t>participated</w:t>
      </w:r>
      <w:r>
        <w:rPr>
          <w:spacing w:val="-2"/>
        </w:rPr>
        <w:t xml:space="preserve"> </w:t>
      </w:r>
      <w:r>
        <w:t>in</w:t>
      </w:r>
      <w:r>
        <w:rPr>
          <w:spacing w:val="-2"/>
        </w:rPr>
        <w:t xml:space="preserve"> </w:t>
      </w:r>
      <w:r>
        <w:t>several</w:t>
      </w:r>
      <w:r>
        <w:rPr>
          <w:spacing w:val="-3"/>
        </w:rPr>
        <w:t xml:space="preserve"> </w:t>
      </w:r>
      <w:r>
        <w:t>international</w:t>
      </w:r>
      <w:r>
        <w:rPr>
          <w:spacing w:val="-2"/>
        </w:rPr>
        <w:t xml:space="preserve"> </w:t>
      </w:r>
      <w:r>
        <w:t>forums,</w:t>
      </w:r>
      <w:r>
        <w:rPr>
          <w:spacing w:val="-2"/>
        </w:rPr>
        <w:t xml:space="preserve"> </w:t>
      </w:r>
      <w:r>
        <w:t>including</w:t>
      </w:r>
      <w:r>
        <w:rPr>
          <w:spacing w:val="-2"/>
        </w:rPr>
        <w:t xml:space="preserve"> </w:t>
      </w:r>
      <w:r>
        <w:rPr>
          <w:spacing w:val="-4"/>
        </w:rPr>
        <w:t>the:</w:t>
      </w:r>
    </w:p>
    <w:p w14:paraId="49E7193E" w14:textId="77777777" w:rsidR="009D54AF" w:rsidRDefault="00000000">
      <w:pPr>
        <w:pStyle w:val="ListParagraph"/>
        <w:numPr>
          <w:ilvl w:val="0"/>
          <w:numId w:val="36"/>
        </w:numPr>
        <w:tabs>
          <w:tab w:val="left" w:pos="424"/>
          <w:tab w:val="left" w:pos="440"/>
        </w:tabs>
        <w:spacing w:line="278" w:lineRule="auto"/>
        <w:ind w:right="222" w:hanging="284"/>
        <w:rPr>
          <w:sz w:val="21"/>
        </w:rPr>
      </w:pPr>
      <w:proofErr w:type="spellStart"/>
      <w:r>
        <w:rPr>
          <w:sz w:val="21"/>
        </w:rPr>
        <w:t>Organisation</w:t>
      </w:r>
      <w:proofErr w:type="spellEnd"/>
      <w:r>
        <w:rPr>
          <w:spacing w:val="-1"/>
          <w:sz w:val="21"/>
        </w:rPr>
        <w:t xml:space="preserve"> </w:t>
      </w:r>
      <w:r>
        <w:rPr>
          <w:sz w:val="21"/>
        </w:rPr>
        <w:t>for</w:t>
      </w:r>
      <w:r>
        <w:rPr>
          <w:spacing w:val="-1"/>
          <w:sz w:val="21"/>
        </w:rPr>
        <w:t xml:space="preserve"> </w:t>
      </w:r>
      <w:r>
        <w:rPr>
          <w:sz w:val="21"/>
        </w:rPr>
        <w:t>Economic</w:t>
      </w:r>
      <w:r>
        <w:rPr>
          <w:spacing w:val="-1"/>
          <w:sz w:val="21"/>
        </w:rPr>
        <w:t xml:space="preserve"> </w:t>
      </w:r>
      <w:r>
        <w:rPr>
          <w:sz w:val="21"/>
        </w:rPr>
        <w:t>Co-operation</w:t>
      </w:r>
      <w:r>
        <w:rPr>
          <w:spacing w:val="-1"/>
          <w:sz w:val="21"/>
        </w:rPr>
        <w:t xml:space="preserve"> </w:t>
      </w:r>
      <w:r>
        <w:rPr>
          <w:sz w:val="21"/>
        </w:rPr>
        <w:t>and</w:t>
      </w:r>
      <w:r>
        <w:rPr>
          <w:spacing w:val="-1"/>
          <w:sz w:val="21"/>
        </w:rPr>
        <w:t xml:space="preserve"> </w:t>
      </w:r>
      <w:r>
        <w:rPr>
          <w:sz w:val="21"/>
        </w:rPr>
        <w:t>Development</w:t>
      </w:r>
      <w:r>
        <w:rPr>
          <w:spacing w:val="-1"/>
          <w:sz w:val="21"/>
        </w:rPr>
        <w:t xml:space="preserve"> </w:t>
      </w:r>
      <w:r>
        <w:rPr>
          <w:sz w:val="21"/>
        </w:rPr>
        <w:t>(OECD)</w:t>
      </w:r>
      <w:r>
        <w:rPr>
          <w:spacing w:val="-1"/>
          <w:sz w:val="21"/>
        </w:rPr>
        <w:t xml:space="preserve"> </w:t>
      </w:r>
      <w:r>
        <w:rPr>
          <w:sz w:val="21"/>
        </w:rPr>
        <w:t>Working</w:t>
      </w:r>
      <w:r>
        <w:rPr>
          <w:spacing w:val="-1"/>
          <w:sz w:val="21"/>
        </w:rPr>
        <w:t xml:space="preserve"> </w:t>
      </w:r>
      <w:r>
        <w:rPr>
          <w:sz w:val="21"/>
        </w:rPr>
        <w:t>Party</w:t>
      </w:r>
      <w:r>
        <w:rPr>
          <w:spacing w:val="-1"/>
          <w:sz w:val="21"/>
        </w:rPr>
        <w:t xml:space="preserve"> </w:t>
      </w:r>
      <w:r>
        <w:rPr>
          <w:sz w:val="21"/>
        </w:rPr>
        <w:t>on</w:t>
      </w:r>
      <w:r>
        <w:rPr>
          <w:spacing w:val="-1"/>
          <w:sz w:val="21"/>
        </w:rPr>
        <w:t xml:space="preserve"> </w:t>
      </w:r>
      <w:r>
        <w:rPr>
          <w:sz w:val="21"/>
        </w:rPr>
        <w:t>Health</w:t>
      </w:r>
      <w:r>
        <w:rPr>
          <w:spacing w:val="-1"/>
          <w:sz w:val="21"/>
        </w:rPr>
        <w:t xml:space="preserve"> </w:t>
      </w:r>
      <w:r>
        <w:rPr>
          <w:sz w:val="21"/>
        </w:rPr>
        <w:t>Care</w:t>
      </w:r>
      <w:r>
        <w:rPr>
          <w:spacing w:val="-1"/>
          <w:sz w:val="21"/>
        </w:rPr>
        <w:t xml:space="preserve"> </w:t>
      </w:r>
      <w:r>
        <w:rPr>
          <w:sz w:val="21"/>
        </w:rPr>
        <w:t xml:space="preserve">Quality </w:t>
      </w:r>
      <w:r>
        <w:rPr>
          <w:spacing w:val="-2"/>
          <w:sz w:val="21"/>
        </w:rPr>
        <w:t>Outcomes</w:t>
      </w:r>
    </w:p>
    <w:p w14:paraId="41C04666" w14:textId="77777777" w:rsidR="009D54AF" w:rsidRDefault="00000000">
      <w:pPr>
        <w:pStyle w:val="ListParagraph"/>
        <w:numPr>
          <w:ilvl w:val="0"/>
          <w:numId w:val="36"/>
        </w:numPr>
        <w:tabs>
          <w:tab w:val="left" w:pos="424"/>
        </w:tabs>
        <w:spacing w:before="56"/>
        <w:ind w:left="424" w:hanging="268"/>
        <w:rPr>
          <w:sz w:val="21"/>
        </w:rPr>
      </w:pPr>
      <w:r>
        <w:rPr>
          <w:sz w:val="21"/>
        </w:rPr>
        <w:t>World</w:t>
      </w:r>
      <w:r>
        <w:rPr>
          <w:spacing w:val="-5"/>
          <w:sz w:val="21"/>
        </w:rPr>
        <w:t xml:space="preserve"> </w:t>
      </w:r>
      <w:r>
        <w:rPr>
          <w:sz w:val="21"/>
        </w:rPr>
        <w:t>Health</w:t>
      </w:r>
      <w:r>
        <w:rPr>
          <w:spacing w:val="-2"/>
          <w:sz w:val="21"/>
        </w:rPr>
        <w:t xml:space="preserve"> </w:t>
      </w:r>
      <w:proofErr w:type="spellStart"/>
      <w:r>
        <w:rPr>
          <w:sz w:val="21"/>
        </w:rPr>
        <w:t>Organisation</w:t>
      </w:r>
      <w:proofErr w:type="spellEnd"/>
      <w:r>
        <w:rPr>
          <w:spacing w:val="-2"/>
          <w:sz w:val="21"/>
        </w:rPr>
        <w:t xml:space="preserve"> </w:t>
      </w:r>
      <w:r>
        <w:rPr>
          <w:sz w:val="21"/>
        </w:rPr>
        <w:t>(WHO)</w:t>
      </w:r>
      <w:r>
        <w:rPr>
          <w:spacing w:val="-3"/>
          <w:sz w:val="21"/>
        </w:rPr>
        <w:t xml:space="preserve"> </w:t>
      </w:r>
      <w:r>
        <w:rPr>
          <w:sz w:val="21"/>
        </w:rPr>
        <w:t>Global</w:t>
      </w:r>
      <w:r>
        <w:rPr>
          <w:spacing w:val="-2"/>
          <w:sz w:val="21"/>
        </w:rPr>
        <w:t xml:space="preserve"> </w:t>
      </w:r>
      <w:r>
        <w:rPr>
          <w:sz w:val="21"/>
        </w:rPr>
        <w:t>Ministerial</w:t>
      </w:r>
      <w:r>
        <w:rPr>
          <w:spacing w:val="-2"/>
          <w:sz w:val="21"/>
        </w:rPr>
        <w:t xml:space="preserve"> </w:t>
      </w:r>
      <w:r>
        <w:rPr>
          <w:sz w:val="21"/>
        </w:rPr>
        <w:t>Summit</w:t>
      </w:r>
      <w:r>
        <w:rPr>
          <w:spacing w:val="-3"/>
          <w:sz w:val="21"/>
        </w:rPr>
        <w:t xml:space="preserve"> </w:t>
      </w:r>
      <w:r>
        <w:rPr>
          <w:sz w:val="21"/>
        </w:rPr>
        <w:t>on</w:t>
      </w:r>
      <w:r>
        <w:rPr>
          <w:spacing w:val="-2"/>
          <w:sz w:val="21"/>
        </w:rPr>
        <w:t xml:space="preserve"> </w:t>
      </w:r>
      <w:r>
        <w:rPr>
          <w:sz w:val="21"/>
        </w:rPr>
        <w:t>Patient</w:t>
      </w:r>
      <w:r>
        <w:rPr>
          <w:spacing w:val="-2"/>
          <w:sz w:val="21"/>
        </w:rPr>
        <w:t xml:space="preserve"> Safety</w:t>
      </w:r>
    </w:p>
    <w:p w14:paraId="08599FF5" w14:textId="77777777" w:rsidR="009D54AF" w:rsidRDefault="00000000">
      <w:pPr>
        <w:pStyle w:val="ListParagraph"/>
        <w:numPr>
          <w:ilvl w:val="0"/>
          <w:numId w:val="36"/>
        </w:numPr>
        <w:tabs>
          <w:tab w:val="left" w:pos="424"/>
        </w:tabs>
        <w:spacing w:before="96"/>
        <w:ind w:left="424" w:hanging="268"/>
        <w:rPr>
          <w:sz w:val="21"/>
        </w:rPr>
      </w:pPr>
      <w:r>
        <w:rPr>
          <w:sz w:val="21"/>
        </w:rPr>
        <w:t>World</w:t>
      </w:r>
      <w:r>
        <w:rPr>
          <w:spacing w:val="-2"/>
          <w:sz w:val="21"/>
        </w:rPr>
        <w:t xml:space="preserve"> </w:t>
      </w:r>
      <w:r>
        <w:rPr>
          <w:sz w:val="21"/>
        </w:rPr>
        <w:t>Sepsis</w:t>
      </w:r>
      <w:r>
        <w:rPr>
          <w:spacing w:val="-2"/>
          <w:sz w:val="21"/>
        </w:rPr>
        <w:t xml:space="preserve"> Congress.</w:t>
      </w:r>
    </w:p>
    <w:p w14:paraId="715A38DE" w14:textId="77777777" w:rsidR="009D54AF" w:rsidRDefault="00000000">
      <w:pPr>
        <w:pStyle w:val="BodyText"/>
        <w:spacing w:before="208" w:line="278" w:lineRule="auto"/>
        <w:ind w:left="142" w:right="214"/>
      </w:pPr>
      <w:r>
        <w:t>The</w:t>
      </w:r>
      <w:r>
        <w:rPr>
          <w:spacing w:val="-3"/>
        </w:rPr>
        <w:t xml:space="preserve"> </w:t>
      </w:r>
      <w:r>
        <w:t>Commission</w:t>
      </w:r>
      <w:r>
        <w:rPr>
          <w:spacing w:val="-3"/>
        </w:rPr>
        <w:t xml:space="preserve"> </w:t>
      </w:r>
      <w:r>
        <w:t>also</w:t>
      </w:r>
      <w:r>
        <w:rPr>
          <w:spacing w:val="-3"/>
        </w:rPr>
        <w:t xml:space="preserve"> </w:t>
      </w:r>
      <w:r>
        <w:t>coordinates</w:t>
      </w:r>
      <w:r>
        <w:rPr>
          <w:spacing w:val="-3"/>
        </w:rPr>
        <w:t xml:space="preserve"> </w:t>
      </w:r>
      <w:r>
        <w:t>Australia’s</w:t>
      </w:r>
      <w:r>
        <w:rPr>
          <w:spacing w:val="-3"/>
        </w:rPr>
        <w:t xml:space="preserve"> </w:t>
      </w:r>
      <w:r>
        <w:t>contribution</w:t>
      </w:r>
      <w:r>
        <w:rPr>
          <w:spacing w:val="-3"/>
        </w:rPr>
        <w:t xml:space="preserve"> </w:t>
      </w:r>
      <w:r>
        <w:t>of</w:t>
      </w:r>
      <w:r>
        <w:rPr>
          <w:spacing w:val="-3"/>
        </w:rPr>
        <w:t xml:space="preserve"> </w:t>
      </w:r>
      <w:r>
        <w:t>qualitative</w:t>
      </w:r>
      <w:r>
        <w:rPr>
          <w:spacing w:val="-3"/>
        </w:rPr>
        <w:t xml:space="preserve"> </w:t>
      </w:r>
      <w:r>
        <w:t>and</w:t>
      </w:r>
      <w:r>
        <w:rPr>
          <w:spacing w:val="-3"/>
        </w:rPr>
        <w:t xml:space="preserve"> </w:t>
      </w:r>
      <w:r>
        <w:t>technical</w:t>
      </w:r>
      <w:r>
        <w:rPr>
          <w:spacing w:val="-3"/>
        </w:rPr>
        <w:t xml:space="preserve"> </w:t>
      </w:r>
      <w:r>
        <w:t>information</w:t>
      </w:r>
      <w:r>
        <w:rPr>
          <w:spacing w:val="-3"/>
        </w:rPr>
        <w:t xml:space="preserve"> </w:t>
      </w:r>
      <w:r>
        <w:t>to</w:t>
      </w:r>
      <w:r>
        <w:rPr>
          <w:spacing w:val="-3"/>
        </w:rPr>
        <w:t xml:space="preserve"> </w:t>
      </w:r>
      <w:r>
        <w:t>OECD</w:t>
      </w:r>
      <w:r>
        <w:rPr>
          <w:spacing w:val="-3"/>
        </w:rPr>
        <w:t xml:space="preserve"> </w:t>
      </w:r>
      <w:r>
        <w:t>to inform its work on health indicators. In 2025–26 this included information about women’s health, integrated care, strengthening emergency care, chronic disease and long-term care for older people.</w:t>
      </w:r>
      <w:r>
        <w:rPr>
          <w:spacing w:val="40"/>
        </w:rPr>
        <w:t xml:space="preserve"> </w:t>
      </w:r>
      <w:r>
        <w:t>Additionally, the Commission contributed to global discussions about health systems performance.</w:t>
      </w:r>
    </w:p>
    <w:p w14:paraId="2D4485B3" w14:textId="77777777" w:rsidR="009D54AF" w:rsidRDefault="00000000">
      <w:pPr>
        <w:pStyle w:val="BodyText"/>
        <w:spacing w:before="141" w:line="278" w:lineRule="auto"/>
        <w:ind w:left="142" w:right="613"/>
      </w:pPr>
      <w:r>
        <w:t>Each year, the Commission also receives international requests from governments, research institutes and</w:t>
      </w:r>
      <w:r>
        <w:rPr>
          <w:spacing w:val="-1"/>
        </w:rPr>
        <w:t xml:space="preserve"> </w:t>
      </w:r>
      <w:r>
        <w:t>health</w:t>
      </w:r>
      <w:r>
        <w:rPr>
          <w:spacing w:val="-1"/>
        </w:rPr>
        <w:t xml:space="preserve"> </w:t>
      </w:r>
      <w:r>
        <w:t>services</w:t>
      </w:r>
      <w:r>
        <w:rPr>
          <w:spacing w:val="-1"/>
        </w:rPr>
        <w:t xml:space="preserve"> </w:t>
      </w:r>
      <w:r>
        <w:t>seeking</w:t>
      </w:r>
      <w:r>
        <w:rPr>
          <w:spacing w:val="-1"/>
        </w:rPr>
        <w:t xml:space="preserve"> </w:t>
      </w:r>
      <w:r>
        <w:t>to</w:t>
      </w:r>
      <w:r>
        <w:rPr>
          <w:spacing w:val="-1"/>
        </w:rPr>
        <w:t xml:space="preserve"> </w:t>
      </w:r>
      <w:r>
        <w:t>learn</w:t>
      </w:r>
      <w:r>
        <w:rPr>
          <w:spacing w:val="-1"/>
        </w:rPr>
        <w:t xml:space="preserve"> </w:t>
      </w:r>
      <w:r>
        <w:t>about</w:t>
      </w:r>
      <w:r>
        <w:rPr>
          <w:spacing w:val="-1"/>
        </w:rPr>
        <w:t xml:space="preserve"> </w:t>
      </w:r>
      <w:r>
        <w:t>its</w:t>
      </w:r>
      <w:r>
        <w:rPr>
          <w:spacing w:val="-1"/>
        </w:rPr>
        <w:t xml:space="preserve"> </w:t>
      </w:r>
      <w:r>
        <w:t>work</w:t>
      </w:r>
      <w:r>
        <w:rPr>
          <w:spacing w:val="-1"/>
        </w:rPr>
        <w:t xml:space="preserve"> </w:t>
      </w:r>
      <w:r>
        <w:t>on</w:t>
      </w:r>
      <w:r>
        <w:rPr>
          <w:spacing w:val="-1"/>
        </w:rPr>
        <w:t xml:space="preserve"> </w:t>
      </w:r>
      <w:r>
        <w:t>quality</w:t>
      </w:r>
      <w:r>
        <w:rPr>
          <w:spacing w:val="-1"/>
        </w:rPr>
        <w:t xml:space="preserve"> </w:t>
      </w:r>
      <w:r>
        <w:t>and</w:t>
      </w:r>
      <w:r>
        <w:rPr>
          <w:spacing w:val="-1"/>
        </w:rPr>
        <w:t xml:space="preserve"> </w:t>
      </w:r>
      <w:r>
        <w:t>safety</w:t>
      </w:r>
      <w:r>
        <w:rPr>
          <w:spacing w:val="-1"/>
        </w:rPr>
        <w:t xml:space="preserve"> </w:t>
      </w:r>
      <w:r>
        <w:t>in</w:t>
      </w:r>
      <w:r>
        <w:rPr>
          <w:spacing w:val="-1"/>
        </w:rPr>
        <w:t xml:space="preserve"> </w:t>
      </w:r>
      <w:r>
        <w:t>health</w:t>
      </w:r>
      <w:r>
        <w:rPr>
          <w:spacing w:val="-1"/>
        </w:rPr>
        <w:t xml:space="preserve"> </w:t>
      </w:r>
      <w:r>
        <w:t>care.</w:t>
      </w:r>
      <w:r>
        <w:rPr>
          <w:spacing w:val="-1"/>
        </w:rPr>
        <w:t xml:space="preserve"> </w:t>
      </w:r>
      <w:r>
        <w:t>For</w:t>
      </w:r>
      <w:r>
        <w:rPr>
          <w:spacing w:val="-1"/>
        </w:rPr>
        <w:t xml:space="preserve"> </w:t>
      </w:r>
      <w:r>
        <w:t>example,</w:t>
      </w:r>
      <w:r>
        <w:rPr>
          <w:spacing w:val="-1"/>
        </w:rPr>
        <w:t xml:space="preserve"> </w:t>
      </w:r>
      <w:r>
        <w:t>the</w:t>
      </w:r>
    </w:p>
    <w:p w14:paraId="38C9F0FB" w14:textId="77777777" w:rsidR="009D54AF" w:rsidRDefault="00000000">
      <w:pPr>
        <w:pStyle w:val="BodyText"/>
        <w:spacing w:line="278" w:lineRule="auto"/>
        <w:ind w:left="142"/>
      </w:pPr>
      <w:r>
        <w:t>Commission</w:t>
      </w:r>
      <w:r>
        <w:rPr>
          <w:spacing w:val="-1"/>
        </w:rPr>
        <w:t xml:space="preserve"> </w:t>
      </w:r>
      <w:r>
        <w:t>provided</w:t>
      </w:r>
      <w:r>
        <w:rPr>
          <w:spacing w:val="-1"/>
        </w:rPr>
        <w:t xml:space="preserve"> </w:t>
      </w:r>
      <w:r>
        <w:t>information</w:t>
      </w:r>
      <w:r>
        <w:rPr>
          <w:spacing w:val="-1"/>
        </w:rPr>
        <w:t xml:space="preserve"> </w:t>
      </w:r>
      <w:r>
        <w:t>on</w:t>
      </w:r>
      <w:r>
        <w:rPr>
          <w:spacing w:val="-1"/>
        </w:rPr>
        <w:t xml:space="preserve"> </w:t>
      </w:r>
      <w:r>
        <w:t>its</w:t>
      </w:r>
      <w:r>
        <w:rPr>
          <w:spacing w:val="-1"/>
        </w:rPr>
        <w:t xml:space="preserve"> </w:t>
      </w:r>
      <w:r>
        <w:t>Open</w:t>
      </w:r>
      <w:r>
        <w:rPr>
          <w:spacing w:val="-1"/>
        </w:rPr>
        <w:t xml:space="preserve"> </w:t>
      </w:r>
      <w:r>
        <w:t>Disclosure</w:t>
      </w:r>
      <w:r>
        <w:rPr>
          <w:spacing w:val="-1"/>
        </w:rPr>
        <w:t xml:space="preserve"> </w:t>
      </w:r>
      <w:r>
        <w:t>Policy</w:t>
      </w:r>
      <w:r>
        <w:rPr>
          <w:spacing w:val="-1"/>
        </w:rPr>
        <w:t xml:space="preserve"> </w:t>
      </w:r>
      <w:r>
        <w:t>to</w:t>
      </w:r>
      <w:r>
        <w:rPr>
          <w:spacing w:val="-1"/>
        </w:rPr>
        <w:t xml:space="preserve"> </w:t>
      </w:r>
      <w:r>
        <w:t>the</w:t>
      </w:r>
      <w:r>
        <w:rPr>
          <w:spacing w:val="-1"/>
        </w:rPr>
        <w:t xml:space="preserve"> </w:t>
      </w:r>
      <w:r>
        <w:t>East</w:t>
      </w:r>
      <w:r>
        <w:rPr>
          <w:spacing w:val="-1"/>
        </w:rPr>
        <w:t xml:space="preserve"> </w:t>
      </w:r>
      <w:r>
        <w:t>Java</w:t>
      </w:r>
      <w:r>
        <w:rPr>
          <w:spacing w:val="-1"/>
        </w:rPr>
        <w:t xml:space="preserve"> </w:t>
      </w:r>
      <w:r>
        <w:t>University</w:t>
      </w:r>
      <w:r>
        <w:rPr>
          <w:spacing w:val="-1"/>
        </w:rPr>
        <w:t xml:space="preserve"> </w:t>
      </w:r>
      <w:r>
        <w:t>Consortium.</w:t>
      </w:r>
      <w:r>
        <w:rPr>
          <w:spacing w:val="-1"/>
        </w:rPr>
        <w:t xml:space="preserve"> </w:t>
      </w:r>
      <w:r>
        <w:t>The Commission’s resources are freely available from the website and are downloaded by health services and clinicians across the world.</w:t>
      </w:r>
    </w:p>
    <w:p w14:paraId="342CA0FC" w14:textId="77777777" w:rsidR="009D54AF" w:rsidRDefault="00000000">
      <w:pPr>
        <w:pStyle w:val="BodyText"/>
        <w:spacing w:before="66" w:line="278" w:lineRule="auto"/>
        <w:ind w:left="142"/>
      </w:pPr>
      <w:bookmarkStart w:id="21" w:name="_bookmark4"/>
      <w:bookmarkEnd w:id="21"/>
      <w:r>
        <w:t>Active international engagement enables the Commission to align national priorities with global standards, contribute</w:t>
      </w:r>
      <w:r>
        <w:rPr>
          <w:spacing w:val="-5"/>
        </w:rPr>
        <w:t xml:space="preserve"> </w:t>
      </w:r>
      <w:r>
        <w:t>to</w:t>
      </w:r>
      <w:r>
        <w:rPr>
          <w:spacing w:val="-3"/>
        </w:rPr>
        <w:t xml:space="preserve"> </w:t>
      </w:r>
      <w:r>
        <w:t>shaping</w:t>
      </w:r>
      <w:r>
        <w:rPr>
          <w:spacing w:val="-3"/>
        </w:rPr>
        <w:t xml:space="preserve"> </w:t>
      </w:r>
      <w:r>
        <w:t>the</w:t>
      </w:r>
      <w:r>
        <w:rPr>
          <w:spacing w:val="-3"/>
        </w:rPr>
        <w:t xml:space="preserve"> </w:t>
      </w:r>
      <w:r>
        <w:t>international</w:t>
      </w:r>
      <w:r>
        <w:rPr>
          <w:spacing w:val="-3"/>
        </w:rPr>
        <w:t xml:space="preserve"> </w:t>
      </w:r>
      <w:r>
        <w:t>health</w:t>
      </w:r>
      <w:r>
        <w:rPr>
          <w:spacing w:val="-3"/>
        </w:rPr>
        <w:t xml:space="preserve"> </w:t>
      </w:r>
      <w:r>
        <w:t>agenda</w:t>
      </w:r>
      <w:r>
        <w:rPr>
          <w:spacing w:val="-3"/>
        </w:rPr>
        <w:t xml:space="preserve"> </w:t>
      </w:r>
      <w:r>
        <w:t>and</w:t>
      </w:r>
      <w:r>
        <w:rPr>
          <w:spacing w:val="-3"/>
        </w:rPr>
        <w:t xml:space="preserve"> </w:t>
      </w:r>
      <w:r>
        <w:t>gather</w:t>
      </w:r>
      <w:r>
        <w:rPr>
          <w:spacing w:val="-3"/>
        </w:rPr>
        <w:t xml:space="preserve"> </w:t>
      </w:r>
      <w:r>
        <w:t>insights</w:t>
      </w:r>
      <w:r>
        <w:rPr>
          <w:spacing w:val="-3"/>
        </w:rPr>
        <w:t xml:space="preserve"> </w:t>
      </w:r>
      <w:r>
        <w:t>into</w:t>
      </w:r>
      <w:r>
        <w:rPr>
          <w:spacing w:val="-3"/>
        </w:rPr>
        <w:t xml:space="preserve"> </w:t>
      </w:r>
      <w:r>
        <w:t>innovative</w:t>
      </w:r>
      <w:r>
        <w:rPr>
          <w:spacing w:val="-3"/>
        </w:rPr>
        <w:t xml:space="preserve"> </w:t>
      </w:r>
      <w:r>
        <w:t>practices</w:t>
      </w:r>
      <w:r>
        <w:rPr>
          <w:spacing w:val="-3"/>
        </w:rPr>
        <w:t xml:space="preserve"> </w:t>
      </w:r>
      <w:r>
        <w:t>that</w:t>
      </w:r>
      <w:r>
        <w:rPr>
          <w:spacing w:val="-3"/>
        </w:rPr>
        <w:t xml:space="preserve"> </w:t>
      </w:r>
      <w:r>
        <w:t>have potential to support better health outcomes in Australia.</w:t>
      </w:r>
    </w:p>
    <w:p w14:paraId="2F28BE10" w14:textId="77777777" w:rsidR="009D54AF" w:rsidRDefault="00000000">
      <w:pPr>
        <w:pStyle w:val="Heading1"/>
      </w:pPr>
      <w:bookmarkStart w:id="22" w:name="_National_Health_Reform"/>
      <w:bookmarkStart w:id="23" w:name="_Toc243037272"/>
      <w:bookmarkEnd w:id="22"/>
      <w:r>
        <w:rPr>
          <w:spacing w:val="-2"/>
        </w:rPr>
        <w:t>National</w:t>
      </w:r>
      <w:r>
        <w:rPr>
          <w:spacing w:val="-18"/>
        </w:rPr>
        <w:t xml:space="preserve"> </w:t>
      </w:r>
      <w:r>
        <w:rPr>
          <w:spacing w:val="-2"/>
        </w:rPr>
        <w:t>Health</w:t>
      </w:r>
      <w:r>
        <w:rPr>
          <w:spacing w:val="-15"/>
        </w:rPr>
        <w:t xml:space="preserve"> </w:t>
      </w:r>
      <w:r>
        <w:rPr>
          <w:spacing w:val="-2"/>
        </w:rPr>
        <w:t>Reform</w:t>
      </w:r>
      <w:r>
        <w:rPr>
          <w:spacing w:val="-15"/>
        </w:rPr>
        <w:t xml:space="preserve"> </w:t>
      </w:r>
      <w:r>
        <w:rPr>
          <w:spacing w:val="-2"/>
        </w:rPr>
        <w:t>Agreement</w:t>
      </w:r>
      <w:bookmarkEnd w:id="23"/>
    </w:p>
    <w:p w14:paraId="49102F79" w14:textId="77777777" w:rsidR="009D54AF" w:rsidRDefault="00000000">
      <w:pPr>
        <w:pStyle w:val="Heading9"/>
        <w:spacing w:line="268" w:lineRule="auto"/>
      </w:pPr>
      <w:r>
        <w:t>The National Health Reform Agreement 2011 (NHRA) is a national agreement between the Australian</w:t>
      </w:r>
      <w:r>
        <w:rPr>
          <w:spacing w:val="-10"/>
        </w:rPr>
        <w:t xml:space="preserve"> </w:t>
      </w:r>
      <w:r>
        <w:t>Government</w:t>
      </w:r>
      <w:r>
        <w:rPr>
          <w:spacing w:val="-10"/>
        </w:rPr>
        <w:t xml:space="preserve"> </w:t>
      </w:r>
      <w:r>
        <w:t>and</w:t>
      </w:r>
      <w:r>
        <w:rPr>
          <w:spacing w:val="-10"/>
        </w:rPr>
        <w:t xml:space="preserve"> </w:t>
      </w:r>
      <w:r>
        <w:t>all</w:t>
      </w:r>
      <w:r>
        <w:rPr>
          <w:spacing w:val="-10"/>
        </w:rPr>
        <w:t xml:space="preserve"> </w:t>
      </w:r>
      <w:r>
        <w:t>state</w:t>
      </w:r>
      <w:r>
        <w:rPr>
          <w:spacing w:val="-10"/>
        </w:rPr>
        <w:t xml:space="preserve"> </w:t>
      </w:r>
      <w:r>
        <w:t>and</w:t>
      </w:r>
      <w:r>
        <w:rPr>
          <w:spacing w:val="-10"/>
        </w:rPr>
        <w:t xml:space="preserve"> </w:t>
      </w:r>
      <w:r>
        <w:t>territory</w:t>
      </w:r>
      <w:r>
        <w:rPr>
          <w:spacing w:val="-10"/>
        </w:rPr>
        <w:t xml:space="preserve"> </w:t>
      </w:r>
      <w:r>
        <w:t>governments</w:t>
      </w:r>
      <w:r>
        <w:rPr>
          <w:spacing w:val="-10"/>
        </w:rPr>
        <w:t xml:space="preserve"> </w:t>
      </w:r>
      <w:r>
        <w:t>that</w:t>
      </w:r>
      <w:r>
        <w:rPr>
          <w:spacing w:val="-10"/>
        </w:rPr>
        <w:t xml:space="preserve"> </w:t>
      </w:r>
      <w:r>
        <w:t>sets</w:t>
      </w:r>
      <w:r>
        <w:rPr>
          <w:spacing w:val="-10"/>
        </w:rPr>
        <w:t xml:space="preserve"> </w:t>
      </w:r>
      <w:r>
        <w:t>out</w:t>
      </w:r>
      <w:r>
        <w:rPr>
          <w:spacing w:val="-10"/>
        </w:rPr>
        <w:t xml:space="preserve"> </w:t>
      </w:r>
      <w:r>
        <w:t>the</w:t>
      </w:r>
      <w:r>
        <w:rPr>
          <w:spacing w:val="-10"/>
        </w:rPr>
        <w:t xml:space="preserve"> </w:t>
      </w:r>
      <w:r>
        <w:t>priorities,</w:t>
      </w:r>
      <w:r>
        <w:rPr>
          <w:spacing w:val="-10"/>
        </w:rPr>
        <w:t xml:space="preserve"> </w:t>
      </w:r>
      <w:r>
        <w:t>funding and roles for public hospitals and health services. On 27 February 2026 the latest addendum to the agreement, covering 2026–2031, was signed.</w:t>
      </w:r>
    </w:p>
    <w:p w14:paraId="7036185B" w14:textId="77777777" w:rsidR="009D54AF" w:rsidRDefault="00000000" w:rsidP="00E26787">
      <w:pPr>
        <w:pStyle w:val="BodyText"/>
        <w:spacing w:before="180" w:line="278" w:lineRule="auto"/>
        <w:ind w:left="142"/>
      </w:pPr>
      <w:r>
        <w:t>The Commission is referenced in the addendum as a national body responsible for a range of important activities</w:t>
      </w:r>
      <w:r>
        <w:rPr>
          <w:spacing w:val="-2"/>
        </w:rPr>
        <w:t xml:space="preserve"> </w:t>
      </w:r>
      <w:r>
        <w:t>that</w:t>
      </w:r>
      <w:r>
        <w:rPr>
          <w:spacing w:val="-2"/>
        </w:rPr>
        <w:t xml:space="preserve"> </w:t>
      </w:r>
      <w:r>
        <w:t>will</w:t>
      </w:r>
      <w:r>
        <w:rPr>
          <w:spacing w:val="-2"/>
        </w:rPr>
        <w:t xml:space="preserve"> </w:t>
      </w:r>
      <w:r>
        <w:t>drive</w:t>
      </w:r>
      <w:r>
        <w:rPr>
          <w:spacing w:val="-2"/>
        </w:rPr>
        <w:t xml:space="preserve"> </w:t>
      </w:r>
      <w:r>
        <w:t>and</w:t>
      </w:r>
      <w:r>
        <w:rPr>
          <w:spacing w:val="-2"/>
        </w:rPr>
        <w:t xml:space="preserve"> </w:t>
      </w:r>
      <w:r>
        <w:t>contribute</w:t>
      </w:r>
      <w:r>
        <w:rPr>
          <w:spacing w:val="-2"/>
        </w:rPr>
        <w:t xml:space="preserve"> </w:t>
      </w:r>
      <w:r>
        <w:t>to</w:t>
      </w:r>
      <w:r>
        <w:rPr>
          <w:spacing w:val="-2"/>
        </w:rPr>
        <w:t xml:space="preserve"> </w:t>
      </w:r>
      <w:r>
        <w:t>safety</w:t>
      </w:r>
      <w:r>
        <w:rPr>
          <w:spacing w:val="-2"/>
        </w:rPr>
        <w:t xml:space="preserve"> </w:t>
      </w:r>
      <w:r>
        <w:t>and</w:t>
      </w:r>
      <w:r>
        <w:rPr>
          <w:spacing w:val="-2"/>
        </w:rPr>
        <w:t xml:space="preserve"> </w:t>
      </w:r>
      <w:r>
        <w:t>quality</w:t>
      </w:r>
      <w:r>
        <w:rPr>
          <w:spacing w:val="-2"/>
        </w:rPr>
        <w:t xml:space="preserve"> </w:t>
      </w:r>
      <w:r>
        <w:t>improvements</w:t>
      </w:r>
      <w:r>
        <w:rPr>
          <w:spacing w:val="-2"/>
        </w:rPr>
        <w:t xml:space="preserve"> </w:t>
      </w:r>
      <w:r>
        <w:t>within</w:t>
      </w:r>
      <w:r>
        <w:rPr>
          <w:spacing w:val="-2"/>
        </w:rPr>
        <w:t xml:space="preserve"> </w:t>
      </w:r>
      <w:r>
        <w:t>the</w:t>
      </w:r>
      <w:r>
        <w:rPr>
          <w:spacing w:val="-2"/>
        </w:rPr>
        <w:t xml:space="preserve"> </w:t>
      </w:r>
      <w:r>
        <w:t>Australian</w:t>
      </w:r>
      <w:r>
        <w:rPr>
          <w:spacing w:val="-2"/>
        </w:rPr>
        <w:t xml:space="preserve"> </w:t>
      </w:r>
      <w:r>
        <w:t xml:space="preserve">healthcare </w:t>
      </w:r>
      <w:r>
        <w:rPr>
          <w:spacing w:val="-2"/>
        </w:rPr>
        <w:t>system.</w:t>
      </w:r>
    </w:p>
    <w:p w14:paraId="665153D7" w14:textId="77777777" w:rsidR="009D54AF" w:rsidRDefault="00000000">
      <w:pPr>
        <w:pStyle w:val="BodyText"/>
        <w:spacing w:before="142" w:line="278" w:lineRule="auto"/>
        <w:ind w:left="142" w:right="379"/>
      </w:pPr>
      <w:r>
        <w:t>The Commission’s strategic priorities (2025–2030)– high-quality care in an evolving environment; strong outcome-focused clinical governance; empowered patients, carers and communities; and an improvement-driven</w:t>
      </w:r>
      <w:r>
        <w:rPr>
          <w:spacing w:val="-1"/>
        </w:rPr>
        <w:t xml:space="preserve"> </w:t>
      </w:r>
      <w:r>
        <w:t>workforce</w:t>
      </w:r>
      <w:r>
        <w:rPr>
          <w:spacing w:val="-1"/>
        </w:rPr>
        <w:t xml:space="preserve"> </w:t>
      </w:r>
      <w:r>
        <w:t>culture</w:t>
      </w:r>
      <w:r>
        <w:rPr>
          <w:spacing w:val="-1"/>
        </w:rPr>
        <w:t xml:space="preserve"> </w:t>
      </w:r>
      <w:r>
        <w:t>–</w:t>
      </w:r>
      <w:r>
        <w:rPr>
          <w:spacing w:val="-1"/>
        </w:rPr>
        <w:t xml:space="preserve"> </w:t>
      </w:r>
      <w:r>
        <w:t>are</w:t>
      </w:r>
      <w:r>
        <w:rPr>
          <w:spacing w:val="-1"/>
        </w:rPr>
        <w:t xml:space="preserve"> </w:t>
      </w:r>
      <w:r>
        <w:t>closely</w:t>
      </w:r>
      <w:r>
        <w:rPr>
          <w:spacing w:val="-1"/>
        </w:rPr>
        <w:t xml:space="preserve"> </w:t>
      </w:r>
      <w:r>
        <w:t>aligned</w:t>
      </w:r>
      <w:r>
        <w:rPr>
          <w:spacing w:val="-1"/>
        </w:rPr>
        <w:t xml:space="preserve"> </w:t>
      </w:r>
      <w:r>
        <w:t>and</w:t>
      </w:r>
      <w:r>
        <w:rPr>
          <w:spacing w:val="-1"/>
        </w:rPr>
        <w:t xml:space="preserve"> </w:t>
      </w:r>
      <w:r>
        <w:t>will</w:t>
      </w:r>
      <w:r>
        <w:rPr>
          <w:spacing w:val="-1"/>
        </w:rPr>
        <w:t xml:space="preserve"> </w:t>
      </w:r>
      <w:r>
        <w:t>help</w:t>
      </w:r>
      <w:r>
        <w:rPr>
          <w:spacing w:val="-1"/>
        </w:rPr>
        <w:t xml:space="preserve"> </w:t>
      </w:r>
      <w:r>
        <w:t>the</w:t>
      </w:r>
      <w:r>
        <w:rPr>
          <w:spacing w:val="-1"/>
        </w:rPr>
        <w:t xml:space="preserve"> </w:t>
      </w:r>
      <w:r>
        <w:t>Commission</w:t>
      </w:r>
      <w:r>
        <w:rPr>
          <w:spacing w:val="-1"/>
        </w:rPr>
        <w:t xml:space="preserve"> </w:t>
      </w:r>
      <w:r>
        <w:t>contribute</w:t>
      </w:r>
      <w:r>
        <w:rPr>
          <w:spacing w:val="-1"/>
        </w:rPr>
        <w:t xml:space="preserve"> </w:t>
      </w:r>
      <w:r>
        <w:t>to</w:t>
      </w:r>
      <w:r>
        <w:rPr>
          <w:spacing w:val="-1"/>
        </w:rPr>
        <w:t xml:space="preserve"> </w:t>
      </w:r>
      <w:r>
        <w:t>the</w:t>
      </w:r>
      <w:r>
        <w:rPr>
          <w:spacing w:val="-1"/>
        </w:rPr>
        <w:t xml:space="preserve"> </w:t>
      </w:r>
      <w:r>
        <w:t>NHRA’s</w:t>
      </w:r>
      <w:r>
        <w:rPr>
          <w:spacing w:val="-1"/>
        </w:rPr>
        <w:t xml:space="preserve"> </w:t>
      </w:r>
      <w:r>
        <w:t>vision that the Australian healthcare system should be person-</w:t>
      </w:r>
      <w:proofErr w:type="spellStart"/>
      <w:r>
        <w:t>centred</w:t>
      </w:r>
      <w:proofErr w:type="spellEnd"/>
      <w:r>
        <w:t>, equitable, responsible and sustainable.</w:t>
      </w:r>
    </w:p>
    <w:p w14:paraId="590A57D0" w14:textId="77777777" w:rsidR="009D54AF" w:rsidRDefault="00000000">
      <w:pPr>
        <w:pStyle w:val="Heading1"/>
      </w:pPr>
      <w:bookmarkStart w:id="24" w:name="_Journal_articles"/>
      <w:bookmarkStart w:id="25" w:name="_Toc243037273"/>
      <w:bookmarkEnd w:id="24"/>
      <w:r>
        <w:rPr>
          <w:spacing w:val="-2"/>
        </w:rPr>
        <w:t>Journal</w:t>
      </w:r>
      <w:r>
        <w:rPr>
          <w:spacing w:val="-20"/>
        </w:rPr>
        <w:t xml:space="preserve"> </w:t>
      </w:r>
      <w:r>
        <w:rPr>
          <w:spacing w:val="-2"/>
        </w:rPr>
        <w:t>articles</w:t>
      </w:r>
      <w:bookmarkEnd w:id="25"/>
    </w:p>
    <w:p w14:paraId="7CD7B84D" w14:textId="77777777" w:rsidR="009D54AF" w:rsidRDefault="00000000">
      <w:pPr>
        <w:pStyle w:val="Heading9"/>
      </w:pPr>
      <w:r>
        <w:t>Below</w:t>
      </w:r>
      <w:r>
        <w:rPr>
          <w:spacing w:val="-8"/>
        </w:rPr>
        <w:t xml:space="preserve"> </w:t>
      </w:r>
      <w:r>
        <w:t>is</w:t>
      </w:r>
      <w:r>
        <w:rPr>
          <w:spacing w:val="-6"/>
        </w:rPr>
        <w:t xml:space="preserve"> </w:t>
      </w:r>
      <w:r>
        <w:t>a</w:t>
      </w:r>
      <w:r>
        <w:rPr>
          <w:spacing w:val="-5"/>
        </w:rPr>
        <w:t xml:space="preserve"> </w:t>
      </w:r>
      <w:r>
        <w:t>list</w:t>
      </w:r>
      <w:r>
        <w:rPr>
          <w:spacing w:val="-6"/>
        </w:rPr>
        <w:t xml:space="preserve"> </w:t>
      </w:r>
      <w:r>
        <w:t>of</w:t>
      </w:r>
      <w:r>
        <w:rPr>
          <w:spacing w:val="-5"/>
        </w:rPr>
        <w:t xml:space="preserve"> </w:t>
      </w:r>
      <w:r>
        <w:t>journal</w:t>
      </w:r>
      <w:r>
        <w:rPr>
          <w:spacing w:val="-6"/>
        </w:rPr>
        <w:t xml:space="preserve"> </w:t>
      </w:r>
      <w:r>
        <w:t>articles</w:t>
      </w:r>
      <w:r>
        <w:rPr>
          <w:spacing w:val="-6"/>
        </w:rPr>
        <w:t xml:space="preserve"> </w:t>
      </w:r>
      <w:r>
        <w:t>authored</w:t>
      </w:r>
      <w:r>
        <w:rPr>
          <w:spacing w:val="-5"/>
        </w:rPr>
        <w:t xml:space="preserve"> </w:t>
      </w:r>
      <w:r>
        <w:t>by</w:t>
      </w:r>
      <w:r>
        <w:rPr>
          <w:spacing w:val="-6"/>
        </w:rPr>
        <w:t xml:space="preserve"> </w:t>
      </w:r>
      <w:r>
        <w:t>Commission</w:t>
      </w:r>
      <w:r>
        <w:rPr>
          <w:spacing w:val="-5"/>
        </w:rPr>
        <w:t xml:space="preserve"> </w:t>
      </w:r>
      <w:r>
        <w:rPr>
          <w:spacing w:val="-2"/>
        </w:rPr>
        <w:t>staff.</w:t>
      </w:r>
    </w:p>
    <w:p w14:paraId="26247BF1" w14:textId="77777777" w:rsidR="009D54AF" w:rsidRDefault="00000000" w:rsidP="0003532B">
      <w:pPr>
        <w:pStyle w:val="BodyText"/>
        <w:spacing w:before="180" w:line="278" w:lineRule="auto"/>
        <w:ind w:left="142" w:right="147"/>
      </w:pPr>
      <w:r>
        <w:t xml:space="preserve">Alsaba N, </w:t>
      </w:r>
      <w:proofErr w:type="spellStart"/>
      <w:r>
        <w:t>Hullick</w:t>
      </w:r>
      <w:proofErr w:type="spellEnd"/>
      <w:r>
        <w:t xml:space="preserve"> C, Heath R, et al. Words and language matter: improving older person’s healthcare outcomes</w:t>
      </w:r>
      <w:r>
        <w:rPr>
          <w:spacing w:val="-7"/>
        </w:rPr>
        <w:t xml:space="preserve"> </w:t>
      </w:r>
      <w:r>
        <w:t>through</w:t>
      </w:r>
      <w:r>
        <w:rPr>
          <w:spacing w:val="-7"/>
        </w:rPr>
        <w:t xml:space="preserve"> </w:t>
      </w:r>
      <w:r>
        <w:t>use</w:t>
      </w:r>
      <w:r>
        <w:rPr>
          <w:spacing w:val="-7"/>
        </w:rPr>
        <w:t xml:space="preserve"> </w:t>
      </w:r>
      <w:r>
        <w:t>of</w:t>
      </w:r>
      <w:r>
        <w:rPr>
          <w:spacing w:val="-7"/>
        </w:rPr>
        <w:t xml:space="preserve"> </w:t>
      </w:r>
      <w:r>
        <w:t>age-positive</w:t>
      </w:r>
      <w:r>
        <w:rPr>
          <w:spacing w:val="-7"/>
        </w:rPr>
        <w:t xml:space="preserve"> </w:t>
      </w:r>
      <w:r>
        <w:t>language.</w:t>
      </w:r>
      <w:r>
        <w:rPr>
          <w:spacing w:val="-7"/>
        </w:rPr>
        <w:t xml:space="preserve"> </w:t>
      </w:r>
      <w:r>
        <w:t>Emergency</w:t>
      </w:r>
      <w:r>
        <w:rPr>
          <w:spacing w:val="-7"/>
        </w:rPr>
        <w:t xml:space="preserve"> </w:t>
      </w:r>
      <w:r>
        <w:t>Medicine</w:t>
      </w:r>
      <w:r>
        <w:rPr>
          <w:spacing w:val="-7"/>
        </w:rPr>
        <w:t xml:space="preserve"> </w:t>
      </w:r>
      <w:r>
        <w:t>Australasia</w:t>
      </w:r>
      <w:r>
        <w:rPr>
          <w:spacing w:val="-7"/>
        </w:rPr>
        <w:t xml:space="preserve"> </w:t>
      </w:r>
      <w:r>
        <w:t>2026;</w:t>
      </w:r>
      <w:r>
        <w:rPr>
          <w:spacing w:val="-7"/>
        </w:rPr>
        <w:t xml:space="preserve"> </w:t>
      </w:r>
      <w:r>
        <w:t>38(3):e70295,</w:t>
      </w:r>
      <w:r>
        <w:rPr>
          <w:spacing w:val="-7"/>
        </w:rPr>
        <w:t xml:space="preserve"> </w:t>
      </w:r>
      <w:hyperlink r:id="rId19">
        <w:r>
          <w:rPr>
            <w:u w:val="single"/>
          </w:rPr>
          <w:t>https://</w:t>
        </w:r>
      </w:hyperlink>
      <w:r>
        <w:t xml:space="preserve"> </w:t>
      </w:r>
      <w:hyperlink r:id="rId20">
        <w:r>
          <w:rPr>
            <w:spacing w:val="-2"/>
            <w:u w:val="single"/>
          </w:rPr>
          <w:t>doi.org/10.1111/1742-6723.70295</w:t>
        </w:r>
      </w:hyperlink>
      <w:r>
        <w:rPr>
          <w:spacing w:val="-2"/>
        </w:rPr>
        <w:t>.</w:t>
      </w:r>
    </w:p>
    <w:p w14:paraId="60B3A63D" w14:textId="77777777" w:rsidR="009D54AF" w:rsidRDefault="00000000">
      <w:pPr>
        <w:pStyle w:val="BodyText"/>
        <w:spacing w:before="141" w:line="278" w:lineRule="auto"/>
        <w:ind w:left="142"/>
      </w:pPr>
      <w:proofErr w:type="spellStart"/>
      <w:r>
        <w:t>Bhasale</w:t>
      </w:r>
      <w:proofErr w:type="spellEnd"/>
      <w:r>
        <w:t xml:space="preserve"> AL, </w:t>
      </w:r>
      <w:proofErr w:type="spellStart"/>
      <w:r>
        <w:t>Hullick</w:t>
      </w:r>
      <w:proofErr w:type="spellEnd"/>
      <w:r>
        <w:t xml:space="preserve"> C, Sukkar MB, et al. A salute to ten years of Australian Clinical Care Standards: celebrations</w:t>
      </w:r>
      <w:r>
        <w:rPr>
          <w:spacing w:val="-12"/>
        </w:rPr>
        <w:t xml:space="preserve"> </w:t>
      </w:r>
      <w:r>
        <w:t>and</w:t>
      </w:r>
      <w:r>
        <w:rPr>
          <w:spacing w:val="-12"/>
        </w:rPr>
        <w:t xml:space="preserve"> </w:t>
      </w:r>
      <w:r>
        <w:t>challenges.</w:t>
      </w:r>
      <w:r>
        <w:rPr>
          <w:spacing w:val="-12"/>
        </w:rPr>
        <w:t xml:space="preserve"> </w:t>
      </w:r>
      <w:r>
        <w:t>Medical</w:t>
      </w:r>
      <w:r>
        <w:rPr>
          <w:spacing w:val="-12"/>
        </w:rPr>
        <w:t xml:space="preserve"> </w:t>
      </w:r>
      <w:r>
        <w:t>Journal</w:t>
      </w:r>
      <w:r>
        <w:rPr>
          <w:spacing w:val="-12"/>
        </w:rPr>
        <w:t xml:space="preserve"> </w:t>
      </w:r>
      <w:r>
        <w:t>of</w:t>
      </w:r>
      <w:r>
        <w:rPr>
          <w:spacing w:val="-12"/>
        </w:rPr>
        <w:t xml:space="preserve"> </w:t>
      </w:r>
      <w:r>
        <w:t>Australia</w:t>
      </w:r>
      <w:r>
        <w:rPr>
          <w:spacing w:val="-12"/>
        </w:rPr>
        <w:t xml:space="preserve"> </w:t>
      </w:r>
      <w:r>
        <w:t>2025;</w:t>
      </w:r>
      <w:r>
        <w:rPr>
          <w:spacing w:val="-12"/>
        </w:rPr>
        <w:t xml:space="preserve"> </w:t>
      </w:r>
      <w:r>
        <w:t>223(4):177–179,</w:t>
      </w:r>
      <w:r>
        <w:rPr>
          <w:spacing w:val="-12"/>
        </w:rPr>
        <w:t xml:space="preserve"> </w:t>
      </w:r>
      <w:hyperlink r:id="rId21">
        <w:r>
          <w:rPr>
            <w:u w:val="single"/>
          </w:rPr>
          <w:t>https://doi.org/10.5694/</w:t>
        </w:r>
      </w:hyperlink>
      <w:r>
        <w:t xml:space="preserve"> </w:t>
      </w:r>
      <w:hyperlink r:id="rId22">
        <w:r>
          <w:rPr>
            <w:spacing w:val="-2"/>
            <w:u w:val="single"/>
          </w:rPr>
          <w:t>mja2.52697</w:t>
        </w:r>
      </w:hyperlink>
      <w:r>
        <w:rPr>
          <w:spacing w:val="-2"/>
        </w:rPr>
        <w:t>.</w:t>
      </w:r>
    </w:p>
    <w:p w14:paraId="66FD5C42" w14:textId="77777777" w:rsidR="009D54AF" w:rsidRDefault="00000000">
      <w:pPr>
        <w:pStyle w:val="BodyText"/>
        <w:spacing w:before="142" w:line="278" w:lineRule="auto"/>
        <w:ind w:left="142"/>
      </w:pPr>
      <w:r>
        <w:t>Egerton-Warburton</w:t>
      </w:r>
      <w:r>
        <w:rPr>
          <w:spacing w:val="-2"/>
        </w:rPr>
        <w:t xml:space="preserve"> </w:t>
      </w:r>
      <w:r>
        <w:t>D,</w:t>
      </w:r>
      <w:r>
        <w:rPr>
          <w:spacing w:val="-2"/>
        </w:rPr>
        <w:t xml:space="preserve"> </w:t>
      </w:r>
      <w:r>
        <w:t>Kuhn</w:t>
      </w:r>
      <w:r>
        <w:rPr>
          <w:spacing w:val="-2"/>
        </w:rPr>
        <w:t xml:space="preserve"> </w:t>
      </w:r>
      <w:r>
        <w:t>L,</w:t>
      </w:r>
      <w:r>
        <w:rPr>
          <w:spacing w:val="-2"/>
        </w:rPr>
        <w:t xml:space="preserve"> </w:t>
      </w:r>
      <w:proofErr w:type="spellStart"/>
      <w:r>
        <w:t>Enticott</w:t>
      </w:r>
      <w:proofErr w:type="spellEnd"/>
      <w:r>
        <w:rPr>
          <w:spacing w:val="-2"/>
        </w:rPr>
        <w:t xml:space="preserve"> </w:t>
      </w:r>
      <w:r>
        <w:t>J,</w:t>
      </w:r>
      <w:r>
        <w:rPr>
          <w:spacing w:val="-2"/>
        </w:rPr>
        <w:t xml:space="preserve"> </w:t>
      </w:r>
      <w:r>
        <w:t>et</w:t>
      </w:r>
      <w:r>
        <w:rPr>
          <w:spacing w:val="-2"/>
        </w:rPr>
        <w:t xml:space="preserve"> </w:t>
      </w:r>
      <w:r>
        <w:t>al.</w:t>
      </w:r>
      <w:r>
        <w:rPr>
          <w:spacing w:val="-2"/>
        </w:rPr>
        <w:t xml:space="preserve"> </w:t>
      </w:r>
      <w:r>
        <w:t>Implementing</w:t>
      </w:r>
      <w:r>
        <w:rPr>
          <w:spacing w:val="-2"/>
        </w:rPr>
        <w:t xml:space="preserve"> </w:t>
      </w:r>
      <w:r>
        <w:t>best</w:t>
      </w:r>
      <w:r>
        <w:rPr>
          <w:spacing w:val="-2"/>
        </w:rPr>
        <w:t xml:space="preserve"> </w:t>
      </w:r>
      <w:r>
        <w:t>practice</w:t>
      </w:r>
      <w:r>
        <w:rPr>
          <w:spacing w:val="-2"/>
        </w:rPr>
        <w:t xml:space="preserve"> </w:t>
      </w:r>
      <w:r>
        <w:t>for</w:t>
      </w:r>
      <w:r>
        <w:rPr>
          <w:spacing w:val="-2"/>
        </w:rPr>
        <w:t xml:space="preserve"> </w:t>
      </w:r>
      <w:r>
        <w:t>peripheral</w:t>
      </w:r>
      <w:r>
        <w:rPr>
          <w:spacing w:val="-2"/>
        </w:rPr>
        <w:t xml:space="preserve"> </w:t>
      </w:r>
      <w:r>
        <w:t>intravenous</w:t>
      </w:r>
      <w:r>
        <w:rPr>
          <w:spacing w:val="-2"/>
        </w:rPr>
        <w:t xml:space="preserve"> </w:t>
      </w:r>
      <w:r>
        <w:t xml:space="preserve">cannula use in Australian emergency departments: a stepped-wedge cluster-controlled trial and health economic analysis protocol. BMJ Open 2025; 15(6):e096962, </w:t>
      </w:r>
      <w:hyperlink r:id="rId23">
        <w:r>
          <w:rPr>
            <w:u w:val="single"/>
          </w:rPr>
          <w:t>https://doi.org/10.1136/bmjopen-2024-096962</w:t>
        </w:r>
      </w:hyperlink>
      <w:r>
        <w:t>.</w:t>
      </w:r>
    </w:p>
    <w:p w14:paraId="20C9319C" w14:textId="77777777" w:rsidR="009D54AF" w:rsidRDefault="00000000">
      <w:pPr>
        <w:pStyle w:val="BodyText"/>
        <w:spacing w:before="141" w:line="278" w:lineRule="auto"/>
        <w:ind w:left="142"/>
      </w:pPr>
      <w:r>
        <w:lastRenderedPageBreak/>
        <w:t>Fong</w:t>
      </w:r>
      <w:r>
        <w:rPr>
          <w:spacing w:val="-2"/>
        </w:rPr>
        <w:t xml:space="preserve"> </w:t>
      </w:r>
      <w:r>
        <w:t>L,</w:t>
      </w:r>
      <w:r>
        <w:rPr>
          <w:spacing w:val="-2"/>
        </w:rPr>
        <w:t xml:space="preserve"> </w:t>
      </w:r>
      <w:r>
        <w:t>Sukkar</w:t>
      </w:r>
      <w:r>
        <w:rPr>
          <w:spacing w:val="-2"/>
        </w:rPr>
        <w:t xml:space="preserve"> </w:t>
      </w:r>
      <w:r>
        <w:t>MB,</w:t>
      </w:r>
      <w:r>
        <w:rPr>
          <w:spacing w:val="-2"/>
        </w:rPr>
        <w:t xml:space="preserve"> </w:t>
      </w:r>
      <w:r>
        <w:t>Ahmed</w:t>
      </w:r>
      <w:r>
        <w:rPr>
          <w:spacing w:val="-2"/>
        </w:rPr>
        <w:t xml:space="preserve"> </w:t>
      </w:r>
      <w:r>
        <w:t>R,</w:t>
      </w:r>
      <w:r>
        <w:rPr>
          <w:spacing w:val="-2"/>
        </w:rPr>
        <w:t xml:space="preserve"> </w:t>
      </w:r>
      <w:r>
        <w:t>et</w:t>
      </w:r>
      <w:r>
        <w:rPr>
          <w:spacing w:val="-2"/>
        </w:rPr>
        <w:t xml:space="preserve"> </w:t>
      </w:r>
      <w:r>
        <w:t>al.</w:t>
      </w:r>
      <w:r>
        <w:rPr>
          <w:spacing w:val="-2"/>
        </w:rPr>
        <w:t xml:space="preserve"> </w:t>
      </w:r>
      <w:r>
        <w:t>Establishing</w:t>
      </w:r>
      <w:r>
        <w:rPr>
          <w:spacing w:val="-2"/>
        </w:rPr>
        <w:t xml:space="preserve"> </w:t>
      </w:r>
      <w:r>
        <w:t>a</w:t>
      </w:r>
      <w:r>
        <w:rPr>
          <w:spacing w:val="-2"/>
        </w:rPr>
        <w:t xml:space="preserve"> </w:t>
      </w:r>
      <w:r>
        <w:t>national</w:t>
      </w:r>
      <w:r>
        <w:rPr>
          <w:spacing w:val="-2"/>
        </w:rPr>
        <w:t xml:space="preserve"> </w:t>
      </w:r>
      <w:r>
        <w:t>standard</w:t>
      </w:r>
      <w:r>
        <w:rPr>
          <w:spacing w:val="-2"/>
        </w:rPr>
        <w:t xml:space="preserve"> </w:t>
      </w:r>
      <w:r>
        <w:t>to</w:t>
      </w:r>
      <w:r>
        <w:rPr>
          <w:spacing w:val="-2"/>
        </w:rPr>
        <w:t xml:space="preserve"> </w:t>
      </w:r>
      <w:r>
        <w:t>achieve</w:t>
      </w:r>
      <w:r>
        <w:rPr>
          <w:spacing w:val="-2"/>
        </w:rPr>
        <w:t xml:space="preserve"> </w:t>
      </w:r>
      <w:r>
        <w:t>better</w:t>
      </w:r>
      <w:r>
        <w:rPr>
          <w:spacing w:val="-2"/>
        </w:rPr>
        <w:t xml:space="preserve"> </w:t>
      </w:r>
      <w:r>
        <w:t>outcomes</w:t>
      </w:r>
      <w:r>
        <w:rPr>
          <w:spacing w:val="-2"/>
        </w:rPr>
        <w:t xml:space="preserve"> </w:t>
      </w:r>
      <w:r>
        <w:t>for</w:t>
      </w:r>
      <w:r>
        <w:rPr>
          <w:spacing w:val="-2"/>
        </w:rPr>
        <w:t xml:space="preserve"> </w:t>
      </w:r>
      <w:r>
        <w:t xml:space="preserve">people living with chronic obstructive pulmonary disease. Australian Prescriber 2024; 47(6):168–170, </w:t>
      </w:r>
      <w:hyperlink r:id="rId24">
        <w:r>
          <w:rPr>
            <w:u w:val="single"/>
          </w:rPr>
          <w:t>https://doi.</w:t>
        </w:r>
      </w:hyperlink>
      <w:r>
        <w:t xml:space="preserve"> </w:t>
      </w:r>
      <w:hyperlink r:id="rId25">
        <w:r>
          <w:rPr>
            <w:spacing w:val="-2"/>
            <w:u w:val="single"/>
          </w:rPr>
          <w:t>org/10.18773/austprescr.2024.053</w:t>
        </w:r>
      </w:hyperlink>
      <w:r>
        <w:rPr>
          <w:spacing w:val="-2"/>
        </w:rPr>
        <w:t>.</w:t>
      </w:r>
    </w:p>
    <w:p w14:paraId="6180FB25" w14:textId="77777777" w:rsidR="009D54AF" w:rsidRDefault="00000000">
      <w:pPr>
        <w:pStyle w:val="BodyText"/>
        <w:spacing w:before="142" w:line="278" w:lineRule="auto"/>
        <w:ind w:left="142" w:right="613"/>
      </w:pPr>
      <w:r>
        <w:t>Lovegrove J, Havers S, Schults J, et al. Does policy and practice for peripheral intravenous catheters match</w:t>
      </w:r>
      <w:r>
        <w:rPr>
          <w:spacing w:val="-8"/>
        </w:rPr>
        <w:t xml:space="preserve"> </w:t>
      </w:r>
      <w:r>
        <w:t>clinical</w:t>
      </w:r>
      <w:r>
        <w:rPr>
          <w:spacing w:val="-8"/>
        </w:rPr>
        <w:t xml:space="preserve"> </w:t>
      </w:r>
      <w:r>
        <w:t>standards?</w:t>
      </w:r>
      <w:r>
        <w:rPr>
          <w:spacing w:val="-8"/>
        </w:rPr>
        <w:t xml:space="preserve"> </w:t>
      </w:r>
      <w:r>
        <w:t>A</w:t>
      </w:r>
      <w:r>
        <w:rPr>
          <w:spacing w:val="-8"/>
        </w:rPr>
        <w:t xml:space="preserve"> </w:t>
      </w:r>
      <w:r>
        <w:t>point</w:t>
      </w:r>
      <w:r>
        <w:rPr>
          <w:spacing w:val="-8"/>
        </w:rPr>
        <w:t xml:space="preserve"> </w:t>
      </w:r>
      <w:r>
        <w:t>prevalence</w:t>
      </w:r>
      <w:r>
        <w:rPr>
          <w:spacing w:val="-8"/>
        </w:rPr>
        <w:t xml:space="preserve"> </w:t>
      </w:r>
      <w:r>
        <w:t>study.</w:t>
      </w:r>
      <w:r>
        <w:rPr>
          <w:spacing w:val="-8"/>
        </w:rPr>
        <w:t xml:space="preserve"> </w:t>
      </w:r>
      <w:r>
        <w:t>Infection,</w:t>
      </w:r>
      <w:r>
        <w:rPr>
          <w:spacing w:val="-8"/>
        </w:rPr>
        <w:t xml:space="preserve"> </w:t>
      </w:r>
      <w:r>
        <w:t>Disease</w:t>
      </w:r>
      <w:r>
        <w:rPr>
          <w:spacing w:val="-8"/>
        </w:rPr>
        <w:t xml:space="preserve"> </w:t>
      </w:r>
      <w:r>
        <w:t>&amp;</w:t>
      </w:r>
      <w:r>
        <w:rPr>
          <w:spacing w:val="-8"/>
        </w:rPr>
        <w:t xml:space="preserve"> </w:t>
      </w:r>
      <w:r>
        <w:t>Health,</w:t>
      </w:r>
      <w:r>
        <w:rPr>
          <w:spacing w:val="40"/>
        </w:rPr>
        <w:t xml:space="preserve"> </w:t>
      </w:r>
      <w:r>
        <w:t>2025;</w:t>
      </w:r>
      <w:r>
        <w:rPr>
          <w:spacing w:val="-8"/>
        </w:rPr>
        <w:t xml:space="preserve"> </w:t>
      </w:r>
      <w:r>
        <w:t>31(2),</w:t>
      </w:r>
      <w:r>
        <w:rPr>
          <w:spacing w:val="-8"/>
        </w:rPr>
        <w:t xml:space="preserve"> </w:t>
      </w:r>
      <w:hyperlink r:id="rId26">
        <w:r>
          <w:rPr>
            <w:u w:val="single"/>
          </w:rPr>
          <w:t>https://doi.</w:t>
        </w:r>
      </w:hyperlink>
      <w:r>
        <w:t xml:space="preserve"> </w:t>
      </w:r>
      <w:hyperlink r:id="rId27">
        <w:r>
          <w:rPr>
            <w:spacing w:val="-2"/>
            <w:u w:val="single"/>
          </w:rPr>
          <w:t>org/10.1016/j.idh.2025.09.004</w:t>
        </w:r>
      </w:hyperlink>
      <w:r>
        <w:rPr>
          <w:spacing w:val="-2"/>
        </w:rPr>
        <w:t>.</w:t>
      </w:r>
    </w:p>
    <w:p w14:paraId="2C2FB39A" w14:textId="77777777" w:rsidR="009D54AF" w:rsidRDefault="00000000">
      <w:pPr>
        <w:pStyle w:val="BodyText"/>
        <w:spacing w:before="141" w:line="278" w:lineRule="auto"/>
        <w:ind w:left="142"/>
      </w:pPr>
      <w:r>
        <w:t>Lovegrove J, Havers S, Smith A, et al. Peripheral intravenous catheter policies and procedures across Queensland:</w:t>
      </w:r>
      <w:r>
        <w:rPr>
          <w:spacing w:val="-3"/>
        </w:rPr>
        <w:t xml:space="preserve"> </w:t>
      </w:r>
      <w:r>
        <w:t>a</w:t>
      </w:r>
      <w:r>
        <w:rPr>
          <w:spacing w:val="-3"/>
        </w:rPr>
        <w:t xml:space="preserve"> </w:t>
      </w:r>
      <w:r>
        <w:t>document</w:t>
      </w:r>
      <w:r>
        <w:rPr>
          <w:spacing w:val="-3"/>
        </w:rPr>
        <w:t xml:space="preserve"> </w:t>
      </w:r>
      <w:r>
        <w:t>review</w:t>
      </w:r>
      <w:r>
        <w:rPr>
          <w:spacing w:val="-3"/>
        </w:rPr>
        <w:t xml:space="preserve"> </w:t>
      </w:r>
      <w:r>
        <w:t>and</w:t>
      </w:r>
      <w:r>
        <w:rPr>
          <w:spacing w:val="-3"/>
        </w:rPr>
        <w:t xml:space="preserve"> </w:t>
      </w:r>
      <w:r>
        <w:t>analysis</w:t>
      </w:r>
      <w:r>
        <w:rPr>
          <w:spacing w:val="-3"/>
        </w:rPr>
        <w:t xml:space="preserve"> </w:t>
      </w:r>
      <w:r>
        <w:t>of</w:t>
      </w:r>
      <w:r>
        <w:rPr>
          <w:spacing w:val="-3"/>
        </w:rPr>
        <w:t xml:space="preserve"> </w:t>
      </w:r>
      <w:r>
        <w:t>underpinning</w:t>
      </w:r>
      <w:r>
        <w:rPr>
          <w:spacing w:val="-3"/>
        </w:rPr>
        <w:t xml:space="preserve"> </w:t>
      </w:r>
      <w:r>
        <w:t>evidence</w:t>
      </w:r>
      <w:r>
        <w:rPr>
          <w:spacing w:val="-3"/>
        </w:rPr>
        <w:t xml:space="preserve"> </w:t>
      </w:r>
      <w:r>
        <w:t>and</w:t>
      </w:r>
      <w:r>
        <w:rPr>
          <w:spacing w:val="-3"/>
        </w:rPr>
        <w:t xml:space="preserve"> </w:t>
      </w:r>
      <w:r>
        <w:t>alignment</w:t>
      </w:r>
      <w:r>
        <w:rPr>
          <w:spacing w:val="-3"/>
        </w:rPr>
        <w:t xml:space="preserve"> </w:t>
      </w:r>
      <w:r>
        <w:t>with</w:t>
      </w:r>
      <w:r>
        <w:rPr>
          <w:spacing w:val="-3"/>
        </w:rPr>
        <w:t xml:space="preserve"> </w:t>
      </w:r>
      <w:r>
        <w:t>clinical</w:t>
      </w:r>
      <w:r>
        <w:rPr>
          <w:spacing w:val="-3"/>
        </w:rPr>
        <w:t xml:space="preserve"> </w:t>
      </w:r>
      <w:r>
        <w:t xml:space="preserve">standards. Australian Health Review 2025; 49(6): AH25234, </w:t>
      </w:r>
      <w:hyperlink r:id="rId28">
        <w:r>
          <w:rPr>
            <w:u w:val="single"/>
          </w:rPr>
          <w:t>https://doi.org/10.1071/AH25234</w:t>
        </w:r>
      </w:hyperlink>
      <w:r>
        <w:t>.</w:t>
      </w:r>
    </w:p>
    <w:p w14:paraId="3D09E9C5" w14:textId="77777777" w:rsidR="009D54AF" w:rsidRDefault="00000000">
      <w:pPr>
        <w:pStyle w:val="BodyText"/>
        <w:spacing w:before="141" w:line="278" w:lineRule="auto"/>
        <w:ind w:left="142" w:right="285"/>
      </w:pPr>
      <w:r>
        <w:t>Macfarlane</w:t>
      </w:r>
      <w:r>
        <w:rPr>
          <w:spacing w:val="-2"/>
        </w:rPr>
        <w:t xml:space="preserve"> </w:t>
      </w:r>
      <w:r>
        <w:t>S,</w:t>
      </w:r>
      <w:r>
        <w:rPr>
          <w:spacing w:val="-2"/>
        </w:rPr>
        <w:t xml:space="preserve"> </w:t>
      </w:r>
      <w:proofErr w:type="spellStart"/>
      <w:r>
        <w:t>Trollor</w:t>
      </w:r>
      <w:proofErr w:type="spellEnd"/>
      <w:r>
        <w:rPr>
          <w:spacing w:val="-2"/>
        </w:rPr>
        <w:t xml:space="preserve"> </w:t>
      </w:r>
      <w:r>
        <w:t>JN,</w:t>
      </w:r>
      <w:r>
        <w:rPr>
          <w:spacing w:val="-2"/>
        </w:rPr>
        <w:t xml:space="preserve"> </w:t>
      </w:r>
      <w:r>
        <w:t>Koncz</w:t>
      </w:r>
      <w:r>
        <w:rPr>
          <w:spacing w:val="-2"/>
        </w:rPr>
        <w:t xml:space="preserve"> </w:t>
      </w:r>
      <w:r>
        <w:t>R,</w:t>
      </w:r>
      <w:r>
        <w:rPr>
          <w:spacing w:val="-2"/>
        </w:rPr>
        <w:t xml:space="preserve"> </w:t>
      </w:r>
      <w:r>
        <w:t>et</w:t>
      </w:r>
      <w:r>
        <w:rPr>
          <w:spacing w:val="-2"/>
        </w:rPr>
        <w:t xml:space="preserve"> </w:t>
      </w:r>
      <w:r>
        <w:t>al.</w:t>
      </w:r>
      <w:r>
        <w:rPr>
          <w:spacing w:val="-2"/>
        </w:rPr>
        <w:t xml:space="preserve"> </w:t>
      </w:r>
      <w:r>
        <w:t>Supporting</w:t>
      </w:r>
      <w:r>
        <w:rPr>
          <w:spacing w:val="-2"/>
        </w:rPr>
        <w:t xml:space="preserve"> </w:t>
      </w:r>
      <w:r>
        <w:t>the</w:t>
      </w:r>
      <w:r>
        <w:rPr>
          <w:spacing w:val="-2"/>
        </w:rPr>
        <w:t xml:space="preserve"> </w:t>
      </w:r>
      <w:r>
        <w:t>appropriate</w:t>
      </w:r>
      <w:r>
        <w:rPr>
          <w:spacing w:val="-2"/>
        </w:rPr>
        <w:t xml:space="preserve"> </w:t>
      </w:r>
      <w:r>
        <w:t>use</w:t>
      </w:r>
      <w:r>
        <w:rPr>
          <w:spacing w:val="-2"/>
        </w:rPr>
        <w:t xml:space="preserve"> </w:t>
      </w:r>
      <w:r>
        <w:t>of</w:t>
      </w:r>
      <w:r>
        <w:rPr>
          <w:spacing w:val="-2"/>
        </w:rPr>
        <w:t xml:space="preserve"> </w:t>
      </w:r>
      <w:r>
        <w:t>psychotropic</w:t>
      </w:r>
      <w:r>
        <w:rPr>
          <w:spacing w:val="-2"/>
        </w:rPr>
        <w:t xml:space="preserve"> </w:t>
      </w:r>
      <w:r>
        <w:t>medicines</w:t>
      </w:r>
      <w:r>
        <w:rPr>
          <w:spacing w:val="-2"/>
        </w:rPr>
        <w:t xml:space="preserve"> </w:t>
      </w:r>
      <w:r>
        <w:t>in</w:t>
      </w:r>
      <w:r>
        <w:rPr>
          <w:spacing w:val="-2"/>
        </w:rPr>
        <w:t xml:space="preserve"> </w:t>
      </w:r>
      <w:r>
        <w:t xml:space="preserve">aged and disability care. Australian Prescriber 2026; 49(1):4–9, </w:t>
      </w:r>
      <w:hyperlink r:id="rId29">
        <w:r>
          <w:rPr>
            <w:u w:val="single"/>
          </w:rPr>
          <w:t>https://doi.org/10.18773/austprescr.2026.006</w:t>
        </w:r>
      </w:hyperlink>
      <w:r>
        <w:t>.</w:t>
      </w:r>
    </w:p>
    <w:p w14:paraId="405A07B4" w14:textId="77777777" w:rsidR="009D54AF" w:rsidRDefault="00000000">
      <w:pPr>
        <w:pStyle w:val="BodyText"/>
        <w:spacing w:before="142" w:line="278" w:lineRule="auto"/>
        <w:ind w:left="142" w:right="214"/>
      </w:pPr>
      <w:r>
        <w:t>Southerland</w:t>
      </w:r>
      <w:r>
        <w:rPr>
          <w:spacing w:val="-4"/>
        </w:rPr>
        <w:t xml:space="preserve"> </w:t>
      </w:r>
      <w:r>
        <w:t>LT,</w:t>
      </w:r>
      <w:r>
        <w:rPr>
          <w:spacing w:val="-4"/>
        </w:rPr>
        <w:t xml:space="preserve"> </w:t>
      </w:r>
      <w:r>
        <w:t>van</w:t>
      </w:r>
      <w:r>
        <w:rPr>
          <w:spacing w:val="-4"/>
        </w:rPr>
        <w:t xml:space="preserve"> </w:t>
      </w:r>
      <w:r>
        <w:t>Oppen</w:t>
      </w:r>
      <w:r>
        <w:rPr>
          <w:spacing w:val="-4"/>
        </w:rPr>
        <w:t xml:space="preserve"> </w:t>
      </w:r>
      <w:r>
        <w:t>JD,</w:t>
      </w:r>
      <w:r>
        <w:rPr>
          <w:spacing w:val="-4"/>
        </w:rPr>
        <w:t xml:space="preserve"> </w:t>
      </w:r>
      <w:r>
        <w:t>Chartier</w:t>
      </w:r>
      <w:r>
        <w:rPr>
          <w:spacing w:val="-4"/>
        </w:rPr>
        <w:t xml:space="preserve"> </w:t>
      </w:r>
      <w:r>
        <w:t>LB,</w:t>
      </w:r>
      <w:r>
        <w:rPr>
          <w:spacing w:val="-4"/>
        </w:rPr>
        <w:t xml:space="preserve"> </w:t>
      </w:r>
      <w:r>
        <w:t>et</w:t>
      </w:r>
      <w:r>
        <w:rPr>
          <w:spacing w:val="-4"/>
        </w:rPr>
        <w:t xml:space="preserve"> </w:t>
      </w:r>
      <w:r>
        <w:t>al.</w:t>
      </w:r>
      <w:r>
        <w:rPr>
          <w:spacing w:val="-4"/>
        </w:rPr>
        <w:t xml:space="preserve"> </w:t>
      </w:r>
      <w:r>
        <w:t>A</w:t>
      </w:r>
      <w:r>
        <w:rPr>
          <w:spacing w:val="-4"/>
        </w:rPr>
        <w:t xml:space="preserve"> </w:t>
      </w:r>
      <w:r>
        <w:t>comparative</w:t>
      </w:r>
      <w:r>
        <w:rPr>
          <w:spacing w:val="-4"/>
        </w:rPr>
        <w:t xml:space="preserve"> </w:t>
      </w:r>
      <w:r>
        <w:t>analysis</w:t>
      </w:r>
      <w:r>
        <w:rPr>
          <w:spacing w:val="-4"/>
        </w:rPr>
        <w:t xml:space="preserve"> </w:t>
      </w:r>
      <w:r>
        <w:t>of</w:t>
      </w:r>
      <w:r>
        <w:rPr>
          <w:spacing w:val="-4"/>
        </w:rPr>
        <w:t xml:space="preserve"> </w:t>
      </w:r>
      <w:r>
        <w:t>hospital-acquired</w:t>
      </w:r>
      <w:r>
        <w:rPr>
          <w:spacing w:val="-4"/>
        </w:rPr>
        <w:t xml:space="preserve"> </w:t>
      </w:r>
      <w:r>
        <w:t>complications and sentinel event reporting across Australia, Canada, New Zealand, England, and the United States. The Joint Commission Journal on Quality and Patient Safety</w:t>
      </w:r>
      <w:r>
        <w:rPr>
          <w:spacing w:val="40"/>
        </w:rPr>
        <w:t xml:space="preserve"> </w:t>
      </w:r>
      <w:r>
        <w:t xml:space="preserve">2026 ; 52(8): 374–91, </w:t>
      </w:r>
      <w:hyperlink r:id="rId30">
        <w:r>
          <w:rPr>
            <w:u w:val="single"/>
          </w:rPr>
          <w:t>https://doi.org/10.1016/j.</w:t>
        </w:r>
      </w:hyperlink>
      <w:r>
        <w:t xml:space="preserve"> </w:t>
      </w:r>
      <w:hyperlink r:id="rId31">
        <w:r>
          <w:rPr>
            <w:spacing w:val="-2"/>
            <w:u w:val="single"/>
          </w:rPr>
          <w:t>jcjq.2026.04.011</w:t>
        </w:r>
      </w:hyperlink>
      <w:r>
        <w:rPr>
          <w:spacing w:val="-2"/>
        </w:rPr>
        <w:t>.</w:t>
      </w:r>
    </w:p>
    <w:p w14:paraId="58E655C3" w14:textId="77777777" w:rsidR="009D54AF" w:rsidRDefault="009D54AF">
      <w:pPr>
        <w:pStyle w:val="BodyText"/>
        <w:spacing w:line="278" w:lineRule="auto"/>
        <w:sectPr w:rsidR="009D54AF">
          <w:pgSz w:w="11910" w:h="16840"/>
          <w:pgMar w:top="720" w:right="708" w:bottom="280" w:left="708" w:header="720" w:footer="720" w:gutter="0"/>
          <w:cols w:space="720"/>
        </w:sectPr>
      </w:pPr>
    </w:p>
    <w:p w14:paraId="1774FDB9" w14:textId="77777777" w:rsidR="009D54AF" w:rsidRDefault="00000000">
      <w:pPr>
        <w:pStyle w:val="ListParagraph"/>
        <w:numPr>
          <w:ilvl w:val="0"/>
          <w:numId w:val="38"/>
        </w:numPr>
        <w:tabs>
          <w:tab w:val="left" w:pos="714"/>
        </w:tabs>
        <w:spacing w:before="57"/>
        <w:ind w:left="714" w:hanging="572"/>
        <w:rPr>
          <w:sz w:val="52"/>
        </w:rPr>
      </w:pPr>
      <w:r>
        <w:rPr>
          <w:sz w:val="52"/>
        </w:rPr>
        <w:lastRenderedPageBreak/>
        <w:t>Report</w:t>
      </w:r>
      <w:r>
        <w:rPr>
          <w:spacing w:val="-7"/>
          <w:sz w:val="52"/>
        </w:rPr>
        <w:t xml:space="preserve"> </w:t>
      </w:r>
      <w:r>
        <w:rPr>
          <w:sz w:val="52"/>
        </w:rPr>
        <w:t>on</w:t>
      </w:r>
      <w:r>
        <w:rPr>
          <w:spacing w:val="-7"/>
          <w:sz w:val="52"/>
        </w:rPr>
        <w:t xml:space="preserve"> </w:t>
      </w:r>
      <w:r>
        <w:rPr>
          <w:spacing w:val="-2"/>
          <w:sz w:val="52"/>
        </w:rPr>
        <w:t>Performance</w:t>
      </w:r>
    </w:p>
    <w:p w14:paraId="7E365A8D" w14:textId="77777777" w:rsidR="009D54AF" w:rsidRDefault="00000000">
      <w:pPr>
        <w:pStyle w:val="Heading9"/>
        <w:spacing w:before="315" w:line="268" w:lineRule="auto"/>
      </w:pPr>
      <w:r>
        <w:t>This</w:t>
      </w:r>
      <w:r>
        <w:rPr>
          <w:spacing w:val="-11"/>
        </w:rPr>
        <w:t xml:space="preserve"> </w:t>
      </w:r>
      <w:r>
        <w:t>section</w:t>
      </w:r>
      <w:r>
        <w:rPr>
          <w:spacing w:val="-11"/>
        </w:rPr>
        <w:t xml:space="preserve"> </w:t>
      </w:r>
      <w:r>
        <w:t>details</w:t>
      </w:r>
      <w:r>
        <w:rPr>
          <w:spacing w:val="-11"/>
        </w:rPr>
        <w:t xml:space="preserve"> </w:t>
      </w:r>
      <w:r>
        <w:t>the</w:t>
      </w:r>
      <w:r>
        <w:rPr>
          <w:spacing w:val="-11"/>
        </w:rPr>
        <w:t xml:space="preserve"> </w:t>
      </w:r>
      <w:r>
        <w:t>Commission’s</w:t>
      </w:r>
      <w:r>
        <w:rPr>
          <w:spacing w:val="-11"/>
        </w:rPr>
        <w:t xml:space="preserve"> </w:t>
      </w:r>
      <w:r>
        <w:t>achievements</w:t>
      </w:r>
      <w:r>
        <w:rPr>
          <w:spacing w:val="-11"/>
        </w:rPr>
        <w:t xml:space="preserve"> </w:t>
      </w:r>
      <w:r>
        <w:t>against</w:t>
      </w:r>
      <w:r>
        <w:rPr>
          <w:spacing w:val="-11"/>
        </w:rPr>
        <w:t xml:space="preserve"> </w:t>
      </w:r>
      <w:r>
        <w:t>its</w:t>
      </w:r>
      <w:r>
        <w:rPr>
          <w:spacing w:val="-11"/>
        </w:rPr>
        <w:t xml:space="preserve"> </w:t>
      </w:r>
      <w:r>
        <w:t>four</w:t>
      </w:r>
      <w:r>
        <w:rPr>
          <w:spacing w:val="-11"/>
        </w:rPr>
        <w:t xml:space="preserve"> </w:t>
      </w:r>
      <w:r>
        <w:t>priority</w:t>
      </w:r>
      <w:r>
        <w:rPr>
          <w:spacing w:val="-11"/>
        </w:rPr>
        <w:t xml:space="preserve"> </w:t>
      </w:r>
      <w:r>
        <w:t>areas</w:t>
      </w:r>
      <w:r>
        <w:rPr>
          <w:spacing w:val="-11"/>
        </w:rPr>
        <w:t xml:space="preserve"> </w:t>
      </w:r>
      <w:r>
        <w:t>under</w:t>
      </w:r>
      <w:r>
        <w:rPr>
          <w:spacing w:val="-11"/>
        </w:rPr>
        <w:t xml:space="preserve"> </w:t>
      </w:r>
      <w:r>
        <w:t>the Strategic Plan 2025-2030.</w:t>
      </w:r>
    </w:p>
    <w:p w14:paraId="2C902EAC" w14:textId="15CEF605" w:rsidR="00C237F2" w:rsidRDefault="00000000" w:rsidP="00C237F2">
      <w:pPr>
        <w:tabs>
          <w:tab w:val="left" w:pos="6622"/>
        </w:tabs>
        <w:spacing w:before="180" w:line="278" w:lineRule="auto"/>
        <w:ind w:left="142" w:right="3654"/>
        <w:rPr>
          <w:sz w:val="20"/>
        </w:rPr>
      </w:pPr>
      <w:hyperlink w:anchor="_Strategic_Priority_1:" w:history="1">
        <w:r w:rsidR="008F5B74">
          <w:rPr>
            <w:sz w:val="20"/>
          </w:rPr>
          <w:t>Strategic Priority 1: High-quality care in an evolving environment</w:t>
        </w:r>
      </w:hyperlink>
      <w:r>
        <w:rPr>
          <w:sz w:val="20"/>
        </w:rPr>
        <w:t xml:space="preserve"> </w:t>
      </w:r>
    </w:p>
    <w:p w14:paraId="73EC0CC1" w14:textId="1C627D58" w:rsidR="00C237F2" w:rsidRDefault="00000000" w:rsidP="00C237F2">
      <w:pPr>
        <w:tabs>
          <w:tab w:val="left" w:pos="6622"/>
        </w:tabs>
        <w:spacing w:before="180" w:line="278" w:lineRule="auto"/>
        <w:ind w:left="142" w:right="3654"/>
      </w:pPr>
      <w:hyperlink w:anchor="_Strategic_Priority_2:" w:history="1">
        <w:r w:rsidR="008F5B74">
          <w:rPr>
            <w:sz w:val="20"/>
          </w:rPr>
          <w:t>Strategic Priority 2: Strong outcome-focused clinical governance</w:t>
        </w:r>
      </w:hyperlink>
    </w:p>
    <w:p w14:paraId="063CC3D8" w14:textId="74FCC258" w:rsidR="009D54AF" w:rsidRDefault="00000000" w:rsidP="00C237F2">
      <w:pPr>
        <w:tabs>
          <w:tab w:val="left" w:pos="6622"/>
        </w:tabs>
        <w:spacing w:before="180" w:line="278" w:lineRule="auto"/>
        <w:ind w:left="142" w:right="3654"/>
        <w:rPr>
          <w:sz w:val="20"/>
        </w:rPr>
      </w:pPr>
      <w:hyperlink w:anchor="_Strategic_Priority_3:" w:history="1">
        <w:r w:rsidR="008F5B74">
          <w:rPr>
            <w:spacing w:val="-8"/>
            <w:sz w:val="20"/>
          </w:rPr>
          <w:t>Strategic Priority 3: Empowered patients, carers and com</w:t>
        </w:r>
        <w:r w:rsidR="008F5B74">
          <w:rPr>
            <w:spacing w:val="-8"/>
            <w:sz w:val="20"/>
          </w:rPr>
          <w:t>m</w:t>
        </w:r>
        <w:r w:rsidR="008F5B74">
          <w:rPr>
            <w:spacing w:val="-8"/>
            <w:sz w:val="20"/>
          </w:rPr>
          <w:t>unities</w:t>
        </w:r>
      </w:hyperlink>
    </w:p>
    <w:p w14:paraId="6431E93E" w14:textId="28426ACE" w:rsidR="009D54AF" w:rsidRDefault="00000000" w:rsidP="00C237F2">
      <w:pPr>
        <w:tabs>
          <w:tab w:val="left" w:pos="5902"/>
        </w:tabs>
        <w:spacing w:before="180" w:line="278" w:lineRule="auto"/>
        <w:ind w:left="142"/>
        <w:rPr>
          <w:sz w:val="20"/>
        </w:rPr>
      </w:pPr>
      <w:hyperlink w:anchor="_Strategic_Priority_4:" w:history="1">
        <w:r w:rsidR="008F5B74">
          <w:rPr>
            <w:spacing w:val="-5"/>
            <w:sz w:val="20"/>
          </w:rPr>
          <w:t>Strategic Priority 4: An imp</w:t>
        </w:r>
        <w:r w:rsidR="008F5B74">
          <w:rPr>
            <w:spacing w:val="-5"/>
            <w:sz w:val="20"/>
          </w:rPr>
          <w:t>r</w:t>
        </w:r>
        <w:r w:rsidR="008F5B74">
          <w:rPr>
            <w:spacing w:val="-5"/>
            <w:sz w:val="20"/>
          </w:rPr>
          <w:t>ovement-driven workforce culture</w:t>
        </w:r>
      </w:hyperlink>
    </w:p>
    <w:p w14:paraId="69CDDD11" w14:textId="7F3A4D3E" w:rsidR="009D54AF" w:rsidRDefault="00000000" w:rsidP="00C237F2">
      <w:pPr>
        <w:tabs>
          <w:tab w:val="left" w:pos="5301"/>
        </w:tabs>
        <w:spacing w:before="180" w:line="278" w:lineRule="auto"/>
        <w:ind w:left="142"/>
        <w:rPr>
          <w:sz w:val="20"/>
        </w:rPr>
      </w:pPr>
      <w:hyperlink w:anchor="_Annual_performance_statements" w:history="1">
        <w:r w:rsidR="00D13873">
          <w:rPr>
            <w:spacing w:val="-5"/>
            <w:sz w:val="20"/>
          </w:rPr>
          <w:t>Annual performance statements</w:t>
        </w:r>
      </w:hyperlink>
    </w:p>
    <w:p w14:paraId="19A6C472" w14:textId="409C5CAC" w:rsidR="009D54AF" w:rsidRDefault="00000000" w:rsidP="008F5B74">
      <w:pPr>
        <w:pStyle w:val="Heading1"/>
      </w:pPr>
      <w:bookmarkStart w:id="26" w:name="_Strategic_Priority_1:"/>
      <w:bookmarkStart w:id="27" w:name="_Toc243037274"/>
      <w:bookmarkEnd w:id="26"/>
      <w:r>
        <w:t>Strategic</w:t>
      </w:r>
      <w:r>
        <w:rPr>
          <w:spacing w:val="-19"/>
        </w:rPr>
        <w:t xml:space="preserve"> </w:t>
      </w:r>
      <w:r>
        <w:t>Priority</w:t>
      </w:r>
      <w:r>
        <w:rPr>
          <w:spacing w:val="-19"/>
        </w:rPr>
        <w:t xml:space="preserve"> </w:t>
      </w:r>
      <w:r>
        <w:t>1:</w:t>
      </w:r>
      <w:r>
        <w:rPr>
          <w:spacing w:val="-19"/>
        </w:rPr>
        <w:t xml:space="preserve"> </w:t>
      </w:r>
      <w:r w:rsidR="008F5B74">
        <w:rPr>
          <w:spacing w:val="-19"/>
        </w:rPr>
        <w:br/>
      </w:r>
      <w:r>
        <w:t>High-quality</w:t>
      </w:r>
      <w:r>
        <w:rPr>
          <w:spacing w:val="-19"/>
        </w:rPr>
        <w:t xml:space="preserve"> </w:t>
      </w:r>
      <w:r>
        <w:t>care</w:t>
      </w:r>
      <w:r>
        <w:rPr>
          <w:spacing w:val="-19"/>
        </w:rPr>
        <w:t xml:space="preserve"> </w:t>
      </w:r>
      <w:r>
        <w:t>in</w:t>
      </w:r>
      <w:r>
        <w:rPr>
          <w:spacing w:val="-19"/>
        </w:rPr>
        <w:t xml:space="preserve"> </w:t>
      </w:r>
      <w:r>
        <w:t>an</w:t>
      </w:r>
      <w:r>
        <w:rPr>
          <w:spacing w:val="-19"/>
        </w:rPr>
        <w:t xml:space="preserve"> </w:t>
      </w:r>
      <w:r>
        <w:t>evolving environment</w:t>
      </w:r>
      <w:bookmarkEnd w:id="27"/>
    </w:p>
    <w:p w14:paraId="2DCB1924" w14:textId="77777777" w:rsidR="009D54AF" w:rsidRDefault="00000000">
      <w:pPr>
        <w:pStyle w:val="Heading9"/>
        <w:spacing w:before="172" w:line="268" w:lineRule="auto"/>
      </w:pPr>
      <w:r>
        <w:t>This priority focuses on providing consistently excellent care and being responsive to patient needs</w:t>
      </w:r>
      <w:r>
        <w:rPr>
          <w:spacing w:val="-12"/>
        </w:rPr>
        <w:t xml:space="preserve"> </w:t>
      </w:r>
      <w:r>
        <w:t>and</w:t>
      </w:r>
      <w:r>
        <w:rPr>
          <w:spacing w:val="-12"/>
        </w:rPr>
        <w:t xml:space="preserve"> </w:t>
      </w:r>
      <w:r>
        <w:t>preferences.</w:t>
      </w:r>
      <w:r>
        <w:rPr>
          <w:spacing w:val="-12"/>
        </w:rPr>
        <w:t xml:space="preserve"> </w:t>
      </w:r>
      <w:r>
        <w:t>The</w:t>
      </w:r>
      <w:r>
        <w:rPr>
          <w:spacing w:val="-12"/>
        </w:rPr>
        <w:t xml:space="preserve"> </w:t>
      </w:r>
      <w:r>
        <w:t>health</w:t>
      </w:r>
      <w:r>
        <w:rPr>
          <w:spacing w:val="-12"/>
        </w:rPr>
        <w:t xml:space="preserve"> </w:t>
      </w:r>
      <w:r>
        <w:t>system</w:t>
      </w:r>
      <w:r>
        <w:rPr>
          <w:spacing w:val="-12"/>
        </w:rPr>
        <w:t xml:space="preserve"> </w:t>
      </w:r>
      <w:r>
        <w:t>responds</w:t>
      </w:r>
      <w:r>
        <w:rPr>
          <w:spacing w:val="-12"/>
        </w:rPr>
        <w:t xml:space="preserve"> </w:t>
      </w:r>
      <w:r>
        <w:t>to</w:t>
      </w:r>
      <w:r>
        <w:rPr>
          <w:spacing w:val="-12"/>
        </w:rPr>
        <w:t xml:space="preserve"> </w:t>
      </w:r>
      <w:r>
        <w:t>the</w:t>
      </w:r>
      <w:r>
        <w:rPr>
          <w:spacing w:val="-12"/>
        </w:rPr>
        <w:t xml:space="preserve"> </w:t>
      </w:r>
      <w:r>
        <w:t>evolving</w:t>
      </w:r>
      <w:r>
        <w:rPr>
          <w:spacing w:val="-12"/>
        </w:rPr>
        <w:t xml:space="preserve"> </w:t>
      </w:r>
      <w:r>
        <w:t>environment</w:t>
      </w:r>
      <w:r>
        <w:rPr>
          <w:spacing w:val="-12"/>
        </w:rPr>
        <w:t xml:space="preserve"> </w:t>
      </w:r>
      <w:r>
        <w:t>including</w:t>
      </w:r>
      <w:r>
        <w:rPr>
          <w:spacing w:val="-12"/>
        </w:rPr>
        <w:t xml:space="preserve"> </w:t>
      </w:r>
      <w:r>
        <w:t>to</w:t>
      </w:r>
      <w:r>
        <w:rPr>
          <w:spacing w:val="-12"/>
        </w:rPr>
        <w:t xml:space="preserve"> </w:t>
      </w:r>
      <w:r>
        <w:t>the impacts of artificial intelligence, new models of care and climate change.</w:t>
      </w:r>
    </w:p>
    <w:p w14:paraId="639037BE" w14:textId="77777777" w:rsidR="009D54AF" w:rsidRDefault="009D54AF">
      <w:pPr>
        <w:pStyle w:val="BodyText"/>
        <w:spacing w:before="4"/>
        <w:rPr>
          <w:sz w:val="24"/>
        </w:rPr>
      </w:pPr>
    </w:p>
    <w:p w14:paraId="2EB760AC" w14:textId="77777777" w:rsidR="009D54AF" w:rsidRDefault="00000000">
      <w:pPr>
        <w:pStyle w:val="Heading5"/>
      </w:pPr>
      <w:r>
        <w:t>Digitally</w:t>
      </w:r>
      <w:r>
        <w:rPr>
          <w:spacing w:val="-2"/>
        </w:rPr>
        <w:t xml:space="preserve"> </w:t>
      </w:r>
      <w:r>
        <w:t>enabled</w:t>
      </w:r>
      <w:r>
        <w:rPr>
          <w:spacing w:val="-1"/>
        </w:rPr>
        <w:t xml:space="preserve"> </w:t>
      </w:r>
      <w:r>
        <w:rPr>
          <w:spacing w:val="-4"/>
        </w:rPr>
        <w:t>care</w:t>
      </w:r>
    </w:p>
    <w:p w14:paraId="4C04687F" w14:textId="77777777" w:rsidR="009D54AF" w:rsidRDefault="00000000">
      <w:pPr>
        <w:pStyle w:val="BodyText"/>
        <w:spacing w:before="133" w:line="278" w:lineRule="auto"/>
        <w:ind w:left="142"/>
      </w:pPr>
      <w:r>
        <w:t>As</w:t>
      </w:r>
      <w:r>
        <w:rPr>
          <w:spacing w:val="-2"/>
        </w:rPr>
        <w:t xml:space="preserve"> </w:t>
      </w:r>
      <w:r>
        <w:t>digitally</w:t>
      </w:r>
      <w:r>
        <w:rPr>
          <w:spacing w:val="-2"/>
        </w:rPr>
        <w:t xml:space="preserve"> </w:t>
      </w:r>
      <w:r>
        <w:t>enabled</w:t>
      </w:r>
      <w:r>
        <w:rPr>
          <w:spacing w:val="-2"/>
        </w:rPr>
        <w:t xml:space="preserve"> </w:t>
      </w:r>
      <w:r>
        <w:t>care</w:t>
      </w:r>
      <w:r>
        <w:rPr>
          <w:spacing w:val="-2"/>
        </w:rPr>
        <w:t xml:space="preserve"> </w:t>
      </w:r>
      <w:r>
        <w:t>continues</w:t>
      </w:r>
      <w:r>
        <w:rPr>
          <w:spacing w:val="-2"/>
        </w:rPr>
        <w:t xml:space="preserve"> </w:t>
      </w:r>
      <w:r>
        <w:t>to</w:t>
      </w:r>
      <w:r>
        <w:rPr>
          <w:spacing w:val="-2"/>
        </w:rPr>
        <w:t xml:space="preserve"> </w:t>
      </w:r>
      <w:r>
        <w:t>expand</w:t>
      </w:r>
      <w:r>
        <w:rPr>
          <w:spacing w:val="-2"/>
        </w:rPr>
        <w:t xml:space="preserve"> </w:t>
      </w:r>
      <w:r>
        <w:t>at</w:t>
      </w:r>
      <w:r>
        <w:rPr>
          <w:spacing w:val="-2"/>
        </w:rPr>
        <w:t xml:space="preserve"> </w:t>
      </w:r>
      <w:r>
        <w:t>pace,</w:t>
      </w:r>
      <w:r>
        <w:rPr>
          <w:spacing w:val="-2"/>
        </w:rPr>
        <w:t xml:space="preserve"> </w:t>
      </w:r>
      <w:r>
        <w:t>there</w:t>
      </w:r>
      <w:r>
        <w:rPr>
          <w:spacing w:val="-2"/>
        </w:rPr>
        <w:t xml:space="preserve"> </w:t>
      </w:r>
      <w:r>
        <w:t>is</w:t>
      </w:r>
      <w:r>
        <w:rPr>
          <w:spacing w:val="-2"/>
        </w:rPr>
        <w:t xml:space="preserve"> </w:t>
      </w:r>
      <w:r>
        <w:t>an</w:t>
      </w:r>
      <w:r>
        <w:rPr>
          <w:spacing w:val="-2"/>
        </w:rPr>
        <w:t xml:space="preserve"> </w:t>
      </w:r>
      <w:r>
        <w:t>increasing</w:t>
      </w:r>
      <w:r>
        <w:rPr>
          <w:spacing w:val="-2"/>
        </w:rPr>
        <w:t xml:space="preserve"> </w:t>
      </w:r>
      <w:r>
        <w:t>risk</w:t>
      </w:r>
      <w:r>
        <w:rPr>
          <w:spacing w:val="-2"/>
        </w:rPr>
        <w:t xml:space="preserve"> </w:t>
      </w:r>
      <w:r>
        <w:t>of</w:t>
      </w:r>
      <w:r>
        <w:rPr>
          <w:spacing w:val="-2"/>
        </w:rPr>
        <w:t xml:space="preserve"> </w:t>
      </w:r>
      <w:r>
        <w:t>variability</w:t>
      </w:r>
      <w:r>
        <w:rPr>
          <w:spacing w:val="-2"/>
        </w:rPr>
        <w:t xml:space="preserve"> </w:t>
      </w:r>
      <w:r>
        <w:t>in</w:t>
      </w:r>
      <w:r>
        <w:rPr>
          <w:spacing w:val="-2"/>
        </w:rPr>
        <w:t xml:space="preserve"> </w:t>
      </w:r>
      <w:r>
        <w:t>practice, fragmented care and patient harm.</w:t>
      </w:r>
    </w:p>
    <w:p w14:paraId="6029AAF3" w14:textId="77777777" w:rsidR="009D54AF" w:rsidRDefault="00000000">
      <w:pPr>
        <w:pStyle w:val="BodyText"/>
        <w:spacing w:before="141" w:line="278" w:lineRule="auto"/>
        <w:ind w:left="142" w:right="285"/>
      </w:pPr>
      <w:r>
        <w:t xml:space="preserve">In response, in 2025–26 the Commission released its </w:t>
      </w:r>
      <w:hyperlink r:id="rId32">
        <w:r>
          <w:rPr>
            <w:u w:val="single"/>
          </w:rPr>
          <w:t>Priorities for high-quality digitally enabled care</w:t>
        </w:r>
      </w:hyperlink>
      <w:r>
        <w:t>, articulating</w:t>
      </w:r>
      <w:r>
        <w:rPr>
          <w:spacing w:val="-2"/>
        </w:rPr>
        <w:t xml:space="preserve"> </w:t>
      </w:r>
      <w:r>
        <w:t>the</w:t>
      </w:r>
      <w:r>
        <w:rPr>
          <w:spacing w:val="-2"/>
        </w:rPr>
        <w:t xml:space="preserve"> </w:t>
      </w:r>
      <w:r>
        <w:t>Commission’s</w:t>
      </w:r>
      <w:r>
        <w:rPr>
          <w:spacing w:val="-2"/>
        </w:rPr>
        <w:t xml:space="preserve"> </w:t>
      </w:r>
      <w:r>
        <w:t>unique</w:t>
      </w:r>
      <w:r>
        <w:rPr>
          <w:spacing w:val="-2"/>
        </w:rPr>
        <w:t xml:space="preserve"> </w:t>
      </w:r>
      <w:r>
        <w:t>national</w:t>
      </w:r>
      <w:r>
        <w:rPr>
          <w:spacing w:val="-2"/>
        </w:rPr>
        <w:t xml:space="preserve"> </w:t>
      </w:r>
      <w:r>
        <w:t>leadership</w:t>
      </w:r>
      <w:r>
        <w:rPr>
          <w:spacing w:val="-2"/>
        </w:rPr>
        <w:t xml:space="preserve"> </w:t>
      </w:r>
      <w:r>
        <w:t>role</w:t>
      </w:r>
      <w:r>
        <w:rPr>
          <w:spacing w:val="-2"/>
        </w:rPr>
        <w:t xml:space="preserve"> </w:t>
      </w:r>
      <w:r>
        <w:t>in</w:t>
      </w:r>
      <w:r>
        <w:rPr>
          <w:spacing w:val="-2"/>
        </w:rPr>
        <w:t xml:space="preserve"> </w:t>
      </w:r>
      <w:r>
        <w:t>ensuring</w:t>
      </w:r>
      <w:r>
        <w:rPr>
          <w:spacing w:val="-2"/>
        </w:rPr>
        <w:t xml:space="preserve"> </w:t>
      </w:r>
      <w:r>
        <w:t>digitally</w:t>
      </w:r>
      <w:r>
        <w:rPr>
          <w:spacing w:val="-2"/>
        </w:rPr>
        <w:t xml:space="preserve"> </w:t>
      </w:r>
      <w:r>
        <w:t>enabled</w:t>
      </w:r>
      <w:r>
        <w:rPr>
          <w:spacing w:val="-2"/>
        </w:rPr>
        <w:t xml:space="preserve"> </w:t>
      </w:r>
      <w:r>
        <w:t>care</w:t>
      </w:r>
      <w:r>
        <w:rPr>
          <w:spacing w:val="-2"/>
        </w:rPr>
        <w:t xml:space="preserve"> </w:t>
      </w:r>
      <w:r>
        <w:t>is</w:t>
      </w:r>
      <w:r>
        <w:rPr>
          <w:spacing w:val="-2"/>
        </w:rPr>
        <w:t xml:space="preserve"> </w:t>
      </w:r>
      <w:r>
        <w:t>safe, integrated and trusted.</w:t>
      </w:r>
    </w:p>
    <w:p w14:paraId="39900BD0" w14:textId="77777777" w:rsidR="009D54AF" w:rsidRDefault="00000000">
      <w:pPr>
        <w:pStyle w:val="BodyText"/>
        <w:spacing w:before="142" w:line="278" w:lineRule="auto"/>
        <w:ind w:left="142" w:right="448"/>
      </w:pPr>
      <w:r>
        <w:t>These priorities provide a future-oriented roadmap to guide the Commission’s work and engagement with key</w:t>
      </w:r>
      <w:r>
        <w:rPr>
          <w:spacing w:val="-2"/>
        </w:rPr>
        <w:t xml:space="preserve"> </w:t>
      </w:r>
      <w:r>
        <w:t>partners</w:t>
      </w:r>
      <w:r>
        <w:rPr>
          <w:spacing w:val="-2"/>
        </w:rPr>
        <w:t xml:space="preserve"> </w:t>
      </w:r>
      <w:r>
        <w:t>as</w:t>
      </w:r>
      <w:r>
        <w:rPr>
          <w:spacing w:val="-2"/>
        </w:rPr>
        <w:t xml:space="preserve"> </w:t>
      </w:r>
      <w:r>
        <w:t>the</w:t>
      </w:r>
      <w:r>
        <w:rPr>
          <w:spacing w:val="-2"/>
        </w:rPr>
        <w:t xml:space="preserve"> </w:t>
      </w:r>
      <w:r>
        <w:t>digital</w:t>
      </w:r>
      <w:r>
        <w:rPr>
          <w:spacing w:val="-2"/>
        </w:rPr>
        <w:t xml:space="preserve"> </w:t>
      </w:r>
      <w:r>
        <w:t>health</w:t>
      </w:r>
      <w:r>
        <w:rPr>
          <w:spacing w:val="-2"/>
        </w:rPr>
        <w:t xml:space="preserve"> </w:t>
      </w:r>
      <w:r>
        <w:t>environment</w:t>
      </w:r>
      <w:r>
        <w:rPr>
          <w:spacing w:val="-2"/>
        </w:rPr>
        <w:t xml:space="preserve"> </w:t>
      </w:r>
      <w:r>
        <w:t>evolves.</w:t>
      </w:r>
      <w:r>
        <w:rPr>
          <w:spacing w:val="-2"/>
        </w:rPr>
        <w:t xml:space="preserve"> </w:t>
      </w:r>
      <w:r>
        <w:t>They</w:t>
      </w:r>
      <w:r>
        <w:rPr>
          <w:spacing w:val="-2"/>
        </w:rPr>
        <w:t xml:space="preserve"> </w:t>
      </w:r>
      <w:r>
        <w:t>focus</w:t>
      </w:r>
      <w:r>
        <w:rPr>
          <w:spacing w:val="-2"/>
        </w:rPr>
        <w:t xml:space="preserve"> </w:t>
      </w:r>
      <w:r>
        <w:t>on</w:t>
      </w:r>
      <w:r>
        <w:rPr>
          <w:spacing w:val="-2"/>
        </w:rPr>
        <w:t xml:space="preserve"> </w:t>
      </w:r>
      <w:r>
        <w:t>four</w:t>
      </w:r>
      <w:r>
        <w:rPr>
          <w:spacing w:val="-2"/>
        </w:rPr>
        <w:t xml:space="preserve"> </w:t>
      </w:r>
      <w:r>
        <w:t>areas</w:t>
      </w:r>
      <w:r>
        <w:rPr>
          <w:spacing w:val="-2"/>
        </w:rPr>
        <w:t xml:space="preserve"> </w:t>
      </w:r>
      <w:r>
        <w:t>to</w:t>
      </w:r>
      <w:r>
        <w:rPr>
          <w:spacing w:val="-2"/>
        </w:rPr>
        <w:t xml:space="preserve"> </w:t>
      </w:r>
      <w:r>
        <w:t>strengthen</w:t>
      </w:r>
      <w:r>
        <w:rPr>
          <w:spacing w:val="-2"/>
        </w:rPr>
        <w:t xml:space="preserve"> </w:t>
      </w:r>
      <w:r>
        <w:t>high-quality digitally enabled care:</w:t>
      </w:r>
    </w:p>
    <w:p w14:paraId="6621F4BD" w14:textId="77777777" w:rsidR="009D54AF" w:rsidRDefault="00000000">
      <w:pPr>
        <w:pStyle w:val="ListParagraph"/>
        <w:numPr>
          <w:ilvl w:val="0"/>
          <w:numId w:val="35"/>
        </w:numPr>
        <w:tabs>
          <w:tab w:val="left" w:pos="424"/>
        </w:tabs>
        <w:spacing w:before="56"/>
        <w:ind w:left="424" w:hanging="268"/>
        <w:rPr>
          <w:sz w:val="21"/>
        </w:rPr>
      </w:pPr>
      <w:r>
        <w:rPr>
          <w:sz w:val="21"/>
        </w:rPr>
        <w:t>embedding</w:t>
      </w:r>
      <w:r>
        <w:rPr>
          <w:spacing w:val="-4"/>
          <w:sz w:val="21"/>
        </w:rPr>
        <w:t xml:space="preserve"> </w:t>
      </w:r>
      <w:r>
        <w:rPr>
          <w:sz w:val="21"/>
        </w:rPr>
        <w:t>digitally</w:t>
      </w:r>
      <w:r>
        <w:rPr>
          <w:spacing w:val="-1"/>
          <w:sz w:val="21"/>
        </w:rPr>
        <w:t xml:space="preserve"> </w:t>
      </w:r>
      <w:r>
        <w:rPr>
          <w:sz w:val="21"/>
        </w:rPr>
        <w:t>enabled</w:t>
      </w:r>
      <w:r>
        <w:rPr>
          <w:spacing w:val="-2"/>
          <w:sz w:val="21"/>
        </w:rPr>
        <w:t xml:space="preserve"> </w:t>
      </w:r>
      <w:r>
        <w:rPr>
          <w:sz w:val="21"/>
        </w:rPr>
        <w:t>care</w:t>
      </w:r>
      <w:r>
        <w:rPr>
          <w:spacing w:val="-1"/>
          <w:sz w:val="21"/>
        </w:rPr>
        <w:t xml:space="preserve"> </w:t>
      </w:r>
      <w:r>
        <w:rPr>
          <w:sz w:val="21"/>
        </w:rPr>
        <w:t>within</w:t>
      </w:r>
      <w:r>
        <w:rPr>
          <w:spacing w:val="-2"/>
          <w:sz w:val="21"/>
        </w:rPr>
        <w:t xml:space="preserve"> </w:t>
      </w:r>
      <w:r>
        <w:rPr>
          <w:sz w:val="21"/>
        </w:rPr>
        <w:t>clinical</w:t>
      </w:r>
      <w:r>
        <w:rPr>
          <w:spacing w:val="-1"/>
          <w:sz w:val="21"/>
        </w:rPr>
        <w:t xml:space="preserve"> </w:t>
      </w:r>
      <w:r>
        <w:rPr>
          <w:spacing w:val="-2"/>
          <w:sz w:val="21"/>
        </w:rPr>
        <w:t>governance</w:t>
      </w:r>
    </w:p>
    <w:p w14:paraId="3FB6F01F" w14:textId="77777777" w:rsidR="009D54AF" w:rsidRDefault="00000000">
      <w:pPr>
        <w:pStyle w:val="ListParagraph"/>
        <w:numPr>
          <w:ilvl w:val="0"/>
          <w:numId w:val="35"/>
        </w:numPr>
        <w:tabs>
          <w:tab w:val="left" w:pos="424"/>
        </w:tabs>
        <w:ind w:left="424" w:hanging="268"/>
        <w:rPr>
          <w:sz w:val="21"/>
        </w:rPr>
      </w:pPr>
      <w:r>
        <w:rPr>
          <w:sz w:val="21"/>
        </w:rPr>
        <w:t>strengthening virtual</w:t>
      </w:r>
      <w:r>
        <w:rPr>
          <w:spacing w:val="1"/>
          <w:sz w:val="21"/>
        </w:rPr>
        <w:t xml:space="preserve"> </w:t>
      </w:r>
      <w:r>
        <w:rPr>
          <w:sz w:val="21"/>
        </w:rPr>
        <w:t>care</w:t>
      </w:r>
      <w:r>
        <w:rPr>
          <w:spacing w:val="1"/>
          <w:sz w:val="21"/>
        </w:rPr>
        <w:t xml:space="preserve"> </w:t>
      </w:r>
      <w:r>
        <w:rPr>
          <w:spacing w:val="-2"/>
          <w:sz w:val="21"/>
        </w:rPr>
        <w:t>quality</w:t>
      </w:r>
    </w:p>
    <w:p w14:paraId="68269998" w14:textId="77777777" w:rsidR="009D54AF" w:rsidRDefault="00000000">
      <w:pPr>
        <w:pStyle w:val="ListParagraph"/>
        <w:numPr>
          <w:ilvl w:val="0"/>
          <w:numId w:val="35"/>
        </w:numPr>
        <w:tabs>
          <w:tab w:val="left" w:pos="424"/>
        </w:tabs>
        <w:ind w:left="424" w:hanging="268"/>
        <w:rPr>
          <w:sz w:val="21"/>
        </w:rPr>
      </w:pPr>
      <w:r>
        <w:rPr>
          <w:sz w:val="21"/>
        </w:rPr>
        <w:t>advancing</w:t>
      </w:r>
      <w:r>
        <w:rPr>
          <w:spacing w:val="-2"/>
          <w:sz w:val="21"/>
        </w:rPr>
        <w:t xml:space="preserve"> </w:t>
      </w:r>
      <w:r>
        <w:rPr>
          <w:sz w:val="21"/>
        </w:rPr>
        <w:t>connected</w:t>
      </w:r>
      <w:r>
        <w:rPr>
          <w:spacing w:val="-2"/>
          <w:sz w:val="21"/>
        </w:rPr>
        <w:t xml:space="preserve"> </w:t>
      </w:r>
      <w:r>
        <w:rPr>
          <w:sz w:val="21"/>
        </w:rPr>
        <w:t>care</w:t>
      </w:r>
      <w:r>
        <w:rPr>
          <w:spacing w:val="-1"/>
          <w:sz w:val="21"/>
        </w:rPr>
        <w:t xml:space="preserve"> </w:t>
      </w:r>
      <w:r>
        <w:rPr>
          <w:sz w:val="21"/>
        </w:rPr>
        <w:t>through</w:t>
      </w:r>
      <w:r>
        <w:rPr>
          <w:spacing w:val="-2"/>
          <w:sz w:val="21"/>
        </w:rPr>
        <w:t xml:space="preserve"> </w:t>
      </w:r>
      <w:proofErr w:type="spellStart"/>
      <w:r>
        <w:rPr>
          <w:sz w:val="21"/>
        </w:rPr>
        <w:t>standardised</w:t>
      </w:r>
      <w:proofErr w:type="spellEnd"/>
      <w:r>
        <w:rPr>
          <w:spacing w:val="-1"/>
          <w:sz w:val="21"/>
        </w:rPr>
        <w:t xml:space="preserve"> </w:t>
      </w:r>
      <w:r>
        <w:rPr>
          <w:spacing w:val="-4"/>
          <w:sz w:val="21"/>
        </w:rPr>
        <w:t>data</w:t>
      </w:r>
    </w:p>
    <w:p w14:paraId="2BDF4F3C" w14:textId="77777777" w:rsidR="009D54AF" w:rsidRDefault="00000000">
      <w:pPr>
        <w:pStyle w:val="ListParagraph"/>
        <w:numPr>
          <w:ilvl w:val="0"/>
          <w:numId w:val="35"/>
        </w:numPr>
        <w:tabs>
          <w:tab w:val="left" w:pos="424"/>
        </w:tabs>
        <w:spacing w:before="96"/>
        <w:ind w:left="424" w:hanging="268"/>
        <w:rPr>
          <w:sz w:val="21"/>
        </w:rPr>
      </w:pPr>
      <w:r>
        <w:rPr>
          <w:sz w:val="21"/>
        </w:rPr>
        <w:t>leading</w:t>
      </w:r>
      <w:r>
        <w:rPr>
          <w:spacing w:val="-6"/>
          <w:sz w:val="21"/>
        </w:rPr>
        <w:t xml:space="preserve"> </w:t>
      </w:r>
      <w:r>
        <w:rPr>
          <w:sz w:val="21"/>
        </w:rPr>
        <w:t>system-wide</w:t>
      </w:r>
      <w:r>
        <w:rPr>
          <w:spacing w:val="-4"/>
          <w:sz w:val="21"/>
        </w:rPr>
        <w:t xml:space="preserve"> </w:t>
      </w:r>
      <w:r>
        <w:rPr>
          <w:sz w:val="21"/>
        </w:rPr>
        <w:t>quality</w:t>
      </w:r>
      <w:r>
        <w:rPr>
          <w:spacing w:val="-3"/>
          <w:sz w:val="21"/>
        </w:rPr>
        <w:t xml:space="preserve"> </w:t>
      </w:r>
      <w:r>
        <w:rPr>
          <w:sz w:val="21"/>
        </w:rPr>
        <w:t>improvement</w:t>
      </w:r>
      <w:r>
        <w:rPr>
          <w:spacing w:val="-4"/>
          <w:sz w:val="21"/>
        </w:rPr>
        <w:t xml:space="preserve"> </w:t>
      </w:r>
      <w:r>
        <w:rPr>
          <w:sz w:val="21"/>
        </w:rPr>
        <w:t>in</w:t>
      </w:r>
      <w:r>
        <w:rPr>
          <w:spacing w:val="-3"/>
          <w:sz w:val="21"/>
        </w:rPr>
        <w:t xml:space="preserve"> </w:t>
      </w:r>
      <w:r>
        <w:rPr>
          <w:sz w:val="21"/>
        </w:rPr>
        <w:t>digitally</w:t>
      </w:r>
      <w:r>
        <w:rPr>
          <w:spacing w:val="-4"/>
          <w:sz w:val="21"/>
        </w:rPr>
        <w:t xml:space="preserve"> </w:t>
      </w:r>
      <w:r>
        <w:rPr>
          <w:sz w:val="21"/>
        </w:rPr>
        <w:t>enabled</w:t>
      </w:r>
      <w:r>
        <w:rPr>
          <w:spacing w:val="-3"/>
          <w:sz w:val="21"/>
        </w:rPr>
        <w:t xml:space="preserve"> </w:t>
      </w:r>
      <w:r>
        <w:rPr>
          <w:spacing w:val="-2"/>
          <w:sz w:val="21"/>
        </w:rPr>
        <w:t>care.</w:t>
      </w:r>
    </w:p>
    <w:p w14:paraId="30EF83AB" w14:textId="77777777" w:rsidR="009D54AF" w:rsidRDefault="00000000">
      <w:pPr>
        <w:pStyle w:val="BodyText"/>
        <w:spacing w:before="208"/>
        <w:ind w:left="142"/>
      </w:pPr>
      <w:r>
        <w:t>The</w:t>
      </w:r>
      <w:r>
        <w:rPr>
          <w:spacing w:val="-2"/>
        </w:rPr>
        <w:t xml:space="preserve"> </w:t>
      </w:r>
      <w:r>
        <w:t>priorities</w:t>
      </w:r>
      <w:r>
        <w:rPr>
          <w:spacing w:val="-2"/>
        </w:rPr>
        <w:t xml:space="preserve"> </w:t>
      </w:r>
      <w:r>
        <w:t>are</w:t>
      </w:r>
      <w:r>
        <w:rPr>
          <w:spacing w:val="-1"/>
        </w:rPr>
        <w:t xml:space="preserve"> </w:t>
      </w:r>
      <w:r>
        <w:t>underpinned</w:t>
      </w:r>
      <w:r>
        <w:rPr>
          <w:spacing w:val="-2"/>
        </w:rPr>
        <w:t xml:space="preserve"> </w:t>
      </w:r>
      <w:r>
        <w:t>by</w:t>
      </w:r>
      <w:r>
        <w:rPr>
          <w:spacing w:val="-2"/>
        </w:rPr>
        <w:t xml:space="preserve"> </w:t>
      </w:r>
      <w:r>
        <w:t>foundational</w:t>
      </w:r>
      <w:r>
        <w:rPr>
          <w:spacing w:val="-1"/>
        </w:rPr>
        <w:t xml:space="preserve"> </w:t>
      </w:r>
      <w:r>
        <w:rPr>
          <w:spacing w:val="-2"/>
        </w:rPr>
        <w:t>principles</w:t>
      </w:r>
    </w:p>
    <w:p w14:paraId="6F9B0CE9" w14:textId="77777777" w:rsidR="009D54AF" w:rsidRDefault="00000000">
      <w:pPr>
        <w:pStyle w:val="ListParagraph"/>
        <w:numPr>
          <w:ilvl w:val="0"/>
          <w:numId w:val="35"/>
        </w:numPr>
        <w:tabs>
          <w:tab w:val="left" w:pos="424"/>
        </w:tabs>
        <w:ind w:left="424" w:hanging="268"/>
        <w:rPr>
          <w:sz w:val="21"/>
        </w:rPr>
      </w:pPr>
      <w:r>
        <w:rPr>
          <w:sz w:val="21"/>
        </w:rPr>
        <w:t xml:space="preserve">build capability across care </w:t>
      </w:r>
      <w:r>
        <w:rPr>
          <w:spacing w:val="-2"/>
          <w:sz w:val="21"/>
        </w:rPr>
        <w:t>settings</w:t>
      </w:r>
    </w:p>
    <w:p w14:paraId="2A4B4606" w14:textId="77777777" w:rsidR="009D54AF" w:rsidRDefault="00000000">
      <w:pPr>
        <w:pStyle w:val="ListParagraph"/>
        <w:numPr>
          <w:ilvl w:val="0"/>
          <w:numId w:val="35"/>
        </w:numPr>
        <w:tabs>
          <w:tab w:val="left" w:pos="424"/>
        </w:tabs>
        <w:spacing w:before="96"/>
        <w:ind w:left="424" w:hanging="268"/>
        <w:rPr>
          <w:sz w:val="21"/>
        </w:rPr>
      </w:pPr>
      <w:r>
        <w:rPr>
          <w:sz w:val="21"/>
        </w:rPr>
        <w:t>support</w:t>
      </w:r>
      <w:r>
        <w:rPr>
          <w:spacing w:val="-1"/>
          <w:sz w:val="21"/>
        </w:rPr>
        <w:t xml:space="preserve"> </w:t>
      </w:r>
      <w:r>
        <w:rPr>
          <w:sz w:val="21"/>
        </w:rPr>
        <w:t>equitable</w:t>
      </w:r>
      <w:r>
        <w:rPr>
          <w:spacing w:val="-1"/>
          <w:sz w:val="21"/>
        </w:rPr>
        <w:t xml:space="preserve"> </w:t>
      </w:r>
      <w:r>
        <w:rPr>
          <w:sz w:val="21"/>
        </w:rPr>
        <w:t>and</w:t>
      </w:r>
      <w:r>
        <w:rPr>
          <w:spacing w:val="-1"/>
          <w:sz w:val="21"/>
        </w:rPr>
        <w:t xml:space="preserve"> </w:t>
      </w:r>
      <w:r>
        <w:rPr>
          <w:sz w:val="21"/>
        </w:rPr>
        <w:t>culturally</w:t>
      </w:r>
      <w:r>
        <w:rPr>
          <w:spacing w:val="-1"/>
          <w:sz w:val="21"/>
        </w:rPr>
        <w:t xml:space="preserve"> </w:t>
      </w:r>
      <w:r>
        <w:rPr>
          <w:sz w:val="21"/>
        </w:rPr>
        <w:t>safe</w:t>
      </w:r>
      <w:r>
        <w:rPr>
          <w:spacing w:val="-1"/>
          <w:sz w:val="21"/>
        </w:rPr>
        <w:t xml:space="preserve"> </w:t>
      </w:r>
      <w:r>
        <w:rPr>
          <w:spacing w:val="-2"/>
          <w:sz w:val="21"/>
        </w:rPr>
        <w:t>access</w:t>
      </w:r>
    </w:p>
    <w:p w14:paraId="24CA25EE" w14:textId="77777777" w:rsidR="009D54AF" w:rsidRDefault="00000000">
      <w:pPr>
        <w:pStyle w:val="ListParagraph"/>
        <w:numPr>
          <w:ilvl w:val="0"/>
          <w:numId w:val="35"/>
        </w:numPr>
        <w:tabs>
          <w:tab w:val="left" w:pos="424"/>
        </w:tabs>
        <w:ind w:left="424" w:hanging="268"/>
        <w:rPr>
          <w:sz w:val="21"/>
        </w:rPr>
      </w:pPr>
      <w:r>
        <w:rPr>
          <w:sz w:val="21"/>
        </w:rPr>
        <w:t>strengthen</w:t>
      </w:r>
      <w:r>
        <w:rPr>
          <w:spacing w:val="-2"/>
          <w:sz w:val="21"/>
        </w:rPr>
        <w:t xml:space="preserve"> </w:t>
      </w:r>
      <w:r>
        <w:rPr>
          <w:sz w:val="21"/>
        </w:rPr>
        <w:t>clinician</w:t>
      </w:r>
      <w:r>
        <w:rPr>
          <w:spacing w:val="-1"/>
          <w:sz w:val="21"/>
        </w:rPr>
        <w:t xml:space="preserve"> </w:t>
      </w:r>
      <w:r>
        <w:rPr>
          <w:sz w:val="21"/>
        </w:rPr>
        <w:t>and</w:t>
      </w:r>
      <w:r>
        <w:rPr>
          <w:spacing w:val="-1"/>
          <w:sz w:val="21"/>
        </w:rPr>
        <w:t xml:space="preserve"> </w:t>
      </w:r>
      <w:r>
        <w:rPr>
          <w:sz w:val="21"/>
        </w:rPr>
        <w:t>consumer</w:t>
      </w:r>
      <w:r>
        <w:rPr>
          <w:spacing w:val="-1"/>
          <w:sz w:val="21"/>
        </w:rPr>
        <w:t xml:space="preserve"> </w:t>
      </w:r>
      <w:r>
        <w:rPr>
          <w:spacing w:val="-2"/>
          <w:sz w:val="21"/>
        </w:rPr>
        <w:t>trust.</w:t>
      </w:r>
    </w:p>
    <w:p w14:paraId="7A1DD574" w14:textId="77777777" w:rsidR="009D54AF" w:rsidRDefault="00000000">
      <w:pPr>
        <w:pStyle w:val="BodyText"/>
        <w:spacing w:before="209" w:line="278" w:lineRule="auto"/>
        <w:ind w:left="142"/>
      </w:pPr>
      <w:r>
        <w:t>They</w:t>
      </w:r>
      <w:r>
        <w:rPr>
          <w:spacing w:val="-1"/>
        </w:rPr>
        <w:t xml:space="preserve"> </w:t>
      </w:r>
      <w:r>
        <w:t>set</w:t>
      </w:r>
      <w:r>
        <w:rPr>
          <w:spacing w:val="-1"/>
        </w:rPr>
        <w:t xml:space="preserve"> </w:t>
      </w:r>
      <w:r>
        <w:t>a</w:t>
      </w:r>
      <w:r>
        <w:rPr>
          <w:spacing w:val="-1"/>
        </w:rPr>
        <w:t xml:space="preserve"> </w:t>
      </w:r>
      <w:r>
        <w:t>clear</w:t>
      </w:r>
      <w:r>
        <w:rPr>
          <w:spacing w:val="-1"/>
        </w:rPr>
        <w:t xml:space="preserve"> </w:t>
      </w:r>
      <w:r>
        <w:t>and</w:t>
      </w:r>
      <w:r>
        <w:rPr>
          <w:spacing w:val="-1"/>
        </w:rPr>
        <w:t xml:space="preserve"> </w:t>
      </w:r>
      <w:r>
        <w:t>coordinated</w:t>
      </w:r>
      <w:r>
        <w:rPr>
          <w:spacing w:val="-1"/>
        </w:rPr>
        <w:t xml:space="preserve"> </w:t>
      </w:r>
      <w:r>
        <w:t>approach</w:t>
      </w:r>
      <w:r>
        <w:rPr>
          <w:spacing w:val="-1"/>
        </w:rPr>
        <w:t xml:space="preserve"> </w:t>
      </w:r>
      <w:r>
        <w:t>to</w:t>
      </w:r>
      <w:r>
        <w:rPr>
          <w:spacing w:val="-1"/>
        </w:rPr>
        <w:t xml:space="preserve"> </w:t>
      </w:r>
      <w:r>
        <w:t>ensuring</w:t>
      </w:r>
      <w:r>
        <w:rPr>
          <w:spacing w:val="-1"/>
        </w:rPr>
        <w:t xml:space="preserve"> </w:t>
      </w:r>
      <w:r>
        <w:t>best</w:t>
      </w:r>
      <w:r>
        <w:rPr>
          <w:spacing w:val="-1"/>
        </w:rPr>
        <w:t xml:space="preserve"> </w:t>
      </w:r>
      <w:r>
        <w:t>practice</w:t>
      </w:r>
      <w:r>
        <w:rPr>
          <w:spacing w:val="-1"/>
        </w:rPr>
        <w:t xml:space="preserve"> </w:t>
      </w:r>
      <w:r>
        <w:t>in</w:t>
      </w:r>
      <w:r>
        <w:rPr>
          <w:spacing w:val="-1"/>
        </w:rPr>
        <w:t xml:space="preserve"> </w:t>
      </w:r>
      <w:r>
        <w:t>high-quality</w:t>
      </w:r>
      <w:r>
        <w:rPr>
          <w:spacing w:val="-1"/>
        </w:rPr>
        <w:t xml:space="preserve"> </w:t>
      </w:r>
      <w:r>
        <w:t>digitally</w:t>
      </w:r>
      <w:r>
        <w:rPr>
          <w:spacing w:val="-1"/>
        </w:rPr>
        <w:t xml:space="preserve"> </w:t>
      </w:r>
      <w:r>
        <w:t>enabled</w:t>
      </w:r>
      <w:r>
        <w:rPr>
          <w:spacing w:val="-1"/>
        </w:rPr>
        <w:t xml:space="preserve"> </w:t>
      </w:r>
      <w:r>
        <w:t>care, underpinned by rigorous clinical governance.</w:t>
      </w:r>
    </w:p>
    <w:p w14:paraId="6592B39B" w14:textId="3DCC70FB" w:rsidR="003F1A04" w:rsidRDefault="003F1A04">
      <w:pPr>
        <w:rPr>
          <w:sz w:val="21"/>
          <w:szCs w:val="21"/>
        </w:rPr>
      </w:pPr>
      <w:r>
        <w:br w:type="page"/>
      </w:r>
    </w:p>
    <w:p w14:paraId="480133E0" w14:textId="77777777" w:rsidR="009D54AF" w:rsidRDefault="00000000">
      <w:pPr>
        <w:pStyle w:val="Heading5"/>
      </w:pPr>
      <w:r>
        <w:lastRenderedPageBreak/>
        <w:t>Medication</w:t>
      </w:r>
      <w:r>
        <w:rPr>
          <w:spacing w:val="-10"/>
        </w:rPr>
        <w:t xml:space="preserve"> </w:t>
      </w:r>
      <w:r>
        <w:t>Management</w:t>
      </w:r>
      <w:r>
        <w:rPr>
          <w:spacing w:val="-7"/>
        </w:rPr>
        <w:t xml:space="preserve"> </w:t>
      </w:r>
      <w:r>
        <w:t>at</w:t>
      </w:r>
      <w:r>
        <w:rPr>
          <w:spacing w:val="-8"/>
        </w:rPr>
        <w:t xml:space="preserve"> </w:t>
      </w:r>
      <w:r>
        <w:t>Transitions</w:t>
      </w:r>
      <w:r>
        <w:rPr>
          <w:spacing w:val="-7"/>
        </w:rPr>
        <w:t xml:space="preserve"> </w:t>
      </w:r>
      <w:r>
        <w:t>of</w:t>
      </w:r>
      <w:r>
        <w:rPr>
          <w:spacing w:val="-8"/>
        </w:rPr>
        <w:t xml:space="preserve"> </w:t>
      </w:r>
      <w:r>
        <w:t>Care</w:t>
      </w:r>
      <w:r>
        <w:rPr>
          <w:spacing w:val="-7"/>
        </w:rPr>
        <w:t xml:space="preserve"> </w:t>
      </w:r>
      <w:r>
        <w:t>Stewardship</w:t>
      </w:r>
      <w:r>
        <w:rPr>
          <w:spacing w:val="-7"/>
        </w:rPr>
        <w:t xml:space="preserve"> </w:t>
      </w:r>
      <w:r>
        <w:rPr>
          <w:spacing w:val="-2"/>
        </w:rPr>
        <w:t>Framework</w:t>
      </w:r>
    </w:p>
    <w:p w14:paraId="712FE7CC" w14:textId="77777777" w:rsidR="009D54AF" w:rsidRDefault="00000000">
      <w:pPr>
        <w:pStyle w:val="BodyText"/>
        <w:spacing w:before="133" w:line="278" w:lineRule="auto"/>
        <w:ind w:left="142" w:right="288"/>
      </w:pPr>
      <w:r>
        <w:t xml:space="preserve">The Commission leads and coordinates national initiatives to reduce harm associated with transitions of care. In September 2025, the Commission released the </w:t>
      </w:r>
      <w:hyperlink r:id="rId33">
        <w:r>
          <w:rPr>
            <w:u w:val="single"/>
          </w:rPr>
          <w:t xml:space="preserve">Medication Management at Transitions of Care </w:t>
        </w:r>
      </w:hyperlink>
      <w:r>
        <w:t xml:space="preserve"> </w:t>
      </w:r>
      <w:hyperlink r:id="rId34">
        <w:r>
          <w:rPr>
            <w:u w:val="single"/>
          </w:rPr>
          <w:t>Stewardship Framework</w:t>
        </w:r>
      </w:hyperlink>
      <w:r>
        <w:t xml:space="preserve"> (the Framework). The Framework describes a stewardship approach to support safe and high-quality medication management when patients transition from acute care to primary and aged</w:t>
      </w:r>
    </w:p>
    <w:p w14:paraId="55DC6BA1" w14:textId="77777777" w:rsidR="009D54AF" w:rsidRDefault="00000000">
      <w:pPr>
        <w:pStyle w:val="BodyText"/>
        <w:spacing w:line="278" w:lineRule="auto"/>
        <w:ind w:left="142"/>
      </w:pPr>
      <w:r>
        <w:t>care.</w:t>
      </w:r>
      <w:r>
        <w:rPr>
          <w:spacing w:val="-1"/>
        </w:rPr>
        <w:t xml:space="preserve"> </w:t>
      </w:r>
      <w:r>
        <w:t>It</w:t>
      </w:r>
      <w:r>
        <w:rPr>
          <w:spacing w:val="-1"/>
        </w:rPr>
        <w:t xml:space="preserve"> </w:t>
      </w:r>
      <w:r>
        <w:t>aims</w:t>
      </w:r>
      <w:r>
        <w:rPr>
          <w:spacing w:val="-1"/>
        </w:rPr>
        <w:t xml:space="preserve"> </w:t>
      </w:r>
      <w:r>
        <w:t>to</w:t>
      </w:r>
      <w:r>
        <w:rPr>
          <w:spacing w:val="-1"/>
        </w:rPr>
        <w:t xml:space="preserve"> </w:t>
      </w:r>
      <w:r>
        <w:t>improve</w:t>
      </w:r>
      <w:r>
        <w:rPr>
          <w:spacing w:val="-1"/>
        </w:rPr>
        <w:t xml:space="preserve"> </w:t>
      </w:r>
      <w:r>
        <w:t>communication</w:t>
      </w:r>
      <w:r>
        <w:rPr>
          <w:spacing w:val="-1"/>
        </w:rPr>
        <w:t xml:space="preserve"> </w:t>
      </w:r>
      <w:r>
        <w:t>between</w:t>
      </w:r>
      <w:r>
        <w:rPr>
          <w:spacing w:val="-1"/>
        </w:rPr>
        <w:t xml:space="preserve"> </w:t>
      </w:r>
      <w:r>
        <w:t>clinicians</w:t>
      </w:r>
      <w:r>
        <w:rPr>
          <w:spacing w:val="-1"/>
        </w:rPr>
        <w:t xml:space="preserve"> </w:t>
      </w:r>
      <w:r>
        <w:t>across</w:t>
      </w:r>
      <w:r>
        <w:rPr>
          <w:spacing w:val="-1"/>
        </w:rPr>
        <w:t xml:space="preserve"> </w:t>
      </w:r>
      <w:r>
        <w:t>settings</w:t>
      </w:r>
      <w:r>
        <w:rPr>
          <w:spacing w:val="-1"/>
        </w:rPr>
        <w:t xml:space="preserve"> </w:t>
      </w:r>
      <w:r>
        <w:t>and</w:t>
      </w:r>
      <w:r>
        <w:rPr>
          <w:spacing w:val="-1"/>
        </w:rPr>
        <w:t xml:space="preserve"> </w:t>
      </w:r>
      <w:r>
        <w:t>reduce</w:t>
      </w:r>
      <w:r>
        <w:rPr>
          <w:spacing w:val="-1"/>
        </w:rPr>
        <w:t xml:space="preserve"> </w:t>
      </w:r>
      <w:r>
        <w:t>the</w:t>
      </w:r>
      <w:r>
        <w:rPr>
          <w:spacing w:val="-1"/>
        </w:rPr>
        <w:t xml:space="preserve"> </w:t>
      </w:r>
      <w:r>
        <w:t>risk</w:t>
      </w:r>
      <w:r>
        <w:rPr>
          <w:spacing w:val="-1"/>
        </w:rPr>
        <w:t xml:space="preserve"> </w:t>
      </w:r>
      <w:r>
        <w:t>of</w:t>
      </w:r>
      <w:r>
        <w:rPr>
          <w:spacing w:val="-1"/>
        </w:rPr>
        <w:t xml:space="preserve"> </w:t>
      </w:r>
      <w:r>
        <w:t xml:space="preserve">medication-related harm during transitions of care. The Framework is designed to be incorporated into existing </w:t>
      </w:r>
      <w:proofErr w:type="spellStart"/>
      <w:r>
        <w:t>organisational</w:t>
      </w:r>
      <w:proofErr w:type="spellEnd"/>
      <w:r>
        <w:t xml:space="preserve"> systems, processes and clinical practices.</w:t>
      </w:r>
    </w:p>
    <w:p w14:paraId="30305425" w14:textId="77777777" w:rsidR="009D54AF" w:rsidRDefault="009D54AF">
      <w:pPr>
        <w:pStyle w:val="BodyText"/>
        <w:spacing w:line="278" w:lineRule="auto"/>
      </w:pPr>
    </w:p>
    <w:p w14:paraId="6E40425C" w14:textId="77777777" w:rsidR="009D54AF" w:rsidRDefault="00000000">
      <w:pPr>
        <w:pStyle w:val="BodyText"/>
        <w:spacing w:before="66" w:line="278" w:lineRule="auto"/>
        <w:ind w:left="142"/>
      </w:pPr>
      <w:bookmarkStart w:id="28" w:name="_bookmark5"/>
      <w:bookmarkEnd w:id="28"/>
      <w:r>
        <w:t>The Framework is composed of four core elements and is underpinned by effective communication between clinicians,</w:t>
      </w:r>
      <w:r>
        <w:rPr>
          <w:spacing w:val="-1"/>
        </w:rPr>
        <w:t xml:space="preserve"> </w:t>
      </w:r>
      <w:r>
        <w:t>person-</w:t>
      </w:r>
      <w:proofErr w:type="spellStart"/>
      <w:r>
        <w:t>centred</w:t>
      </w:r>
      <w:proofErr w:type="spellEnd"/>
      <w:r>
        <w:rPr>
          <w:spacing w:val="-1"/>
        </w:rPr>
        <w:t xml:space="preserve"> </w:t>
      </w:r>
      <w:r>
        <w:t>care</w:t>
      </w:r>
      <w:r>
        <w:rPr>
          <w:spacing w:val="-1"/>
        </w:rPr>
        <w:t xml:space="preserve"> </w:t>
      </w:r>
      <w:r>
        <w:t>and</w:t>
      </w:r>
      <w:r>
        <w:rPr>
          <w:spacing w:val="-1"/>
        </w:rPr>
        <w:t xml:space="preserve"> </w:t>
      </w:r>
      <w:r>
        <w:t>digital</w:t>
      </w:r>
      <w:r>
        <w:rPr>
          <w:spacing w:val="-1"/>
        </w:rPr>
        <w:t xml:space="preserve"> </w:t>
      </w:r>
      <w:r>
        <w:t>enablers.</w:t>
      </w:r>
      <w:r>
        <w:rPr>
          <w:spacing w:val="-1"/>
        </w:rPr>
        <w:t xml:space="preserve"> </w:t>
      </w:r>
      <w:r>
        <w:t>The</w:t>
      </w:r>
      <w:r>
        <w:rPr>
          <w:spacing w:val="-1"/>
        </w:rPr>
        <w:t xml:space="preserve"> </w:t>
      </w:r>
      <w:r>
        <w:t>Framework</w:t>
      </w:r>
      <w:r>
        <w:rPr>
          <w:spacing w:val="-1"/>
        </w:rPr>
        <w:t xml:space="preserve"> </w:t>
      </w:r>
      <w:r>
        <w:t>is</w:t>
      </w:r>
      <w:r>
        <w:rPr>
          <w:spacing w:val="-1"/>
        </w:rPr>
        <w:t xml:space="preserve"> </w:t>
      </w:r>
      <w:r>
        <w:t>supported</w:t>
      </w:r>
      <w:r>
        <w:rPr>
          <w:spacing w:val="-1"/>
        </w:rPr>
        <w:t xml:space="preserve"> </w:t>
      </w:r>
      <w:r>
        <w:t>by</w:t>
      </w:r>
      <w:r>
        <w:rPr>
          <w:spacing w:val="-1"/>
        </w:rPr>
        <w:t xml:space="preserve"> </w:t>
      </w:r>
      <w:r>
        <w:t>an</w:t>
      </w:r>
      <w:r>
        <w:rPr>
          <w:spacing w:val="-1"/>
        </w:rPr>
        <w:t xml:space="preserve"> </w:t>
      </w:r>
      <w:hyperlink r:id="rId35">
        <w:r>
          <w:rPr>
            <w:u w:val="single"/>
          </w:rPr>
          <w:t>explainer</w:t>
        </w:r>
        <w:r>
          <w:rPr>
            <w:spacing w:val="-1"/>
            <w:u w:val="single"/>
          </w:rPr>
          <w:t xml:space="preserve"> </w:t>
        </w:r>
        <w:r>
          <w:rPr>
            <w:u w:val="single"/>
          </w:rPr>
          <w:t>video</w:t>
        </w:r>
        <w:r>
          <w:rPr>
            <w:spacing w:val="-1"/>
            <w:u w:val="single"/>
          </w:rPr>
          <w:t xml:space="preserve"> </w:t>
        </w:r>
        <w:r>
          <w:rPr>
            <w:u w:val="single"/>
          </w:rPr>
          <w:t>series</w:t>
        </w:r>
      </w:hyperlink>
      <w:r>
        <w:t xml:space="preserve"> and</w:t>
      </w:r>
      <w:r>
        <w:rPr>
          <w:spacing w:val="-2"/>
        </w:rPr>
        <w:t xml:space="preserve"> </w:t>
      </w:r>
      <w:r>
        <w:t>evidence</w:t>
      </w:r>
      <w:r>
        <w:rPr>
          <w:spacing w:val="-2"/>
        </w:rPr>
        <w:t xml:space="preserve"> </w:t>
      </w:r>
      <w:r>
        <w:t>briefings</w:t>
      </w:r>
      <w:r>
        <w:rPr>
          <w:spacing w:val="-2"/>
        </w:rPr>
        <w:t xml:space="preserve"> </w:t>
      </w:r>
      <w:r>
        <w:t>outlining</w:t>
      </w:r>
      <w:r>
        <w:rPr>
          <w:spacing w:val="-2"/>
        </w:rPr>
        <w:t xml:space="preserve"> </w:t>
      </w:r>
      <w:hyperlink r:id="rId36">
        <w:r>
          <w:rPr>
            <w:u w:val="single"/>
          </w:rPr>
          <w:t>strategies</w:t>
        </w:r>
      </w:hyperlink>
      <w:r>
        <w:rPr>
          <w:spacing w:val="-2"/>
        </w:rPr>
        <w:t xml:space="preserve"> </w:t>
      </w:r>
      <w:r>
        <w:t>and</w:t>
      </w:r>
      <w:r>
        <w:rPr>
          <w:spacing w:val="-3"/>
        </w:rPr>
        <w:t xml:space="preserve"> </w:t>
      </w:r>
      <w:hyperlink r:id="rId37">
        <w:r>
          <w:rPr>
            <w:u w:val="single"/>
          </w:rPr>
          <w:t>digital</w:t>
        </w:r>
        <w:r>
          <w:rPr>
            <w:spacing w:val="-2"/>
            <w:u w:val="single"/>
          </w:rPr>
          <w:t xml:space="preserve"> </w:t>
        </w:r>
        <w:r>
          <w:rPr>
            <w:u w:val="single"/>
          </w:rPr>
          <w:t>approaches</w:t>
        </w:r>
      </w:hyperlink>
      <w:r>
        <w:rPr>
          <w:spacing w:val="-3"/>
        </w:rPr>
        <w:t xml:space="preserve"> </w:t>
      </w:r>
      <w:r>
        <w:t>to</w:t>
      </w:r>
      <w:r>
        <w:rPr>
          <w:spacing w:val="-2"/>
        </w:rPr>
        <w:t xml:space="preserve"> </w:t>
      </w:r>
      <w:r>
        <w:t>facilitate</w:t>
      </w:r>
      <w:r>
        <w:rPr>
          <w:spacing w:val="-2"/>
        </w:rPr>
        <w:t xml:space="preserve"> </w:t>
      </w:r>
      <w:r>
        <w:t>safe</w:t>
      </w:r>
      <w:r>
        <w:rPr>
          <w:spacing w:val="-2"/>
        </w:rPr>
        <w:t xml:space="preserve"> </w:t>
      </w:r>
      <w:r>
        <w:t>medication</w:t>
      </w:r>
      <w:r>
        <w:rPr>
          <w:spacing w:val="-2"/>
        </w:rPr>
        <w:t xml:space="preserve"> </w:t>
      </w:r>
      <w:r>
        <w:t>management</w:t>
      </w:r>
      <w:r>
        <w:rPr>
          <w:spacing w:val="-2"/>
        </w:rPr>
        <w:t xml:space="preserve"> </w:t>
      </w:r>
      <w:r>
        <w:t>at transitions of care. Since publication, the Framework has been adopted by several jurisdictions.</w:t>
      </w:r>
    </w:p>
    <w:p w14:paraId="323EA834" w14:textId="77777777" w:rsidR="009D54AF" w:rsidRDefault="009D54AF">
      <w:pPr>
        <w:pStyle w:val="BodyText"/>
        <w:spacing w:before="65"/>
      </w:pPr>
    </w:p>
    <w:p w14:paraId="28C79235" w14:textId="77777777" w:rsidR="009D54AF" w:rsidRDefault="00000000">
      <w:pPr>
        <w:pStyle w:val="Heading5"/>
        <w:spacing w:line="249" w:lineRule="auto"/>
      </w:pPr>
      <w:r>
        <w:t>Guidance</w:t>
      </w:r>
      <w:r>
        <w:rPr>
          <w:spacing w:val="-5"/>
        </w:rPr>
        <w:t xml:space="preserve"> </w:t>
      </w:r>
      <w:r>
        <w:t>for</w:t>
      </w:r>
      <w:r>
        <w:rPr>
          <w:spacing w:val="-5"/>
        </w:rPr>
        <w:t xml:space="preserve"> </w:t>
      </w:r>
      <w:proofErr w:type="spellStart"/>
      <w:r>
        <w:t>Optimising</w:t>
      </w:r>
      <w:proofErr w:type="spellEnd"/>
      <w:r>
        <w:rPr>
          <w:spacing w:val="-5"/>
        </w:rPr>
        <w:t xml:space="preserve"> </w:t>
      </w:r>
      <w:r>
        <w:t>My</w:t>
      </w:r>
      <w:r>
        <w:rPr>
          <w:spacing w:val="-5"/>
        </w:rPr>
        <w:t xml:space="preserve"> </w:t>
      </w:r>
      <w:r>
        <w:t>Health</w:t>
      </w:r>
      <w:r>
        <w:rPr>
          <w:spacing w:val="-5"/>
        </w:rPr>
        <w:t xml:space="preserve"> </w:t>
      </w:r>
      <w:r>
        <w:t>Record</w:t>
      </w:r>
      <w:r>
        <w:rPr>
          <w:spacing w:val="-5"/>
        </w:rPr>
        <w:t xml:space="preserve"> </w:t>
      </w:r>
      <w:r>
        <w:t>Viewing</w:t>
      </w:r>
      <w:r>
        <w:rPr>
          <w:spacing w:val="-5"/>
        </w:rPr>
        <w:t xml:space="preserve"> </w:t>
      </w:r>
      <w:r>
        <w:t>Platforms</w:t>
      </w:r>
      <w:r>
        <w:rPr>
          <w:spacing w:val="-5"/>
        </w:rPr>
        <w:t xml:space="preserve"> </w:t>
      </w:r>
      <w:r>
        <w:t>in</w:t>
      </w:r>
      <w:r>
        <w:rPr>
          <w:spacing w:val="-5"/>
        </w:rPr>
        <w:t xml:space="preserve"> </w:t>
      </w:r>
      <w:r>
        <w:t xml:space="preserve">Acute </w:t>
      </w:r>
      <w:r>
        <w:rPr>
          <w:spacing w:val="-4"/>
        </w:rPr>
        <w:t>Care</w:t>
      </w:r>
    </w:p>
    <w:p w14:paraId="0B40C164" w14:textId="77777777" w:rsidR="009D54AF" w:rsidRDefault="00000000">
      <w:pPr>
        <w:pStyle w:val="BodyText"/>
        <w:spacing w:before="120"/>
        <w:ind w:left="142"/>
      </w:pPr>
      <w:r>
        <w:t>The</w:t>
      </w:r>
      <w:r>
        <w:rPr>
          <w:spacing w:val="-2"/>
        </w:rPr>
        <w:t xml:space="preserve"> </w:t>
      </w:r>
      <w:r>
        <w:t>Commission</w:t>
      </w:r>
      <w:r>
        <w:rPr>
          <w:spacing w:val="-2"/>
        </w:rPr>
        <w:t xml:space="preserve"> </w:t>
      </w:r>
      <w:r>
        <w:t>collaborated</w:t>
      </w:r>
      <w:r>
        <w:rPr>
          <w:spacing w:val="-2"/>
        </w:rPr>
        <w:t xml:space="preserve"> </w:t>
      </w:r>
      <w:r>
        <w:t>with</w:t>
      </w:r>
      <w:r>
        <w:rPr>
          <w:spacing w:val="-2"/>
        </w:rPr>
        <w:t xml:space="preserve"> </w:t>
      </w:r>
      <w:r>
        <w:t>the</w:t>
      </w:r>
      <w:r>
        <w:rPr>
          <w:spacing w:val="-2"/>
        </w:rPr>
        <w:t xml:space="preserve"> </w:t>
      </w:r>
      <w:r>
        <w:t>Australian</w:t>
      </w:r>
      <w:r>
        <w:rPr>
          <w:spacing w:val="-2"/>
        </w:rPr>
        <w:t xml:space="preserve"> </w:t>
      </w:r>
      <w:r>
        <w:t>Digital</w:t>
      </w:r>
      <w:r>
        <w:rPr>
          <w:spacing w:val="-1"/>
        </w:rPr>
        <w:t xml:space="preserve"> </w:t>
      </w:r>
      <w:r>
        <w:t>Health</w:t>
      </w:r>
      <w:r>
        <w:rPr>
          <w:spacing w:val="-2"/>
        </w:rPr>
        <w:t xml:space="preserve"> </w:t>
      </w:r>
      <w:r>
        <w:t>Agency</w:t>
      </w:r>
      <w:r>
        <w:rPr>
          <w:spacing w:val="-2"/>
        </w:rPr>
        <w:t xml:space="preserve"> </w:t>
      </w:r>
      <w:r>
        <w:t>to</w:t>
      </w:r>
      <w:r>
        <w:rPr>
          <w:spacing w:val="-2"/>
        </w:rPr>
        <w:t xml:space="preserve"> </w:t>
      </w:r>
      <w:r>
        <w:t>improve</w:t>
      </w:r>
      <w:r>
        <w:rPr>
          <w:spacing w:val="-2"/>
        </w:rPr>
        <w:t xml:space="preserve"> </w:t>
      </w:r>
      <w:r>
        <w:t>the</w:t>
      </w:r>
      <w:r>
        <w:rPr>
          <w:spacing w:val="-2"/>
        </w:rPr>
        <w:t xml:space="preserve"> </w:t>
      </w:r>
      <w:r>
        <w:t>user</w:t>
      </w:r>
      <w:r>
        <w:rPr>
          <w:spacing w:val="-2"/>
        </w:rPr>
        <w:t xml:space="preserve"> </w:t>
      </w:r>
      <w:r>
        <w:t>experience</w:t>
      </w:r>
      <w:r>
        <w:rPr>
          <w:spacing w:val="-1"/>
        </w:rPr>
        <w:t xml:space="preserve"> </w:t>
      </w:r>
      <w:r>
        <w:rPr>
          <w:spacing w:val="-5"/>
        </w:rPr>
        <w:t>in</w:t>
      </w:r>
    </w:p>
    <w:p w14:paraId="4E47CD67" w14:textId="77777777" w:rsidR="009D54AF" w:rsidRDefault="00000000">
      <w:pPr>
        <w:pStyle w:val="BodyText"/>
        <w:spacing w:before="39" w:line="278" w:lineRule="auto"/>
        <w:ind w:left="142"/>
      </w:pPr>
      <w:r>
        <w:t xml:space="preserve">My Health Record viewing platforms in acute care settings. The </w:t>
      </w:r>
      <w:hyperlink r:id="rId38">
        <w:r>
          <w:rPr>
            <w:u w:val="single"/>
          </w:rPr>
          <w:t xml:space="preserve">Usability Guidance for </w:t>
        </w:r>
        <w:proofErr w:type="spellStart"/>
        <w:r>
          <w:rPr>
            <w:u w:val="single"/>
          </w:rPr>
          <w:t>Optimising</w:t>
        </w:r>
        <w:proofErr w:type="spellEnd"/>
        <w:r>
          <w:rPr>
            <w:u w:val="single"/>
          </w:rPr>
          <w:t xml:space="preserve"> My Health </w:t>
        </w:r>
      </w:hyperlink>
      <w:r>
        <w:t xml:space="preserve"> </w:t>
      </w:r>
      <w:hyperlink r:id="rId39">
        <w:r>
          <w:rPr>
            <w:u w:val="single"/>
          </w:rPr>
          <w:t>Record</w:t>
        </w:r>
        <w:r>
          <w:rPr>
            <w:spacing w:val="-1"/>
            <w:u w:val="single"/>
          </w:rPr>
          <w:t xml:space="preserve"> </w:t>
        </w:r>
        <w:r>
          <w:rPr>
            <w:u w:val="single"/>
          </w:rPr>
          <w:t>Viewing</w:t>
        </w:r>
        <w:r>
          <w:rPr>
            <w:spacing w:val="-1"/>
            <w:u w:val="single"/>
          </w:rPr>
          <w:t xml:space="preserve"> </w:t>
        </w:r>
        <w:r>
          <w:rPr>
            <w:u w:val="single"/>
          </w:rPr>
          <w:t>Platforms</w:t>
        </w:r>
        <w:r>
          <w:rPr>
            <w:spacing w:val="-1"/>
            <w:u w:val="single"/>
          </w:rPr>
          <w:t xml:space="preserve"> </w:t>
        </w:r>
        <w:r>
          <w:rPr>
            <w:u w:val="single"/>
          </w:rPr>
          <w:t>in</w:t>
        </w:r>
        <w:r>
          <w:rPr>
            <w:spacing w:val="-1"/>
            <w:u w:val="single"/>
          </w:rPr>
          <w:t xml:space="preserve"> </w:t>
        </w:r>
        <w:r>
          <w:rPr>
            <w:u w:val="single"/>
          </w:rPr>
          <w:t>Acute</w:t>
        </w:r>
        <w:r>
          <w:rPr>
            <w:spacing w:val="-1"/>
            <w:u w:val="single"/>
          </w:rPr>
          <w:t xml:space="preserve"> </w:t>
        </w:r>
        <w:r>
          <w:rPr>
            <w:u w:val="single"/>
          </w:rPr>
          <w:t>Care</w:t>
        </w:r>
      </w:hyperlink>
      <w:r>
        <w:t xml:space="preserve"> (the</w:t>
      </w:r>
      <w:r>
        <w:rPr>
          <w:spacing w:val="-1"/>
        </w:rPr>
        <w:t xml:space="preserve"> </w:t>
      </w:r>
      <w:r>
        <w:t>Guide)</w:t>
      </w:r>
      <w:r>
        <w:rPr>
          <w:spacing w:val="-1"/>
        </w:rPr>
        <w:t xml:space="preserve"> </w:t>
      </w:r>
      <w:r>
        <w:t>offers</w:t>
      </w:r>
      <w:r>
        <w:rPr>
          <w:spacing w:val="-1"/>
        </w:rPr>
        <w:t xml:space="preserve"> </w:t>
      </w:r>
      <w:r>
        <w:t>practical</w:t>
      </w:r>
      <w:r>
        <w:rPr>
          <w:spacing w:val="-1"/>
        </w:rPr>
        <w:t xml:space="preserve"> </w:t>
      </w:r>
      <w:r>
        <w:t>recommendations</w:t>
      </w:r>
      <w:r>
        <w:rPr>
          <w:spacing w:val="-1"/>
        </w:rPr>
        <w:t xml:space="preserve"> </w:t>
      </w:r>
      <w:r>
        <w:t>for</w:t>
      </w:r>
      <w:r>
        <w:rPr>
          <w:spacing w:val="-1"/>
        </w:rPr>
        <w:t xml:space="preserve"> </w:t>
      </w:r>
      <w:r>
        <w:t>health</w:t>
      </w:r>
      <w:r>
        <w:rPr>
          <w:spacing w:val="-1"/>
        </w:rPr>
        <w:t xml:space="preserve"> </w:t>
      </w:r>
      <w:r>
        <w:t>services</w:t>
      </w:r>
      <w:r>
        <w:rPr>
          <w:spacing w:val="-1"/>
        </w:rPr>
        <w:t xml:space="preserve"> </w:t>
      </w:r>
      <w:r>
        <w:t>and software vendors to improve interface design and navigation.</w:t>
      </w:r>
    </w:p>
    <w:p w14:paraId="339FCB79" w14:textId="77777777" w:rsidR="009D54AF" w:rsidRDefault="00000000">
      <w:pPr>
        <w:pStyle w:val="BodyText"/>
        <w:spacing w:before="141" w:line="278" w:lineRule="auto"/>
        <w:ind w:left="142" w:right="285"/>
      </w:pPr>
      <w:r>
        <w:t>User-friendly</w:t>
      </w:r>
      <w:r>
        <w:rPr>
          <w:spacing w:val="-2"/>
        </w:rPr>
        <w:t xml:space="preserve"> </w:t>
      </w:r>
      <w:r>
        <w:t>viewing</w:t>
      </w:r>
      <w:r>
        <w:rPr>
          <w:spacing w:val="-2"/>
        </w:rPr>
        <w:t xml:space="preserve"> </w:t>
      </w:r>
      <w:r>
        <w:t>platforms</w:t>
      </w:r>
      <w:r>
        <w:rPr>
          <w:spacing w:val="-2"/>
        </w:rPr>
        <w:t xml:space="preserve"> </w:t>
      </w:r>
      <w:r>
        <w:t>encourage</w:t>
      </w:r>
      <w:r>
        <w:rPr>
          <w:spacing w:val="-2"/>
        </w:rPr>
        <w:t xml:space="preserve"> </w:t>
      </w:r>
      <w:r>
        <w:t>greater</w:t>
      </w:r>
      <w:r>
        <w:rPr>
          <w:spacing w:val="-2"/>
        </w:rPr>
        <w:t xml:space="preserve"> </w:t>
      </w:r>
      <w:r>
        <w:t>clinician</w:t>
      </w:r>
      <w:r>
        <w:rPr>
          <w:spacing w:val="-2"/>
        </w:rPr>
        <w:t xml:space="preserve"> </w:t>
      </w:r>
      <w:r>
        <w:t>use</w:t>
      </w:r>
      <w:r>
        <w:rPr>
          <w:spacing w:val="-2"/>
        </w:rPr>
        <w:t xml:space="preserve"> </w:t>
      </w:r>
      <w:r>
        <w:t>and</w:t>
      </w:r>
      <w:r>
        <w:rPr>
          <w:spacing w:val="-2"/>
        </w:rPr>
        <w:t xml:space="preserve"> </w:t>
      </w:r>
      <w:r>
        <w:t>enhance</w:t>
      </w:r>
      <w:r>
        <w:rPr>
          <w:spacing w:val="-2"/>
        </w:rPr>
        <w:t xml:space="preserve"> </w:t>
      </w:r>
      <w:r>
        <w:t>patient</w:t>
      </w:r>
      <w:r>
        <w:rPr>
          <w:spacing w:val="-2"/>
        </w:rPr>
        <w:t xml:space="preserve"> </w:t>
      </w:r>
      <w:r>
        <w:t>care.</w:t>
      </w:r>
      <w:r>
        <w:rPr>
          <w:spacing w:val="-2"/>
        </w:rPr>
        <w:t xml:space="preserve"> </w:t>
      </w:r>
      <w:r>
        <w:t>This</w:t>
      </w:r>
      <w:r>
        <w:rPr>
          <w:spacing w:val="-2"/>
        </w:rPr>
        <w:t xml:space="preserve"> </w:t>
      </w:r>
      <w:r>
        <w:t>helps clinicians working in time-critical environments to:</w:t>
      </w:r>
    </w:p>
    <w:p w14:paraId="144DBFBF" w14:textId="77777777" w:rsidR="009D54AF" w:rsidRDefault="00000000">
      <w:pPr>
        <w:pStyle w:val="ListParagraph"/>
        <w:numPr>
          <w:ilvl w:val="0"/>
          <w:numId w:val="35"/>
        </w:numPr>
        <w:tabs>
          <w:tab w:val="left" w:pos="424"/>
        </w:tabs>
        <w:spacing w:before="57"/>
        <w:ind w:left="424" w:hanging="268"/>
        <w:rPr>
          <w:sz w:val="21"/>
        </w:rPr>
      </w:pPr>
      <w:r>
        <w:rPr>
          <w:sz w:val="21"/>
        </w:rPr>
        <w:t>find</w:t>
      </w:r>
      <w:r>
        <w:rPr>
          <w:spacing w:val="-4"/>
          <w:sz w:val="21"/>
        </w:rPr>
        <w:t xml:space="preserve"> </w:t>
      </w:r>
      <w:r>
        <w:rPr>
          <w:sz w:val="21"/>
        </w:rPr>
        <w:t>key</w:t>
      </w:r>
      <w:r>
        <w:rPr>
          <w:spacing w:val="-3"/>
          <w:sz w:val="21"/>
        </w:rPr>
        <w:t xml:space="preserve"> </w:t>
      </w:r>
      <w:r>
        <w:rPr>
          <w:sz w:val="21"/>
        </w:rPr>
        <w:t>patient</w:t>
      </w:r>
      <w:r>
        <w:rPr>
          <w:spacing w:val="-4"/>
          <w:sz w:val="21"/>
        </w:rPr>
        <w:t xml:space="preserve"> </w:t>
      </w:r>
      <w:r>
        <w:rPr>
          <w:sz w:val="21"/>
        </w:rPr>
        <w:t>information</w:t>
      </w:r>
      <w:r>
        <w:rPr>
          <w:spacing w:val="-3"/>
          <w:sz w:val="21"/>
        </w:rPr>
        <w:t xml:space="preserve"> </w:t>
      </w:r>
      <w:r>
        <w:rPr>
          <w:spacing w:val="-2"/>
          <w:sz w:val="21"/>
        </w:rPr>
        <w:t>quickly</w:t>
      </w:r>
    </w:p>
    <w:p w14:paraId="05C1AD40" w14:textId="77777777" w:rsidR="009D54AF" w:rsidRDefault="00000000">
      <w:pPr>
        <w:pStyle w:val="ListParagraph"/>
        <w:numPr>
          <w:ilvl w:val="0"/>
          <w:numId w:val="35"/>
        </w:numPr>
        <w:tabs>
          <w:tab w:val="left" w:pos="424"/>
        </w:tabs>
        <w:ind w:left="424" w:hanging="268"/>
        <w:rPr>
          <w:sz w:val="21"/>
        </w:rPr>
      </w:pPr>
      <w:r>
        <w:rPr>
          <w:sz w:val="21"/>
        </w:rPr>
        <w:t>support</w:t>
      </w:r>
      <w:r>
        <w:rPr>
          <w:spacing w:val="-3"/>
          <w:sz w:val="21"/>
        </w:rPr>
        <w:t xml:space="preserve"> </w:t>
      </w:r>
      <w:r>
        <w:rPr>
          <w:sz w:val="21"/>
        </w:rPr>
        <w:t>safer,</w:t>
      </w:r>
      <w:r>
        <w:rPr>
          <w:spacing w:val="-3"/>
          <w:sz w:val="21"/>
        </w:rPr>
        <w:t xml:space="preserve"> </w:t>
      </w:r>
      <w:r>
        <w:rPr>
          <w:sz w:val="21"/>
        </w:rPr>
        <w:t>more</w:t>
      </w:r>
      <w:r>
        <w:rPr>
          <w:spacing w:val="-3"/>
          <w:sz w:val="21"/>
        </w:rPr>
        <w:t xml:space="preserve"> </w:t>
      </w:r>
      <w:r>
        <w:rPr>
          <w:sz w:val="21"/>
        </w:rPr>
        <w:t>informed</w:t>
      </w:r>
      <w:r>
        <w:rPr>
          <w:spacing w:val="-3"/>
          <w:sz w:val="21"/>
        </w:rPr>
        <w:t xml:space="preserve"> </w:t>
      </w:r>
      <w:r>
        <w:rPr>
          <w:spacing w:val="-2"/>
          <w:sz w:val="21"/>
        </w:rPr>
        <w:t>decisions</w:t>
      </w:r>
    </w:p>
    <w:p w14:paraId="72201FD4" w14:textId="77777777" w:rsidR="009D54AF" w:rsidRDefault="00000000">
      <w:pPr>
        <w:pStyle w:val="ListParagraph"/>
        <w:numPr>
          <w:ilvl w:val="0"/>
          <w:numId w:val="35"/>
        </w:numPr>
        <w:tabs>
          <w:tab w:val="left" w:pos="424"/>
        </w:tabs>
        <w:ind w:left="424" w:hanging="268"/>
        <w:rPr>
          <w:sz w:val="21"/>
        </w:rPr>
      </w:pPr>
      <w:r>
        <w:rPr>
          <w:sz w:val="21"/>
        </w:rPr>
        <w:t>improve</w:t>
      </w:r>
      <w:r>
        <w:rPr>
          <w:spacing w:val="-1"/>
          <w:sz w:val="21"/>
        </w:rPr>
        <w:t xml:space="preserve"> </w:t>
      </w:r>
      <w:r>
        <w:rPr>
          <w:sz w:val="21"/>
        </w:rPr>
        <w:t xml:space="preserve">workflow </w:t>
      </w:r>
      <w:r>
        <w:rPr>
          <w:spacing w:val="-2"/>
          <w:sz w:val="21"/>
        </w:rPr>
        <w:t>efficiency.</w:t>
      </w:r>
    </w:p>
    <w:p w14:paraId="5571EEF7" w14:textId="77777777" w:rsidR="009D54AF" w:rsidRDefault="00000000">
      <w:pPr>
        <w:pStyle w:val="BodyText"/>
        <w:spacing w:before="95" w:line="278" w:lineRule="auto"/>
        <w:ind w:left="142" w:right="285"/>
      </w:pPr>
      <w:r>
        <w:t>Clinicians</w:t>
      </w:r>
      <w:r>
        <w:rPr>
          <w:spacing w:val="-2"/>
        </w:rPr>
        <w:t xml:space="preserve"> </w:t>
      </w:r>
      <w:r>
        <w:t>are</w:t>
      </w:r>
      <w:r>
        <w:rPr>
          <w:spacing w:val="-2"/>
        </w:rPr>
        <w:t xml:space="preserve"> </w:t>
      </w:r>
      <w:r>
        <w:t>encouraged</w:t>
      </w:r>
      <w:r>
        <w:rPr>
          <w:spacing w:val="-2"/>
        </w:rPr>
        <w:t xml:space="preserve"> </w:t>
      </w:r>
      <w:r>
        <w:t>to</w:t>
      </w:r>
      <w:r>
        <w:rPr>
          <w:spacing w:val="-2"/>
        </w:rPr>
        <w:t xml:space="preserve"> </w:t>
      </w:r>
      <w:r>
        <w:t>use</w:t>
      </w:r>
      <w:r>
        <w:rPr>
          <w:spacing w:val="-2"/>
        </w:rPr>
        <w:t xml:space="preserve"> </w:t>
      </w:r>
      <w:r>
        <w:t>the</w:t>
      </w:r>
      <w:r>
        <w:rPr>
          <w:spacing w:val="-2"/>
        </w:rPr>
        <w:t xml:space="preserve"> </w:t>
      </w:r>
      <w:r>
        <w:t>new</w:t>
      </w:r>
      <w:r>
        <w:rPr>
          <w:spacing w:val="-2"/>
        </w:rPr>
        <w:t xml:space="preserve"> </w:t>
      </w:r>
      <w:r>
        <w:t>Guide</w:t>
      </w:r>
      <w:r>
        <w:rPr>
          <w:spacing w:val="-2"/>
        </w:rPr>
        <w:t xml:space="preserve"> </w:t>
      </w:r>
      <w:r>
        <w:t>to</w:t>
      </w:r>
      <w:r>
        <w:rPr>
          <w:spacing w:val="-2"/>
        </w:rPr>
        <w:t xml:space="preserve"> </w:t>
      </w:r>
      <w:r>
        <w:t>advocate</w:t>
      </w:r>
      <w:r>
        <w:rPr>
          <w:spacing w:val="-2"/>
        </w:rPr>
        <w:t xml:space="preserve"> </w:t>
      </w:r>
      <w:r>
        <w:t>for</w:t>
      </w:r>
      <w:r>
        <w:rPr>
          <w:spacing w:val="-2"/>
        </w:rPr>
        <w:t xml:space="preserve"> </w:t>
      </w:r>
      <w:r>
        <w:t>improvements</w:t>
      </w:r>
      <w:r>
        <w:rPr>
          <w:spacing w:val="-2"/>
        </w:rPr>
        <w:t xml:space="preserve"> </w:t>
      </w:r>
      <w:r>
        <w:t>in</w:t>
      </w:r>
      <w:r>
        <w:rPr>
          <w:spacing w:val="-2"/>
        </w:rPr>
        <w:t xml:space="preserve"> </w:t>
      </w:r>
      <w:r>
        <w:t>the</w:t>
      </w:r>
      <w:r>
        <w:rPr>
          <w:spacing w:val="-2"/>
        </w:rPr>
        <w:t xml:space="preserve"> </w:t>
      </w:r>
      <w:r>
        <w:t>design</w:t>
      </w:r>
      <w:r>
        <w:rPr>
          <w:spacing w:val="-2"/>
        </w:rPr>
        <w:t xml:space="preserve"> </w:t>
      </w:r>
      <w:r>
        <w:t>and</w:t>
      </w:r>
      <w:r>
        <w:rPr>
          <w:spacing w:val="-2"/>
        </w:rPr>
        <w:t xml:space="preserve"> </w:t>
      </w:r>
      <w:r>
        <w:t>usability</w:t>
      </w:r>
      <w:r>
        <w:rPr>
          <w:spacing w:val="-2"/>
        </w:rPr>
        <w:t xml:space="preserve"> </w:t>
      </w:r>
      <w:r>
        <w:t>of the viewing platform in their workplaces.</w:t>
      </w:r>
    </w:p>
    <w:p w14:paraId="0EE969C0" w14:textId="77777777" w:rsidR="009D54AF" w:rsidRDefault="009D54AF">
      <w:pPr>
        <w:pStyle w:val="BodyText"/>
        <w:spacing w:before="66"/>
      </w:pPr>
    </w:p>
    <w:p w14:paraId="2B8AB36F" w14:textId="77777777" w:rsidR="009D54AF" w:rsidRDefault="00000000">
      <w:pPr>
        <w:pStyle w:val="Heading5"/>
      </w:pPr>
      <w:r>
        <w:t>Pragmatic</w:t>
      </w:r>
      <w:r>
        <w:rPr>
          <w:spacing w:val="-2"/>
        </w:rPr>
        <w:t xml:space="preserve"> </w:t>
      </w:r>
      <w:r>
        <w:t>artificial</w:t>
      </w:r>
      <w:r>
        <w:rPr>
          <w:spacing w:val="-2"/>
        </w:rPr>
        <w:t xml:space="preserve"> </w:t>
      </w:r>
      <w:r>
        <w:t>intelligence</w:t>
      </w:r>
      <w:r>
        <w:rPr>
          <w:spacing w:val="-1"/>
        </w:rPr>
        <w:t xml:space="preserve"> </w:t>
      </w:r>
      <w:r>
        <w:t>guidance</w:t>
      </w:r>
      <w:r>
        <w:rPr>
          <w:spacing w:val="-2"/>
        </w:rPr>
        <w:t xml:space="preserve"> </w:t>
      </w:r>
      <w:r>
        <w:t>for</w:t>
      </w:r>
      <w:r>
        <w:rPr>
          <w:spacing w:val="-1"/>
        </w:rPr>
        <w:t xml:space="preserve"> </w:t>
      </w:r>
      <w:r>
        <w:rPr>
          <w:spacing w:val="-2"/>
        </w:rPr>
        <w:t>clinicians</w:t>
      </w:r>
    </w:p>
    <w:p w14:paraId="03126426" w14:textId="77777777" w:rsidR="009D54AF" w:rsidRDefault="00000000">
      <w:pPr>
        <w:pStyle w:val="BodyText"/>
        <w:spacing w:before="133" w:line="278" w:lineRule="auto"/>
        <w:ind w:left="142" w:right="285"/>
      </w:pPr>
      <w:r>
        <w:t>In August 2025, the Commission published three documents to support clinicians in the use of artificial intelligence (AI) tools: an overarching AI clinical use guide, an AI scribe safety scenario and an AI interpretation of medical images safety scenario.</w:t>
      </w:r>
    </w:p>
    <w:p w14:paraId="7398A978" w14:textId="77777777" w:rsidR="009D54AF" w:rsidRDefault="00000000">
      <w:pPr>
        <w:pStyle w:val="BodyText"/>
        <w:spacing w:before="141" w:line="278" w:lineRule="auto"/>
        <w:ind w:left="142"/>
      </w:pPr>
      <w:r>
        <w:t>As</w:t>
      </w:r>
      <w:r>
        <w:rPr>
          <w:spacing w:val="-3"/>
        </w:rPr>
        <w:t xml:space="preserve"> </w:t>
      </w:r>
      <w:r>
        <w:t>of</w:t>
      </w:r>
      <w:r>
        <w:rPr>
          <w:spacing w:val="-3"/>
        </w:rPr>
        <w:t xml:space="preserve"> </w:t>
      </w:r>
      <w:r>
        <w:t>May</w:t>
      </w:r>
      <w:r>
        <w:rPr>
          <w:spacing w:val="-3"/>
        </w:rPr>
        <w:t xml:space="preserve"> </w:t>
      </w:r>
      <w:r>
        <w:t>2026,</w:t>
      </w:r>
      <w:r>
        <w:rPr>
          <w:spacing w:val="-3"/>
        </w:rPr>
        <w:t xml:space="preserve"> </w:t>
      </w:r>
      <w:r>
        <w:t>the</w:t>
      </w:r>
      <w:r>
        <w:rPr>
          <w:spacing w:val="-3"/>
        </w:rPr>
        <w:t xml:space="preserve"> </w:t>
      </w:r>
      <w:r>
        <w:t>documents</w:t>
      </w:r>
      <w:r>
        <w:rPr>
          <w:spacing w:val="-3"/>
        </w:rPr>
        <w:t xml:space="preserve"> </w:t>
      </w:r>
      <w:r>
        <w:t>have</w:t>
      </w:r>
      <w:r>
        <w:rPr>
          <w:spacing w:val="-3"/>
        </w:rPr>
        <w:t xml:space="preserve"> </w:t>
      </w:r>
      <w:r>
        <w:t>been</w:t>
      </w:r>
      <w:r>
        <w:rPr>
          <w:spacing w:val="-3"/>
        </w:rPr>
        <w:t xml:space="preserve"> </w:t>
      </w:r>
      <w:r>
        <w:t>downloaded</w:t>
      </w:r>
      <w:r>
        <w:rPr>
          <w:spacing w:val="-3"/>
        </w:rPr>
        <w:t xml:space="preserve"> </w:t>
      </w:r>
      <w:r>
        <w:t>approximately</w:t>
      </w:r>
      <w:r>
        <w:rPr>
          <w:spacing w:val="-3"/>
        </w:rPr>
        <w:t xml:space="preserve"> </w:t>
      </w:r>
      <w:r>
        <w:t>10,000</w:t>
      </w:r>
      <w:r>
        <w:rPr>
          <w:spacing w:val="-3"/>
        </w:rPr>
        <w:t xml:space="preserve"> </w:t>
      </w:r>
      <w:r>
        <w:t>times</w:t>
      </w:r>
      <w:r>
        <w:rPr>
          <w:spacing w:val="-3"/>
        </w:rPr>
        <w:t xml:space="preserve"> </w:t>
      </w:r>
      <w:r>
        <w:t>and</w:t>
      </w:r>
      <w:r>
        <w:rPr>
          <w:spacing w:val="-3"/>
        </w:rPr>
        <w:t xml:space="preserve"> </w:t>
      </w:r>
      <w:r>
        <w:t>referenced</w:t>
      </w:r>
      <w:r>
        <w:rPr>
          <w:spacing w:val="-3"/>
        </w:rPr>
        <w:t xml:space="preserve"> </w:t>
      </w:r>
      <w:r>
        <w:t>in jurisdictional and peak body AI guidance.</w:t>
      </w:r>
    </w:p>
    <w:p w14:paraId="42AA4C1E" w14:textId="77777777" w:rsidR="009D54AF" w:rsidRDefault="00000000">
      <w:pPr>
        <w:pStyle w:val="BodyText"/>
        <w:spacing w:before="142"/>
        <w:ind w:left="142"/>
      </w:pPr>
      <w:r>
        <w:t>The</w:t>
      </w:r>
      <w:r>
        <w:rPr>
          <w:spacing w:val="-3"/>
        </w:rPr>
        <w:t xml:space="preserve"> </w:t>
      </w:r>
      <w:r>
        <w:t>guides</w:t>
      </w:r>
      <w:r>
        <w:rPr>
          <w:spacing w:val="-1"/>
        </w:rPr>
        <w:t xml:space="preserve"> </w:t>
      </w:r>
      <w:r>
        <w:t>were</w:t>
      </w:r>
      <w:r>
        <w:rPr>
          <w:spacing w:val="-1"/>
        </w:rPr>
        <w:t xml:space="preserve"> </w:t>
      </w:r>
      <w:r>
        <w:t>designed</w:t>
      </w:r>
      <w:r>
        <w:rPr>
          <w:spacing w:val="-1"/>
        </w:rPr>
        <w:t xml:space="preserve"> </w:t>
      </w:r>
      <w:r>
        <w:t>to</w:t>
      </w:r>
      <w:r>
        <w:rPr>
          <w:spacing w:val="-1"/>
        </w:rPr>
        <w:t xml:space="preserve"> </w:t>
      </w:r>
      <w:r>
        <w:t>support</w:t>
      </w:r>
      <w:r>
        <w:rPr>
          <w:spacing w:val="-1"/>
        </w:rPr>
        <w:t xml:space="preserve"> </w:t>
      </w:r>
      <w:r>
        <w:t>clinicians</w:t>
      </w:r>
      <w:r>
        <w:rPr>
          <w:spacing w:val="-1"/>
        </w:rPr>
        <w:t xml:space="preserve"> </w:t>
      </w:r>
      <w:r>
        <w:t>before,</w:t>
      </w:r>
      <w:r>
        <w:rPr>
          <w:spacing w:val="-1"/>
        </w:rPr>
        <w:t xml:space="preserve"> </w:t>
      </w:r>
      <w:r>
        <w:t>during</w:t>
      </w:r>
      <w:r>
        <w:rPr>
          <w:spacing w:val="-1"/>
        </w:rPr>
        <w:t xml:space="preserve"> </w:t>
      </w:r>
      <w:r>
        <w:t>and</w:t>
      </w:r>
      <w:r>
        <w:rPr>
          <w:spacing w:val="-1"/>
        </w:rPr>
        <w:t xml:space="preserve"> </w:t>
      </w:r>
      <w:r>
        <w:t>after</w:t>
      </w:r>
      <w:r>
        <w:rPr>
          <w:spacing w:val="-1"/>
        </w:rPr>
        <w:t xml:space="preserve"> </w:t>
      </w:r>
      <w:r>
        <w:t>their</w:t>
      </w:r>
      <w:r>
        <w:rPr>
          <w:spacing w:val="-1"/>
        </w:rPr>
        <w:t xml:space="preserve"> </w:t>
      </w:r>
      <w:r>
        <w:t>day-to-day</w:t>
      </w:r>
      <w:r>
        <w:rPr>
          <w:spacing w:val="-1"/>
        </w:rPr>
        <w:t xml:space="preserve"> </w:t>
      </w:r>
      <w:r>
        <w:t>use</w:t>
      </w:r>
      <w:r>
        <w:rPr>
          <w:spacing w:val="-1"/>
        </w:rPr>
        <w:t xml:space="preserve"> </w:t>
      </w:r>
      <w:r>
        <w:t>of</w:t>
      </w:r>
      <w:r>
        <w:rPr>
          <w:spacing w:val="-1"/>
        </w:rPr>
        <w:t xml:space="preserve"> </w:t>
      </w:r>
      <w:r>
        <w:t xml:space="preserve">AI </w:t>
      </w:r>
      <w:r>
        <w:rPr>
          <w:spacing w:val="-2"/>
        </w:rPr>
        <w:t>tools.</w:t>
      </w:r>
    </w:p>
    <w:p w14:paraId="1A36FE7B" w14:textId="77777777" w:rsidR="009D54AF" w:rsidRDefault="00000000">
      <w:pPr>
        <w:pStyle w:val="BodyText"/>
        <w:spacing w:before="180" w:line="278" w:lineRule="auto"/>
        <w:ind w:left="142" w:right="285"/>
      </w:pPr>
      <w:r>
        <w:t>Focus</w:t>
      </w:r>
      <w:r>
        <w:rPr>
          <w:spacing w:val="-2"/>
        </w:rPr>
        <w:t xml:space="preserve"> </w:t>
      </w:r>
      <w:r>
        <w:t>areas</w:t>
      </w:r>
      <w:r>
        <w:rPr>
          <w:spacing w:val="-2"/>
        </w:rPr>
        <w:t xml:space="preserve"> </w:t>
      </w:r>
      <w:r>
        <w:t>included</w:t>
      </w:r>
      <w:r>
        <w:rPr>
          <w:spacing w:val="-2"/>
        </w:rPr>
        <w:t xml:space="preserve"> </w:t>
      </w:r>
      <w:r>
        <w:t>obtaining</w:t>
      </w:r>
      <w:r>
        <w:rPr>
          <w:spacing w:val="-2"/>
        </w:rPr>
        <w:t xml:space="preserve"> </w:t>
      </w:r>
      <w:r>
        <w:t>consent</w:t>
      </w:r>
      <w:r>
        <w:rPr>
          <w:spacing w:val="-2"/>
        </w:rPr>
        <w:t xml:space="preserve"> </w:t>
      </w:r>
      <w:r>
        <w:t>to</w:t>
      </w:r>
      <w:r>
        <w:rPr>
          <w:spacing w:val="-2"/>
        </w:rPr>
        <w:t xml:space="preserve"> </w:t>
      </w:r>
      <w:r>
        <w:t>use</w:t>
      </w:r>
      <w:r>
        <w:rPr>
          <w:spacing w:val="-2"/>
        </w:rPr>
        <w:t xml:space="preserve"> </w:t>
      </w:r>
      <w:r>
        <w:t>the</w:t>
      </w:r>
      <w:r>
        <w:rPr>
          <w:spacing w:val="-2"/>
        </w:rPr>
        <w:t xml:space="preserve"> </w:t>
      </w:r>
      <w:r>
        <w:t>tool,</w:t>
      </w:r>
      <w:r>
        <w:rPr>
          <w:spacing w:val="-2"/>
        </w:rPr>
        <w:t xml:space="preserve"> </w:t>
      </w:r>
      <w:r>
        <w:t>privacy</w:t>
      </w:r>
      <w:r>
        <w:rPr>
          <w:spacing w:val="-2"/>
        </w:rPr>
        <w:t xml:space="preserve"> </w:t>
      </w:r>
      <w:r>
        <w:t>considerations</w:t>
      </w:r>
      <w:r>
        <w:rPr>
          <w:spacing w:val="-2"/>
        </w:rPr>
        <w:t xml:space="preserve"> </w:t>
      </w:r>
      <w:r>
        <w:t>for</w:t>
      </w:r>
      <w:r>
        <w:rPr>
          <w:spacing w:val="-2"/>
        </w:rPr>
        <w:t xml:space="preserve"> </w:t>
      </w:r>
      <w:r>
        <w:t>AI</w:t>
      </w:r>
      <w:r>
        <w:rPr>
          <w:spacing w:val="-2"/>
        </w:rPr>
        <w:t xml:space="preserve"> </w:t>
      </w:r>
      <w:r>
        <w:t>and</w:t>
      </w:r>
      <w:r>
        <w:rPr>
          <w:spacing w:val="-2"/>
        </w:rPr>
        <w:t xml:space="preserve"> </w:t>
      </w:r>
      <w:r>
        <w:t>health</w:t>
      </w:r>
      <w:r>
        <w:rPr>
          <w:spacing w:val="-2"/>
        </w:rPr>
        <w:t xml:space="preserve"> </w:t>
      </w:r>
      <w:r>
        <w:t>information, understanding and managing AI bias, and the importance of ongoing monitoring of the performance of the tools over time.</w:t>
      </w:r>
    </w:p>
    <w:p w14:paraId="4ACD7785" w14:textId="77777777" w:rsidR="009D54AF" w:rsidRDefault="00000000">
      <w:pPr>
        <w:pStyle w:val="BodyText"/>
        <w:spacing w:before="141" w:line="278" w:lineRule="auto"/>
        <w:ind w:left="142"/>
      </w:pPr>
      <w:r>
        <w:t>The project was funded by the Department of Health, Disability and Ageing to support a whole-of-economy AI budget measure.</w:t>
      </w:r>
    </w:p>
    <w:p w14:paraId="476F040E" w14:textId="77777777" w:rsidR="009D54AF" w:rsidRDefault="009D54AF">
      <w:pPr>
        <w:pStyle w:val="BodyText"/>
        <w:spacing w:before="66"/>
      </w:pPr>
    </w:p>
    <w:p w14:paraId="08FB65A8" w14:textId="77777777" w:rsidR="009D54AF" w:rsidRDefault="00000000">
      <w:pPr>
        <w:pStyle w:val="Heading5"/>
      </w:pPr>
      <w:r>
        <w:t>Electronic</w:t>
      </w:r>
      <w:r>
        <w:rPr>
          <w:spacing w:val="-6"/>
        </w:rPr>
        <w:t xml:space="preserve"> </w:t>
      </w:r>
      <w:r>
        <w:t>Medication</w:t>
      </w:r>
      <w:r>
        <w:rPr>
          <w:spacing w:val="-4"/>
        </w:rPr>
        <w:t xml:space="preserve"> </w:t>
      </w:r>
      <w:r>
        <w:t>Management</w:t>
      </w:r>
      <w:r>
        <w:rPr>
          <w:spacing w:val="-4"/>
        </w:rPr>
        <w:t xml:space="preserve"> </w:t>
      </w:r>
      <w:r>
        <w:t>Self-Assessment</w:t>
      </w:r>
      <w:r>
        <w:rPr>
          <w:spacing w:val="-3"/>
        </w:rPr>
        <w:t xml:space="preserve"> </w:t>
      </w:r>
      <w:r>
        <w:rPr>
          <w:spacing w:val="-4"/>
        </w:rPr>
        <w:t>Tool</w:t>
      </w:r>
    </w:p>
    <w:p w14:paraId="2F7785F8" w14:textId="77777777" w:rsidR="009D54AF" w:rsidRDefault="00000000">
      <w:pPr>
        <w:pStyle w:val="BodyText"/>
        <w:spacing w:before="133" w:line="278" w:lineRule="auto"/>
        <w:ind w:left="142"/>
      </w:pPr>
      <w:r>
        <w:lastRenderedPageBreak/>
        <w:t>In</w:t>
      </w:r>
      <w:r>
        <w:rPr>
          <w:spacing w:val="-2"/>
        </w:rPr>
        <w:t xml:space="preserve"> </w:t>
      </w:r>
      <w:r>
        <w:t>February</w:t>
      </w:r>
      <w:r>
        <w:rPr>
          <w:spacing w:val="-2"/>
        </w:rPr>
        <w:t xml:space="preserve"> </w:t>
      </w:r>
      <w:r>
        <w:t>2026,</w:t>
      </w:r>
      <w:r>
        <w:rPr>
          <w:spacing w:val="-2"/>
        </w:rPr>
        <w:t xml:space="preserve"> </w:t>
      </w:r>
      <w:r>
        <w:t>the</w:t>
      </w:r>
      <w:r>
        <w:rPr>
          <w:spacing w:val="-2"/>
        </w:rPr>
        <w:t xml:space="preserve"> </w:t>
      </w:r>
      <w:r>
        <w:t>Commission</w:t>
      </w:r>
      <w:r>
        <w:rPr>
          <w:spacing w:val="-2"/>
        </w:rPr>
        <w:t xml:space="preserve"> </w:t>
      </w:r>
      <w:r>
        <w:t>delivered</w:t>
      </w:r>
      <w:r>
        <w:rPr>
          <w:spacing w:val="-2"/>
        </w:rPr>
        <w:t xml:space="preserve"> </w:t>
      </w:r>
      <w:r>
        <w:t>the</w:t>
      </w:r>
      <w:r>
        <w:rPr>
          <w:spacing w:val="-2"/>
        </w:rPr>
        <w:t xml:space="preserve"> </w:t>
      </w:r>
      <w:r>
        <w:t>Electronic</w:t>
      </w:r>
      <w:r>
        <w:rPr>
          <w:spacing w:val="-2"/>
        </w:rPr>
        <w:t xml:space="preserve"> </w:t>
      </w:r>
      <w:r>
        <w:t>Medication</w:t>
      </w:r>
      <w:r>
        <w:rPr>
          <w:spacing w:val="-2"/>
        </w:rPr>
        <w:t xml:space="preserve"> </w:t>
      </w:r>
      <w:r>
        <w:t>Management</w:t>
      </w:r>
      <w:r>
        <w:rPr>
          <w:spacing w:val="-2"/>
        </w:rPr>
        <w:t xml:space="preserve"> </w:t>
      </w:r>
      <w:r>
        <w:t>Self-Assessment</w:t>
      </w:r>
      <w:r>
        <w:rPr>
          <w:spacing w:val="-2"/>
        </w:rPr>
        <w:t xml:space="preserve"> </w:t>
      </w:r>
      <w:r>
        <w:t xml:space="preserve">Tool (EMMSAT), an online resource designed to assist hospitals in assessing and </w:t>
      </w:r>
      <w:proofErr w:type="spellStart"/>
      <w:r>
        <w:t>optimising</w:t>
      </w:r>
      <w:proofErr w:type="spellEnd"/>
      <w:r>
        <w:t xml:space="preserve"> their electronic medication management systems through incremental improvements.</w:t>
      </w:r>
    </w:p>
    <w:p w14:paraId="175B4DD1" w14:textId="77777777" w:rsidR="009D54AF" w:rsidRDefault="00000000">
      <w:pPr>
        <w:pStyle w:val="BodyText"/>
        <w:spacing w:before="141" w:line="278" w:lineRule="auto"/>
        <w:ind w:left="142" w:right="562"/>
      </w:pPr>
      <w:r>
        <w:t>The EMMSAT is structured around a series of domains and indicators, enabling hospital teams to tailor the assessment to their local context – ranging from a comprehensive review across all domains to a focused assessment of selected indicators. The tool also supports the generation of assessment reports, action plans and longitudinal indicator comparisons to track progress over time.</w:t>
      </w:r>
    </w:p>
    <w:p w14:paraId="24C512C9" w14:textId="77777777" w:rsidR="009D54AF" w:rsidRDefault="009D54AF">
      <w:pPr>
        <w:pStyle w:val="BodyText"/>
        <w:spacing w:before="66"/>
      </w:pPr>
    </w:p>
    <w:p w14:paraId="376E63EA" w14:textId="77777777" w:rsidR="009D54AF" w:rsidRDefault="00000000">
      <w:pPr>
        <w:pStyle w:val="Heading5"/>
        <w:spacing w:line="249" w:lineRule="auto"/>
        <w:ind w:right="285"/>
      </w:pPr>
      <w:r>
        <w:t>National</w:t>
      </w:r>
      <w:r>
        <w:rPr>
          <w:spacing w:val="-8"/>
        </w:rPr>
        <w:t xml:space="preserve"> </w:t>
      </w:r>
      <w:r>
        <w:t>Guidelines</w:t>
      </w:r>
      <w:r>
        <w:rPr>
          <w:spacing w:val="-8"/>
        </w:rPr>
        <w:t xml:space="preserve"> </w:t>
      </w:r>
      <w:r>
        <w:t>for</w:t>
      </w:r>
      <w:r>
        <w:rPr>
          <w:spacing w:val="-8"/>
        </w:rPr>
        <w:t xml:space="preserve"> </w:t>
      </w:r>
      <w:r>
        <w:t>Presentation</w:t>
      </w:r>
      <w:r>
        <w:rPr>
          <w:spacing w:val="-8"/>
        </w:rPr>
        <w:t xml:space="preserve"> </w:t>
      </w:r>
      <w:r>
        <w:t>of</w:t>
      </w:r>
      <w:r>
        <w:rPr>
          <w:spacing w:val="-8"/>
        </w:rPr>
        <w:t xml:space="preserve"> </w:t>
      </w:r>
      <w:r>
        <w:t>Electronic</w:t>
      </w:r>
      <w:r>
        <w:rPr>
          <w:spacing w:val="-8"/>
        </w:rPr>
        <w:t xml:space="preserve"> </w:t>
      </w:r>
      <w:r>
        <w:t xml:space="preserve">Discharge </w:t>
      </w:r>
      <w:r>
        <w:rPr>
          <w:spacing w:val="-2"/>
        </w:rPr>
        <w:t>Summaries</w:t>
      </w:r>
    </w:p>
    <w:p w14:paraId="20FBD902" w14:textId="77777777" w:rsidR="009D54AF" w:rsidRDefault="00000000">
      <w:pPr>
        <w:pStyle w:val="BodyText"/>
        <w:spacing w:before="120" w:line="278" w:lineRule="auto"/>
        <w:ind w:left="142" w:right="285"/>
      </w:pPr>
      <w:r>
        <w:t>In</w:t>
      </w:r>
      <w:r>
        <w:rPr>
          <w:spacing w:val="-2"/>
        </w:rPr>
        <w:t xml:space="preserve"> </w:t>
      </w:r>
      <w:r>
        <w:t>December</w:t>
      </w:r>
      <w:r>
        <w:rPr>
          <w:spacing w:val="-2"/>
        </w:rPr>
        <w:t xml:space="preserve"> </w:t>
      </w:r>
      <w:r>
        <w:t>2025,</w:t>
      </w:r>
      <w:r>
        <w:rPr>
          <w:spacing w:val="-2"/>
        </w:rPr>
        <w:t xml:space="preserve"> </w:t>
      </w:r>
      <w:r>
        <w:t>the</w:t>
      </w:r>
      <w:r>
        <w:rPr>
          <w:spacing w:val="-2"/>
        </w:rPr>
        <w:t xml:space="preserve"> </w:t>
      </w:r>
      <w:r>
        <w:t>Commission</w:t>
      </w:r>
      <w:r>
        <w:rPr>
          <w:spacing w:val="-2"/>
        </w:rPr>
        <w:t xml:space="preserve"> </w:t>
      </w:r>
      <w:r>
        <w:t>published</w:t>
      </w:r>
      <w:r>
        <w:rPr>
          <w:spacing w:val="-2"/>
        </w:rPr>
        <w:t xml:space="preserve"> </w:t>
      </w:r>
      <w:r>
        <w:t>the</w:t>
      </w:r>
      <w:r>
        <w:rPr>
          <w:spacing w:val="-2"/>
        </w:rPr>
        <w:t xml:space="preserve"> </w:t>
      </w:r>
      <w:r>
        <w:t>National</w:t>
      </w:r>
      <w:r>
        <w:rPr>
          <w:spacing w:val="-2"/>
        </w:rPr>
        <w:t xml:space="preserve"> </w:t>
      </w:r>
      <w:r>
        <w:t>Guidelines</w:t>
      </w:r>
      <w:r>
        <w:rPr>
          <w:spacing w:val="-2"/>
        </w:rPr>
        <w:t xml:space="preserve"> </w:t>
      </w:r>
      <w:r>
        <w:t>for</w:t>
      </w:r>
      <w:r>
        <w:rPr>
          <w:spacing w:val="-2"/>
        </w:rPr>
        <w:t xml:space="preserve"> </w:t>
      </w:r>
      <w:r>
        <w:t>Presentation</w:t>
      </w:r>
      <w:r>
        <w:rPr>
          <w:spacing w:val="-2"/>
        </w:rPr>
        <w:t xml:space="preserve"> </w:t>
      </w:r>
      <w:r>
        <w:t>of</w:t>
      </w:r>
      <w:r>
        <w:rPr>
          <w:spacing w:val="-2"/>
        </w:rPr>
        <w:t xml:space="preserve"> </w:t>
      </w:r>
      <w:r>
        <w:t>Electronic Discharge Summaries (the Guidelines), an update of its 2017 guidelines.</w:t>
      </w:r>
    </w:p>
    <w:p w14:paraId="103834FD" w14:textId="58C922B6" w:rsidR="009D54AF" w:rsidRDefault="00000000" w:rsidP="003F1A04">
      <w:pPr>
        <w:pStyle w:val="BodyText"/>
        <w:spacing w:before="142" w:line="278" w:lineRule="auto"/>
        <w:ind w:left="142"/>
      </w:pPr>
      <w:r>
        <w:t>The</w:t>
      </w:r>
      <w:r>
        <w:rPr>
          <w:spacing w:val="-1"/>
        </w:rPr>
        <w:t xml:space="preserve"> </w:t>
      </w:r>
      <w:r>
        <w:t>Guidelines</w:t>
      </w:r>
      <w:r>
        <w:rPr>
          <w:spacing w:val="-1"/>
        </w:rPr>
        <w:t xml:space="preserve"> </w:t>
      </w:r>
      <w:r>
        <w:t>provide</w:t>
      </w:r>
      <w:r>
        <w:rPr>
          <w:spacing w:val="-1"/>
        </w:rPr>
        <w:t xml:space="preserve"> </w:t>
      </w:r>
      <w:r>
        <w:t>evidence-based</w:t>
      </w:r>
      <w:r>
        <w:rPr>
          <w:spacing w:val="-1"/>
        </w:rPr>
        <w:t xml:space="preserve"> </w:t>
      </w:r>
      <w:r>
        <w:t>recommendations</w:t>
      </w:r>
      <w:r>
        <w:rPr>
          <w:spacing w:val="-1"/>
        </w:rPr>
        <w:t xml:space="preserve"> </w:t>
      </w:r>
      <w:r>
        <w:t>on</w:t>
      </w:r>
      <w:r>
        <w:rPr>
          <w:spacing w:val="-1"/>
        </w:rPr>
        <w:t xml:space="preserve"> </w:t>
      </w:r>
      <w:r>
        <w:t>the</w:t>
      </w:r>
      <w:r>
        <w:rPr>
          <w:spacing w:val="-1"/>
        </w:rPr>
        <w:t xml:space="preserve"> </w:t>
      </w:r>
      <w:r>
        <w:t>structure,</w:t>
      </w:r>
      <w:r>
        <w:rPr>
          <w:spacing w:val="-1"/>
        </w:rPr>
        <w:t xml:space="preserve"> </w:t>
      </w:r>
      <w:r>
        <w:t>format</w:t>
      </w:r>
      <w:r>
        <w:rPr>
          <w:spacing w:val="-1"/>
        </w:rPr>
        <w:t xml:space="preserve"> </w:t>
      </w:r>
      <w:r>
        <w:t>and</w:t>
      </w:r>
      <w:r>
        <w:rPr>
          <w:spacing w:val="-1"/>
        </w:rPr>
        <w:t xml:space="preserve"> </w:t>
      </w:r>
      <w:r>
        <w:t>content</w:t>
      </w:r>
      <w:r>
        <w:rPr>
          <w:spacing w:val="-1"/>
        </w:rPr>
        <w:t xml:space="preserve"> </w:t>
      </w:r>
      <w:r>
        <w:t>of</w:t>
      </w:r>
      <w:r>
        <w:rPr>
          <w:spacing w:val="-1"/>
        </w:rPr>
        <w:t xml:space="preserve"> </w:t>
      </w:r>
      <w:r>
        <w:t>electronic discharge summaries, supported by clinical governance, training and evaluation processes. They are</w:t>
      </w:r>
      <w:r w:rsidR="003F1A04">
        <w:t xml:space="preserve"> </w:t>
      </w:r>
      <w:r>
        <w:t>designed</w:t>
      </w:r>
      <w:r>
        <w:rPr>
          <w:spacing w:val="-1"/>
        </w:rPr>
        <w:t xml:space="preserve"> </w:t>
      </w:r>
      <w:r>
        <w:t>to</w:t>
      </w:r>
      <w:r>
        <w:rPr>
          <w:spacing w:val="-1"/>
        </w:rPr>
        <w:t xml:space="preserve"> </w:t>
      </w:r>
      <w:r>
        <w:t>improve</w:t>
      </w:r>
      <w:r>
        <w:rPr>
          <w:spacing w:val="-1"/>
        </w:rPr>
        <w:t xml:space="preserve"> </w:t>
      </w:r>
      <w:r>
        <w:t>the</w:t>
      </w:r>
      <w:r>
        <w:rPr>
          <w:spacing w:val="-1"/>
        </w:rPr>
        <w:t xml:space="preserve"> </w:t>
      </w:r>
      <w:r>
        <w:t>quality</w:t>
      </w:r>
      <w:r>
        <w:rPr>
          <w:spacing w:val="-1"/>
        </w:rPr>
        <w:t xml:space="preserve"> </w:t>
      </w:r>
      <w:r>
        <w:t>and</w:t>
      </w:r>
      <w:r>
        <w:rPr>
          <w:spacing w:val="-1"/>
        </w:rPr>
        <w:t xml:space="preserve"> </w:t>
      </w:r>
      <w:r>
        <w:t>usability</w:t>
      </w:r>
      <w:r>
        <w:rPr>
          <w:spacing w:val="-1"/>
        </w:rPr>
        <w:t xml:space="preserve"> </w:t>
      </w:r>
      <w:r>
        <w:t>of</w:t>
      </w:r>
      <w:r>
        <w:rPr>
          <w:spacing w:val="-1"/>
        </w:rPr>
        <w:t xml:space="preserve"> </w:t>
      </w:r>
      <w:r>
        <w:t>discharge</w:t>
      </w:r>
      <w:r>
        <w:rPr>
          <w:spacing w:val="-1"/>
        </w:rPr>
        <w:t xml:space="preserve"> </w:t>
      </w:r>
      <w:r>
        <w:t>information,</w:t>
      </w:r>
      <w:r>
        <w:rPr>
          <w:spacing w:val="-1"/>
        </w:rPr>
        <w:t xml:space="preserve"> </w:t>
      </w:r>
      <w:r>
        <w:t>assist</w:t>
      </w:r>
      <w:r>
        <w:rPr>
          <w:spacing w:val="-1"/>
        </w:rPr>
        <w:t xml:space="preserve"> </w:t>
      </w:r>
      <w:r>
        <w:t>clinicians</w:t>
      </w:r>
      <w:r>
        <w:rPr>
          <w:spacing w:val="-1"/>
        </w:rPr>
        <w:t xml:space="preserve"> </w:t>
      </w:r>
      <w:r>
        <w:t>in</w:t>
      </w:r>
      <w:r>
        <w:rPr>
          <w:spacing w:val="-1"/>
        </w:rPr>
        <w:t xml:space="preserve"> </w:t>
      </w:r>
      <w:r>
        <w:t>primary</w:t>
      </w:r>
      <w:r>
        <w:rPr>
          <w:spacing w:val="-1"/>
        </w:rPr>
        <w:t xml:space="preserve"> </w:t>
      </w:r>
      <w:r>
        <w:t>care</w:t>
      </w:r>
      <w:r>
        <w:rPr>
          <w:spacing w:val="-1"/>
        </w:rPr>
        <w:t xml:space="preserve"> </w:t>
      </w:r>
      <w:r>
        <w:t>to identify follow-up actions and risks at transitions of care, and support improved patient outcomes.</w:t>
      </w:r>
    </w:p>
    <w:p w14:paraId="57559A30" w14:textId="77777777" w:rsidR="009D54AF" w:rsidRDefault="00000000">
      <w:pPr>
        <w:pStyle w:val="BodyText"/>
        <w:spacing w:before="141" w:line="278" w:lineRule="auto"/>
        <w:ind w:left="142" w:right="607"/>
      </w:pPr>
      <w:r>
        <w:t>The</w:t>
      </w:r>
      <w:r>
        <w:rPr>
          <w:spacing w:val="-1"/>
        </w:rPr>
        <w:t xml:space="preserve"> </w:t>
      </w:r>
      <w:r>
        <w:t>updated</w:t>
      </w:r>
      <w:r>
        <w:rPr>
          <w:spacing w:val="-1"/>
        </w:rPr>
        <w:t xml:space="preserve"> </w:t>
      </w:r>
      <w:r>
        <w:t>Guidelines</w:t>
      </w:r>
      <w:r>
        <w:rPr>
          <w:spacing w:val="-1"/>
        </w:rPr>
        <w:t xml:space="preserve"> </w:t>
      </w:r>
      <w:r>
        <w:t>reflect</w:t>
      </w:r>
      <w:r>
        <w:rPr>
          <w:spacing w:val="-1"/>
        </w:rPr>
        <w:t xml:space="preserve"> </w:t>
      </w:r>
      <w:r>
        <w:t>consultation</w:t>
      </w:r>
      <w:r>
        <w:rPr>
          <w:spacing w:val="-1"/>
        </w:rPr>
        <w:t xml:space="preserve"> </w:t>
      </w:r>
      <w:r>
        <w:t>with</w:t>
      </w:r>
      <w:r>
        <w:rPr>
          <w:spacing w:val="-1"/>
        </w:rPr>
        <w:t xml:space="preserve"> </w:t>
      </w:r>
      <w:r>
        <w:t>clinicians,</w:t>
      </w:r>
      <w:r>
        <w:rPr>
          <w:spacing w:val="-1"/>
        </w:rPr>
        <w:t xml:space="preserve"> </w:t>
      </w:r>
      <w:r>
        <w:t>peak</w:t>
      </w:r>
      <w:r>
        <w:rPr>
          <w:spacing w:val="-1"/>
        </w:rPr>
        <w:t xml:space="preserve"> </w:t>
      </w:r>
      <w:r>
        <w:t>bodies</w:t>
      </w:r>
      <w:r>
        <w:rPr>
          <w:spacing w:val="-1"/>
        </w:rPr>
        <w:t xml:space="preserve"> </w:t>
      </w:r>
      <w:r>
        <w:t>and</w:t>
      </w:r>
      <w:r>
        <w:rPr>
          <w:spacing w:val="-1"/>
        </w:rPr>
        <w:t xml:space="preserve"> </w:t>
      </w:r>
      <w:r>
        <w:t>jurisdictions,</w:t>
      </w:r>
      <w:r>
        <w:rPr>
          <w:spacing w:val="-1"/>
        </w:rPr>
        <w:t xml:space="preserve"> </w:t>
      </w:r>
      <w:r>
        <w:t>and</w:t>
      </w:r>
      <w:r>
        <w:rPr>
          <w:spacing w:val="-1"/>
        </w:rPr>
        <w:t xml:space="preserve"> </w:t>
      </w:r>
      <w:r>
        <w:t>respond</w:t>
      </w:r>
      <w:r>
        <w:rPr>
          <w:spacing w:val="-1"/>
        </w:rPr>
        <w:t xml:space="preserve"> </w:t>
      </w:r>
      <w:r>
        <w:t xml:space="preserve">to increasing digital capability across the health system. They </w:t>
      </w:r>
      <w:proofErr w:type="spellStart"/>
      <w:r>
        <w:t>emphasise</w:t>
      </w:r>
      <w:proofErr w:type="spellEnd"/>
      <w:r>
        <w:t xml:space="preserve"> the importance of a coordinated, system-wide approach to achieving national consistency in discharge information.</w:t>
      </w:r>
    </w:p>
    <w:p w14:paraId="0A08F9D5" w14:textId="77777777" w:rsidR="009D54AF" w:rsidRDefault="00000000">
      <w:pPr>
        <w:pStyle w:val="BodyText"/>
        <w:spacing w:before="142" w:line="278" w:lineRule="auto"/>
        <w:ind w:left="142" w:right="145"/>
      </w:pPr>
      <w:r>
        <w:t>The</w:t>
      </w:r>
      <w:r>
        <w:rPr>
          <w:spacing w:val="-2"/>
        </w:rPr>
        <w:t xml:space="preserve"> </w:t>
      </w:r>
      <w:r>
        <w:t>Guidelines</w:t>
      </w:r>
      <w:r>
        <w:rPr>
          <w:spacing w:val="-2"/>
        </w:rPr>
        <w:t xml:space="preserve"> </w:t>
      </w:r>
      <w:r>
        <w:t>also</w:t>
      </w:r>
      <w:r>
        <w:rPr>
          <w:spacing w:val="-2"/>
        </w:rPr>
        <w:t xml:space="preserve"> </w:t>
      </w:r>
      <w:r>
        <w:t>support</w:t>
      </w:r>
      <w:r>
        <w:rPr>
          <w:spacing w:val="-2"/>
        </w:rPr>
        <w:t xml:space="preserve"> </w:t>
      </w:r>
      <w:r>
        <w:t>implementation</w:t>
      </w:r>
      <w:r>
        <w:rPr>
          <w:spacing w:val="-2"/>
        </w:rPr>
        <w:t xml:space="preserve"> </w:t>
      </w:r>
      <w:r>
        <w:t>of</w:t>
      </w:r>
      <w:r>
        <w:rPr>
          <w:spacing w:val="-2"/>
        </w:rPr>
        <w:t xml:space="preserve"> </w:t>
      </w:r>
      <w:r>
        <w:t>recommendations</w:t>
      </w:r>
      <w:r>
        <w:rPr>
          <w:spacing w:val="-2"/>
        </w:rPr>
        <w:t xml:space="preserve"> </w:t>
      </w:r>
      <w:r>
        <w:t>from</w:t>
      </w:r>
      <w:r>
        <w:rPr>
          <w:spacing w:val="-2"/>
        </w:rPr>
        <w:t xml:space="preserve"> </w:t>
      </w:r>
      <w:r>
        <w:t>the</w:t>
      </w:r>
      <w:r>
        <w:rPr>
          <w:spacing w:val="-2"/>
        </w:rPr>
        <w:t xml:space="preserve"> </w:t>
      </w:r>
      <w:r>
        <w:t>Royal</w:t>
      </w:r>
      <w:r>
        <w:rPr>
          <w:spacing w:val="-2"/>
        </w:rPr>
        <w:t xml:space="preserve"> </w:t>
      </w:r>
      <w:r>
        <w:t>Commission</w:t>
      </w:r>
      <w:r>
        <w:rPr>
          <w:spacing w:val="-2"/>
        </w:rPr>
        <w:t xml:space="preserve"> </w:t>
      </w:r>
      <w:r>
        <w:t>into</w:t>
      </w:r>
      <w:r>
        <w:rPr>
          <w:spacing w:val="-2"/>
        </w:rPr>
        <w:t xml:space="preserve"> </w:t>
      </w:r>
      <w:r>
        <w:t>Aged</w:t>
      </w:r>
      <w:r>
        <w:rPr>
          <w:spacing w:val="-2"/>
        </w:rPr>
        <w:t xml:space="preserve"> </w:t>
      </w:r>
      <w:r>
        <w:t>Care Quality and Safety, including Recommendation (66a), and inform future reform activity under the National Health Reform Agreement (2026–2031 addendum).</w:t>
      </w:r>
    </w:p>
    <w:p w14:paraId="1565246B" w14:textId="77777777" w:rsidR="009D54AF" w:rsidRDefault="009D54AF">
      <w:pPr>
        <w:pStyle w:val="BodyText"/>
        <w:spacing w:before="65"/>
      </w:pPr>
    </w:p>
    <w:p w14:paraId="6432CDA6" w14:textId="77777777" w:rsidR="009D54AF" w:rsidRDefault="00000000">
      <w:pPr>
        <w:pStyle w:val="Heading5"/>
      </w:pPr>
      <w:r>
        <w:t>Virtual</w:t>
      </w:r>
      <w:r>
        <w:rPr>
          <w:spacing w:val="5"/>
        </w:rPr>
        <w:t xml:space="preserve"> </w:t>
      </w:r>
      <w:r>
        <w:rPr>
          <w:spacing w:val="-4"/>
        </w:rPr>
        <w:t>care</w:t>
      </w:r>
    </w:p>
    <w:p w14:paraId="0C083CAA" w14:textId="77777777" w:rsidR="009D54AF" w:rsidRDefault="00000000">
      <w:pPr>
        <w:pStyle w:val="BodyText"/>
        <w:spacing w:before="133" w:line="278" w:lineRule="auto"/>
        <w:ind w:left="142"/>
      </w:pPr>
      <w:r>
        <w:t>Virtual care has become an essential part of how Australians access health services, and spans primary, secondary and tertiary care including emergency services. More than 11 million Australians had a telehealth consultation</w:t>
      </w:r>
      <w:r>
        <w:rPr>
          <w:spacing w:val="-4"/>
        </w:rPr>
        <w:t xml:space="preserve"> </w:t>
      </w:r>
      <w:r>
        <w:t>in</w:t>
      </w:r>
      <w:r>
        <w:rPr>
          <w:spacing w:val="-1"/>
        </w:rPr>
        <w:t xml:space="preserve"> </w:t>
      </w:r>
      <w:r>
        <w:t>2025,</w:t>
      </w:r>
      <w:r>
        <w:rPr>
          <w:spacing w:val="-1"/>
        </w:rPr>
        <w:t xml:space="preserve"> </w:t>
      </w:r>
      <w:r>
        <w:t>highlighting</w:t>
      </w:r>
      <w:r>
        <w:rPr>
          <w:spacing w:val="-2"/>
        </w:rPr>
        <w:t xml:space="preserve"> </w:t>
      </w:r>
      <w:r>
        <w:t>the</w:t>
      </w:r>
      <w:r>
        <w:rPr>
          <w:spacing w:val="-1"/>
        </w:rPr>
        <w:t xml:space="preserve"> </w:t>
      </w:r>
      <w:r>
        <w:t>scale</w:t>
      </w:r>
      <w:r>
        <w:rPr>
          <w:spacing w:val="-1"/>
        </w:rPr>
        <w:t xml:space="preserve"> </w:t>
      </w:r>
      <w:r>
        <w:t>and</w:t>
      </w:r>
      <w:r>
        <w:rPr>
          <w:spacing w:val="-1"/>
        </w:rPr>
        <w:t xml:space="preserve"> </w:t>
      </w:r>
      <w:r>
        <w:t>reach</w:t>
      </w:r>
      <w:r>
        <w:rPr>
          <w:spacing w:val="-2"/>
        </w:rPr>
        <w:t xml:space="preserve"> </w:t>
      </w:r>
      <w:r>
        <w:t>of</w:t>
      </w:r>
      <w:r>
        <w:rPr>
          <w:spacing w:val="-1"/>
        </w:rPr>
        <w:t xml:space="preserve"> </w:t>
      </w:r>
      <w:r>
        <w:t>care</w:t>
      </w:r>
      <w:r>
        <w:rPr>
          <w:spacing w:val="-1"/>
        </w:rPr>
        <w:t xml:space="preserve"> </w:t>
      </w:r>
      <w:r>
        <w:t>delivered</w:t>
      </w:r>
      <w:r>
        <w:rPr>
          <w:spacing w:val="-2"/>
        </w:rPr>
        <w:t xml:space="preserve"> </w:t>
      </w:r>
      <w:r>
        <w:t>outside</w:t>
      </w:r>
      <w:r>
        <w:rPr>
          <w:spacing w:val="-1"/>
        </w:rPr>
        <w:t xml:space="preserve"> </w:t>
      </w:r>
      <w:r>
        <w:t>traditional</w:t>
      </w:r>
      <w:r>
        <w:rPr>
          <w:spacing w:val="-1"/>
        </w:rPr>
        <w:t xml:space="preserve"> </w:t>
      </w:r>
      <w:r>
        <w:t>in-person</w:t>
      </w:r>
      <w:r>
        <w:rPr>
          <w:spacing w:val="-1"/>
        </w:rPr>
        <w:t xml:space="preserve"> </w:t>
      </w:r>
      <w:r>
        <w:rPr>
          <w:spacing w:val="-2"/>
        </w:rPr>
        <w:t>settings.</w:t>
      </w:r>
    </w:p>
    <w:p w14:paraId="330BF3B1" w14:textId="77777777" w:rsidR="009D54AF" w:rsidRDefault="00000000">
      <w:pPr>
        <w:pStyle w:val="BodyText"/>
        <w:spacing w:before="141" w:line="278" w:lineRule="auto"/>
        <w:ind w:left="142" w:right="418"/>
      </w:pPr>
      <w:r>
        <w:t>To</w:t>
      </w:r>
      <w:r>
        <w:rPr>
          <w:spacing w:val="-5"/>
        </w:rPr>
        <w:t xml:space="preserve"> </w:t>
      </w:r>
      <w:r>
        <w:t>support</w:t>
      </w:r>
      <w:r>
        <w:rPr>
          <w:spacing w:val="-5"/>
        </w:rPr>
        <w:t xml:space="preserve"> </w:t>
      </w:r>
      <w:r>
        <w:t>high-quality</w:t>
      </w:r>
      <w:r>
        <w:rPr>
          <w:spacing w:val="-5"/>
        </w:rPr>
        <w:t xml:space="preserve"> </w:t>
      </w:r>
      <w:r>
        <w:t>virtual</w:t>
      </w:r>
      <w:r>
        <w:rPr>
          <w:spacing w:val="-5"/>
        </w:rPr>
        <w:t xml:space="preserve"> </w:t>
      </w:r>
      <w:r>
        <w:t>care,</w:t>
      </w:r>
      <w:r>
        <w:rPr>
          <w:spacing w:val="-5"/>
        </w:rPr>
        <w:t xml:space="preserve"> </w:t>
      </w:r>
      <w:r>
        <w:t>regardless</w:t>
      </w:r>
      <w:r>
        <w:rPr>
          <w:spacing w:val="-5"/>
        </w:rPr>
        <w:t xml:space="preserve"> </w:t>
      </w:r>
      <w:r>
        <w:t>of</w:t>
      </w:r>
      <w:r>
        <w:rPr>
          <w:spacing w:val="-5"/>
        </w:rPr>
        <w:t xml:space="preserve"> </w:t>
      </w:r>
      <w:r>
        <w:t>setting,</w:t>
      </w:r>
      <w:r>
        <w:rPr>
          <w:spacing w:val="-5"/>
        </w:rPr>
        <w:t xml:space="preserve"> </w:t>
      </w:r>
      <w:r>
        <w:t>the</w:t>
      </w:r>
      <w:r>
        <w:rPr>
          <w:spacing w:val="-5"/>
        </w:rPr>
        <w:t xml:space="preserve"> </w:t>
      </w:r>
      <w:r>
        <w:t>Commission</w:t>
      </w:r>
      <w:r>
        <w:rPr>
          <w:spacing w:val="-5"/>
        </w:rPr>
        <w:t xml:space="preserve"> </w:t>
      </w:r>
      <w:r>
        <w:t>began</w:t>
      </w:r>
      <w:r>
        <w:rPr>
          <w:spacing w:val="-10"/>
        </w:rPr>
        <w:t xml:space="preserve"> </w:t>
      </w:r>
      <w:r>
        <w:t>development</w:t>
      </w:r>
      <w:r>
        <w:rPr>
          <w:spacing w:val="-10"/>
        </w:rPr>
        <w:t xml:space="preserve"> </w:t>
      </w:r>
      <w:r>
        <w:t>of</w:t>
      </w:r>
      <w:r>
        <w:rPr>
          <w:spacing w:val="-10"/>
        </w:rPr>
        <w:t xml:space="preserve"> </w:t>
      </w:r>
      <w:r>
        <w:t>standards for high-quality virtual care in May 2026. These standards will establish clear, consistent expectations for high-quality virtual care.</w:t>
      </w:r>
    </w:p>
    <w:p w14:paraId="6C908E09" w14:textId="77777777" w:rsidR="009D54AF" w:rsidRDefault="00000000">
      <w:pPr>
        <w:pStyle w:val="BodyText"/>
        <w:spacing w:before="142" w:line="278" w:lineRule="auto"/>
        <w:ind w:left="142" w:right="214"/>
      </w:pPr>
      <w:r>
        <w:t>The standards form part of a broader national approach to strengthening virtual care quality. They align with the</w:t>
      </w:r>
      <w:r>
        <w:rPr>
          <w:spacing w:val="-1"/>
        </w:rPr>
        <w:t xml:space="preserve"> </w:t>
      </w:r>
      <w:r>
        <w:rPr>
          <w:i/>
        </w:rPr>
        <w:t>National</w:t>
      </w:r>
      <w:r>
        <w:rPr>
          <w:i/>
          <w:spacing w:val="-1"/>
        </w:rPr>
        <w:t xml:space="preserve"> </w:t>
      </w:r>
      <w:r>
        <w:rPr>
          <w:i/>
        </w:rPr>
        <w:t>Model</w:t>
      </w:r>
      <w:r>
        <w:rPr>
          <w:i/>
          <w:spacing w:val="-1"/>
        </w:rPr>
        <w:t xml:space="preserve"> </w:t>
      </w:r>
      <w:r>
        <w:rPr>
          <w:i/>
        </w:rPr>
        <w:t>for</w:t>
      </w:r>
      <w:r>
        <w:rPr>
          <w:i/>
          <w:spacing w:val="-1"/>
        </w:rPr>
        <w:t xml:space="preserve"> </w:t>
      </w:r>
      <w:r>
        <w:rPr>
          <w:i/>
        </w:rPr>
        <w:t>Clinical</w:t>
      </w:r>
      <w:r>
        <w:rPr>
          <w:i/>
          <w:spacing w:val="-1"/>
        </w:rPr>
        <w:t xml:space="preserve"> </w:t>
      </w:r>
      <w:r>
        <w:rPr>
          <w:i/>
        </w:rPr>
        <w:t>Governance</w:t>
      </w:r>
      <w:r>
        <w:rPr>
          <w:i/>
          <w:spacing w:val="-1"/>
        </w:rPr>
        <w:t xml:space="preserve"> </w:t>
      </w:r>
      <w:r>
        <w:t>and</w:t>
      </w:r>
      <w:r>
        <w:rPr>
          <w:spacing w:val="-1"/>
        </w:rPr>
        <w:t xml:space="preserve"> </w:t>
      </w:r>
      <w:r>
        <w:t>complement</w:t>
      </w:r>
      <w:r>
        <w:rPr>
          <w:spacing w:val="-1"/>
        </w:rPr>
        <w:t xml:space="preserve"> </w:t>
      </w:r>
      <w:r>
        <w:t>the</w:t>
      </w:r>
      <w:r>
        <w:rPr>
          <w:spacing w:val="-1"/>
        </w:rPr>
        <w:t xml:space="preserve"> </w:t>
      </w:r>
      <w:r>
        <w:t>draft</w:t>
      </w:r>
      <w:r>
        <w:rPr>
          <w:spacing w:val="-1"/>
        </w:rPr>
        <w:t xml:space="preserve"> </w:t>
      </w:r>
      <w:r>
        <w:t>third</w:t>
      </w:r>
      <w:r>
        <w:rPr>
          <w:spacing w:val="-1"/>
        </w:rPr>
        <w:t xml:space="preserve"> </w:t>
      </w:r>
      <w:r>
        <w:t>edition</w:t>
      </w:r>
      <w:r>
        <w:rPr>
          <w:spacing w:val="-1"/>
        </w:rPr>
        <w:t xml:space="preserve"> </w:t>
      </w:r>
      <w:r>
        <w:t>of</w:t>
      </w:r>
      <w:r>
        <w:rPr>
          <w:spacing w:val="-1"/>
        </w:rPr>
        <w:t xml:space="preserve"> </w:t>
      </w:r>
      <w:r>
        <w:t>the</w:t>
      </w:r>
      <w:r>
        <w:rPr>
          <w:spacing w:val="-1"/>
        </w:rPr>
        <w:t xml:space="preserve"> </w:t>
      </w:r>
      <w:r>
        <w:t>National</w:t>
      </w:r>
      <w:r>
        <w:rPr>
          <w:spacing w:val="-1"/>
        </w:rPr>
        <w:t xml:space="preserve"> </w:t>
      </w:r>
      <w:r>
        <w:t>Safety</w:t>
      </w:r>
      <w:r>
        <w:rPr>
          <w:spacing w:val="-1"/>
        </w:rPr>
        <w:t xml:space="preserve"> </w:t>
      </w:r>
      <w:r>
        <w:t>and Quality Health Service (NSQHS) Standards, ensuring a coherent framework to support quality and safety across both in-person and virtual care.</w:t>
      </w:r>
    </w:p>
    <w:p w14:paraId="00A5ED14" w14:textId="77777777" w:rsidR="009D54AF" w:rsidRDefault="00000000">
      <w:pPr>
        <w:pStyle w:val="Heading5"/>
        <w:spacing w:before="137"/>
      </w:pPr>
      <w:r>
        <w:t>Framework</w:t>
      </w:r>
      <w:r>
        <w:rPr>
          <w:spacing w:val="-7"/>
        </w:rPr>
        <w:t xml:space="preserve"> </w:t>
      </w:r>
      <w:r>
        <w:t>for</w:t>
      </w:r>
      <w:r>
        <w:rPr>
          <w:spacing w:val="-7"/>
        </w:rPr>
        <w:t xml:space="preserve"> </w:t>
      </w:r>
      <w:r>
        <w:t>Collaborative</w:t>
      </w:r>
      <w:r>
        <w:rPr>
          <w:spacing w:val="-6"/>
        </w:rPr>
        <w:t xml:space="preserve"> </w:t>
      </w:r>
      <w:r>
        <w:t>Action</w:t>
      </w:r>
      <w:r>
        <w:rPr>
          <w:spacing w:val="-7"/>
        </w:rPr>
        <w:t xml:space="preserve"> </w:t>
      </w:r>
      <w:r>
        <w:t>on</w:t>
      </w:r>
      <w:r>
        <w:rPr>
          <w:spacing w:val="-6"/>
        </w:rPr>
        <w:t xml:space="preserve"> </w:t>
      </w:r>
      <w:r>
        <w:t>Climate</w:t>
      </w:r>
      <w:r>
        <w:rPr>
          <w:spacing w:val="-7"/>
        </w:rPr>
        <w:t xml:space="preserve"> </w:t>
      </w:r>
      <w:r>
        <w:t>and</w:t>
      </w:r>
      <w:r>
        <w:rPr>
          <w:spacing w:val="-6"/>
        </w:rPr>
        <w:t xml:space="preserve"> </w:t>
      </w:r>
      <w:r>
        <w:rPr>
          <w:spacing w:val="-2"/>
        </w:rPr>
        <w:t>Health</w:t>
      </w:r>
    </w:p>
    <w:p w14:paraId="7884CAD7" w14:textId="77777777" w:rsidR="009D54AF" w:rsidRDefault="00000000">
      <w:pPr>
        <w:pStyle w:val="BodyText"/>
        <w:spacing w:before="161" w:line="278" w:lineRule="auto"/>
        <w:ind w:left="142" w:right="214"/>
      </w:pPr>
      <w:r>
        <w:t xml:space="preserve">Climate change is a defining health challenge. It affects population health and puts increasing pressure on Australia’s health system. The </w:t>
      </w:r>
      <w:r>
        <w:rPr>
          <w:i/>
        </w:rPr>
        <w:t xml:space="preserve">National Health and Climate Strategy </w:t>
      </w:r>
      <w:r>
        <w:t xml:space="preserve">sets the national direction, with a focus on </w:t>
      </w:r>
      <w:proofErr w:type="spellStart"/>
      <w:r>
        <w:t>mobilising</w:t>
      </w:r>
      <w:proofErr w:type="spellEnd"/>
      <w:r>
        <w:t xml:space="preserve"> the health workforce and ensuring action is equitable, particularly for Aboriginal and Torres Strait</w:t>
      </w:r>
      <w:r>
        <w:rPr>
          <w:spacing w:val="-1"/>
        </w:rPr>
        <w:t xml:space="preserve"> </w:t>
      </w:r>
      <w:r>
        <w:t>Islander</w:t>
      </w:r>
      <w:r>
        <w:rPr>
          <w:spacing w:val="-1"/>
        </w:rPr>
        <w:t xml:space="preserve"> </w:t>
      </w:r>
      <w:r>
        <w:t>peoples</w:t>
      </w:r>
      <w:r>
        <w:rPr>
          <w:spacing w:val="-1"/>
        </w:rPr>
        <w:t xml:space="preserve"> </w:t>
      </w:r>
      <w:r>
        <w:t>and</w:t>
      </w:r>
      <w:r>
        <w:rPr>
          <w:spacing w:val="-1"/>
        </w:rPr>
        <w:t xml:space="preserve"> </w:t>
      </w:r>
      <w:r>
        <w:t>for</w:t>
      </w:r>
      <w:r>
        <w:rPr>
          <w:spacing w:val="-1"/>
        </w:rPr>
        <w:t xml:space="preserve"> </w:t>
      </w:r>
      <w:r>
        <w:t>rural</w:t>
      </w:r>
      <w:r>
        <w:rPr>
          <w:spacing w:val="-1"/>
        </w:rPr>
        <w:t xml:space="preserve"> </w:t>
      </w:r>
      <w:r>
        <w:t>and</w:t>
      </w:r>
      <w:r>
        <w:rPr>
          <w:spacing w:val="-1"/>
        </w:rPr>
        <w:t xml:space="preserve"> </w:t>
      </w:r>
      <w:r>
        <w:t>regional</w:t>
      </w:r>
      <w:r>
        <w:rPr>
          <w:spacing w:val="-1"/>
        </w:rPr>
        <w:t xml:space="preserve"> </w:t>
      </w:r>
      <w:r>
        <w:t>communities,</w:t>
      </w:r>
      <w:r>
        <w:rPr>
          <w:spacing w:val="-1"/>
        </w:rPr>
        <w:t xml:space="preserve"> </w:t>
      </w:r>
      <w:r>
        <w:t>who</w:t>
      </w:r>
      <w:r>
        <w:rPr>
          <w:spacing w:val="-1"/>
        </w:rPr>
        <w:t xml:space="preserve"> </w:t>
      </w:r>
      <w:r>
        <w:t>are</w:t>
      </w:r>
      <w:r>
        <w:rPr>
          <w:spacing w:val="-1"/>
        </w:rPr>
        <w:t xml:space="preserve"> </w:t>
      </w:r>
      <w:r>
        <w:t>at</w:t>
      </w:r>
      <w:r>
        <w:rPr>
          <w:spacing w:val="-1"/>
        </w:rPr>
        <w:t xml:space="preserve"> </w:t>
      </w:r>
      <w:r>
        <w:t>a</w:t>
      </w:r>
      <w:r>
        <w:rPr>
          <w:spacing w:val="-1"/>
        </w:rPr>
        <w:t xml:space="preserve"> </w:t>
      </w:r>
      <w:r>
        <w:t>disproportionately</w:t>
      </w:r>
      <w:r>
        <w:rPr>
          <w:spacing w:val="-1"/>
        </w:rPr>
        <w:t xml:space="preserve"> </w:t>
      </w:r>
      <w:r>
        <w:t>increased</w:t>
      </w:r>
      <w:r>
        <w:rPr>
          <w:spacing w:val="-1"/>
        </w:rPr>
        <w:t xml:space="preserve"> </w:t>
      </w:r>
      <w:r>
        <w:t>risk of adverse health impacts from climate change due to existing inequities.</w:t>
      </w:r>
    </w:p>
    <w:p w14:paraId="19668B40" w14:textId="77777777" w:rsidR="009D54AF" w:rsidRDefault="00000000">
      <w:pPr>
        <w:pStyle w:val="BodyText"/>
        <w:spacing w:before="141" w:line="278" w:lineRule="auto"/>
        <w:ind w:left="142" w:right="448"/>
      </w:pPr>
      <w:r>
        <w:t>Following</w:t>
      </w:r>
      <w:r>
        <w:rPr>
          <w:spacing w:val="-2"/>
        </w:rPr>
        <w:t xml:space="preserve"> </w:t>
      </w:r>
      <w:r>
        <w:t>on</w:t>
      </w:r>
      <w:r>
        <w:rPr>
          <w:spacing w:val="-2"/>
        </w:rPr>
        <w:t xml:space="preserve"> </w:t>
      </w:r>
      <w:r>
        <w:t>from</w:t>
      </w:r>
      <w:r>
        <w:rPr>
          <w:spacing w:val="-2"/>
        </w:rPr>
        <w:t xml:space="preserve"> </w:t>
      </w:r>
      <w:r>
        <w:t>the</w:t>
      </w:r>
      <w:r>
        <w:rPr>
          <w:spacing w:val="-2"/>
        </w:rPr>
        <w:t xml:space="preserve"> </w:t>
      </w:r>
      <w:r>
        <w:t>release</w:t>
      </w:r>
      <w:r>
        <w:rPr>
          <w:spacing w:val="-2"/>
        </w:rPr>
        <w:t xml:space="preserve"> </w:t>
      </w:r>
      <w:r>
        <w:t>of</w:t>
      </w:r>
      <w:r>
        <w:rPr>
          <w:spacing w:val="-2"/>
        </w:rPr>
        <w:t xml:space="preserve"> </w:t>
      </w:r>
      <w:r>
        <w:t>the</w:t>
      </w:r>
      <w:r>
        <w:rPr>
          <w:spacing w:val="-3"/>
        </w:rPr>
        <w:t xml:space="preserve"> </w:t>
      </w:r>
      <w:hyperlink r:id="rId40">
        <w:r>
          <w:rPr>
            <w:u w:val="single"/>
          </w:rPr>
          <w:t>Joint</w:t>
        </w:r>
        <w:r>
          <w:rPr>
            <w:spacing w:val="-2"/>
            <w:u w:val="single"/>
          </w:rPr>
          <w:t xml:space="preserve"> </w:t>
        </w:r>
        <w:r>
          <w:rPr>
            <w:u w:val="single"/>
          </w:rPr>
          <w:t>Statement:</w:t>
        </w:r>
        <w:r>
          <w:rPr>
            <w:spacing w:val="-2"/>
            <w:u w:val="single"/>
          </w:rPr>
          <w:t xml:space="preserve"> </w:t>
        </w:r>
        <w:r>
          <w:rPr>
            <w:u w:val="single"/>
          </w:rPr>
          <w:t>Working</w:t>
        </w:r>
        <w:r>
          <w:rPr>
            <w:spacing w:val="-2"/>
            <w:u w:val="single"/>
          </w:rPr>
          <w:t xml:space="preserve"> </w:t>
        </w:r>
        <w:r>
          <w:rPr>
            <w:u w:val="single"/>
          </w:rPr>
          <w:t>together</w:t>
        </w:r>
        <w:r>
          <w:rPr>
            <w:spacing w:val="-2"/>
            <w:u w:val="single"/>
          </w:rPr>
          <w:t xml:space="preserve"> </w:t>
        </w:r>
        <w:r>
          <w:rPr>
            <w:u w:val="single"/>
          </w:rPr>
          <w:t>to</w:t>
        </w:r>
        <w:r>
          <w:rPr>
            <w:spacing w:val="-2"/>
            <w:u w:val="single"/>
          </w:rPr>
          <w:t xml:space="preserve"> </w:t>
        </w:r>
        <w:r>
          <w:rPr>
            <w:u w:val="single"/>
          </w:rPr>
          <w:t>achieve</w:t>
        </w:r>
        <w:r>
          <w:rPr>
            <w:spacing w:val="-2"/>
            <w:u w:val="single"/>
          </w:rPr>
          <w:t xml:space="preserve"> </w:t>
        </w:r>
        <w:r>
          <w:rPr>
            <w:u w:val="single"/>
          </w:rPr>
          <w:t>sustainable</w:t>
        </w:r>
        <w:r>
          <w:rPr>
            <w:spacing w:val="-2"/>
            <w:u w:val="single"/>
          </w:rPr>
          <w:t xml:space="preserve"> </w:t>
        </w:r>
        <w:r>
          <w:rPr>
            <w:u w:val="single"/>
          </w:rPr>
          <w:t>high-quality</w:t>
        </w:r>
        <w:r>
          <w:rPr>
            <w:spacing w:val="-3"/>
            <w:u w:val="single"/>
          </w:rPr>
          <w:t xml:space="preserve"> </w:t>
        </w:r>
      </w:hyperlink>
      <w:r>
        <w:rPr>
          <w:spacing w:val="-3"/>
        </w:rPr>
        <w:t xml:space="preserve"> </w:t>
      </w:r>
      <w:hyperlink r:id="rId41">
        <w:r>
          <w:rPr>
            <w:u w:val="single"/>
          </w:rPr>
          <w:t>health care in a changing climate</w:t>
        </w:r>
      </w:hyperlink>
      <w:r>
        <w:t xml:space="preserve"> by the Commission, the Interim Australian Centre for Disease Control </w:t>
      </w:r>
      <w:r>
        <w:lastRenderedPageBreak/>
        <w:t>and the Council of Presidents of Medical Colleges, a health college working group was established to co-design</w:t>
      </w:r>
      <w:r>
        <w:rPr>
          <w:spacing w:val="-1"/>
        </w:rPr>
        <w:t xml:space="preserve"> </w:t>
      </w:r>
      <w:r>
        <w:t>a</w:t>
      </w:r>
      <w:r>
        <w:rPr>
          <w:spacing w:val="-1"/>
        </w:rPr>
        <w:t xml:space="preserve"> </w:t>
      </w:r>
      <w:r>
        <w:t>Framework</w:t>
      </w:r>
      <w:r>
        <w:rPr>
          <w:spacing w:val="-1"/>
        </w:rPr>
        <w:t xml:space="preserve"> </w:t>
      </w:r>
      <w:r>
        <w:t>for</w:t>
      </w:r>
      <w:r>
        <w:rPr>
          <w:spacing w:val="-1"/>
        </w:rPr>
        <w:t xml:space="preserve"> </w:t>
      </w:r>
      <w:r>
        <w:t>Collaborative</w:t>
      </w:r>
      <w:r>
        <w:rPr>
          <w:spacing w:val="-1"/>
        </w:rPr>
        <w:t xml:space="preserve"> </w:t>
      </w:r>
      <w:r>
        <w:t>Action</w:t>
      </w:r>
      <w:r>
        <w:rPr>
          <w:spacing w:val="-1"/>
        </w:rPr>
        <w:t xml:space="preserve"> </w:t>
      </w:r>
      <w:r>
        <w:t>on</w:t>
      </w:r>
      <w:r>
        <w:rPr>
          <w:spacing w:val="-1"/>
        </w:rPr>
        <w:t xml:space="preserve"> </w:t>
      </w:r>
      <w:r>
        <w:t>Climate</w:t>
      </w:r>
      <w:r>
        <w:rPr>
          <w:spacing w:val="-1"/>
        </w:rPr>
        <w:t xml:space="preserve"> </w:t>
      </w:r>
      <w:r>
        <w:t>and</w:t>
      </w:r>
      <w:r>
        <w:rPr>
          <w:spacing w:val="-1"/>
        </w:rPr>
        <w:t xml:space="preserve"> </w:t>
      </w:r>
      <w:r>
        <w:t>Health.</w:t>
      </w:r>
      <w:r>
        <w:rPr>
          <w:spacing w:val="-1"/>
        </w:rPr>
        <w:t xml:space="preserve"> </w:t>
      </w:r>
      <w:r>
        <w:t>The</w:t>
      </w:r>
      <w:r>
        <w:rPr>
          <w:spacing w:val="-1"/>
        </w:rPr>
        <w:t xml:space="preserve"> </w:t>
      </w:r>
      <w:r>
        <w:t>framework</w:t>
      </w:r>
      <w:r>
        <w:rPr>
          <w:spacing w:val="-1"/>
        </w:rPr>
        <w:t xml:space="preserve"> </w:t>
      </w:r>
      <w:r>
        <w:t>is</w:t>
      </w:r>
      <w:r>
        <w:rPr>
          <w:spacing w:val="-1"/>
        </w:rPr>
        <w:t xml:space="preserve"> </w:t>
      </w:r>
      <w:r>
        <w:t>a</w:t>
      </w:r>
      <w:r>
        <w:rPr>
          <w:spacing w:val="-1"/>
        </w:rPr>
        <w:t xml:space="preserve"> </w:t>
      </w:r>
      <w:r>
        <w:t>voluntary</w:t>
      </w:r>
      <w:r>
        <w:rPr>
          <w:spacing w:val="-1"/>
        </w:rPr>
        <w:t xml:space="preserve"> </w:t>
      </w:r>
      <w:r>
        <w:t>national mechanism to align activity across health colleges, share learning and strengthen collective leadership.</w:t>
      </w:r>
    </w:p>
    <w:p w14:paraId="0DF8DFE8" w14:textId="77777777" w:rsidR="009D54AF" w:rsidRDefault="00000000">
      <w:pPr>
        <w:pStyle w:val="BodyText"/>
        <w:spacing w:line="278" w:lineRule="auto"/>
        <w:ind w:left="142"/>
      </w:pPr>
      <w:r>
        <w:t>The working group brought together representatives from medical, nursing and midwifery, and allied health professional</w:t>
      </w:r>
      <w:r>
        <w:rPr>
          <w:spacing w:val="-3"/>
        </w:rPr>
        <w:t xml:space="preserve"> </w:t>
      </w:r>
      <w:r>
        <w:t>colleges,</w:t>
      </w:r>
      <w:r>
        <w:rPr>
          <w:spacing w:val="-3"/>
        </w:rPr>
        <w:t xml:space="preserve"> </w:t>
      </w:r>
      <w:r>
        <w:t>alongside</w:t>
      </w:r>
      <w:r>
        <w:rPr>
          <w:spacing w:val="-3"/>
        </w:rPr>
        <w:t xml:space="preserve"> </w:t>
      </w:r>
      <w:r>
        <w:t>representatives</w:t>
      </w:r>
      <w:r>
        <w:rPr>
          <w:spacing w:val="-3"/>
        </w:rPr>
        <w:t xml:space="preserve"> </w:t>
      </w:r>
      <w:r>
        <w:t>from</w:t>
      </w:r>
      <w:r>
        <w:rPr>
          <w:spacing w:val="-3"/>
        </w:rPr>
        <w:t xml:space="preserve"> </w:t>
      </w:r>
      <w:r>
        <w:t>the</w:t>
      </w:r>
      <w:r>
        <w:rPr>
          <w:spacing w:val="-3"/>
        </w:rPr>
        <w:t xml:space="preserve"> </w:t>
      </w:r>
      <w:r>
        <w:t>Australian</w:t>
      </w:r>
      <w:r>
        <w:rPr>
          <w:spacing w:val="-3"/>
        </w:rPr>
        <w:t xml:space="preserve"> </w:t>
      </w:r>
      <w:r>
        <w:t>Indigenous</w:t>
      </w:r>
      <w:r>
        <w:rPr>
          <w:spacing w:val="-3"/>
        </w:rPr>
        <w:t xml:space="preserve"> </w:t>
      </w:r>
      <w:r>
        <w:t>Doctors’</w:t>
      </w:r>
      <w:r>
        <w:rPr>
          <w:spacing w:val="-3"/>
        </w:rPr>
        <w:t xml:space="preserve"> </w:t>
      </w:r>
      <w:r>
        <w:t>Association</w:t>
      </w:r>
      <w:r>
        <w:rPr>
          <w:spacing w:val="-3"/>
        </w:rPr>
        <w:t xml:space="preserve"> </w:t>
      </w:r>
      <w:r>
        <w:t>(AIDA).</w:t>
      </w:r>
    </w:p>
    <w:p w14:paraId="1FB28FF7" w14:textId="77777777" w:rsidR="009D54AF" w:rsidRDefault="00000000">
      <w:pPr>
        <w:pStyle w:val="BodyText"/>
        <w:spacing w:before="141" w:line="278" w:lineRule="auto"/>
        <w:ind w:left="142"/>
      </w:pPr>
      <w:r>
        <w:t>The</w:t>
      </w:r>
      <w:r>
        <w:rPr>
          <w:spacing w:val="-2"/>
        </w:rPr>
        <w:t xml:space="preserve"> </w:t>
      </w:r>
      <w:r>
        <w:t>framework</w:t>
      </w:r>
      <w:r>
        <w:rPr>
          <w:spacing w:val="-2"/>
        </w:rPr>
        <w:t xml:space="preserve"> </w:t>
      </w:r>
      <w:r>
        <w:t>includes</w:t>
      </w:r>
      <w:r>
        <w:rPr>
          <w:spacing w:val="-2"/>
        </w:rPr>
        <w:t xml:space="preserve"> </w:t>
      </w:r>
      <w:r>
        <w:t>three</w:t>
      </w:r>
      <w:r>
        <w:rPr>
          <w:spacing w:val="-2"/>
        </w:rPr>
        <w:t xml:space="preserve"> </w:t>
      </w:r>
      <w:r>
        <w:t>domains:</w:t>
      </w:r>
      <w:r>
        <w:rPr>
          <w:spacing w:val="-2"/>
        </w:rPr>
        <w:t xml:space="preserve"> </w:t>
      </w:r>
      <w:r>
        <w:t>partnerships</w:t>
      </w:r>
      <w:r>
        <w:rPr>
          <w:spacing w:val="-2"/>
        </w:rPr>
        <w:t xml:space="preserve"> </w:t>
      </w:r>
      <w:r>
        <w:t>and</w:t>
      </w:r>
      <w:r>
        <w:rPr>
          <w:spacing w:val="-2"/>
        </w:rPr>
        <w:t xml:space="preserve"> </w:t>
      </w:r>
      <w:r>
        <w:t>position</w:t>
      </w:r>
      <w:r>
        <w:rPr>
          <w:spacing w:val="-2"/>
        </w:rPr>
        <w:t xml:space="preserve"> </w:t>
      </w:r>
      <w:r>
        <w:t>statements;</w:t>
      </w:r>
      <w:r>
        <w:rPr>
          <w:spacing w:val="-2"/>
        </w:rPr>
        <w:t xml:space="preserve"> </w:t>
      </w:r>
      <w:r>
        <w:t>education</w:t>
      </w:r>
      <w:r>
        <w:rPr>
          <w:spacing w:val="-2"/>
        </w:rPr>
        <w:t xml:space="preserve"> </w:t>
      </w:r>
      <w:r>
        <w:t>and</w:t>
      </w:r>
      <w:r>
        <w:rPr>
          <w:spacing w:val="-2"/>
        </w:rPr>
        <w:t xml:space="preserve"> </w:t>
      </w:r>
      <w:r>
        <w:t>training;</w:t>
      </w:r>
      <w:r>
        <w:rPr>
          <w:spacing w:val="-2"/>
        </w:rPr>
        <w:t xml:space="preserve"> </w:t>
      </w:r>
      <w:r>
        <w:t>and research and quality improvement.</w:t>
      </w:r>
    </w:p>
    <w:p w14:paraId="2049B18D" w14:textId="77777777" w:rsidR="009D54AF" w:rsidRDefault="00000000">
      <w:pPr>
        <w:pStyle w:val="BodyText"/>
        <w:spacing w:before="141" w:line="278" w:lineRule="auto"/>
        <w:ind w:left="142"/>
      </w:pPr>
      <w:r>
        <w:t>The framework has been endorsed by 25 participating health colleges and AIDA, establishing a platform that can be extended to other domains.</w:t>
      </w:r>
    </w:p>
    <w:p w14:paraId="462D3840" w14:textId="77777777" w:rsidR="009D54AF" w:rsidRDefault="009D54AF">
      <w:pPr>
        <w:pStyle w:val="BodyText"/>
        <w:spacing w:before="66"/>
      </w:pPr>
    </w:p>
    <w:p w14:paraId="4FD3DAC5" w14:textId="77777777" w:rsidR="009D54AF" w:rsidRDefault="00000000">
      <w:pPr>
        <w:pStyle w:val="Heading5"/>
      </w:pPr>
      <w:r>
        <w:t>Clinical</w:t>
      </w:r>
      <w:r>
        <w:rPr>
          <w:spacing w:val="-8"/>
        </w:rPr>
        <w:t xml:space="preserve"> </w:t>
      </w:r>
      <w:r>
        <w:t>Care</w:t>
      </w:r>
      <w:r>
        <w:rPr>
          <w:spacing w:val="-8"/>
        </w:rPr>
        <w:t xml:space="preserve"> </w:t>
      </w:r>
      <w:r>
        <w:rPr>
          <w:spacing w:val="-2"/>
        </w:rPr>
        <w:t>Standards</w:t>
      </w:r>
    </w:p>
    <w:p w14:paraId="0D7CAA83" w14:textId="77777777" w:rsidR="009D54AF" w:rsidRDefault="00000000">
      <w:pPr>
        <w:pStyle w:val="BodyText"/>
        <w:spacing w:before="133" w:line="278" w:lineRule="auto"/>
        <w:ind w:left="142" w:right="214"/>
      </w:pPr>
      <w:r>
        <w:t>Clinical Care Standards support the delivery of evidence-based clinical care by describing the care patients should be offered by clinicians and health services. They play an important role in the delivery of high-quality care and are based on general principles for providing care that is person-</w:t>
      </w:r>
      <w:proofErr w:type="spellStart"/>
      <w:r>
        <w:t>centred</w:t>
      </w:r>
      <w:proofErr w:type="spellEnd"/>
      <w:r>
        <w:t>, culturally safe, equitable and appropriate.</w:t>
      </w:r>
    </w:p>
    <w:p w14:paraId="02A60922" w14:textId="77777777" w:rsidR="009D54AF" w:rsidRDefault="00000000">
      <w:pPr>
        <w:pStyle w:val="BodyText"/>
        <w:spacing w:before="141" w:line="278" w:lineRule="auto"/>
        <w:ind w:left="142" w:right="285"/>
      </w:pPr>
      <w:r>
        <w:t>Clinical Care Standards can help address unwarranted clinical variation, including aspects of clinical management</w:t>
      </w:r>
      <w:r>
        <w:rPr>
          <w:spacing w:val="-3"/>
        </w:rPr>
        <w:t xml:space="preserve"> </w:t>
      </w:r>
      <w:r>
        <w:t>that</w:t>
      </w:r>
      <w:r>
        <w:rPr>
          <w:spacing w:val="-3"/>
        </w:rPr>
        <w:t xml:space="preserve"> </w:t>
      </w:r>
      <w:r>
        <w:t>may</w:t>
      </w:r>
      <w:r>
        <w:rPr>
          <w:spacing w:val="-3"/>
        </w:rPr>
        <w:t xml:space="preserve"> </w:t>
      </w:r>
      <w:r>
        <w:t>be</w:t>
      </w:r>
      <w:r>
        <w:rPr>
          <w:spacing w:val="-3"/>
        </w:rPr>
        <w:t xml:space="preserve"> </w:t>
      </w:r>
      <w:r>
        <w:t>considered</w:t>
      </w:r>
      <w:r>
        <w:rPr>
          <w:spacing w:val="-3"/>
        </w:rPr>
        <w:t xml:space="preserve"> </w:t>
      </w:r>
      <w:r>
        <w:t>low-value</w:t>
      </w:r>
      <w:r>
        <w:rPr>
          <w:spacing w:val="-3"/>
        </w:rPr>
        <w:t xml:space="preserve"> </w:t>
      </w:r>
      <w:r>
        <w:t>care,</w:t>
      </w:r>
      <w:r>
        <w:rPr>
          <w:spacing w:val="-3"/>
        </w:rPr>
        <w:t xml:space="preserve"> </w:t>
      </w:r>
      <w:r>
        <w:t>such</w:t>
      </w:r>
      <w:r>
        <w:rPr>
          <w:spacing w:val="-3"/>
        </w:rPr>
        <w:t xml:space="preserve"> </w:t>
      </w:r>
      <w:r>
        <w:t>as</w:t>
      </w:r>
      <w:r>
        <w:rPr>
          <w:spacing w:val="-3"/>
        </w:rPr>
        <w:t xml:space="preserve"> </w:t>
      </w:r>
      <w:r>
        <w:t>interventions</w:t>
      </w:r>
      <w:r>
        <w:rPr>
          <w:spacing w:val="-3"/>
        </w:rPr>
        <w:t xml:space="preserve"> </w:t>
      </w:r>
      <w:r>
        <w:t>with</w:t>
      </w:r>
      <w:r>
        <w:rPr>
          <w:spacing w:val="-3"/>
        </w:rPr>
        <w:t xml:space="preserve"> </w:t>
      </w:r>
      <w:r>
        <w:t>minimal</w:t>
      </w:r>
      <w:r>
        <w:rPr>
          <w:spacing w:val="-3"/>
        </w:rPr>
        <w:t xml:space="preserve"> </w:t>
      </w:r>
      <w:r>
        <w:t>benefit</w:t>
      </w:r>
      <w:r>
        <w:rPr>
          <w:spacing w:val="-3"/>
        </w:rPr>
        <w:t xml:space="preserve"> </w:t>
      </w:r>
      <w:r>
        <w:t>relative</w:t>
      </w:r>
      <w:r>
        <w:rPr>
          <w:spacing w:val="-3"/>
        </w:rPr>
        <w:t xml:space="preserve"> </w:t>
      </w:r>
      <w:r>
        <w:t>to their costs or potential harms.</w:t>
      </w:r>
    </w:p>
    <w:p w14:paraId="36B910E7" w14:textId="77777777" w:rsidR="009D54AF" w:rsidRDefault="009D54AF">
      <w:pPr>
        <w:pStyle w:val="BodyText"/>
        <w:spacing w:before="63"/>
      </w:pPr>
    </w:p>
    <w:p w14:paraId="74CA468F" w14:textId="77777777" w:rsidR="009D54AF" w:rsidRDefault="00000000">
      <w:pPr>
        <w:pStyle w:val="Heading7"/>
      </w:pPr>
      <w:r>
        <w:t>Emergency</w:t>
      </w:r>
      <w:r>
        <w:rPr>
          <w:spacing w:val="-9"/>
        </w:rPr>
        <w:t xml:space="preserve"> </w:t>
      </w:r>
      <w:r>
        <w:t>Laparotomy</w:t>
      </w:r>
      <w:r>
        <w:rPr>
          <w:spacing w:val="-7"/>
        </w:rPr>
        <w:t xml:space="preserve"> </w:t>
      </w:r>
      <w:r>
        <w:t>Clinical</w:t>
      </w:r>
      <w:r>
        <w:rPr>
          <w:spacing w:val="-7"/>
        </w:rPr>
        <w:t xml:space="preserve"> </w:t>
      </w:r>
      <w:r>
        <w:t>Care</w:t>
      </w:r>
      <w:r>
        <w:rPr>
          <w:spacing w:val="-6"/>
        </w:rPr>
        <w:t xml:space="preserve"> </w:t>
      </w:r>
      <w:r>
        <w:rPr>
          <w:spacing w:val="-2"/>
        </w:rPr>
        <w:t>Standard</w:t>
      </w:r>
    </w:p>
    <w:p w14:paraId="526AF851" w14:textId="77777777" w:rsidR="009D54AF" w:rsidRDefault="00000000">
      <w:pPr>
        <w:pStyle w:val="BodyText"/>
        <w:spacing w:before="66" w:line="278" w:lineRule="auto"/>
        <w:ind w:left="142" w:right="145"/>
      </w:pPr>
      <w:r>
        <w:t xml:space="preserve">Emergency laparotomy for time-critical abdominal conditions, such as bowel obstruction, perforation, </w:t>
      </w:r>
      <w:proofErr w:type="spellStart"/>
      <w:r>
        <w:t>ischaemia</w:t>
      </w:r>
      <w:proofErr w:type="spellEnd"/>
      <w:r>
        <w:t xml:space="preserve"> or sepsis, is among the highest-risk emergency surgical procedures, especially for older or frail adults and those with significant comorbidities. In Australia, mortality is approximately 7%, and the average hospital</w:t>
      </w:r>
      <w:r>
        <w:rPr>
          <w:spacing w:val="-4"/>
        </w:rPr>
        <w:t xml:space="preserve"> </w:t>
      </w:r>
      <w:r>
        <w:t>stay</w:t>
      </w:r>
      <w:r>
        <w:rPr>
          <w:spacing w:val="-4"/>
        </w:rPr>
        <w:t xml:space="preserve"> </w:t>
      </w:r>
      <w:r>
        <w:t>exceeds</w:t>
      </w:r>
      <w:r>
        <w:rPr>
          <w:spacing w:val="-4"/>
        </w:rPr>
        <w:t xml:space="preserve"> </w:t>
      </w:r>
      <w:r>
        <w:t>12</w:t>
      </w:r>
      <w:r>
        <w:rPr>
          <w:spacing w:val="-4"/>
        </w:rPr>
        <w:t xml:space="preserve"> </w:t>
      </w:r>
      <w:r>
        <w:t>days.</w:t>
      </w:r>
      <w:r>
        <w:rPr>
          <w:spacing w:val="-4"/>
        </w:rPr>
        <w:t xml:space="preserve"> </w:t>
      </w:r>
      <w:r>
        <w:t>Postoperative</w:t>
      </w:r>
      <w:r>
        <w:rPr>
          <w:spacing w:val="-4"/>
        </w:rPr>
        <w:t xml:space="preserve"> </w:t>
      </w:r>
      <w:r>
        <w:t>complications</w:t>
      </w:r>
      <w:r>
        <w:rPr>
          <w:spacing w:val="-4"/>
        </w:rPr>
        <w:t xml:space="preserve"> </w:t>
      </w:r>
      <w:r>
        <w:t>are</w:t>
      </w:r>
      <w:r>
        <w:rPr>
          <w:spacing w:val="-4"/>
        </w:rPr>
        <w:t xml:space="preserve"> </w:t>
      </w:r>
      <w:r>
        <w:t>common,</w:t>
      </w:r>
      <w:r>
        <w:rPr>
          <w:spacing w:val="-4"/>
        </w:rPr>
        <w:t xml:space="preserve"> </w:t>
      </w:r>
      <w:r>
        <w:t>and</w:t>
      </w:r>
      <w:r>
        <w:rPr>
          <w:spacing w:val="-4"/>
        </w:rPr>
        <w:t xml:space="preserve"> </w:t>
      </w:r>
      <w:r>
        <w:t>many</w:t>
      </w:r>
      <w:r>
        <w:rPr>
          <w:spacing w:val="-4"/>
        </w:rPr>
        <w:t xml:space="preserve"> </w:t>
      </w:r>
      <w:r>
        <w:t>patients</w:t>
      </w:r>
      <w:r>
        <w:rPr>
          <w:spacing w:val="-4"/>
        </w:rPr>
        <w:t xml:space="preserve"> </w:t>
      </w:r>
      <w:r>
        <w:t>experience</w:t>
      </w:r>
      <w:r>
        <w:rPr>
          <w:spacing w:val="-4"/>
        </w:rPr>
        <w:t xml:space="preserve"> </w:t>
      </w:r>
      <w:r>
        <w:t>poor functional outcomes.</w:t>
      </w:r>
    </w:p>
    <w:p w14:paraId="6CC50B72" w14:textId="77777777" w:rsidR="009D54AF" w:rsidRDefault="00000000">
      <w:pPr>
        <w:pStyle w:val="BodyText"/>
        <w:spacing w:before="141" w:line="278" w:lineRule="auto"/>
        <w:ind w:left="142"/>
      </w:pPr>
      <w:r>
        <w:t>The</w:t>
      </w:r>
      <w:r>
        <w:rPr>
          <w:spacing w:val="-1"/>
        </w:rPr>
        <w:t xml:space="preserve"> </w:t>
      </w:r>
      <w:r>
        <w:t>Emergency</w:t>
      </w:r>
      <w:r>
        <w:rPr>
          <w:spacing w:val="-1"/>
        </w:rPr>
        <w:t xml:space="preserve"> </w:t>
      </w:r>
      <w:r>
        <w:t>Laparotomy</w:t>
      </w:r>
      <w:r>
        <w:rPr>
          <w:spacing w:val="-1"/>
        </w:rPr>
        <w:t xml:space="preserve"> </w:t>
      </w:r>
      <w:r>
        <w:t>Clinical</w:t>
      </w:r>
      <w:r>
        <w:rPr>
          <w:spacing w:val="-1"/>
        </w:rPr>
        <w:t xml:space="preserve"> </w:t>
      </w:r>
      <w:r>
        <w:t>Care</w:t>
      </w:r>
      <w:r>
        <w:rPr>
          <w:spacing w:val="-1"/>
        </w:rPr>
        <w:t xml:space="preserve"> </w:t>
      </w:r>
      <w:r>
        <w:t>Standards</w:t>
      </w:r>
      <w:r>
        <w:rPr>
          <w:spacing w:val="-1"/>
        </w:rPr>
        <w:t xml:space="preserve"> </w:t>
      </w:r>
      <w:r>
        <w:t>to</w:t>
      </w:r>
      <w:r>
        <w:rPr>
          <w:spacing w:val="-1"/>
        </w:rPr>
        <w:t xml:space="preserve"> </w:t>
      </w:r>
      <w:r>
        <w:t>improve</w:t>
      </w:r>
      <w:r>
        <w:rPr>
          <w:spacing w:val="-1"/>
        </w:rPr>
        <w:t xml:space="preserve"> </w:t>
      </w:r>
      <w:r>
        <w:t>processes</w:t>
      </w:r>
      <w:r>
        <w:rPr>
          <w:spacing w:val="-1"/>
        </w:rPr>
        <w:t xml:space="preserve"> </w:t>
      </w:r>
      <w:r>
        <w:t>of</w:t>
      </w:r>
      <w:r>
        <w:rPr>
          <w:spacing w:val="-1"/>
        </w:rPr>
        <w:t xml:space="preserve"> </w:t>
      </w:r>
      <w:r>
        <w:t>care</w:t>
      </w:r>
      <w:r>
        <w:rPr>
          <w:spacing w:val="-1"/>
        </w:rPr>
        <w:t xml:space="preserve"> </w:t>
      </w:r>
      <w:r>
        <w:t>and</w:t>
      </w:r>
      <w:r>
        <w:rPr>
          <w:spacing w:val="-1"/>
        </w:rPr>
        <w:t xml:space="preserve"> </w:t>
      </w:r>
      <w:proofErr w:type="spellStart"/>
      <w:r>
        <w:t>optimise</w:t>
      </w:r>
      <w:proofErr w:type="spellEnd"/>
      <w:r>
        <w:rPr>
          <w:spacing w:val="-1"/>
        </w:rPr>
        <w:t xml:space="preserve"> </w:t>
      </w:r>
      <w:r>
        <w:t>outcomes including</w:t>
      </w:r>
      <w:r>
        <w:rPr>
          <w:spacing w:val="-4"/>
        </w:rPr>
        <w:t xml:space="preserve"> </w:t>
      </w:r>
      <w:r>
        <w:t>survival,</w:t>
      </w:r>
      <w:r>
        <w:rPr>
          <w:spacing w:val="-1"/>
        </w:rPr>
        <w:t xml:space="preserve"> </w:t>
      </w:r>
      <w:r>
        <w:t>quality</w:t>
      </w:r>
      <w:r>
        <w:rPr>
          <w:spacing w:val="-1"/>
        </w:rPr>
        <w:t xml:space="preserve"> </w:t>
      </w:r>
      <w:r>
        <w:t>of</w:t>
      </w:r>
      <w:r>
        <w:rPr>
          <w:spacing w:val="-1"/>
        </w:rPr>
        <w:t xml:space="preserve"> </w:t>
      </w:r>
      <w:r>
        <w:t>life</w:t>
      </w:r>
      <w:r>
        <w:rPr>
          <w:spacing w:val="-1"/>
        </w:rPr>
        <w:t xml:space="preserve"> </w:t>
      </w:r>
      <w:r>
        <w:t>and</w:t>
      </w:r>
      <w:r>
        <w:rPr>
          <w:spacing w:val="-1"/>
        </w:rPr>
        <w:t xml:space="preserve"> </w:t>
      </w:r>
      <w:r>
        <w:t>functional</w:t>
      </w:r>
      <w:r>
        <w:rPr>
          <w:spacing w:val="-1"/>
        </w:rPr>
        <w:t xml:space="preserve"> </w:t>
      </w:r>
      <w:r>
        <w:t>independence</w:t>
      </w:r>
      <w:r>
        <w:rPr>
          <w:spacing w:val="-1"/>
        </w:rPr>
        <w:t xml:space="preserve"> </w:t>
      </w:r>
      <w:r>
        <w:t>for</w:t>
      </w:r>
      <w:r>
        <w:rPr>
          <w:spacing w:val="-1"/>
        </w:rPr>
        <w:t xml:space="preserve"> </w:t>
      </w:r>
      <w:r>
        <w:t>patients</w:t>
      </w:r>
      <w:r>
        <w:rPr>
          <w:spacing w:val="-1"/>
        </w:rPr>
        <w:t xml:space="preserve"> </w:t>
      </w:r>
      <w:r>
        <w:t>undergoing</w:t>
      </w:r>
      <w:r>
        <w:rPr>
          <w:spacing w:val="-1"/>
        </w:rPr>
        <w:t xml:space="preserve"> </w:t>
      </w:r>
      <w:r>
        <w:t>this</w:t>
      </w:r>
      <w:r>
        <w:rPr>
          <w:spacing w:val="-1"/>
        </w:rPr>
        <w:t xml:space="preserve"> </w:t>
      </w:r>
      <w:r>
        <w:t>high-risk</w:t>
      </w:r>
      <w:r>
        <w:rPr>
          <w:spacing w:val="-1"/>
        </w:rPr>
        <w:t xml:space="preserve"> </w:t>
      </w:r>
      <w:r>
        <w:rPr>
          <w:spacing w:val="-2"/>
        </w:rPr>
        <w:t>surgery.</w:t>
      </w:r>
    </w:p>
    <w:p w14:paraId="5E551451" w14:textId="77777777" w:rsidR="009D54AF" w:rsidRDefault="00000000">
      <w:pPr>
        <w:pStyle w:val="BodyText"/>
        <w:spacing w:before="141" w:line="278" w:lineRule="auto"/>
        <w:ind w:left="142" w:right="285"/>
      </w:pPr>
      <w:r>
        <w:t>The</w:t>
      </w:r>
      <w:r>
        <w:rPr>
          <w:spacing w:val="-2"/>
        </w:rPr>
        <w:t xml:space="preserve"> </w:t>
      </w:r>
      <w:r>
        <w:t>standard</w:t>
      </w:r>
      <w:r>
        <w:rPr>
          <w:spacing w:val="-2"/>
        </w:rPr>
        <w:t xml:space="preserve"> </w:t>
      </w:r>
      <w:r>
        <w:t>builds</w:t>
      </w:r>
      <w:r>
        <w:rPr>
          <w:spacing w:val="-2"/>
        </w:rPr>
        <w:t xml:space="preserve"> </w:t>
      </w:r>
      <w:r>
        <w:t>on</w:t>
      </w:r>
      <w:r>
        <w:rPr>
          <w:spacing w:val="-2"/>
        </w:rPr>
        <w:t xml:space="preserve"> </w:t>
      </w:r>
      <w:r>
        <w:t>a</w:t>
      </w:r>
      <w:r>
        <w:rPr>
          <w:spacing w:val="-2"/>
        </w:rPr>
        <w:t xml:space="preserve"> </w:t>
      </w:r>
      <w:r>
        <w:t>substantial</w:t>
      </w:r>
      <w:r>
        <w:rPr>
          <w:spacing w:val="-2"/>
        </w:rPr>
        <w:t xml:space="preserve"> </w:t>
      </w:r>
      <w:r>
        <w:t>and</w:t>
      </w:r>
      <w:r>
        <w:rPr>
          <w:spacing w:val="-2"/>
        </w:rPr>
        <w:t xml:space="preserve"> </w:t>
      </w:r>
      <w:r>
        <w:t>growing</w:t>
      </w:r>
      <w:r>
        <w:rPr>
          <w:spacing w:val="-2"/>
        </w:rPr>
        <w:t xml:space="preserve"> </w:t>
      </w:r>
      <w:r>
        <w:t>evidence</w:t>
      </w:r>
      <w:r>
        <w:rPr>
          <w:spacing w:val="-2"/>
        </w:rPr>
        <w:t xml:space="preserve"> </w:t>
      </w:r>
      <w:r>
        <w:t>base</w:t>
      </w:r>
      <w:r>
        <w:rPr>
          <w:spacing w:val="-2"/>
        </w:rPr>
        <w:t xml:space="preserve"> </w:t>
      </w:r>
      <w:r>
        <w:t>demonstrating</w:t>
      </w:r>
      <w:r>
        <w:rPr>
          <w:spacing w:val="-2"/>
        </w:rPr>
        <w:t xml:space="preserve"> </w:t>
      </w:r>
      <w:r>
        <w:t>the</w:t>
      </w:r>
      <w:r>
        <w:rPr>
          <w:spacing w:val="-2"/>
        </w:rPr>
        <w:t xml:space="preserve"> </w:t>
      </w:r>
      <w:r>
        <w:t>benefits</w:t>
      </w:r>
      <w:r>
        <w:rPr>
          <w:spacing w:val="-2"/>
        </w:rPr>
        <w:t xml:space="preserve"> </w:t>
      </w:r>
      <w:r>
        <w:t>of</w:t>
      </w:r>
      <w:r>
        <w:rPr>
          <w:spacing w:val="-2"/>
        </w:rPr>
        <w:t xml:space="preserve"> </w:t>
      </w:r>
      <w:proofErr w:type="spellStart"/>
      <w:r>
        <w:t>standardised</w:t>
      </w:r>
      <w:proofErr w:type="spellEnd"/>
      <w:r>
        <w:t xml:space="preserve"> approaches to emergency laparotomy care including insights from the Australian and New Zealand Emergency Laparotomy Audit – Quality Improvement and the UK’s National Emergency Laparotomy Audit.</w:t>
      </w:r>
    </w:p>
    <w:p w14:paraId="00F943AB" w14:textId="77777777" w:rsidR="009D54AF" w:rsidRDefault="00000000">
      <w:pPr>
        <w:pStyle w:val="BodyText"/>
        <w:spacing w:before="142"/>
        <w:ind w:left="142"/>
      </w:pPr>
      <w:r>
        <w:t>The</w:t>
      </w:r>
      <w:r>
        <w:rPr>
          <w:spacing w:val="-5"/>
        </w:rPr>
        <w:t xml:space="preserve"> </w:t>
      </w:r>
      <w:r>
        <w:t>standard</w:t>
      </w:r>
      <w:r>
        <w:rPr>
          <w:spacing w:val="-3"/>
        </w:rPr>
        <w:t xml:space="preserve"> </w:t>
      </w:r>
      <w:r>
        <w:t>was</w:t>
      </w:r>
      <w:r>
        <w:rPr>
          <w:spacing w:val="-2"/>
        </w:rPr>
        <w:t xml:space="preserve"> </w:t>
      </w:r>
      <w:r>
        <w:t>endorsed</w:t>
      </w:r>
      <w:r>
        <w:rPr>
          <w:spacing w:val="-3"/>
        </w:rPr>
        <w:t xml:space="preserve"> </w:t>
      </w:r>
      <w:r>
        <w:t>by</w:t>
      </w:r>
      <w:r>
        <w:rPr>
          <w:spacing w:val="-3"/>
        </w:rPr>
        <w:t xml:space="preserve"> </w:t>
      </w:r>
      <w:r>
        <w:t>20</w:t>
      </w:r>
      <w:r>
        <w:rPr>
          <w:spacing w:val="-2"/>
        </w:rPr>
        <w:t xml:space="preserve"> </w:t>
      </w:r>
      <w:r>
        <w:t>key</w:t>
      </w:r>
      <w:r>
        <w:rPr>
          <w:spacing w:val="-3"/>
        </w:rPr>
        <w:t xml:space="preserve"> </w:t>
      </w:r>
      <w:r>
        <w:t>professional</w:t>
      </w:r>
      <w:r>
        <w:rPr>
          <w:spacing w:val="-3"/>
        </w:rPr>
        <w:t xml:space="preserve"> </w:t>
      </w:r>
      <w:proofErr w:type="spellStart"/>
      <w:r>
        <w:t>organisations</w:t>
      </w:r>
      <w:proofErr w:type="spellEnd"/>
      <w:r>
        <w:rPr>
          <w:spacing w:val="-2"/>
        </w:rPr>
        <w:t xml:space="preserve"> </w:t>
      </w:r>
      <w:r>
        <w:t>and</w:t>
      </w:r>
      <w:r>
        <w:rPr>
          <w:spacing w:val="-3"/>
        </w:rPr>
        <w:t xml:space="preserve"> </w:t>
      </w:r>
      <w:r>
        <w:t>was</w:t>
      </w:r>
      <w:r>
        <w:rPr>
          <w:spacing w:val="-3"/>
        </w:rPr>
        <w:t xml:space="preserve"> </w:t>
      </w:r>
      <w:r>
        <w:t>launched</w:t>
      </w:r>
      <w:r>
        <w:rPr>
          <w:spacing w:val="-2"/>
        </w:rPr>
        <w:t xml:space="preserve"> </w:t>
      </w:r>
      <w:r>
        <w:t>in</w:t>
      </w:r>
      <w:r>
        <w:rPr>
          <w:spacing w:val="-3"/>
        </w:rPr>
        <w:t xml:space="preserve"> </w:t>
      </w:r>
      <w:r>
        <w:t>May</w:t>
      </w:r>
      <w:r>
        <w:rPr>
          <w:spacing w:val="-2"/>
        </w:rPr>
        <w:t xml:space="preserve"> 2026.</w:t>
      </w:r>
    </w:p>
    <w:p w14:paraId="75A59B3C" w14:textId="77777777" w:rsidR="009D54AF" w:rsidRDefault="009D54AF">
      <w:pPr>
        <w:pStyle w:val="BodyText"/>
        <w:spacing w:before="101"/>
      </w:pPr>
    </w:p>
    <w:p w14:paraId="6D413BC4" w14:textId="77777777" w:rsidR="009D54AF" w:rsidRDefault="00000000">
      <w:pPr>
        <w:pStyle w:val="Heading7"/>
        <w:spacing w:before="1"/>
      </w:pPr>
      <w:r>
        <w:t>Reviews</w:t>
      </w:r>
      <w:r>
        <w:rPr>
          <w:spacing w:val="-8"/>
        </w:rPr>
        <w:t xml:space="preserve"> </w:t>
      </w:r>
      <w:r>
        <w:t>of</w:t>
      </w:r>
      <w:r>
        <w:rPr>
          <w:spacing w:val="-7"/>
        </w:rPr>
        <w:t xml:space="preserve"> </w:t>
      </w:r>
      <w:r>
        <w:t>Clinical</w:t>
      </w:r>
      <w:r>
        <w:rPr>
          <w:spacing w:val="-7"/>
        </w:rPr>
        <w:t xml:space="preserve"> </w:t>
      </w:r>
      <w:r>
        <w:t>Care</w:t>
      </w:r>
      <w:r>
        <w:rPr>
          <w:spacing w:val="-7"/>
        </w:rPr>
        <w:t xml:space="preserve"> </w:t>
      </w:r>
      <w:r>
        <w:rPr>
          <w:spacing w:val="-2"/>
        </w:rPr>
        <w:t>Standards</w:t>
      </w:r>
    </w:p>
    <w:p w14:paraId="7A9EB407" w14:textId="77777777" w:rsidR="009D54AF" w:rsidRDefault="00000000">
      <w:pPr>
        <w:pStyle w:val="BodyText"/>
        <w:spacing w:before="141" w:line="278" w:lineRule="auto"/>
        <w:ind w:left="142" w:right="285"/>
      </w:pPr>
      <w:r>
        <w:t>The Commission has published 20 Clinical Care Standards since 2014. The standards are reviewed periodically</w:t>
      </w:r>
      <w:r>
        <w:rPr>
          <w:spacing w:val="-1"/>
        </w:rPr>
        <w:t xml:space="preserve"> </w:t>
      </w:r>
      <w:r>
        <w:t>to</w:t>
      </w:r>
      <w:r>
        <w:rPr>
          <w:spacing w:val="-1"/>
        </w:rPr>
        <w:t xml:space="preserve"> </w:t>
      </w:r>
      <w:r>
        <w:t>ensure</w:t>
      </w:r>
      <w:r>
        <w:rPr>
          <w:spacing w:val="-1"/>
        </w:rPr>
        <w:t xml:space="preserve"> </w:t>
      </w:r>
      <w:r>
        <w:t>they</w:t>
      </w:r>
      <w:r>
        <w:rPr>
          <w:spacing w:val="-1"/>
        </w:rPr>
        <w:t xml:space="preserve"> </w:t>
      </w:r>
      <w:r>
        <w:t>continue</w:t>
      </w:r>
      <w:r>
        <w:rPr>
          <w:spacing w:val="-1"/>
        </w:rPr>
        <w:t xml:space="preserve"> </w:t>
      </w:r>
      <w:r>
        <w:t>to</w:t>
      </w:r>
      <w:r>
        <w:rPr>
          <w:spacing w:val="-1"/>
        </w:rPr>
        <w:t xml:space="preserve"> </w:t>
      </w:r>
      <w:r>
        <w:t>reflect</w:t>
      </w:r>
      <w:r>
        <w:rPr>
          <w:spacing w:val="-1"/>
        </w:rPr>
        <w:t xml:space="preserve"> </w:t>
      </w:r>
      <w:r>
        <w:t>clinical</w:t>
      </w:r>
      <w:r>
        <w:rPr>
          <w:spacing w:val="-1"/>
        </w:rPr>
        <w:t xml:space="preserve"> </w:t>
      </w:r>
      <w:r>
        <w:t>practice</w:t>
      </w:r>
      <w:r>
        <w:rPr>
          <w:spacing w:val="-1"/>
        </w:rPr>
        <w:t xml:space="preserve"> </w:t>
      </w:r>
      <w:r>
        <w:t>guidelines,</w:t>
      </w:r>
      <w:r>
        <w:rPr>
          <w:spacing w:val="-1"/>
        </w:rPr>
        <w:t xml:space="preserve"> </w:t>
      </w:r>
      <w:r>
        <w:t>are</w:t>
      </w:r>
      <w:r>
        <w:rPr>
          <w:spacing w:val="-1"/>
        </w:rPr>
        <w:t xml:space="preserve"> </w:t>
      </w:r>
      <w:r>
        <w:t>relevant</w:t>
      </w:r>
      <w:r>
        <w:rPr>
          <w:spacing w:val="-1"/>
        </w:rPr>
        <w:t xml:space="preserve"> </w:t>
      </w:r>
      <w:r>
        <w:t>to</w:t>
      </w:r>
      <w:r>
        <w:rPr>
          <w:spacing w:val="-1"/>
        </w:rPr>
        <w:t xml:space="preserve"> </w:t>
      </w:r>
      <w:r>
        <w:t>clinical</w:t>
      </w:r>
      <w:r>
        <w:rPr>
          <w:spacing w:val="-1"/>
        </w:rPr>
        <w:t xml:space="preserve"> </w:t>
      </w:r>
      <w:r>
        <w:t>practice</w:t>
      </w:r>
      <w:r>
        <w:rPr>
          <w:spacing w:val="-1"/>
        </w:rPr>
        <w:t xml:space="preserve"> </w:t>
      </w:r>
      <w:r>
        <w:t>and address priorities for quality improvement.</w:t>
      </w:r>
    </w:p>
    <w:p w14:paraId="356D6B0D" w14:textId="77777777" w:rsidR="009D54AF" w:rsidRDefault="00000000">
      <w:pPr>
        <w:pStyle w:val="BodyText"/>
        <w:spacing w:before="141"/>
        <w:ind w:left="142"/>
      </w:pPr>
      <w:r>
        <w:t>During</w:t>
      </w:r>
      <w:r>
        <w:rPr>
          <w:spacing w:val="-3"/>
        </w:rPr>
        <w:t xml:space="preserve"> </w:t>
      </w:r>
      <w:r>
        <w:t xml:space="preserve">2025–26, the following work was undertaken on published Clinical Care </w:t>
      </w:r>
      <w:r>
        <w:rPr>
          <w:spacing w:val="-2"/>
        </w:rPr>
        <w:t>Standards.</w:t>
      </w:r>
    </w:p>
    <w:p w14:paraId="41B0AAF6" w14:textId="77777777" w:rsidR="009D54AF" w:rsidRDefault="009D54AF">
      <w:pPr>
        <w:pStyle w:val="BodyText"/>
        <w:spacing w:before="43"/>
      </w:pPr>
    </w:p>
    <w:p w14:paraId="319B8605" w14:textId="77777777" w:rsidR="009D54AF" w:rsidRDefault="00000000">
      <w:pPr>
        <w:ind w:left="142"/>
        <w:rPr>
          <w:b/>
        </w:rPr>
      </w:pPr>
      <w:r>
        <w:rPr>
          <w:b/>
        </w:rPr>
        <w:t>Stroke</w:t>
      </w:r>
      <w:r>
        <w:rPr>
          <w:b/>
          <w:spacing w:val="-1"/>
        </w:rPr>
        <w:t xml:space="preserve"> </w:t>
      </w:r>
      <w:r>
        <w:rPr>
          <w:b/>
        </w:rPr>
        <w:t xml:space="preserve">Clinical Care </w:t>
      </w:r>
      <w:r>
        <w:rPr>
          <w:b/>
          <w:spacing w:val="-2"/>
        </w:rPr>
        <w:t>Standard</w:t>
      </w:r>
    </w:p>
    <w:p w14:paraId="367141D0" w14:textId="77777777" w:rsidR="009D54AF" w:rsidRDefault="00000000">
      <w:pPr>
        <w:pStyle w:val="BodyText"/>
        <w:spacing w:before="150" w:line="278" w:lineRule="auto"/>
        <w:ind w:left="142" w:right="165"/>
      </w:pPr>
      <w:r>
        <w:t>The second update of the Stroke Clinical Care Standard was published in June 2026. The Stroke Clinical Care Standard aims to improve the assessment, management and transitions of care for patients with stroke to</w:t>
      </w:r>
      <w:r>
        <w:rPr>
          <w:spacing w:val="-2"/>
        </w:rPr>
        <w:t xml:space="preserve"> </w:t>
      </w:r>
      <w:r>
        <w:t>increase</w:t>
      </w:r>
      <w:r>
        <w:rPr>
          <w:spacing w:val="-2"/>
        </w:rPr>
        <w:t xml:space="preserve"> </w:t>
      </w:r>
      <w:r>
        <w:t>their</w:t>
      </w:r>
      <w:r>
        <w:rPr>
          <w:spacing w:val="-2"/>
        </w:rPr>
        <w:t xml:space="preserve"> </w:t>
      </w:r>
      <w:r>
        <w:t>likelihood</w:t>
      </w:r>
      <w:r>
        <w:rPr>
          <w:spacing w:val="-2"/>
        </w:rPr>
        <w:t xml:space="preserve"> </w:t>
      </w:r>
      <w:r>
        <w:t>of</w:t>
      </w:r>
      <w:r>
        <w:rPr>
          <w:spacing w:val="-2"/>
        </w:rPr>
        <w:t xml:space="preserve"> </w:t>
      </w:r>
      <w:r>
        <w:t>survival</w:t>
      </w:r>
      <w:r>
        <w:rPr>
          <w:spacing w:val="-2"/>
        </w:rPr>
        <w:t xml:space="preserve"> </w:t>
      </w:r>
      <w:r>
        <w:t>and</w:t>
      </w:r>
      <w:r>
        <w:rPr>
          <w:spacing w:val="-2"/>
        </w:rPr>
        <w:t xml:space="preserve"> </w:t>
      </w:r>
      <w:r>
        <w:t>recovery</w:t>
      </w:r>
      <w:r>
        <w:rPr>
          <w:spacing w:val="-2"/>
        </w:rPr>
        <w:t xml:space="preserve"> </w:t>
      </w:r>
      <w:r>
        <w:t>and</w:t>
      </w:r>
      <w:r>
        <w:rPr>
          <w:spacing w:val="-2"/>
        </w:rPr>
        <w:t xml:space="preserve"> </w:t>
      </w:r>
      <w:r>
        <w:t>reduce</w:t>
      </w:r>
      <w:r>
        <w:rPr>
          <w:spacing w:val="-2"/>
        </w:rPr>
        <w:t xml:space="preserve"> </w:t>
      </w:r>
      <w:r>
        <w:t>their</w:t>
      </w:r>
      <w:r>
        <w:rPr>
          <w:spacing w:val="-2"/>
        </w:rPr>
        <w:t xml:space="preserve"> </w:t>
      </w:r>
      <w:r>
        <w:t>risk</w:t>
      </w:r>
      <w:r>
        <w:rPr>
          <w:spacing w:val="-2"/>
        </w:rPr>
        <w:t xml:space="preserve"> </w:t>
      </w:r>
      <w:r>
        <w:t>of</w:t>
      </w:r>
      <w:r>
        <w:rPr>
          <w:spacing w:val="-2"/>
        </w:rPr>
        <w:t xml:space="preserve"> </w:t>
      </w:r>
      <w:r>
        <w:t>another</w:t>
      </w:r>
      <w:r>
        <w:rPr>
          <w:spacing w:val="-2"/>
        </w:rPr>
        <w:t xml:space="preserve"> </w:t>
      </w:r>
      <w:r>
        <w:t>stroke.</w:t>
      </w:r>
      <w:r>
        <w:rPr>
          <w:spacing w:val="-2"/>
        </w:rPr>
        <w:t xml:space="preserve"> </w:t>
      </w:r>
      <w:r>
        <w:t>Survival</w:t>
      </w:r>
      <w:r>
        <w:rPr>
          <w:spacing w:val="-2"/>
        </w:rPr>
        <w:t xml:space="preserve"> </w:t>
      </w:r>
      <w:r>
        <w:t>rates</w:t>
      </w:r>
      <w:r>
        <w:rPr>
          <w:spacing w:val="-2"/>
        </w:rPr>
        <w:t xml:space="preserve"> </w:t>
      </w:r>
      <w:r>
        <w:t xml:space="preserve">from stroke are improving, with the percentage of all deaths in which stroke was the underlying cause falling from </w:t>
      </w:r>
      <w:r>
        <w:lastRenderedPageBreak/>
        <w:t>6.8%</w:t>
      </w:r>
      <w:r>
        <w:rPr>
          <w:spacing w:val="-1"/>
        </w:rPr>
        <w:t xml:space="preserve"> </w:t>
      </w:r>
      <w:r>
        <w:t>to</w:t>
      </w:r>
      <w:r>
        <w:rPr>
          <w:spacing w:val="-1"/>
        </w:rPr>
        <w:t xml:space="preserve"> </w:t>
      </w:r>
      <w:r>
        <w:t>4.4%</w:t>
      </w:r>
      <w:r>
        <w:rPr>
          <w:spacing w:val="-1"/>
        </w:rPr>
        <w:t xml:space="preserve"> </w:t>
      </w:r>
      <w:r>
        <w:t>from</w:t>
      </w:r>
      <w:r>
        <w:rPr>
          <w:spacing w:val="-1"/>
        </w:rPr>
        <w:t xml:space="preserve"> </w:t>
      </w:r>
      <w:r>
        <w:t>2015</w:t>
      </w:r>
      <w:r>
        <w:rPr>
          <w:spacing w:val="-1"/>
        </w:rPr>
        <w:t xml:space="preserve"> </w:t>
      </w:r>
      <w:r>
        <w:t>to</w:t>
      </w:r>
      <w:r>
        <w:rPr>
          <w:spacing w:val="-1"/>
        </w:rPr>
        <w:t xml:space="preserve"> </w:t>
      </w:r>
      <w:r>
        <w:t>2022.</w:t>
      </w:r>
      <w:r>
        <w:rPr>
          <w:spacing w:val="-1"/>
        </w:rPr>
        <w:t xml:space="preserve"> </w:t>
      </w:r>
      <w:r>
        <w:t>Key</w:t>
      </w:r>
      <w:r>
        <w:rPr>
          <w:spacing w:val="-1"/>
        </w:rPr>
        <w:t xml:space="preserve"> </w:t>
      </w:r>
      <w:r>
        <w:t>updates</w:t>
      </w:r>
      <w:r>
        <w:rPr>
          <w:spacing w:val="-1"/>
        </w:rPr>
        <w:t xml:space="preserve"> </w:t>
      </w:r>
      <w:r>
        <w:t>in</w:t>
      </w:r>
      <w:r>
        <w:rPr>
          <w:spacing w:val="-1"/>
        </w:rPr>
        <w:t xml:space="preserve"> </w:t>
      </w:r>
      <w:r>
        <w:t>the</w:t>
      </w:r>
      <w:r>
        <w:rPr>
          <w:spacing w:val="-1"/>
        </w:rPr>
        <w:t xml:space="preserve"> </w:t>
      </w:r>
      <w:r>
        <w:t>standard</w:t>
      </w:r>
      <w:r>
        <w:rPr>
          <w:spacing w:val="-1"/>
        </w:rPr>
        <w:t xml:space="preserve"> </w:t>
      </w:r>
      <w:r>
        <w:t>address</w:t>
      </w:r>
      <w:r>
        <w:rPr>
          <w:spacing w:val="-1"/>
        </w:rPr>
        <w:t xml:space="preserve"> </w:t>
      </w:r>
      <w:r>
        <w:t>the</w:t>
      </w:r>
      <w:r>
        <w:rPr>
          <w:spacing w:val="-1"/>
        </w:rPr>
        <w:t xml:space="preserve"> </w:t>
      </w:r>
      <w:r>
        <w:t>important</w:t>
      </w:r>
      <w:r>
        <w:rPr>
          <w:spacing w:val="-1"/>
        </w:rPr>
        <w:t xml:space="preserve"> </w:t>
      </w:r>
      <w:r>
        <w:t>rehabilitation</w:t>
      </w:r>
      <w:r>
        <w:rPr>
          <w:spacing w:val="-1"/>
        </w:rPr>
        <w:t xml:space="preserve"> </w:t>
      </w:r>
      <w:r>
        <w:t>and</w:t>
      </w:r>
      <w:r>
        <w:rPr>
          <w:spacing w:val="-1"/>
        </w:rPr>
        <w:t xml:space="preserve"> </w:t>
      </w:r>
      <w:r>
        <w:t>follow-up care needs for stroke survivors, as well as their acute inpatient needs.</w:t>
      </w:r>
    </w:p>
    <w:p w14:paraId="31F693CB" w14:textId="77777777" w:rsidR="009D54AF" w:rsidRDefault="009D54AF">
      <w:pPr>
        <w:pStyle w:val="BodyText"/>
        <w:spacing w:before="3"/>
      </w:pPr>
    </w:p>
    <w:p w14:paraId="5B90944F" w14:textId="77777777" w:rsidR="009D54AF" w:rsidRDefault="00000000">
      <w:pPr>
        <w:ind w:left="142"/>
        <w:rPr>
          <w:b/>
        </w:rPr>
      </w:pPr>
      <w:r>
        <w:rPr>
          <w:b/>
        </w:rPr>
        <w:t>Colonoscopy</w:t>
      </w:r>
      <w:r>
        <w:rPr>
          <w:b/>
          <w:spacing w:val="-2"/>
        </w:rPr>
        <w:t xml:space="preserve"> </w:t>
      </w:r>
      <w:r>
        <w:rPr>
          <w:b/>
        </w:rPr>
        <w:t>Clinical</w:t>
      </w:r>
      <w:r>
        <w:rPr>
          <w:b/>
          <w:spacing w:val="-1"/>
        </w:rPr>
        <w:t xml:space="preserve"> </w:t>
      </w:r>
      <w:r>
        <w:rPr>
          <w:b/>
        </w:rPr>
        <w:t>Care</w:t>
      </w:r>
      <w:r>
        <w:rPr>
          <w:b/>
          <w:spacing w:val="-1"/>
        </w:rPr>
        <w:t xml:space="preserve"> </w:t>
      </w:r>
      <w:r>
        <w:rPr>
          <w:b/>
          <w:spacing w:val="-2"/>
        </w:rPr>
        <w:t>Standard</w:t>
      </w:r>
    </w:p>
    <w:p w14:paraId="54967211" w14:textId="77777777" w:rsidR="009D54AF" w:rsidRDefault="00000000">
      <w:pPr>
        <w:pStyle w:val="BodyText"/>
        <w:spacing w:before="150" w:line="278" w:lineRule="auto"/>
        <w:ind w:left="142" w:right="214"/>
      </w:pPr>
      <w:r>
        <w:t>The</w:t>
      </w:r>
      <w:r>
        <w:rPr>
          <w:spacing w:val="-6"/>
        </w:rPr>
        <w:t xml:space="preserve"> </w:t>
      </w:r>
      <w:r>
        <w:t>updated</w:t>
      </w:r>
      <w:r>
        <w:rPr>
          <w:spacing w:val="-6"/>
        </w:rPr>
        <w:t xml:space="preserve"> </w:t>
      </w:r>
      <w:r>
        <w:t>Colonoscopy</w:t>
      </w:r>
      <w:r>
        <w:rPr>
          <w:spacing w:val="-6"/>
        </w:rPr>
        <w:t xml:space="preserve"> </w:t>
      </w:r>
      <w:r>
        <w:t>Clinical</w:t>
      </w:r>
      <w:r>
        <w:rPr>
          <w:spacing w:val="-6"/>
        </w:rPr>
        <w:t xml:space="preserve"> </w:t>
      </w:r>
      <w:r>
        <w:t>Care</w:t>
      </w:r>
      <w:r>
        <w:rPr>
          <w:spacing w:val="-6"/>
        </w:rPr>
        <w:t xml:space="preserve"> </w:t>
      </w:r>
      <w:r>
        <w:t>Standard</w:t>
      </w:r>
      <w:r>
        <w:rPr>
          <w:spacing w:val="-6"/>
        </w:rPr>
        <w:t xml:space="preserve"> </w:t>
      </w:r>
      <w:r>
        <w:t>was</w:t>
      </w:r>
      <w:r>
        <w:rPr>
          <w:spacing w:val="-6"/>
        </w:rPr>
        <w:t xml:space="preserve"> </w:t>
      </w:r>
      <w:r>
        <w:t>launched</w:t>
      </w:r>
      <w:r>
        <w:rPr>
          <w:spacing w:val="-6"/>
        </w:rPr>
        <w:t xml:space="preserve"> </w:t>
      </w:r>
      <w:r>
        <w:t>in</w:t>
      </w:r>
      <w:r>
        <w:rPr>
          <w:spacing w:val="-6"/>
        </w:rPr>
        <w:t xml:space="preserve"> </w:t>
      </w:r>
      <w:r>
        <w:t>September</w:t>
      </w:r>
      <w:r>
        <w:rPr>
          <w:spacing w:val="-6"/>
        </w:rPr>
        <w:t xml:space="preserve"> </w:t>
      </w:r>
      <w:r>
        <w:t>2025</w:t>
      </w:r>
      <w:r>
        <w:rPr>
          <w:spacing w:val="-6"/>
        </w:rPr>
        <w:t xml:space="preserve"> </w:t>
      </w:r>
      <w:r>
        <w:t>in</w:t>
      </w:r>
      <w:r>
        <w:rPr>
          <w:spacing w:val="-6"/>
        </w:rPr>
        <w:t xml:space="preserve"> </w:t>
      </w:r>
      <w:r>
        <w:t>conjunction</w:t>
      </w:r>
      <w:r>
        <w:rPr>
          <w:spacing w:val="-6"/>
        </w:rPr>
        <w:t xml:space="preserve"> </w:t>
      </w:r>
      <w:r>
        <w:t>with</w:t>
      </w:r>
      <w:r>
        <w:rPr>
          <w:spacing w:val="-6"/>
        </w:rPr>
        <w:t xml:space="preserve"> </w:t>
      </w:r>
      <w:r>
        <w:t xml:space="preserve">the </w:t>
      </w:r>
      <w:r>
        <w:rPr>
          <w:i/>
        </w:rPr>
        <w:t>Atlas</w:t>
      </w:r>
      <w:r>
        <w:rPr>
          <w:i/>
          <w:spacing w:val="-11"/>
        </w:rPr>
        <w:t xml:space="preserve"> </w:t>
      </w:r>
      <w:r>
        <w:rPr>
          <w:i/>
        </w:rPr>
        <w:t>Focus</w:t>
      </w:r>
      <w:r>
        <w:rPr>
          <w:i/>
          <w:spacing w:val="-11"/>
        </w:rPr>
        <w:t xml:space="preserve"> </w:t>
      </w:r>
      <w:r>
        <w:rPr>
          <w:i/>
        </w:rPr>
        <w:t>Report:</w:t>
      </w:r>
      <w:r>
        <w:rPr>
          <w:i/>
          <w:spacing w:val="-11"/>
        </w:rPr>
        <w:t xml:space="preserve"> </w:t>
      </w:r>
      <w:r>
        <w:rPr>
          <w:i/>
        </w:rPr>
        <w:t>Colonoscopy</w:t>
      </w:r>
      <w:r>
        <w:t>.</w:t>
      </w:r>
      <w:r>
        <w:rPr>
          <w:spacing w:val="-11"/>
        </w:rPr>
        <w:t xml:space="preserve"> </w:t>
      </w:r>
      <w:r>
        <w:t>The</w:t>
      </w:r>
      <w:r>
        <w:rPr>
          <w:spacing w:val="-11"/>
        </w:rPr>
        <w:t xml:space="preserve"> </w:t>
      </w:r>
      <w:r>
        <w:t>Standard</w:t>
      </w:r>
      <w:r>
        <w:rPr>
          <w:spacing w:val="-11"/>
        </w:rPr>
        <w:t xml:space="preserve"> </w:t>
      </w:r>
      <w:r>
        <w:t>continues</w:t>
      </w:r>
      <w:r>
        <w:rPr>
          <w:spacing w:val="-11"/>
        </w:rPr>
        <w:t xml:space="preserve"> </w:t>
      </w:r>
      <w:r>
        <w:t>to</w:t>
      </w:r>
      <w:r>
        <w:rPr>
          <w:spacing w:val="-11"/>
        </w:rPr>
        <w:t xml:space="preserve"> </w:t>
      </w:r>
      <w:r>
        <w:t>support</w:t>
      </w:r>
      <w:r>
        <w:rPr>
          <w:spacing w:val="-11"/>
        </w:rPr>
        <w:t xml:space="preserve"> </w:t>
      </w:r>
      <w:r>
        <w:t>high-quality</w:t>
      </w:r>
      <w:r>
        <w:rPr>
          <w:spacing w:val="-11"/>
        </w:rPr>
        <w:t xml:space="preserve"> </w:t>
      </w:r>
      <w:r>
        <w:t>colonoscopy</w:t>
      </w:r>
      <w:r>
        <w:rPr>
          <w:spacing w:val="-11"/>
        </w:rPr>
        <w:t xml:space="preserve"> </w:t>
      </w:r>
      <w:r>
        <w:t>in</w:t>
      </w:r>
      <w:r>
        <w:rPr>
          <w:spacing w:val="-11"/>
        </w:rPr>
        <w:t xml:space="preserve"> </w:t>
      </w:r>
      <w:r>
        <w:t>line</w:t>
      </w:r>
      <w:r>
        <w:rPr>
          <w:spacing w:val="-11"/>
        </w:rPr>
        <w:t xml:space="preserve"> </w:t>
      </w:r>
      <w:r>
        <w:t>with</w:t>
      </w:r>
      <w:r>
        <w:rPr>
          <w:spacing w:val="-11"/>
        </w:rPr>
        <w:t xml:space="preserve"> </w:t>
      </w:r>
      <w:r>
        <w:t xml:space="preserve">the </w:t>
      </w:r>
      <w:r>
        <w:rPr>
          <w:spacing w:val="-2"/>
        </w:rPr>
        <w:t>Safety</w:t>
      </w:r>
      <w:r>
        <w:rPr>
          <w:spacing w:val="-4"/>
        </w:rPr>
        <w:t xml:space="preserve"> </w:t>
      </w:r>
      <w:r>
        <w:rPr>
          <w:spacing w:val="-2"/>
        </w:rPr>
        <w:t>and</w:t>
      </w:r>
      <w:r>
        <w:rPr>
          <w:spacing w:val="-4"/>
        </w:rPr>
        <w:t xml:space="preserve"> </w:t>
      </w:r>
      <w:r>
        <w:rPr>
          <w:spacing w:val="-2"/>
        </w:rPr>
        <w:t>Quality</w:t>
      </w:r>
      <w:r>
        <w:rPr>
          <w:spacing w:val="-4"/>
        </w:rPr>
        <w:t xml:space="preserve"> </w:t>
      </w:r>
      <w:r>
        <w:rPr>
          <w:spacing w:val="-2"/>
        </w:rPr>
        <w:t>Model</w:t>
      </w:r>
      <w:r>
        <w:rPr>
          <w:spacing w:val="-4"/>
        </w:rPr>
        <w:t xml:space="preserve"> </w:t>
      </w:r>
      <w:r>
        <w:rPr>
          <w:spacing w:val="-2"/>
        </w:rPr>
        <w:t>for</w:t>
      </w:r>
      <w:r>
        <w:rPr>
          <w:spacing w:val="-4"/>
        </w:rPr>
        <w:t xml:space="preserve"> </w:t>
      </w:r>
      <w:r>
        <w:rPr>
          <w:spacing w:val="-2"/>
        </w:rPr>
        <w:t>Colonoscopy,</w:t>
      </w:r>
      <w:r>
        <w:rPr>
          <w:spacing w:val="-4"/>
        </w:rPr>
        <w:t xml:space="preserve"> </w:t>
      </w:r>
      <w:r>
        <w:rPr>
          <w:spacing w:val="-2"/>
        </w:rPr>
        <w:t>with</w:t>
      </w:r>
      <w:r>
        <w:rPr>
          <w:spacing w:val="-4"/>
        </w:rPr>
        <w:t xml:space="preserve"> </w:t>
      </w:r>
      <w:r>
        <w:rPr>
          <w:spacing w:val="-2"/>
        </w:rPr>
        <w:t>updates</w:t>
      </w:r>
      <w:r>
        <w:rPr>
          <w:spacing w:val="-4"/>
        </w:rPr>
        <w:t xml:space="preserve"> </w:t>
      </w:r>
      <w:r>
        <w:rPr>
          <w:spacing w:val="-2"/>
        </w:rPr>
        <w:t>including</w:t>
      </w:r>
      <w:r>
        <w:rPr>
          <w:spacing w:val="-4"/>
        </w:rPr>
        <w:t xml:space="preserve"> </w:t>
      </w:r>
      <w:r>
        <w:rPr>
          <w:spacing w:val="-2"/>
        </w:rPr>
        <w:t>cultural</w:t>
      </w:r>
      <w:r>
        <w:rPr>
          <w:spacing w:val="-4"/>
        </w:rPr>
        <w:t xml:space="preserve"> </w:t>
      </w:r>
      <w:r>
        <w:rPr>
          <w:spacing w:val="-2"/>
        </w:rPr>
        <w:t>safety</w:t>
      </w:r>
      <w:r>
        <w:rPr>
          <w:spacing w:val="-4"/>
        </w:rPr>
        <w:t xml:space="preserve"> </w:t>
      </w:r>
      <w:r>
        <w:rPr>
          <w:spacing w:val="-2"/>
        </w:rPr>
        <w:t>and</w:t>
      </w:r>
      <w:r>
        <w:rPr>
          <w:spacing w:val="-4"/>
        </w:rPr>
        <w:t xml:space="preserve"> </w:t>
      </w:r>
      <w:r>
        <w:rPr>
          <w:spacing w:val="-2"/>
        </w:rPr>
        <w:t>equity</w:t>
      </w:r>
      <w:r>
        <w:rPr>
          <w:spacing w:val="-4"/>
        </w:rPr>
        <w:t xml:space="preserve"> </w:t>
      </w:r>
      <w:r>
        <w:rPr>
          <w:spacing w:val="-2"/>
        </w:rPr>
        <w:t>considerations</w:t>
      </w:r>
      <w:r>
        <w:rPr>
          <w:spacing w:val="-4"/>
        </w:rPr>
        <w:t xml:space="preserve"> </w:t>
      </w:r>
      <w:r>
        <w:rPr>
          <w:spacing w:val="-2"/>
        </w:rPr>
        <w:t xml:space="preserve">and </w:t>
      </w:r>
      <w:r>
        <w:t>strengthened communication at referral and follow-up.</w:t>
      </w:r>
    </w:p>
    <w:p w14:paraId="2AA2C813" w14:textId="77777777" w:rsidR="009D54AF" w:rsidRDefault="009D54AF">
      <w:pPr>
        <w:pStyle w:val="BodyText"/>
        <w:spacing w:before="65"/>
      </w:pPr>
    </w:p>
    <w:p w14:paraId="41E248D5" w14:textId="77777777" w:rsidR="009D54AF" w:rsidRDefault="00000000">
      <w:pPr>
        <w:pStyle w:val="Heading5"/>
        <w:spacing w:before="1"/>
      </w:pPr>
      <w:r>
        <w:t xml:space="preserve">Infection </w:t>
      </w:r>
      <w:r>
        <w:rPr>
          <w:spacing w:val="-2"/>
        </w:rPr>
        <w:t>control</w:t>
      </w:r>
    </w:p>
    <w:p w14:paraId="2110FB9B" w14:textId="77777777" w:rsidR="009D54AF" w:rsidRDefault="00000000">
      <w:pPr>
        <w:pStyle w:val="Heading7"/>
        <w:spacing w:before="296"/>
      </w:pPr>
      <w:r>
        <w:t>National</w:t>
      </w:r>
      <w:r>
        <w:rPr>
          <w:spacing w:val="-2"/>
        </w:rPr>
        <w:t xml:space="preserve"> </w:t>
      </w:r>
      <w:r>
        <w:t>infection</w:t>
      </w:r>
      <w:r>
        <w:rPr>
          <w:spacing w:val="-2"/>
        </w:rPr>
        <w:t xml:space="preserve"> </w:t>
      </w:r>
      <w:r>
        <w:t>control</w:t>
      </w:r>
      <w:r>
        <w:rPr>
          <w:spacing w:val="-2"/>
        </w:rPr>
        <w:t xml:space="preserve"> guidance</w:t>
      </w:r>
    </w:p>
    <w:p w14:paraId="23913630" w14:textId="77777777" w:rsidR="009D54AF" w:rsidRDefault="00000000">
      <w:pPr>
        <w:pStyle w:val="BodyText"/>
        <w:spacing w:before="141" w:line="278" w:lineRule="auto"/>
        <w:ind w:left="142" w:right="214"/>
      </w:pPr>
      <w:r>
        <w:t>Healthcare-associated infections are infections acquired through the delivery of care and can affect patients and</w:t>
      </w:r>
      <w:r>
        <w:rPr>
          <w:spacing w:val="-2"/>
        </w:rPr>
        <w:t xml:space="preserve"> </w:t>
      </w:r>
      <w:r>
        <w:t>healthcare</w:t>
      </w:r>
      <w:r>
        <w:rPr>
          <w:spacing w:val="-2"/>
        </w:rPr>
        <w:t xml:space="preserve"> </w:t>
      </w:r>
      <w:r>
        <w:t>workers.</w:t>
      </w:r>
      <w:r>
        <w:rPr>
          <w:spacing w:val="-2"/>
        </w:rPr>
        <w:t xml:space="preserve"> </w:t>
      </w:r>
      <w:r>
        <w:t>Infection</w:t>
      </w:r>
      <w:r>
        <w:rPr>
          <w:spacing w:val="-2"/>
        </w:rPr>
        <w:t xml:space="preserve"> </w:t>
      </w:r>
      <w:r>
        <w:t>prevention</w:t>
      </w:r>
      <w:r>
        <w:rPr>
          <w:spacing w:val="-2"/>
        </w:rPr>
        <w:t xml:space="preserve"> </w:t>
      </w:r>
      <w:r>
        <w:t>and</w:t>
      </w:r>
      <w:r>
        <w:rPr>
          <w:spacing w:val="-2"/>
        </w:rPr>
        <w:t xml:space="preserve"> </w:t>
      </w:r>
      <w:r>
        <w:t>control</w:t>
      </w:r>
      <w:r>
        <w:rPr>
          <w:spacing w:val="-2"/>
        </w:rPr>
        <w:t xml:space="preserve"> </w:t>
      </w:r>
      <w:r>
        <w:t>strategies</w:t>
      </w:r>
      <w:r>
        <w:rPr>
          <w:spacing w:val="-2"/>
        </w:rPr>
        <w:t xml:space="preserve"> </w:t>
      </w:r>
      <w:r>
        <w:t>eliminate</w:t>
      </w:r>
      <w:r>
        <w:rPr>
          <w:spacing w:val="-2"/>
        </w:rPr>
        <w:t xml:space="preserve"> </w:t>
      </w:r>
      <w:r>
        <w:t>and</w:t>
      </w:r>
      <w:r>
        <w:rPr>
          <w:spacing w:val="-2"/>
        </w:rPr>
        <w:t xml:space="preserve"> </w:t>
      </w:r>
      <w:r>
        <w:t>reduce</w:t>
      </w:r>
      <w:r>
        <w:rPr>
          <w:spacing w:val="-2"/>
        </w:rPr>
        <w:t xml:space="preserve"> </w:t>
      </w:r>
      <w:r>
        <w:t>the</w:t>
      </w:r>
      <w:r>
        <w:rPr>
          <w:spacing w:val="-2"/>
        </w:rPr>
        <w:t xml:space="preserve"> </w:t>
      </w:r>
      <w:r>
        <w:t>risk</w:t>
      </w:r>
      <w:r>
        <w:rPr>
          <w:spacing w:val="-2"/>
        </w:rPr>
        <w:t xml:space="preserve"> </w:t>
      </w:r>
      <w:r>
        <w:t>of</w:t>
      </w:r>
      <w:r>
        <w:rPr>
          <w:spacing w:val="-2"/>
        </w:rPr>
        <w:t xml:space="preserve"> </w:t>
      </w:r>
      <w:r>
        <w:t xml:space="preserve">infections and </w:t>
      </w:r>
      <w:proofErr w:type="spellStart"/>
      <w:r>
        <w:t>minimise</w:t>
      </w:r>
      <w:proofErr w:type="spellEnd"/>
      <w:r>
        <w:t xml:space="preserve"> the development of multidrug-resistant organisms in healthcare settings.</w:t>
      </w:r>
    </w:p>
    <w:p w14:paraId="14D890DA" w14:textId="77777777" w:rsidR="009D54AF" w:rsidRDefault="00000000">
      <w:pPr>
        <w:pStyle w:val="BodyText"/>
        <w:spacing w:before="141"/>
        <w:ind w:left="142"/>
      </w:pPr>
      <w:r>
        <w:t>In</w:t>
      </w:r>
      <w:r>
        <w:rPr>
          <w:spacing w:val="3"/>
        </w:rPr>
        <w:t xml:space="preserve"> </w:t>
      </w:r>
      <w:r>
        <w:t>2025–26,</w:t>
      </w:r>
      <w:r>
        <w:rPr>
          <w:spacing w:val="3"/>
        </w:rPr>
        <w:t xml:space="preserve"> </w:t>
      </w:r>
      <w:r>
        <w:t>the</w:t>
      </w:r>
      <w:r>
        <w:rPr>
          <w:spacing w:val="3"/>
        </w:rPr>
        <w:t xml:space="preserve"> </w:t>
      </w:r>
      <w:r>
        <w:rPr>
          <w:spacing w:val="-2"/>
        </w:rPr>
        <w:t>Commission:</w:t>
      </w:r>
    </w:p>
    <w:p w14:paraId="5339C4A0" w14:textId="77777777" w:rsidR="009D54AF" w:rsidRDefault="00000000">
      <w:pPr>
        <w:pStyle w:val="ListParagraph"/>
        <w:numPr>
          <w:ilvl w:val="0"/>
          <w:numId w:val="35"/>
        </w:numPr>
        <w:tabs>
          <w:tab w:val="left" w:pos="424"/>
          <w:tab w:val="left" w:pos="440"/>
        </w:tabs>
        <w:spacing w:before="96" w:line="278" w:lineRule="auto"/>
        <w:ind w:right="624" w:hanging="284"/>
        <w:rPr>
          <w:sz w:val="21"/>
        </w:rPr>
      </w:pPr>
      <w:r>
        <w:rPr>
          <w:sz w:val="21"/>
        </w:rPr>
        <w:t xml:space="preserve">reviewed and updated </w:t>
      </w:r>
      <w:r>
        <w:rPr>
          <w:i/>
          <w:sz w:val="21"/>
        </w:rPr>
        <w:t xml:space="preserve">The Aged Care Infection Prevention and Control Guide </w:t>
      </w:r>
      <w:r>
        <w:rPr>
          <w:sz w:val="21"/>
        </w:rPr>
        <w:t>to align with the Aged Care</w:t>
      </w:r>
      <w:r>
        <w:rPr>
          <w:spacing w:val="-3"/>
          <w:sz w:val="21"/>
        </w:rPr>
        <w:t xml:space="preserve"> </w:t>
      </w:r>
      <w:r>
        <w:rPr>
          <w:sz w:val="21"/>
        </w:rPr>
        <w:t>Quality</w:t>
      </w:r>
      <w:r>
        <w:rPr>
          <w:spacing w:val="-3"/>
          <w:sz w:val="21"/>
        </w:rPr>
        <w:t xml:space="preserve"> </w:t>
      </w:r>
      <w:r>
        <w:rPr>
          <w:sz w:val="21"/>
        </w:rPr>
        <w:t>Standards,</w:t>
      </w:r>
      <w:r>
        <w:rPr>
          <w:spacing w:val="-3"/>
          <w:sz w:val="21"/>
        </w:rPr>
        <w:t xml:space="preserve"> </w:t>
      </w:r>
      <w:r>
        <w:rPr>
          <w:sz w:val="21"/>
        </w:rPr>
        <w:t>including</w:t>
      </w:r>
      <w:r>
        <w:rPr>
          <w:spacing w:val="-3"/>
          <w:sz w:val="21"/>
        </w:rPr>
        <w:t xml:space="preserve"> </w:t>
      </w:r>
      <w:r>
        <w:rPr>
          <w:sz w:val="21"/>
        </w:rPr>
        <w:t>adding</w:t>
      </w:r>
      <w:r>
        <w:rPr>
          <w:spacing w:val="-3"/>
          <w:sz w:val="21"/>
        </w:rPr>
        <w:t xml:space="preserve"> </w:t>
      </w:r>
      <w:r>
        <w:rPr>
          <w:sz w:val="21"/>
        </w:rPr>
        <w:t>a</w:t>
      </w:r>
      <w:r>
        <w:rPr>
          <w:spacing w:val="-3"/>
          <w:sz w:val="21"/>
        </w:rPr>
        <w:t xml:space="preserve"> </w:t>
      </w:r>
      <w:r>
        <w:rPr>
          <w:sz w:val="21"/>
        </w:rPr>
        <w:t>new</w:t>
      </w:r>
      <w:r>
        <w:rPr>
          <w:spacing w:val="-3"/>
          <w:sz w:val="21"/>
        </w:rPr>
        <w:t xml:space="preserve"> </w:t>
      </w:r>
      <w:r>
        <w:rPr>
          <w:sz w:val="21"/>
        </w:rPr>
        <w:t>chapter</w:t>
      </w:r>
      <w:r>
        <w:rPr>
          <w:spacing w:val="-3"/>
          <w:sz w:val="21"/>
        </w:rPr>
        <w:t xml:space="preserve"> </w:t>
      </w:r>
      <w:r>
        <w:rPr>
          <w:sz w:val="21"/>
        </w:rPr>
        <w:t>on</w:t>
      </w:r>
      <w:r>
        <w:rPr>
          <w:spacing w:val="-3"/>
          <w:sz w:val="21"/>
        </w:rPr>
        <w:t xml:space="preserve"> </w:t>
      </w:r>
      <w:r>
        <w:rPr>
          <w:sz w:val="21"/>
        </w:rPr>
        <w:t>the</w:t>
      </w:r>
      <w:r>
        <w:rPr>
          <w:spacing w:val="-3"/>
          <w:sz w:val="21"/>
        </w:rPr>
        <w:t xml:space="preserve"> </w:t>
      </w:r>
      <w:r>
        <w:rPr>
          <w:sz w:val="21"/>
        </w:rPr>
        <w:t>Infection</w:t>
      </w:r>
      <w:r>
        <w:rPr>
          <w:spacing w:val="-3"/>
          <w:sz w:val="21"/>
        </w:rPr>
        <w:t xml:space="preserve"> </w:t>
      </w:r>
      <w:r>
        <w:rPr>
          <w:sz w:val="21"/>
        </w:rPr>
        <w:t>Prevention</w:t>
      </w:r>
      <w:r>
        <w:rPr>
          <w:spacing w:val="-3"/>
          <w:sz w:val="21"/>
        </w:rPr>
        <w:t xml:space="preserve"> </w:t>
      </w:r>
      <w:r>
        <w:rPr>
          <w:sz w:val="21"/>
        </w:rPr>
        <w:t>and</w:t>
      </w:r>
      <w:r>
        <w:rPr>
          <w:spacing w:val="-3"/>
          <w:sz w:val="21"/>
        </w:rPr>
        <w:t xml:space="preserve"> </w:t>
      </w:r>
      <w:r>
        <w:rPr>
          <w:sz w:val="21"/>
        </w:rPr>
        <w:t>Control</w:t>
      </w:r>
      <w:r>
        <w:rPr>
          <w:spacing w:val="-3"/>
          <w:sz w:val="21"/>
        </w:rPr>
        <w:t xml:space="preserve"> </w:t>
      </w:r>
      <w:r>
        <w:rPr>
          <w:sz w:val="21"/>
        </w:rPr>
        <w:t xml:space="preserve">Lead </w:t>
      </w:r>
      <w:r>
        <w:rPr>
          <w:spacing w:val="-2"/>
          <w:sz w:val="21"/>
        </w:rPr>
        <w:t>framework</w:t>
      </w:r>
    </w:p>
    <w:p w14:paraId="6A390843" w14:textId="77777777" w:rsidR="009D54AF" w:rsidRDefault="00000000">
      <w:pPr>
        <w:pStyle w:val="ListParagraph"/>
        <w:numPr>
          <w:ilvl w:val="0"/>
          <w:numId w:val="35"/>
        </w:numPr>
        <w:tabs>
          <w:tab w:val="left" w:pos="424"/>
          <w:tab w:val="left" w:pos="440"/>
        </w:tabs>
        <w:spacing w:before="56" w:line="278" w:lineRule="auto"/>
        <w:ind w:right="279" w:hanging="284"/>
        <w:rPr>
          <w:sz w:val="21"/>
        </w:rPr>
      </w:pPr>
      <w:r>
        <w:rPr>
          <w:sz w:val="21"/>
        </w:rPr>
        <w:t>progressed</w:t>
      </w:r>
      <w:r>
        <w:rPr>
          <w:spacing w:val="-3"/>
          <w:sz w:val="21"/>
        </w:rPr>
        <w:t xml:space="preserve"> </w:t>
      </w:r>
      <w:r>
        <w:rPr>
          <w:sz w:val="21"/>
        </w:rPr>
        <w:t>updates</w:t>
      </w:r>
      <w:r>
        <w:rPr>
          <w:spacing w:val="-3"/>
          <w:sz w:val="21"/>
        </w:rPr>
        <w:t xml:space="preserve"> </w:t>
      </w:r>
      <w:r>
        <w:rPr>
          <w:sz w:val="21"/>
        </w:rPr>
        <w:t>to</w:t>
      </w:r>
      <w:r>
        <w:rPr>
          <w:spacing w:val="-3"/>
          <w:sz w:val="21"/>
        </w:rPr>
        <w:t xml:space="preserve"> </w:t>
      </w:r>
      <w:r>
        <w:rPr>
          <w:sz w:val="21"/>
        </w:rPr>
        <w:t>the</w:t>
      </w:r>
      <w:r>
        <w:rPr>
          <w:spacing w:val="-4"/>
          <w:sz w:val="21"/>
        </w:rPr>
        <w:t xml:space="preserve"> </w:t>
      </w:r>
      <w:r>
        <w:rPr>
          <w:i/>
          <w:sz w:val="21"/>
        </w:rPr>
        <w:t>Australian</w:t>
      </w:r>
      <w:r>
        <w:rPr>
          <w:i/>
          <w:spacing w:val="-3"/>
          <w:sz w:val="21"/>
        </w:rPr>
        <w:t xml:space="preserve"> </w:t>
      </w:r>
      <w:r>
        <w:rPr>
          <w:i/>
          <w:sz w:val="21"/>
        </w:rPr>
        <w:t>Guidelines</w:t>
      </w:r>
      <w:r>
        <w:rPr>
          <w:i/>
          <w:spacing w:val="-3"/>
          <w:sz w:val="21"/>
        </w:rPr>
        <w:t xml:space="preserve"> </w:t>
      </w:r>
      <w:r>
        <w:rPr>
          <w:i/>
          <w:sz w:val="21"/>
        </w:rPr>
        <w:t>for</w:t>
      </w:r>
      <w:r>
        <w:rPr>
          <w:i/>
          <w:spacing w:val="-3"/>
          <w:sz w:val="21"/>
        </w:rPr>
        <w:t xml:space="preserve"> </w:t>
      </w:r>
      <w:r>
        <w:rPr>
          <w:i/>
          <w:sz w:val="21"/>
        </w:rPr>
        <w:t>the</w:t>
      </w:r>
      <w:r>
        <w:rPr>
          <w:i/>
          <w:spacing w:val="-3"/>
          <w:sz w:val="21"/>
        </w:rPr>
        <w:t xml:space="preserve"> </w:t>
      </w:r>
      <w:r>
        <w:rPr>
          <w:i/>
          <w:sz w:val="21"/>
        </w:rPr>
        <w:t>Prevention</w:t>
      </w:r>
      <w:r>
        <w:rPr>
          <w:i/>
          <w:spacing w:val="-3"/>
          <w:sz w:val="21"/>
        </w:rPr>
        <w:t xml:space="preserve"> </w:t>
      </w:r>
      <w:r>
        <w:rPr>
          <w:i/>
          <w:sz w:val="21"/>
        </w:rPr>
        <w:t>and</w:t>
      </w:r>
      <w:r>
        <w:rPr>
          <w:i/>
          <w:spacing w:val="-3"/>
          <w:sz w:val="21"/>
        </w:rPr>
        <w:t xml:space="preserve"> </w:t>
      </w:r>
      <w:r>
        <w:rPr>
          <w:i/>
          <w:sz w:val="21"/>
        </w:rPr>
        <w:t>Control</w:t>
      </w:r>
      <w:r>
        <w:rPr>
          <w:i/>
          <w:spacing w:val="-3"/>
          <w:sz w:val="21"/>
        </w:rPr>
        <w:t xml:space="preserve"> </w:t>
      </w:r>
      <w:r>
        <w:rPr>
          <w:i/>
          <w:sz w:val="21"/>
        </w:rPr>
        <w:t>of</w:t>
      </w:r>
      <w:r>
        <w:rPr>
          <w:i/>
          <w:spacing w:val="-3"/>
          <w:sz w:val="21"/>
        </w:rPr>
        <w:t xml:space="preserve"> </w:t>
      </w:r>
      <w:r>
        <w:rPr>
          <w:i/>
          <w:sz w:val="21"/>
        </w:rPr>
        <w:t>Infection</w:t>
      </w:r>
      <w:r>
        <w:rPr>
          <w:i/>
          <w:spacing w:val="-3"/>
          <w:sz w:val="21"/>
        </w:rPr>
        <w:t xml:space="preserve"> </w:t>
      </w:r>
      <w:r>
        <w:rPr>
          <w:i/>
          <w:sz w:val="21"/>
        </w:rPr>
        <w:t>in</w:t>
      </w:r>
      <w:r>
        <w:rPr>
          <w:i/>
          <w:spacing w:val="-3"/>
          <w:sz w:val="21"/>
        </w:rPr>
        <w:t xml:space="preserve"> </w:t>
      </w:r>
      <w:r>
        <w:rPr>
          <w:i/>
          <w:sz w:val="21"/>
        </w:rPr>
        <w:t>Healthcare</w:t>
      </w:r>
      <w:r>
        <w:rPr>
          <w:sz w:val="21"/>
        </w:rPr>
        <w:t>, including commissioning systematic reviews on transmission-based precautions and waterless care models, and developing new content on outbreak management, environmental cleaning, reprocessing, sterile stock storage, and ‘bare below the elbows’</w:t>
      </w:r>
    </w:p>
    <w:p w14:paraId="28FEDFE3" w14:textId="77777777" w:rsidR="009D54AF" w:rsidRDefault="00000000">
      <w:pPr>
        <w:pStyle w:val="ListParagraph"/>
        <w:numPr>
          <w:ilvl w:val="0"/>
          <w:numId w:val="35"/>
        </w:numPr>
        <w:tabs>
          <w:tab w:val="left" w:pos="424"/>
        </w:tabs>
        <w:spacing w:before="56"/>
        <w:ind w:left="424" w:hanging="268"/>
        <w:rPr>
          <w:sz w:val="21"/>
        </w:rPr>
      </w:pPr>
      <w:r>
        <w:rPr>
          <w:sz w:val="21"/>
        </w:rPr>
        <w:t>developed</w:t>
      </w:r>
      <w:r>
        <w:rPr>
          <w:spacing w:val="-1"/>
          <w:sz w:val="21"/>
        </w:rPr>
        <w:t xml:space="preserve"> </w:t>
      </w:r>
      <w:r>
        <w:rPr>
          <w:sz w:val="21"/>
        </w:rPr>
        <w:t>a</w:t>
      </w:r>
      <w:r>
        <w:rPr>
          <w:spacing w:val="-1"/>
          <w:sz w:val="21"/>
        </w:rPr>
        <w:t xml:space="preserve"> </w:t>
      </w:r>
      <w:r>
        <w:rPr>
          <w:sz w:val="21"/>
        </w:rPr>
        <w:t>new</w:t>
      </w:r>
      <w:r>
        <w:rPr>
          <w:spacing w:val="-1"/>
          <w:sz w:val="21"/>
        </w:rPr>
        <w:t xml:space="preserve"> </w:t>
      </w:r>
      <w:r>
        <w:rPr>
          <w:sz w:val="21"/>
        </w:rPr>
        <w:t>resource</w:t>
      </w:r>
      <w:r>
        <w:rPr>
          <w:spacing w:val="-1"/>
          <w:sz w:val="21"/>
        </w:rPr>
        <w:t xml:space="preserve"> </w:t>
      </w:r>
      <w:r>
        <w:rPr>
          <w:sz w:val="21"/>
        </w:rPr>
        <w:t>to support</w:t>
      </w:r>
      <w:r>
        <w:rPr>
          <w:spacing w:val="-1"/>
          <w:sz w:val="21"/>
        </w:rPr>
        <w:t xml:space="preserve"> </w:t>
      </w:r>
      <w:r>
        <w:rPr>
          <w:sz w:val="21"/>
        </w:rPr>
        <w:t>safe</w:t>
      </w:r>
      <w:r>
        <w:rPr>
          <w:spacing w:val="-1"/>
          <w:sz w:val="21"/>
        </w:rPr>
        <w:t xml:space="preserve"> </w:t>
      </w:r>
      <w:r>
        <w:rPr>
          <w:sz w:val="21"/>
        </w:rPr>
        <w:t>spirometry</w:t>
      </w:r>
      <w:r>
        <w:rPr>
          <w:spacing w:val="-1"/>
          <w:sz w:val="21"/>
        </w:rPr>
        <w:t xml:space="preserve"> </w:t>
      </w:r>
      <w:r>
        <w:rPr>
          <w:sz w:val="21"/>
        </w:rPr>
        <w:t>in</w:t>
      </w:r>
      <w:r>
        <w:rPr>
          <w:spacing w:val="-1"/>
          <w:sz w:val="21"/>
        </w:rPr>
        <w:t xml:space="preserve"> </w:t>
      </w:r>
      <w:r>
        <w:rPr>
          <w:sz w:val="21"/>
        </w:rPr>
        <w:t xml:space="preserve">general </w:t>
      </w:r>
      <w:r>
        <w:rPr>
          <w:spacing w:val="-2"/>
          <w:sz w:val="21"/>
        </w:rPr>
        <w:t>practice</w:t>
      </w:r>
    </w:p>
    <w:p w14:paraId="54DFD05E" w14:textId="77777777" w:rsidR="009D54AF" w:rsidRDefault="00000000">
      <w:pPr>
        <w:pStyle w:val="ListParagraph"/>
        <w:numPr>
          <w:ilvl w:val="0"/>
          <w:numId w:val="35"/>
        </w:numPr>
        <w:tabs>
          <w:tab w:val="left" w:pos="424"/>
          <w:tab w:val="left" w:pos="440"/>
        </w:tabs>
        <w:spacing w:line="278" w:lineRule="auto"/>
        <w:ind w:right="500" w:hanging="284"/>
        <w:rPr>
          <w:sz w:val="21"/>
        </w:rPr>
      </w:pPr>
      <w:r>
        <w:rPr>
          <w:sz w:val="21"/>
        </w:rPr>
        <w:t>reviewed</w:t>
      </w:r>
      <w:r>
        <w:rPr>
          <w:spacing w:val="-2"/>
          <w:sz w:val="21"/>
        </w:rPr>
        <w:t xml:space="preserve"> </w:t>
      </w:r>
      <w:r>
        <w:rPr>
          <w:sz w:val="21"/>
        </w:rPr>
        <w:t>and</w:t>
      </w:r>
      <w:r>
        <w:rPr>
          <w:spacing w:val="-2"/>
          <w:sz w:val="21"/>
        </w:rPr>
        <w:t xml:space="preserve"> </w:t>
      </w:r>
      <w:r>
        <w:rPr>
          <w:sz w:val="21"/>
        </w:rPr>
        <w:t>updated</w:t>
      </w:r>
      <w:r>
        <w:rPr>
          <w:spacing w:val="-2"/>
          <w:sz w:val="21"/>
        </w:rPr>
        <w:t xml:space="preserve"> </w:t>
      </w:r>
      <w:r>
        <w:rPr>
          <w:sz w:val="21"/>
        </w:rPr>
        <w:t>national</w:t>
      </w:r>
      <w:r>
        <w:rPr>
          <w:spacing w:val="-2"/>
          <w:sz w:val="21"/>
        </w:rPr>
        <w:t xml:space="preserve"> </w:t>
      </w:r>
      <w:r>
        <w:rPr>
          <w:sz w:val="21"/>
        </w:rPr>
        <w:t>guidance</w:t>
      </w:r>
      <w:r>
        <w:rPr>
          <w:spacing w:val="-2"/>
          <w:sz w:val="21"/>
        </w:rPr>
        <w:t xml:space="preserve"> </w:t>
      </w:r>
      <w:r>
        <w:rPr>
          <w:sz w:val="21"/>
        </w:rPr>
        <w:t>on</w:t>
      </w:r>
      <w:r>
        <w:rPr>
          <w:spacing w:val="-2"/>
          <w:sz w:val="21"/>
        </w:rPr>
        <w:t xml:space="preserve"> </w:t>
      </w:r>
      <w:r>
        <w:rPr>
          <w:sz w:val="21"/>
        </w:rPr>
        <w:t>non-tuberculous</w:t>
      </w:r>
      <w:r>
        <w:rPr>
          <w:spacing w:val="-3"/>
          <w:sz w:val="21"/>
        </w:rPr>
        <w:t xml:space="preserve"> </w:t>
      </w:r>
      <w:r>
        <w:rPr>
          <w:i/>
          <w:sz w:val="21"/>
        </w:rPr>
        <w:t>Mycobacterium</w:t>
      </w:r>
      <w:r>
        <w:rPr>
          <w:i/>
          <w:spacing w:val="-3"/>
          <w:sz w:val="21"/>
        </w:rPr>
        <w:t xml:space="preserve"> </w:t>
      </w:r>
      <w:r>
        <w:rPr>
          <w:sz w:val="21"/>
        </w:rPr>
        <w:t>infections</w:t>
      </w:r>
      <w:r>
        <w:rPr>
          <w:spacing w:val="-2"/>
          <w:sz w:val="21"/>
        </w:rPr>
        <w:t xml:space="preserve"> </w:t>
      </w:r>
      <w:r>
        <w:rPr>
          <w:sz w:val="21"/>
        </w:rPr>
        <w:t>associated</w:t>
      </w:r>
      <w:r>
        <w:rPr>
          <w:spacing w:val="-2"/>
          <w:sz w:val="21"/>
        </w:rPr>
        <w:t xml:space="preserve"> </w:t>
      </w:r>
      <w:r>
        <w:rPr>
          <w:sz w:val="21"/>
        </w:rPr>
        <w:t>with cardiac surgery</w:t>
      </w:r>
    </w:p>
    <w:p w14:paraId="07FB8DD4" w14:textId="77777777" w:rsidR="009D54AF" w:rsidRDefault="00000000">
      <w:pPr>
        <w:pStyle w:val="ListParagraph"/>
        <w:numPr>
          <w:ilvl w:val="0"/>
          <w:numId w:val="35"/>
        </w:numPr>
        <w:tabs>
          <w:tab w:val="left" w:pos="424"/>
        </w:tabs>
        <w:spacing w:before="66"/>
        <w:ind w:left="424" w:hanging="268"/>
        <w:rPr>
          <w:sz w:val="21"/>
        </w:rPr>
      </w:pPr>
      <w:bookmarkStart w:id="29" w:name="_bookmark6"/>
      <w:bookmarkEnd w:id="29"/>
      <w:r>
        <w:rPr>
          <w:sz w:val="21"/>
        </w:rPr>
        <w:t>updated</w:t>
      </w:r>
      <w:r>
        <w:rPr>
          <w:spacing w:val="-4"/>
          <w:sz w:val="21"/>
        </w:rPr>
        <w:t xml:space="preserve"> </w:t>
      </w:r>
      <w:r>
        <w:rPr>
          <w:sz w:val="21"/>
        </w:rPr>
        <w:t>a</w:t>
      </w:r>
      <w:r>
        <w:rPr>
          <w:spacing w:val="-2"/>
          <w:sz w:val="21"/>
        </w:rPr>
        <w:t xml:space="preserve"> </w:t>
      </w:r>
      <w:r>
        <w:rPr>
          <w:sz w:val="21"/>
        </w:rPr>
        <w:t>fact</w:t>
      </w:r>
      <w:r>
        <w:rPr>
          <w:spacing w:val="-2"/>
          <w:sz w:val="21"/>
        </w:rPr>
        <w:t xml:space="preserve"> </w:t>
      </w:r>
      <w:r>
        <w:rPr>
          <w:sz w:val="21"/>
        </w:rPr>
        <w:t>sheet</w:t>
      </w:r>
      <w:r>
        <w:rPr>
          <w:spacing w:val="-2"/>
          <w:sz w:val="21"/>
        </w:rPr>
        <w:t xml:space="preserve"> </w:t>
      </w:r>
      <w:r>
        <w:rPr>
          <w:sz w:val="21"/>
        </w:rPr>
        <w:t>to</w:t>
      </w:r>
      <w:r>
        <w:rPr>
          <w:spacing w:val="-1"/>
          <w:sz w:val="21"/>
        </w:rPr>
        <w:t xml:space="preserve"> </w:t>
      </w:r>
      <w:r>
        <w:rPr>
          <w:sz w:val="21"/>
        </w:rPr>
        <w:t>promote</w:t>
      </w:r>
      <w:r>
        <w:rPr>
          <w:spacing w:val="-2"/>
          <w:sz w:val="21"/>
        </w:rPr>
        <w:t xml:space="preserve"> </w:t>
      </w:r>
      <w:r>
        <w:rPr>
          <w:sz w:val="21"/>
        </w:rPr>
        <w:t>meaningful</w:t>
      </w:r>
      <w:r>
        <w:rPr>
          <w:spacing w:val="-2"/>
          <w:sz w:val="21"/>
        </w:rPr>
        <w:t xml:space="preserve"> </w:t>
      </w:r>
      <w:r>
        <w:rPr>
          <w:sz w:val="21"/>
        </w:rPr>
        <w:t>healthcare-associated</w:t>
      </w:r>
      <w:r>
        <w:rPr>
          <w:spacing w:val="-2"/>
          <w:sz w:val="21"/>
        </w:rPr>
        <w:t xml:space="preserve"> </w:t>
      </w:r>
      <w:r>
        <w:rPr>
          <w:sz w:val="21"/>
        </w:rPr>
        <w:t>infection</w:t>
      </w:r>
      <w:r>
        <w:rPr>
          <w:spacing w:val="-1"/>
          <w:sz w:val="21"/>
        </w:rPr>
        <w:t xml:space="preserve"> </w:t>
      </w:r>
      <w:r>
        <w:rPr>
          <w:spacing w:val="-2"/>
          <w:sz w:val="21"/>
        </w:rPr>
        <w:t>surveillance.</w:t>
      </w:r>
    </w:p>
    <w:p w14:paraId="587CC44C" w14:textId="77777777" w:rsidR="009D54AF" w:rsidRDefault="009D54AF">
      <w:pPr>
        <w:pStyle w:val="BodyText"/>
        <w:spacing w:before="130"/>
      </w:pPr>
    </w:p>
    <w:p w14:paraId="45837FFC" w14:textId="77777777" w:rsidR="009D54AF" w:rsidRDefault="00000000">
      <w:pPr>
        <w:pStyle w:val="Heading7"/>
      </w:pPr>
      <w:r>
        <w:t>National</w:t>
      </w:r>
      <w:r>
        <w:rPr>
          <w:spacing w:val="-4"/>
        </w:rPr>
        <w:t xml:space="preserve"> </w:t>
      </w:r>
      <w:r>
        <w:t>Hand</w:t>
      </w:r>
      <w:r>
        <w:rPr>
          <w:spacing w:val="-4"/>
        </w:rPr>
        <w:t xml:space="preserve"> </w:t>
      </w:r>
      <w:r>
        <w:t>Hygiene</w:t>
      </w:r>
      <w:r>
        <w:rPr>
          <w:spacing w:val="-3"/>
        </w:rPr>
        <w:t xml:space="preserve"> </w:t>
      </w:r>
      <w:r>
        <w:rPr>
          <w:spacing w:val="-2"/>
        </w:rPr>
        <w:t>Initiative</w:t>
      </w:r>
    </w:p>
    <w:p w14:paraId="60D1C15C" w14:textId="77777777" w:rsidR="009D54AF" w:rsidRDefault="00000000">
      <w:pPr>
        <w:pStyle w:val="BodyText"/>
        <w:spacing w:before="141" w:line="278" w:lineRule="auto"/>
        <w:ind w:left="142"/>
      </w:pPr>
      <w:r>
        <w:t>The</w:t>
      </w:r>
      <w:r>
        <w:rPr>
          <w:spacing w:val="-2"/>
        </w:rPr>
        <w:t xml:space="preserve"> </w:t>
      </w:r>
      <w:r>
        <w:t>National</w:t>
      </w:r>
      <w:r>
        <w:rPr>
          <w:spacing w:val="-2"/>
        </w:rPr>
        <w:t xml:space="preserve"> </w:t>
      </w:r>
      <w:r>
        <w:t>Hand</w:t>
      </w:r>
      <w:r>
        <w:rPr>
          <w:spacing w:val="-2"/>
        </w:rPr>
        <w:t xml:space="preserve"> </w:t>
      </w:r>
      <w:r>
        <w:t>Hygiene</w:t>
      </w:r>
      <w:r>
        <w:rPr>
          <w:spacing w:val="-2"/>
        </w:rPr>
        <w:t xml:space="preserve"> </w:t>
      </w:r>
      <w:r>
        <w:t>Initiative</w:t>
      </w:r>
      <w:r>
        <w:rPr>
          <w:spacing w:val="-2"/>
        </w:rPr>
        <w:t xml:space="preserve"> </w:t>
      </w:r>
      <w:r>
        <w:t>was</w:t>
      </w:r>
      <w:r>
        <w:rPr>
          <w:spacing w:val="-2"/>
        </w:rPr>
        <w:t xml:space="preserve"> </w:t>
      </w:r>
      <w:r>
        <w:t>established</w:t>
      </w:r>
      <w:r>
        <w:rPr>
          <w:spacing w:val="-2"/>
        </w:rPr>
        <w:t xml:space="preserve"> </w:t>
      </w:r>
      <w:r>
        <w:t>in</w:t>
      </w:r>
      <w:r>
        <w:rPr>
          <w:spacing w:val="-2"/>
        </w:rPr>
        <w:t xml:space="preserve"> </w:t>
      </w:r>
      <w:r>
        <w:t>2008</w:t>
      </w:r>
      <w:r>
        <w:rPr>
          <w:spacing w:val="-2"/>
        </w:rPr>
        <w:t xml:space="preserve"> </w:t>
      </w:r>
      <w:r>
        <w:t>as</w:t>
      </w:r>
      <w:r>
        <w:rPr>
          <w:spacing w:val="-2"/>
        </w:rPr>
        <w:t xml:space="preserve"> </w:t>
      </w:r>
      <w:r>
        <w:t>a</w:t>
      </w:r>
      <w:r>
        <w:rPr>
          <w:spacing w:val="-2"/>
        </w:rPr>
        <w:t xml:space="preserve"> </w:t>
      </w:r>
      <w:r>
        <w:t>multimodal</w:t>
      </w:r>
      <w:r>
        <w:rPr>
          <w:spacing w:val="-2"/>
        </w:rPr>
        <w:t xml:space="preserve"> </w:t>
      </w:r>
      <w:r>
        <w:t>approach</w:t>
      </w:r>
      <w:r>
        <w:rPr>
          <w:spacing w:val="-2"/>
        </w:rPr>
        <w:t xml:space="preserve"> </w:t>
      </w:r>
      <w:r>
        <w:t>to</w:t>
      </w:r>
      <w:r>
        <w:rPr>
          <w:spacing w:val="-2"/>
        </w:rPr>
        <w:t xml:space="preserve"> </w:t>
      </w:r>
      <w:r>
        <w:t>improving</w:t>
      </w:r>
      <w:r>
        <w:rPr>
          <w:spacing w:val="-2"/>
        </w:rPr>
        <w:t xml:space="preserve"> </w:t>
      </w:r>
      <w:r>
        <w:t xml:space="preserve">hand hygiene compliance in health services. </w:t>
      </w:r>
      <w:r>
        <w:rPr>
          <w:u w:val="single"/>
        </w:rPr>
        <w:t>H</w:t>
      </w:r>
      <w:hyperlink r:id="rId42" w:anchor="national-hand-hygiene-audit-dashboard">
        <w:r>
          <w:rPr>
            <w:u w:val="single"/>
          </w:rPr>
          <w:t xml:space="preserve">and hygiene compliance in Australian healthcare </w:t>
        </w:r>
        <w:proofErr w:type="spellStart"/>
        <w:r>
          <w:rPr>
            <w:u w:val="single"/>
          </w:rPr>
          <w:t>organisations</w:t>
        </w:r>
        <w:proofErr w:type="spellEnd"/>
        <w:r>
          <w:rPr>
            <w:u w:val="single"/>
          </w:rPr>
          <w:t xml:space="preserve"> </w:t>
        </w:r>
      </w:hyperlink>
      <w:r>
        <w:t xml:space="preserve"> </w:t>
      </w:r>
      <w:hyperlink r:id="rId43" w:anchor="national-hand-hygiene-audit-dashboard">
        <w:r>
          <w:rPr>
            <w:u w:val="single"/>
          </w:rPr>
          <w:t>consistently exceeds the national hand hygiene benchmark of 80%</w:t>
        </w:r>
      </w:hyperlink>
      <w:r>
        <w:t>. We are reviewing the hand hygiene requirements to align with the development of the third edition of the NSQHS Standards, including:</w:t>
      </w:r>
    </w:p>
    <w:p w14:paraId="69F3C5F4" w14:textId="77777777" w:rsidR="009D54AF" w:rsidRDefault="00000000">
      <w:pPr>
        <w:pStyle w:val="ListParagraph"/>
        <w:numPr>
          <w:ilvl w:val="0"/>
          <w:numId w:val="35"/>
        </w:numPr>
        <w:tabs>
          <w:tab w:val="left" w:pos="424"/>
          <w:tab w:val="left" w:pos="440"/>
        </w:tabs>
        <w:spacing w:before="56" w:line="278" w:lineRule="auto"/>
        <w:ind w:right="619" w:hanging="284"/>
        <w:rPr>
          <w:sz w:val="21"/>
        </w:rPr>
      </w:pPr>
      <w:r>
        <w:rPr>
          <w:sz w:val="21"/>
        </w:rPr>
        <w:t>a</w:t>
      </w:r>
      <w:r>
        <w:rPr>
          <w:spacing w:val="-3"/>
          <w:sz w:val="21"/>
        </w:rPr>
        <w:t xml:space="preserve"> </w:t>
      </w:r>
      <w:r>
        <w:rPr>
          <w:sz w:val="21"/>
        </w:rPr>
        <w:t>comprehensive</w:t>
      </w:r>
      <w:r>
        <w:rPr>
          <w:spacing w:val="-3"/>
          <w:sz w:val="21"/>
        </w:rPr>
        <w:t xml:space="preserve"> </w:t>
      </w:r>
      <w:r>
        <w:rPr>
          <w:sz w:val="21"/>
        </w:rPr>
        <w:t>review</w:t>
      </w:r>
      <w:r>
        <w:rPr>
          <w:spacing w:val="-3"/>
          <w:sz w:val="21"/>
        </w:rPr>
        <w:t xml:space="preserve"> </w:t>
      </w:r>
      <w:r>
        <w:rPr>
          <w:sz w:val="21"/>
        </w:rPr>
        <w:t>of</w:t>
      </w:r>
      <w:r>
        <w:rPr>
          <w:spacing w:val="-3"/>
          <w:sz w:val="21"/>
        </w:rPr>
        <w:t xml:space="preserve"> </w:t>
      </w:r>
      <w:r>
        <w:rPr>
          <w:sz w:val="21"/>
        </w:rPr>
        <w:t>current</w:t>
      </w:r>
      <w:r>
        <w:rPr>
          <w:spacing w:val="-3"/>
          <w:sz w:val="21"/>
        </w:rPr>
        <w:t xml:space="preserve"> </w:t>
      </w:r>
      <w:r>
        <w:rPr>
          <w:sz w:val="21"/>
        </w:rPr>
        <w:t>auditing</w:t>
      </w:r>
      <w:r>
        <w:rPr>
          <w:spacing w:val="-3"/>
          <w:sz w:val="21"/>
        </w:rPr>
        <w:t xml:space="preserve"> </w:t>
      </w:r>
      <w:r>
        <w:rPr>
          <w:sz w:val="21"/>
        </w:rPr>
        <w:t>requirements,</w:t>
      </w:r>
      <w:r>
        <w:rPr>
          <w:spacing w:val="-3"/>
          <w:sz w:val="21"/>
        </w:rPr>
        <w:t xml:space="preserve"> </w:t>
      </w:r>
      <w:r>
        <w:rPr>
          <w:sz w:val="21"/>
        </w:rPr>
        <w:t>to</w:t>
      </w:r>
      <w:r>
        <w:rPr>
          <w:spacing w:val="-3"/>
          <w:sz w:val="21"/>
        </w:rPr>
        <w:t xml:space="preserve"> </w:t>
      </w:r>
      <w:r>
        <w:rPr>
          <w:sz w:val="21"/>
        </w:rPr>
        <w:t>reduce</w:t>
      </w:r>
      <w:r>
        <w:rPr>
          <w:spacing w:val="-3"/>
          <w:sz w:val="21"/>
        </w:rPr>
        <w:t xml:space="preserve"> </w:t>
      </w:r>
      <w:r>
        <w:rPr>
          <w:sz w:val="21"/>
        </w:rPr>
        <w:t>audit</w:t>
      </w:r>
      <w:r>
        <w:rPr>
          <w:spacing w:val="-3"/>
          <w:sz w:val="21"/>
        </w:rPr>
        <w:t xml:space="preserve"> </w:t>
      </w:r>
      <w:r>
        <w:rPr>
          <w:sz w:val="21"/>
        </w:rPr>
        <w:t>burden</w:t>
      </w:r>
      <w:r>
        <w:rPr>
          <w:spacing w:val="-3"/>
          <w:sz w:val="21"/>
        </w:rPr>
        <w:t xml:space="preserve"> </w:t>
      </w:r>
      <w:r>
        <w:rPr>
          <w:sz w:val="21"/>
        </w:rPr>
        <w:t>and</w:t>
      </w:r>
      <w:r>
        <w:rPr>
          <w:spacing w:val="-3"/>
          <w:sz w:val="21"/>
        </w:rPr>
        <w:t xml:space="preserve"> </w:t>
      </w:r>
      <w:r>
        <w:rPr>
          <w:sz w:val="21"/>
        </w:rPr>
        <w:t>better</w:t>
      </w:r>
      <w:r>
        <w:rPr>
          <w:spacing w:val="-3"/>
          <w:sz w:val="21"/>
        </w:rPr>
        <w:t xml:space="preserve"> </w:t>
      </w:r>
      <w:r>
        <w:rPr>
          <w:sz w:val="21"/>
        </w:rPr>
        <w:t>align</w:t>
      </w:r>
      <w:r>
        <w:rPr>
          <w:spacing w:val="-3"/>
          <w:sz w:val="21"/>
        </w:rPr>
        <w:t xml:space="preserve"> </w:t>
      </w:r>
      <w:r>
        <w:rPr>
          <w:sz w:val="21"/>
        </w:rPr>
        <w:t>with local reporting and quality improvement activities</w:t>
      </w:r>
    </w:p>
    <w:p w14:paraId="47FE122F" w14:textId="77777777" w:rsidR="009D54AF" w:rsidRDefault="00000000">
      <w:pPr>
        <w:pStyle w:val="ListParagraph"/>
        <w:numPr>
          <w:ilvl w:val="0"/>
          <w:numId w:val="35"/>
        </w:numPr>
        <w:tabs>
          <w:tab w:val="left" w:pos="424"/>
          <w:tab w:val="left" w:pos="440"/>
        </w:tabs>
        <w:spacing w:before="57" w:line="278" w:lineRule="auto"/>
        <w:ind w:right="1147" w:hanging="284"/>
        <w:rPr>
          <w:sz w:val="21"/>
        </w:rPr>
      </w:pPr>
      <w:r>
        <w:rPr>
          <w:sz w:val="21"/>
        </w:rPr>
        <w:t>an</w:t>
      </w:r>
      <w:r>
        <w:rPr>
          <w:spacing w:val="-4"/>
          <w:sz w:val="21"/>
        </w:rPr>
        <w:t xml:space="preserve"> </w:t>
      </w:r>
      <w:r>
        <w:rPr>
          <w:sz w:val="21"/>
        </w:rPr>
        <w:t>update</w:t>
      </w:r>
      <w:r>
        <w:rPr>
          <w:spacing w:val="-4"/>
          <w:sz w:val="21"/>
        </w:rPr>
        <w:t xml:space="preserve"> </w:t>
      </w:r>
      <w:r>
        <w:rPr>
          <w:sz w:val="21"/>
        </w:rPr>
        <w:t>of</w:t>
      </w:r>
      <w:r>
        <w:rPr>
          <w:spacing w:val="-4"/>
          <w:sz w:val="21"/>
        </w:rPr>
        <w:t xml:space="preserve"> </w:t>
      </w:r>
      <w:r>
        <w:rPr>
          <w:sz w:val="21"/>
        </w:rPr>
        <w:t>the</w:t>
      </w:r>
      <w:r>
        <w:rPr>
          <w:spacing w:val="-4"/>
          <w:sz w:val="21"/>
        </w:rPr>
        <w:t xml:space="preserve"> </w:t>
      </w:r>
      <w:r>
        <w:rPr>
          <w:sz w:val="21"/>
        </w:rPr>
        <w:t>hand</w:t>
      </w:r>
      <w:r>
        <w:rPr>
          <w:spacing w:val="-4"/>
          <w:sz w:val="21"/>
        </w:rPr>
        <w:t xml:space="preserve"> </w:t>
      </w:r>
      <w:r>
        <w:rPr>
          <w:sz w:val="21"/>
        </w:rPr>
        <w:t>hygiene</w:t>
      </w:r>
      <w:r>
        <w:rPr>
          <w:spacing w:val="-4"/>
          <w:sz w:val="21"/>
        </w:rPr>
        <w:t xml:space="preserve"> </w:t>
      </w:r>
      <w:r>
        <w:rPr>
          <w:sz w:val="21"/>
        </w:rPr>
        <w:t>auditor</w:t>
      </w:r>
      <w:r>
        <w:rPr>
          <w:spacing w:val="-4"/>
          <w:sz w:val="21"/>
        </w:rPr>
        <w:t xml:space="preserve"> </w:t>
      </w:r>
      <w:r>
        <w:rPr>
          <w:sz w:val="21"/>
        </w:rPr>
        <w:t>training</w:t>
      </w:r>
      <w:r>
        <w:rPr>
          <w:spacing w:val="-4"/>
          <w:sz w:val="21"/>
        </w:rPr>
        <w:t xml:space="preserve"> </w:t>
      </w:r>
      <w:r>
        <w:rPr>
          <w:sz w:val="21"/>
        </w:rPr>
        <w:t>pathways</w:t>
      </w:r>
      <w:r>
        <w:rPr>
          <w:spacing w:val="-4"/>
          <w:sz w:val="21"/>
        </w:rPr>
        <w:t xml:space="preserve"> </w:t>
      </w:r>
      <w:r>
        <w:rPr>
          <w:sz w:val="21"/>
        </w:rPr>
        <w:t>to</w:t>
      </w:r>
      <w:r>
        <w:rPr>
          <w:spacing w:val="-4"/>
          <w:sz w:val="21"/>
        </w:rPr>
        <w:t xml:space="preserve"> </w:t>
      </w:r>
      <w:r>
        <w:rPr>
          <w:sz w:val="21"/>
        </w:rPr>
        <w:t>simplify</w:t>
      </w:r>
      <w:r>
        <w:rPr>
          <w:spacing w:val="-4"/>
          <w:sz w:val="21"/>
        </w:rPr>
        <w:t xml:space="preserve"> </w:t>
      </w:r>
      <w:r>
        <w:rPr>
          <w:sz w:val="21"/>
        </w:rPr>
        <w:t>auditor</w:t>
      </w:r>
      <w:r>
        <w:rPr>
          <w:spacing w:val="-4"/>
          <w:sz w:val="21"/>
        </w:rPr>
        <w:t xml:space="preserve"> </w:t>
      </w:r>
      <w:r>
        <w:rPr>
          <w:sz w:val="21"/>
        </w:rPr>
        <w:t>training</w:t>
      </w:r>
      <w:r>
        <w:rPr>
          <w:spacing w:val="-4"/>
          <w:sz w:val="21"/>
        </w:rPr>
        <w:t xml:space="preserve"> </w:t>
      </w:r>
      <w:r>
        <w:rPr>
          <w:sz w:val="21"/>
        </w:rPr>
        <w:t>and</w:t>
      </w:r>
      <w:r>
        <w:rPr>
          <w:spacing w:val="-4"/>
          <w:sz w:val="21"/>
        </w:rPr>
        <w:t xml:space="preserve"> </w:t>
      </w:r>
      <w:r>
        <w:rPr>
          <w:sz w:val="21"/>
        </w:rPr>
        <w:t>increase accessibility of this across the health system</w:t>
      </w:r>
    </w:p>
    <w:p w14:paraId="790C682B" w14:textId="77777777" w:rsidR="009D54AF" w:rsidRDefault="00000000">
      <w:pPr>
        <w:pStyle w:val="ListParagraph"/>
        <w:numPr>
          <w:ilvl w:val="0"/>
          <w:numId w:val="35"/>
        </w:numPr>
        <w:tabs>
          <w:tab w:val="left" w:pos="424"/>
          <w:tab w:val="left" w:pos="440"/>
        </w:tabs>
        <w:spacing w:before="56" w:line="278" w:lineRule="auto"/>
        <w:ind w:right="634" w:hanging="284"/>
        <w:rPr>
          <w:sz w:val="21"/>
        </w:rPr>
      </w:pPr>
      <w:r>
        <w:rPr>
          <w:sz w:val="21"/>
        </w:rPr>
        <w:t>the</w:t>
      </w:r>
      <w:r>
        <w:rPr>
          <w:spacing w:val="-2"/>
          <w:sz w:val="21"/>
        </w:rPr>
        <w:t xml:space="preserve"> </w:t>
      </w:r>
      <w:r>
        <w:rPr>
          <w:sz w:val="21"/>
        </w:rPr>
        <w:t>publication</w:t>
      </w:r>
      <w:r>
        <w:rPr>
          <w:spacing w:val="-2"/>
          <w:sz w:val="21"/>
        </w:rPr>
        <w:t xml:space="preserve"> </w:t>
      </w:r>
      <w:r>
        <w:rPr>
          <w:sz w:val="21"/>
        </w:rPr>
        <w:t>of</w:t>
      </w:r>
      <w:r>
        <w:rPr>
          <w:spacing w:val="-2"/>
          <w:sz w:val="21"/>
        </w:rPr>
        <w:t xml:space="preserve"> </w:t>
      </w:r>
      <w:r>
        <w:rPr>
          <w:sz w:val="21"/>
        </w:rPr>
        <w:t>new</w:t>
      </w:r>
      <w:r>
        <w:rPr>
          <w:spacing w:val="-2"/>
          <w:sz w:val="21"/>
        </w:rPr>
        <w:t xml:space="preserve"> </w:t>
      </w:r>
      <w:r>
        <w:rPr>
          <w:sz w:val="21"/>
        </w:rPr>
        <w:t>promotional</w:t>
      </w:r>
      <w:r>
        <w:rPr>
          <w:spacing w:val="-2"/>
          <w:sz w:val="21"/>
        </w:rPr>
        <w:t xml:space="preserve"> </w:t>
      </w:r>
      <w:r>
        <w:rPr>
          <w:sz w:val="21"/>
        </w:rPr>
        <w:t>posters</w:t>
      </w:r>
      <w:r>
        <w:rPr>
          <w:spacing w:val="-2"/>
          <w:sz w:val="21"/>
        </w:rPr>
        <w:t xml:space="preserve"> </w:t>
      </w:r>
      <w:r>
        <w:rPr>
          <w:sz w:val="21"/>
        </w:rPr>
        <w:t>on</w:t>
      </w:r>
      <w:r>
        <w:rPr>
          <w:spacing w:val="-2"/>
          <w:sz w:val="21"/>
        </w:rPr>
        <w:t xml:space="preserve"> </w:t>
      </w:r>
      <w:r>
        <w:rPr>
          <w:sz w:val="21"/>
        </w:rPr>
        <w:t>the</w:t>
      </w:r>
      <w:r>
        <w:rPr>
          <w:spacing w:val="-2"/>
          <w:sz w:val="21"/>
        </w:rPr>
        <w:t xml:space="preserve"> </w:t>
      </w:r>
      <w:r>
        <w:rPr>
          <w:sz w:val="21"/>
        </w:rPr>
        <w:t>5</w:t>
      </w:r>
      <w:r>
        <w:rPr>
          <w:spacing w:val="-2"/>
          <w:sz w:val="21"/>
        </w:rPr>
        <w:t xml:space="preserve"> </w:t>
      </w:r>
      <w:r>
        <w:rPr>
          <w:sz w:val="21"/>
        </w:rPr>
        <w:t>Easy</w:t>
      </w:r>
      <w:r>
        <w:rPr>
          <w:spacing w:val="-2"/>
          <w:sz w:val="21"/>
        </w:rPr>
        <w:t xml:space="preserve"> </w:t>
      </w:r>
      <w:r>
        <w:rPr>
          <w:sz w:val="21"/>
        </w:rPr>
        <w:t>Steps</w:t>
      </w:r>
      <w:r>
        <w:rPr>
          <w:spacing w:val="-2"/>
          <w:sz w:val="21"/>
        </w:rPr>
        <w:t xml:space="preserve"> </w:t>
      </w:r>
      <w:r>
        <w:rPr>
          <w:sz w:val="21"/>
        </w:rPr>
        <w:t>of</w:t>
      </w:r>
      <w:r>
        <w:rPr>
          <w:spacing w:val="-2"/>
          <w:sz w:val="21"/>
        </w:rPr>
        <w:t xml:space="preserve"> </w:t>
      </w:r>
      <w:r>
        <w:rPr>
          <w:sz w:val="21"/>
        </w:rPr>
        <w:t>Glove</w:t>
      </w:r>
      <w:r>
        <w:rPr>
          <w:spacing w:val="-2"/>
          <w:sz w:val="21"/>
        </w:rPr>
        <w:t xml:space="preserve"> </w:t>
      </w:r>
      <w:r>
        <w:rPr>
          <w:sz w:val="21"/>
        </w:rPr>
        <w:t>Use</w:t>
      </w:r>
      <w:r>
        <w:rPr>
          <w:spacing w:val="-2"/>
          <w:sz w:val="21"/>
        </w:rPr>
        <w:t xml:space="preserve"> </w:t>
      </w:r>
      <w:r>
        <w:rPr>
          <w:sz w:val="21"/>
        </w:rPr>
        <w:t>and</w:t>
      </w:r>
      <w:r>
        <w:rPr>
          <w:spacing w:val="-2"/>
          <w:sz w:val="21"/>
        </w:rPr>
        <w:t xml:space="preserve"> </w:t>
      </w:r>
      <w:r>
        <w:rPr>
          <w:sz w:val="21"/>
        </w:rPr>
        <w:t>the</w:t>
      </w:r>
      <w:r>
        <w:rPr>
          <w:spacing w:val="-2"/>
          <w:sz w:val="21"/>
        </w:rPr>
        <w:t xml:space="preserve"> </w:t>
      </w:r>
      <w:r>
        <w:rPr>
          <w:sz w:val="21"/>
        </w:rPr>
        <w:t>5</w:t>
      </w:r>
      <w:r>
        <w:rPr>
          <w:spacing w:val="-2"/>
          <w:sz w:val="21"/>
        </w:rPr>
        <w:t xml:space="preserve"> </w:t>
      </w:r>
      <w:r>
        <w:rPr>
          <w:sz w:val="21"/>
        </w:rPr>
        <w:t>Easy</w:t>
      </w:r>
      <w:r>
        <w:rPr>
          <w:spacing w:val="-2"/>
          <w:sz w:val="21"/>
        </w:rPr>
        <w:t xml:space="preserve"> </w:t>
      </w:r>
      <w:r>
        <w:rPr>
          <w:sz w:val="21"/>
        </w:rPr>
        <w:t>Steps</w:t>
      </w:r>
      <w:r>
        <w:rPr>
          <w:spacing w:val="-2"/>
          <w:sz w:val="21"/>
        </w:rPr>
        <w:t xml:space="preserve"> </w:t>
      </w:r>
      <w:r>
        <w:rPr>
          <w:sz w:val="21"/>
        </w:rPr>
        <w:t xml:space="preserve">of </w:t>
      </w:r>
      <w:r>
        <w:rPr>
          <w:spacing w:val="-2"/>
          <w:sz w:val="21"/>
        </w:rPr>
        <w:t>Handwashing</w:t>
      </w:r>
    </w:p>
    <w:p w14:paraId="6C052451" w14:textId="77777777" w:rsidR="009D54AF" w:rsidRDefault="00000000">
      <w:pPr>
        <w:pStyle w:val="ListParagraph"/>
        <w:numPr>
          <w:ilvl w:val="0"/>
          <w:numId w:val="35"/>
        </w:numPr>
        <w:tabs>
          <w:tab w:val="left" w:pos="424"/>
          <w:tab w:val="left" w:pos="440"/>
        </w:tabs>
        <w:spacing w:before="57" w:line="278" w:lineRule="auto"/>
        <w:ind w:right="400" w:hanging="284"/>
        <w:rPr>
          <w:sz w:val="21"/>
        </w:rPr>
      </w:pPr>
      <w:r>
        <w:rPr>
          <w:sz w:val="21"/>
        </w:rPr>
        <w:t>the</w:t>
      </w:r>
      <w:r>
        <w:rPr>
          <w:spacing w:val="-2"/>
          <w:sz w:val="21"/>
        </w:rPr>
        <w:t xml:space="preserve"> </w:t>
      </w:r>
      <w:r>
        <w:rPr>
          <w:sz w:val="21"/>
        </w:rPr>
        <w:t>migration</w:t>
      </w:r>
      <w:r>
        <w:rPr>
          <w:spacing w:val="-2"/>
          <w:sz w:val="21"/>
        </w:rPr>
        <w:t xml:space="preserve"> </w:t>
      </w:r>
      <w:r>
        <w:rPr>
          <w:sz w:val="21"/>
        </w:rPr>
        <w:t>of</w:t>
      </w:r>
      <w:r>
        <w:rPr>
          <w:spacing w:val="-2"/>
          <w:sz w:val="21"/>
        </w:rPr>
        <w:t xml:space="preserve"> </w:t>
      </w:r>
      <w:r>
        <w:rPr>
          <w:sz w:val="21"/>
        </w:rPr>
        <w:t>all</w:t>
      </w:r>
      <w:r>
        <w:rPr>
          <w:spacing w:val="-2"/>
          <w:sz w:val="21"/>
        </w:rPr>
        <w:t xml:space="preserve"> </w:t>
      </w:r>
      <w:r>
        <w:rPr>
          <w:sz w:val="21"/>
        </w:rPr>
        <w:t>auditing</w:t>
      </w:r>
      <w:r>
        <w:rPr>
          <w:spacing w:val="-2"/>
          <w:sz w:val="21"/>
        </w:rPr>
        <w:t xml:space="preserve"> </w:t>
      </w:r>
      <w:r>
        <w:rPr>
          <w:sz w:val="21"/>
        </w:rPr>
        <w:t>and</w:t>
      </w:r>
      <w:r>
        <w:rPr>
          <w:spacing w:val="-2"/>
          <w:sz w:val="21"/>
        </w:rPr>
        <w:t xml:space="preserve"> </w:t>
      </w:r>
      <w:r>
        <w:rPr>
          <w:sz w:val="21"/>
        </w:rPr>
        <w:t>hand</w:t>
      </w:r>
      <w:r>
        <w:rPr>
          <w:spacing w:val="-2"/>
          <w:sz w:val="21"/>
        </w:rPr>
        <w:t xml:space="preserve"> </w:t>
      </w:r>
      <w:r>
        <w:rPr>
          <w:sz w:val="21"/>
        </w:rPr>
        <w:t>hygiene</w:t>
      </w:r>
      <w:r>
        <w:rPr>
          <w:spacing w:val="-2"/>
          <w:sz w:val="21"/>
        </w:rPr>
        <w:t xml:space="preserve"> </w:t>
      </w:r>
      <w:r>
        <w:rPr>
          <w:sz w:val="21"/>
        </w:rPr>
        <w:t>eLearning</w:t>
      </w:r>
      <w:r>
        <w:rPr>
          <w:spacing w:val="-2"/>
          <w:sz w:val="21"/>
        </w:rPr>
        <w:t xml:space="preserve"> </w:t>
      </w:r>
      <w:r>
        <w:rPr>
          <w:sz w:val="21"/>
        </w:rPr>
        <w:t>support</w:t>
      </w:r>
      <w:r>
        <w:rPr>
          <w:spacing w:val="-2"/>
          <w:sz w:val="21"/>
        </w:rPr>
        <w:t xml:space="preserve"> </w:t>
      </w:r>
      <w:r>
        <w:rPr>
          <w:sz w:val="21"/>
        </w:rPr>
        <w:t>material</w:t>
      </w:r>
      <w:r>
        <w:rPr>
          <w:spacing w:val="-2"/>
          <w:sz w:val="21"/>
        </w:rPr>
        <w:t xml:space="preserve"> </w:t>
      </w:r>
      <w:r>
        <w:rPr>
          <w:sz w:val="21"/>
        </w:rPr>
        <w:t>to</w:t>
      </w:r>
      <w:r>
        <w:rPr>
          <w:spacing w:val="-2"/>
          <w:sz w:val="21"/>
        </w:rPr>
        <w:t xml:space="preserve"> </w:t>
      </w:r>
      <w:r>
        <w:rPr>
          <w:sz w:val="21"/>
        </w:rPr>
        <w:t>the</w:t>
      </w:r>
      <w:r>
        <w:rPr>
          <w:spacing w:val="-2"/>
          <w:sz w:val="21"/>
        </w:rPr>
        <w:t xml:space="preserve"> </w:t>
      </w:r>
      <w:hyperlink r:id="rId44">
        <w:r>
          <w:rPr>
            <w:sz w:val="21"/>
            <w:u w:val="single"/>
          </w:rPr>
          <w:t>National</w:t>
        </w:r>
        <w:r>
          <w:rPr>
            <w:spacing w:val="-2"/>
            <w:sz w:val="21"/>
            <w:u w:val="single"/>
          </w:rPr>
          <w:t xml:space="preserve"> </w:t>
        </w:r>
        <w:r>
          <w:rPr>
            <w:sz w:val="21"/>
            <w:u w:val="single"/>
          </w:rPr>
          <w:t>Hand</w:t>
        </w:r>
        <w:r>
          <w:rPr>
            <w:spacing w:val="-2"/>
            <w:sz w:val="21"/>
            <w:u w:val="single"/>
          </w:rPr>
          <w:t xml:space="preserve"> </w:t>
        </w:r>
        <w:r>
          <w:rPr>
            <w:sz w:val="21"/>
            <w:u w:val="single"/>
          </w:rPr>
          <w:t>Hygiene</w:t>
        </w:r>
        <w:r>
          <w:rPr>
            <w:spacing w:val="-3"/>
            <w:sz w:val="21"/>
            <w:u w:val="single"/>
          </w:rPr>
          <w:t xml:space="preserve"> </w:t>
        </w:r>
      </w:hyperlink>
      <w:r>
        <w:rPr>
          <w:spacing w:val="-3"/>
          <w:sz w:val="21"/>
        </w:rPr>
        <w:t xml:space="preserve"> </w:t>
      </w:r>
      <w:hyperlink r:id="rId45">
        <w:r>
          <w:rPr>
            <w:sz w:val="21"/>
            <w:u w:val="single"/>
          </w:rPr>
          <w:t>Knowledge base</w:t>
        </w:r>
      </w:hyperlink>
      <w:r>
        <w:rPr>
          <w:sz w:val="21"/>
        </w:rPr>
        <w:t>.</w:t>
      </w:r>
    </w:p>
    <w:p w14:paraId="1C4F2A71" w14:textId="77777777" w:rsidR="009D54AF" w:rsidRDefault="009D54AF">
      <w:pPr>
        <w:pStyle w:val="BodyText"/>
        <w:spacing w:before="91"/>
      </w:pPr>
    </w:p>
    <w:p w14:paraId="241C0400" w14:textId="77777777" w:rsidR="009D54AF" w:rsidRDefault="00000000">
      <w:pPr>
        <w:pStyle w:val="Heading7"/>
      </w:pPr>
      <w:r>
        <w:t>Antimicrobial</w:t>
      </w:r>
      <w:r>
        <w:rPr>
          <w:spacing w:val="-7"/>
        </w:rPr>
        <w:t xml:space="preserve"> </w:t>
      </w:r>
      <w:r>
        <w:t>Use</w:t>
      </w:r>
      <w:r>
        <w:rPr>
          <w:spacing w:val="-5"/>
        </w:rPr>
        <w:t xml:space="preserve"> </w:t>
      </w:r>
      <w:r>
        <w:t>and</w:t>
      </w:r>
      <w:r>
        <w:rPr>
          <w:spacing w:val="-5"/>
        </w:rPr>
        <w:t xml:space="preserve"> </w:t>
      </w:r>
      <w:r>
        <w:t>Resistance</w:t>
      </w:r>
      <w:r>
        <w:rPr>
          <w:spacing w:val="-5"/>
        </w:rPr>
        <w:t xml:space="preserve"> </w:t>
      </w:r>
      <w:r>
        <w:t>in</w:t>
      </w:r>
      <w:r>
        <w:rPr>
          <w:spacing w:val="-5"/>
        </w:rPr>
        <w:t xml:space="preserve"> </w:t>
      </w:r>
      <w:r>
        <w:t>Australia</w:t>
      </w:r>
      <w:r>
        <w:rPr>
          <w:spacing w:val="-5"/>
        </w:rPr>
        <w:t xml:space="preserve"> </w:t>
      </w:r>
      <w:r>
        <w:t>(AURA)</w:t>
      </w:r>
      <w:r>
        <w:rPr>
          <w:spacing w:val="-4"/>
        </w:rPr>
        <w:t xml:space="preserve"> </w:t>
      </w:r>
      <w:r>
        <w:rPr>
          <w:spacing w:val="-2"/>
        </w:rPr>
        <w:t>Project</w:t>
      </w:r>
    </w:p>
    <w:p w14:paraId="61D22A65" w14:textId="77777777" w:rsidR="009D54AF" w:rsidRDefault="00000000">
      <w:pPr>
        <w:pStyle w:val="BodyText"/>
        <w:spacing w:before="142" w:line="278" w:lineRule="auto"/>
        <w:ind w:left="142" w:right="285"/>
      </w:pPr>
      <w:r>
        <w:t xml:space="preserve">Antimicrobial resistance (AMR) continues to be a significant issue in the safety and quality of health care. </w:t>
      </w:r>
      <w:r>
        <w:lastRenderedPageBreak/>
        <w:t>AMR</w:t>
      </w:r>
      <w:r>
        <w:rPr>
          <w:spacing w:val="-2"/>
        </w:rPr>
        <w:t xml:space="preserve"> </w:t>
      </w:r>
      <w:r>
        <w:t>contributes</w:t>
      </w:r>
      <w:r>
        <w:rPr>
          <w:spacing w:val="-2"/>
        </w:rPr>
        <w:t xml:space="preserve"> </w:t>
      </w:r>
      <w:r>
        <w:t>to</w:t>
      </w:r>
      <w:r>
        <w:rPr>
          <w:spacing w:val="-2"/>
        </w:rPr>
        <w:t xml:space="preserve"> </w:t>
      </w:r>
      <w:r>
        <w:t>a</w:t>
      </w:r>
      <w:r>
        <w:rPr>
          <w:spacing w:val="-2"/>
        </w:rPr>
        <w:t xml:space="preserve"> </w:t>
      </w:r>
      <w:r>
        <w:t>reduction</w:t>
      </w:r>
      <w:r>
        <w:rPr>
          <w:spacing w:val="-2"/>
        </w:rPr>
        <w:t xml:space="preserve"> </w:t>
      </w:r>
      <w:r>
        <w:t>in</w:t>
      </w:r>
      <w:r>
        <w:rPr>
          <w:spacing w:val="-2"/>
        </w:rPr>
        <w:t xml:space="preserve"> </w:t>
      </w:r>
      <w:r>
        <w:t>the</w:t>
      </w:r>
      <w:r>
        <w:rPr>
          <w:spacing w:val="-2"/>
        </w:rPr>
        <w:t xml:space="preserve"> </w:t>
      </w:r>
      <w:r>
        <w:t>range</w:t>
      </w:r>
      <w:r>
        <w:rPr>
          <w:spacing w:val="-2"/>
        </w:rPr>
        <w:t xml:space="preserve"> </w:t>
      </w:r>
      <w:r>
        <w:t>of</w:t>
      </w:r>
      <w:r>
        <w:rPr>
          <w:spacing w:val="-2"/>
        </w:rPr>
        <w:t xml:space="preserve"> </w:t>
      </w:r>
      <w:r>
        <w:t>antimicrobials</w:t>
      </w:r>
      <w:r>
        <w:rPr>
          <w:spacing w:val="-2"/>
        </w:rPr>
        <w:t xml:space="preserve"> </w:t>
      </w:r>
      <w:r>
        <w:t>available</w:t>
      </w:r>
      <w:r>
        <w:rPr>
          <w:spacing w:val="-2"/>
        </w:rPr>
        <w:t xml:space="preserve"> </w:t>
      </w:r>
      <w:r>
        <w:t>to</w:t>
      </w:r>
      <w:r>
        <w:rPr>
          <w:spacing w:val="-2"/>
        </w:rPr>
        <w:t xml:space="preserve"> </w:t>
      </w:r>
      <w:r>
        <w:t>treat</w:t>
      </w:r>
      <w:r>
        <w:rPr>
          <w:spacing w:val="-2"/>
        </w:rPr>
        <w:t xml:space="preserve"> </w:t>
      </w:r>
      <w:r>
        <w:t>infections,</w:t>
      </w:r>
      <w:r>
        <w:rPr>
          <w:spacing w:val="-2"/>
        </w:rPr>
        <w:t xml:space="preserve"> </w:t>
      </w:r>
      <w:r>
        <w:t>and</w:t>
      </w:r>
      <w:r>
        <w:rPr>
          <w:spacing w:val="-2"/>
        </w:rPr>
        <w:t xml:space="preserve"> </w:t>
      </w:r>
      <w:r>
        <w:t>increases</w:t>
      </w:r>
      <w:r>
        <w:rPr>
          <w:spacing w:val="-2"/>
        </w:rPr>
        <w:t xml:space="preserve"> </w:t>
      </w:r>
      <w:r>
        <w:t>the morbidity and mortality associated with infections caused by multidrug-resistant organisms.</w:t>
      </w:r>
    </w:p>
    <w:p w14:paraId="56B15FF3" w14:textId="77777777" w:rsidR="009D54AF" w:rsidRDefault="00000000">
      <w:pPr>
        <w:pStyle w:val="BodyText"/>
        <w:spacing w:before="141" w:line="278" w:lineRule="auto"/>
        <w:ind w:left="142"/>
      </w:pPr>
      <w:r>
        <w:t>The</w:t>
      </w:r>
      <w:r>
        <w:rPr>
          <w:spacing w:val="-2"/>
        </w:rPr>
        <w:t xml:space="preserve"> </w:t>
      </w:r>
      <w:r>
        <w:t>Commission’s</w:t>
      </w:r>
      <w:r>
        <w:rPr>
          <w:spacing w:val="-2"/>
        </w:rPr>
        <w:t xml:space="preserve"> </w:t>
      </w:r>
      <w:r>
        <w:t>AURA</w:t>
      </w:r>
      <w:r>
        <w:rPr>
          <w:spacing w:val="-2"/>
        </w:rPr>
        <w:t xml:space="preserve"> </w:t>
      </w:r>
      <w:r>
        <w:t>Project</w:t>
      </w:r>
      <w:r>
        <w:rPr>
          <w:spacing w:val="-2"/>
        </w:rPr>
        <w:t xml:space="preserve"> </w:t>
      </w:r>
      <w:r>
        <w:t>supports</w:t>
      </w:r>
      <w:r>
        <w:rPr>
          <w:spacing w:val="-2"/>
        </w:rPr>
        <w:t xml:space="preserve"> </w:t>
      </w:r>
      <w:r>
        <w:t>the</w:t>
      </w:r>
      <w:r>
        <w:rPr>
          <w:spacing w:val="-2"/>
        </w:rPr>
        <w:t xml:space="preserve"> </w:t>
      </w:r>
      <w:r>
        <w:t>response</w:t>
      </w:r>
      <w:r>
        <w:rPr>
          <w:spacing w:val="-2"/>
        </w:rPr>
        <w:t xml:space="preserve"> </w:t>
      </w:r>
      <w:r>
        <w:t>to</w:t>
      </w:r>
      <w:r>
        <w:rPr>
          <w:spacing w:val="-2"/>
        </w:rPr>
        <w:t xml:space="preserve"> </w:t>
      </w:r>
      <w:r>
        <w:t>AMR</w:t>
      </w:r>
      <w:r>
        <w:rPr>
          <w:spacing w:val="-2"/>
        </w:rPr>
        <w:t xml:space="preserve"> </w:t>
      </w:r>
      <w:r>
        <w:t>in</w:t>
      </w:r>
      <w:r>
        <w:rPr>
          <w:spacing w:val="-2"/>
        </w:rPr>
        <w:t xml:space="preserve"> </w:t>
      </w:r>
      <w:r>
        <w:t>Australia</w:t>
      </w:r>
      <w:r>
        <w:rPr>
          <w:spacing w:val="-2"/>
        </w:rPr>
        <w:t xml:space="preserve"> </w:t>
      </w:r>
      <w:r>
        <w:t>with</w:t>
      </w:r>
      <w:r>
        <w:rPr>
          <w:spacing w:val="-2"/>
        </w:rPr>
        <w:t xml:space="preserve"> </w:t>
      </w:r>
      <w:r>
        <w:t>funding</w:t>
      </w:r>
      <w:r>
        <w:rPr>
          <w:spacing w:val="-2"/>
        </w:rPr>
        <w:t xml:space="preserve"> </w:t>
      </w:r>
      <w:r>
        <w:t>provided</w:t>
      </w:r>
      <w:r>
        <w:rPr>
          <w:spacing w:val="-2"/>
        </w:rPr>
        <w:t xml:space="preserve"> </w:t>
      </w:r>
      <w:r>
        <w:t>by</w:t>
      </w:r>
      <w:r>
        <w:rPr>
          <w:spacing w:val="-2"/>
        </w:rPr>
        <w:t xml:space="preserve"> </w:t>
      </w:r>
      <w:r>
        <w:t>the Australian Centre for Disease Control for:</w:t>
      </w:r>
    </w:p>
    <w:p w14:paraId="6DBABF65" w14:textId="77777777" w:rsidR="009D54AF" w:rsidRDefault="00000000">
      <w:pPr>
        <w:pStyle w:val="ListParagraph"/>
        <w:numPr>
          <w:ilvl w:val="0"/>
          <w:numId w:val="35"/>
        </w:numPr>
        <w:tabs>
          <w:tab w:val="left" w:pos="424"/>
          <w:tab w:val="left" w:pos="440"/>
        </w:tabs>
        <w:spacing w:before="57" w:line="278" w:lineRule="auto"/>
        <w:ind w:right="444" w:hanging="284"/>
        <w:rPr>
          <w:sz w:val="21"/>
        </w:rPr>
      </w:pPr>
      <w:r>
        <w:rPr>
          <w:sz w:val="21"/>
        </w:rPr>
        <w:t>coordinating and reporting on data from the National Alert System for Critical Antimicrobial Resistances (</w:t>
      </w:r>
      <w:proofErr w:type="spellStart"/>
      <w:r>
        <w:rPr>
          <w:sz w:val="21"/>
        </w:rPr>
        <w:t>CARAlert</w:t>
      </w:r>
      <w:proofErr w:type="spellEnd"/>
      <w:r>
        <w:rPr>
          <w:sz w:val="21"/>
        </w:rPr>
        <w:t>) and Australian Passive AMR Surveillance (APAS)</w:t>
      </w:r>
    </w:p>
    <w:p w14:paraId="304D88E4" w14:textId="77777777" w:rsidR="009D54AF" w:rsidRDefault="00000000">
      <w:pPr>
        <w:pStyle w:val="ListParagraph"/>
        <w:numPr>
          <w:ilvl w:val="0"/>
          <w:numId w:val="35"/>
        </w:numPr>
        <w:tabs>
          <w:tab w:val="left" w:pos="424"/>
          <w:tab w:val="left" w:pos="440"/>
        </w:tabs>
        <w:spacing w:before="56" w:line="278" w:lineRule="auto"/>
        <w:ind w:right="536" w:hanging="284"/>
        <w:rPr>
          <w:sz w:val="21"/>
        </w:rPr>
      </w:pPr>
      <w:r>
        <w:rPr>
          <w:sz w:val="21"/>
        </w:rPr>
        <w:t xml:space="preserve">reporting on community antimicrobial use based on analyses of data from the Pharmaceutical Benefits Scheme (PBS) and </w:t>
      </w:r>
      <w:proofErr w:type="spellStart"/>
      <w:r>
        <w:rPr>
          <w:sz w:val="21"/>
        </w:rPr>
        <w:t>MedicineInsight</w:t>
      </w:r>
      <w:proofErr w:type="spellEnd"/>
      <w:r>
        <w:rPr>
          <w:sz w:val="21"/>
        </w:rPr>
        <w:t xml:space="preserve"> program</w:t>
      </w:r>
    </w:p>
    <w:p w14:paraId="29896EC4" w14:textId="77777777" w:rsidR="009D54AF" w:rsidRDefault="00000000">
      <w:pPr>
        <w:pStyle w:val="ListParagraph"/>
        <w:numPr>
          <w:ilvl w:val="0"/>
          <w:numId w:val="35"/>
        </w:numPr>
        <w:tabs>
          <w:tab w:val="left" w:pos="424"/>
          <w:tab w:val="left" w:pos="440"/>
        </w:tabs>
        <w:spacing w:before="56" w:line="278" w:lineRule="auto"/>
        <w:ind w:right="890" w:hanging="284"/>
        <w:rPr>
          <w:sz w:val="21"/>
        </w:rPr>
      </w:pPr>
      <w:r>
        <w:rPr>
          <w:sz w:val="21"/>
        </w:rPr>
        <w:t xml:space="preserve">reporting AMR data from APAS to the WHO Global Antimicrobial Resistance and Use Surveillance </w:t>
      </w:r>
      <w:r>
        <w:rPr>
          <w:spacing w:val="-2"/>
          <w:sz w:val="21"/>
        </w:rPr>
        <w:t>System.</w:t>
      </w:r>
    </w:p>
    <w:p w14:paraId="186B2A2D" w14:textId="77777777" w:rsidR="009D54AF" w:rsidRDefault="009D54AF">
      <w:pPr>
        <w:pStyle w:val="BodyText"/>
        <w:spacing w:before="94"/>
      </w:pPr>
    </w:p>
    <w:p w14:paraId="623DB313" w14:textId="77777777" w:rsidR="009D54AF" w:rsidRDefault="00000000">
      <w:pPr>
        <w:pStyle w:val="Heading5"/>
        <w:spacing w:before="1"/>
      </w:pPr>
      <w:r>
        <w:t>Medicine</w:t>
      </w:r>
      <w:r>
        <w:rPr>
          <w:spacing w:val="-4"/>
        </w:rPr>
        <w:t xml:space="preserve"> </w:t>
      </w:r>
      <w:r>
        <w:rPr>
          <w:spacing w:val="-2"/>
        </w:rPr>
        <w:t>shortages</w:t>
      </w:r>
    </w:p>
    <w:p w14:paraId="740BB89D" w14:textId="77777777" w:rsidR="009D54AF" w:rsidRDefault="00000000">
      <w:pPr>
        <w:pStyle w:val="BodyText"/>
        <w:spacing w:before="132" w:line="278" w:lineRule="auto"/>
        <w:ind w:left="142"/>
      </w:pPr>
      <w:r>
        <w:t>Medicine shortages and discontinuations can compromise patient safety. The Commission has developed guidance on the conservation of medicines during shortages and on safety considerations for mitigating risks associated with medicine discontinuations.</w:t>
      </w:r>
    </w:p>
    <w:p w14:paraId="00B661A4" w14:textId="77777777" w:rsidR="009D54AF" w:rsidRDefault="00000000">
      <w:pPr>
        <w:pStyle w:val="BodyText"/>
        <w:spacing w:before="142" w:line="278" w:lineRule="auto"/>
        <w:ind w:left="142" w:right="423"/>
      </w:pPr>
      <w:r>
        <w:t>In 2025–26, the Commission updated resources for acute and primary care clinicians and consumers in response to shortages of intravenous fluids and benzathine benzylpenicillin injection. The Commission</w:t>
      </w:r>
      <w:r>
        <w:rPr>
          <w:spacing w:val="40"/>
        </w:rPr>
        <w:t xml:space="preserve"> </w:t>
      </w:r>
      <w:r>
        <w:t>also</w:t>
      </w:r>
      <w:r>
        <w:rPr>
          <w:spacing w:val="-1"/>
        </w:rPr>
        <w:t xml:space="preserve"> </w:t>
      </w:r>
      <w:r>
        <w:t>developed</w:t>
      </w:r>
      <w:r>
        <w:rPr>
          <w:spacing w:val="-1"/>
        </w:rPr>
        <w:t xml:space="preserve"> </w:t>
      </w:r>
      <w:r>
        <w:t>a</w:t>
      </w:r>
      <w:r>
        <w:rPr>
          <w:spacing w:val="-1"/>
        </w:rPr>
        <w:t xml:space="preserve"> </w:t>
      </w:r>
      <w:r>
        <w:t>protocol</w:t>
      </w:r>
      <w:r>
        <w:rPr>
          <w:spacing w:val="-1"/>
        </w:rPr>
        <w:t xml:space="preserve"> </w:t>
      </w:r>
      <w:r>
        <w:t>to</w:t>
      </w:r>
      <w:r>
        <w:rPr>
          <w:spacing w:val="-1"/>
        </w:rPr>
        <w:t xml:space="preserve"> </w:t>
      </w:r>
      <w:r>
        <w:t>support</w:t>
      </w:r>
      <w:r>
        <w:rPr>
          <w:spacing w:val="-1"/>
        </w:rPr>
        <w:t xml:space="preserve"> </w:t>
      </w:r>
      <w:r>
        <w:t>the</w:t>
      </w:r>
      <w:r>
        <w:rPr>
          <w:spacing w:val="-1"/>
        </w:rPr>
        <w:t xml:space="preserve"> </w:t>
      </w:r>
      <w:r>
        <w:t>response</w:t>
      </w:r>
      <w:r>
        <w:rPr>
          <w:spacing w:val="-1"/>
        </w:rPr>
        <w:t xml:space="preserve"> </w:t>
      </w:r>
      <w:r>
        <w:t>to</w:t>
      </w:r>
      <w:r>
        <w:rPr>
          <w:spacing w:val="-1"/>
        </w:rPr>
        <w:t xml:space="preserve"> </w:t>
      </w:r>
      <w:r>
        <w:t>medicines</w:t>
      </w:r>
      <w:r>
        <w:rPr>
          <w:spacing w:val="-1"/>
        </w:rPr>
        <w:t xml:space="preserve"> </w:t>
      </w:r>
      <w:r>
        <w:t>shortages</w:t>
      </w:r>
      <w:r>
        <w:rPr>
          <w:spacing w:val="-1"/>
        </w:rPr>
        <w:t xml:space="preserve"> </w:t>
      </w:r>
      <w:r>
        <w:t>when</w:t>
      </w:r>
      <w:r>
        <w:rPr>
          <w:spacing w:val="-1"/>
        </w:rPr>
        <w:t xml:space="preserve"> </w:t>
      </w:r>
      <w:r>
        <w:t>there</w:t>
      </w:r>
      <w:r>
        <w:rPr>
          <w:spacing w:val="-1"/>
        </w:rPr>
        <w:t xml:space="preserve"> </w:t>
      </w:r>
      <w:r>
        <w:t>is</w:t>
      </w:r>
      <w:r>
        <w:rPr>
          <w:spacing w:val="-1"/>
        </w:rPr>
        <w:t xml:space="preserve"> </w:t>
      </w:r>
      <w:r>
        <w:t>potential</w:t>
      </w:r>
      <w:r>
        <w:rPr>
          <w:spacing w:val="-1"/>
        </w:rPr>
        <w:t xml:space="preserve"> </w:t>
      </w:r>
      <w:r>
        <w:t>to</w:t>
      </w:r>
      <w:r>
        <w:rPr>
          <w:spacing w:val="-1"/>
        </w:rPr>
        <w:t xml:space="preserve"> </w:t>
      </w:r>
      <w:r>
        <w:t>impair the safe and quality use of medicines; and to describe the collaboration and communication between the Commission, the Therapeutic Goods Administration (TGA), and states and territories.</w:t>
      </w:r>
    </w:p>
    <w:p w14:paraId="6FCC74C4" w14:textId="77777777" w:rsidR="009D54AF" w:rsidRDefault="009D54AF">
      <w:pPr>
        <w:pStyle w:val="BodyText"/>
        <w:spacing w:before="65"/>
      </w:pPr>
    </w:p>
    <w:p w14:paraId="11A87925" w14:textId="77777777" w:rsidR="009D54AF" w:rsidRDefault="00000000">
      <w:pPr>
        <w:pStyle w:val="Heading5"/>
      </w:pPr>
      <w:r>
        <w:t>Adverse</w:t>
      </w:r>
      <w:r>
        <w:rPr>
          <w:spacing w:val="-7"/>
        </w:rPr>
        <w:t xml:space="preserve"> </w:t>
      </w:r>
      <w:r>
        <w:t>event</w:t>
      </w:r>
      <w:r>
        <w:rPr>
          <w:spacing w:val="-5"/>
        </w:rPr>
        <w:t xml:space="preserve"> </w:t>
      </w:r>
      <w:r>
        <w:t>reporting</w:t>
      </w:r>
      <w:r>
        <w:rPr>
          <w:spacing w:val="-5"/>
        </w:rPr>
        <w:t xml:space="preserve"> </w:t>
      </w:r>
      <w:r>
        <w:t>of</w:t>
      </w:r>
      <w:r>
        <w:rPr>
          <w:spacing w:val="-5"/>
        </w:rPr>
        <w:t xml:space="preserve"> </w:t>
      </w:r>
      <w:r>
        <w:t>medical</w:t>
      </w:r>
      <w:r>
        <w:rPr>
          <w:spacing w:val="-5"/>
        </w:rPr>
        <w:t xml:space="preserve"> </w:t>
      </w:r>
      <w:r>
        <w:rPr>
          <w:spacing w:val="-2"/>
        </w:rPr>
        <w:t>devices</w:t>
      </w:r>
    </w:p>
    <w:p w14:paraId="073C3BB7" w14:textId="77777777" w:rsidR="009D54AF" w:rsidRDefault="00000000">
      <w:pPr>
        <w:pStyle w:val="BodyText"/>
        <w:spacing w:before="133" w:line="278" w:lineRule="auto"/>
        <w:ind w:left="142"/>
      </w:pPr>
      <w:r>
        <w:t>Medical</w:t>
      </w:r>
      <w:r>
        <w:rPr>
          <w:spacing w:val="-1"/>
        </w:rPr>
        <w:t xml:space="preserve"> </w:t>
      </w:r>
      <w:r>
        <w:t>devices</w:t>
      </w:r>
      <w:r>
        <w:rPr>
          <w:spacing w:val="-1"/>
        </w:rPr>
        <w:t xml:space="preserve"> </w:t>
      </w:r>
      <w:r>
        <w:t>are</w:t>
      </w:r>
      <w:r>
        <w:rPr>
          <w:spacing w:val="-1"/>
        </w:rPr>
        <w:t xml:space="preserve"> </w:t>
      </w:r>
      <w:r>
        <w:t>one</w:t>
      </w:r>
      <w:r>
        <w:rPr>
          <w:spacing w:val="-1"/>
        </w:rPr>
        <w:t xml:space="preserve"> </w:t>
      </w:r>
      <w:r>
        <w:t>of</w:t>
      </w:r>
      <w:r>
        <w:rPr>
          <w:spacing w:val="-1"/>
        </w:rPr>
        <w:t xml:space="preserve"> </w:t>
      </w:r>
      <w:r>
        <w:t>several</w:t>
      </w:r>
      <w:r>
        <w:rPr>
          <w:spacing w:val="-1"/>
        </w:rPr>
        <w:t xml:space="preserve"> </w:t>
      </w:r>
      <w:r>
        <w:t>areas</w:t>
      </w:r>
      <w:r>
        <w:rPr>
          <w:spacing w:val="-1"/>
        </w:rPr>
        <w:t xml:space="preserve"> </w:t>
      </w:r>
      <w:r>
        <w:t>in</w:t>
      </w:r>
      <w:r>
        <w:rPr>
          <w:spacing w:val="-1"/>
        </w:rPr>
        <w:t xml:space="preserve"> </w:t>
      </w:r>
      <w:r>
        <w:t>which</w:t>
      </w:r>
      <w:r>
        <w:rPr>
          <w:spacing w:val="-1"/>
        </w:rPr>
        <w:t xml:space="preserve"> </w:t>
      </w:r>
      <w:r>
        <w:t>the</w:t>
      </w:r>
      <w:r>
        <w:rPr>
          <w:spacing w:val="-1"/>
        </w:rPr>
        <w:t xml:space="preserve"> </w:t>
      </w:r>
      <w:r>
        <w:t>Commission</w:t>
      </w:r>
      <w:r>
        <w:rPr>
          <w:spacing w:val="-1"/>
        </w:rPr>
        <w:t xml:space="preserve"> </w:t>
      </w:r>
      <w:r>
        <w:t>works</w:t>
      </w:r>
      <w:r>
        <w:rPr>
          <w:spacing w:val="-1"/>
        </w:rPr>
        <w:t xml:space="preserve"> </w:t>
      </w:r>
      <w:r>
        <w:t>closely</w:t>
      </w:r>
      <w:r>
        <w:rPr>
          <w:spacing w:val="-1"/>
        </w:rPr>
        <w:t xml:space="preserve"> </w:t>
      </w:r>
      <w:r>
        <w:t>with</w:t>
      </w:r>
      <w:r>
        <w:rPr>
          <w:spacing w:val="-1"/>
        </w:rPr>
        <w:t xml:space="preserve"> </w:t>
      </w:r>
      <w:r>
        <w:t>the</w:t>
      </w:r>
      <w:r>
        <w:rPr>
          <w:spacing w:val="-1"/>
        </w:rPr>
        <w:t xml:space="preserve"> </w:t>
      </w:r>
      <w:r>
        <w:t>TGA,</w:t>
      </w:r>
      <w:r>
        <w:rPr>
          <w:spacing w:val="-1"/>
        </w:rPr>
        <w:t xml:space="preserve"> </w:t>
      </w:r>
      <w:r>
        <w:t>reflecting</w:t>
      </w:r>
      <w:r>
        <w:rPr>
          <w:spacing w:val="-1"/>
        </w:rPr>
        <w:t xml:space="preserve"> </w:t>
      </w:r>
      <w:r>
        <w:t>a longstanding partnership focused on patient safety. The Commission has contributed to this work through participation in the TGA’s Mandatory Reporting Steering Committee, which informed legislative changes to strengthen post-market surveillance.</w:t>
      </w:r>
    </w:p>
    <w:p w14:paraId="2CCB8298" w14:textId="77777777" w:rsidR="009D54AF" w:rsidRDefault="00000000" w:rsidP="003F1A04">
      <w:pPr>
        <w:pStyle w:val="BodyText"/>
        <w:spacing w:before="180" w:line="278" w:lineRule="auto"/>
        <w:ind w:left="142"/>
      </w:pPr>
      <w:r>
        <w:t>From 21 March 2026, reporting of medical device adverse events became mandatory for all Australian healthcare</w:t>
      </w:r>
      <w:r>
        <w:rPr>
          <w:spacing w:val="-2"/>
        </w:rPr>
        <w:t xml:space="preserve"> </w:t>
      </w:r>
      <w:r>
        <w:t>facilities,</w:t>
      </w:r>
      <w:r>
        <w:rPr>
          <w:spacing w:val="-2"/>
        </w:rPr>
        <w:t xml:space="preserve"> </w:t>
      </w:r>
      <w:r>
        <w:t>including</w:t>
      </w:r>
      <w:r>
        <w:rPr>
          <w:spacing w:val="-2"/>
        </w:rPr>
        <w:t xml:space="preserve"> </w:t>
      </w:r>
      <w:r>
        <w:t>public</w:t>
      </w:r>
      <w:r>
        <w:rPr>
          <w:spacing w:val="-2"/>
        </w:rPr>
        <w:t xml:space="preserve"> </w:t>
      </w:r>
      <w:r>
        <w:t>hospitals,</w:t>
      </w:r>
      <w:r>
        <w:rPr>
          <w:spacing w:val="-2"/>
        </w:rPr>
        <w:t xml:space="preserve"> </w:t>
      </w:r>
      <w:r>
        <w:t>private</w:t>
      </w:r>
      <w:r>
        <w:rPr>
          <w:spacing w:val="-2"/>
        </w:rPr>
        <w:t xml:space="preserve"> </w:t>
      </w:r>
      <w:r>
        <w:t>hospitals</w:t>
      </w:r>
      <w:r>
        <w:rPr>
          <w:spacing w:val="-2"/>
        </w:rPr>
        <w:t xml:space="preserve"> </w:t>
      </w:r>
      <w:r>
        <w:t>and</w:t>
      </w:r>
      <w:r>
        <w:rPr>
          <w:spacing w:val="-2"/>
        </w:rPr>
        <w:t xml:space="preserve"> </w:t>
      </w:r>
      <w:r>
        <w:t>day</w:t>
      </w:r>
      <w:r>
        <w:rPr>
          <w:spacing w:val="-2"/>
        </w:rPr>
        <w:t xml:space="preserve"> </w:t>
      </w:r>
      <w:r>
        <w:t>hospital</w:t>
      </w:r>
      <w:r>
        <w:rPr>
          <w:spacing w:val="-2"/>
        </w:rPr>
        <w:t xml:space="preserve"> </w:t>
      </w:r>
      <w:r>
        <w:t>facilities.</w:t>
      </w:r>
      <w:r>
        <w:rPr>
          <w:spacing w:val="-2"/>
        </w:rPr>
        <w:t xml:space="preserve"> </w:t>
      </w:r>
      <w:r>
        <w:t>Implementation</w:t>
      </w:r>
      <w:r>
        <w:rPr>
          <w:spacing w:val="-2"/>
        </w:rPr>
        <w:t xml:space="preserve"> </w:t>
      </w:r>
      <w:r>
        <w:t>is being phased in across the many device categories.</w:t>
      </w:r>
    </w:p>
    <w:p w14:paraId="289B6C48" w14:textId="77777777" w:rsidR="009D54AF" w:rsidRDefault="00000000">
      <w:pPr>
        <w:pStyle w:val="BodyText"/>
        <w:spacing w:before="66" w:line="278" w:lineRule="auto"/>
        <w:ind w:left="142" w:right="486"/>
      </w:pPr>
      <w:bookmarkStart w:id="30" w:name="_bookmark7"/>
      <w:bookmarkEnd w:id="30"/>
      <w:r>
        <w:t xml:space="preserve">The legislative changes also enable health service </w:t>
      </w:r>
      <w:proofErr w:type="spellStart"/>
      <w:r>
        <w:t>organisations</w:t>
      </w:r>
      <w:proofErr w:type="spellEnd"/>
      <w:r>
        <w:t xml:space="preserve"> to submit adverse event reports directly to</w:t>
      </w:r>
      <w:r>
        <w:rPr>
          <w:spacing w:val="-1"/>
        </w:rPr>
        <w:t xml:space="preserve"> </w:t>
      </w:r>
      <w:r>
        <w:t>the</w:t>
      </w:r>
      <w:r>
        <w:rPr>
          <w:spacing w:val="-1"/>
        </w:rPr>
        <w:t xml:space="preserve"> </w:t>
      </w:r>
      <w:r>
        <w:t>Commission.</w:t>
      </w:r>
      <w:r>
        <w:rPr>
          <w:spacing w:val="-1"/>
        </w:rPr>
        <w:t xml:space="preserve"> </w:t>
      </w:r>
      <w:r>
        <w:t>In</w:t>
      </w:r>
      <w:r>
        <w:rPr>
          <w:spacing w:val="-1"/>
        </w:rPr>
        <w:t xml:space="preserve"> </w:t>
      </w:r>
      <w:r>
        <w:t>response,</w:t>
      </w:r>
      <w:r>
        <w:rPr>
          <w:spacing w:val="-1"/>
        </w:rPr>
        <w:t xml:space="preserve"> </w:t>
      </w:r>
      <w:r>
        <w:t>the</w:t>
      </w:r>
      <w:r>
        <w:rPr>
          <w:spacing w:val="-1"/>
        </w:rPr>
        <w:t xml:space="preserve"> </w:t>
      </w:r>
      <w:r>
        <w:t>Commission</w:t>
      </w:r>
      <w:r>
        <w:rPr>
          <w:spacing w:val="-1"/>
        </w:rPr>
        <w:t xml:space="preserve"> </w:t>
      </w:r>
      <w:r>
        <w:t>has</w:t>
      </w:r>
      <w:r>
        <w:rPr>
          <w:spacing w:val="-1"/>
        </w:rPr>
        <w:t xml:space="preserve"> </w:t>
      </w:r>
      <w:r>
        <w:t>established</w:t>
      </w:r>
      <w:r>
        <w:rPr>
          <w:spacing w:val="-1"/>
        </w:rPr>
        <w:t xml:space="preserve"> </w:t>
      </w:r>
      <w:r>
        <w:t>processes</w:t>
      </w:r>
      <w:r>
        <w:rPr>
          <w:spacing w:val="-1"/>
        </w:rPr>
        <w:t xml:space="preserve"> </w:t>
      </w:r>
      <w:r>
        <w:t>to</w:t>
      </w:r>
      <w:r>
        <w:rPr>
          <w:spacing w:val="-1"/>
        </w:rPr>
        <w:t xml:space="preserve"> </w:t>
      </w:r>
      <w:r>
        <w:t>receive</w:t>
      </w:r>
      <w:r>
        <w:rPr>
          <w:spacing w:val="-1"/>
        </w:rPr>
        <w:t xml:space="preserve"> </w:t>
      </w:r>
      <w:r>
        <w:t>and</w:t>
      </w:r>
      <w:r>
        <w:rPr>
          <w:spacing w:val="-1"/>
        </w:rPr>
        <w:t xml:space="preserve"> </w:t>
      </w:r>
      <w:r>
        <w:t>acknowledge reports and to share them with the TGA, supporting national surveillance and safety monitoring. The</w:t>
      </w:r>
    </w:p>
    <w:p w14:paraId="6D95BCED" w14:textId="77777777" w:rsidR="009D54AF" w:rsidRDefault="00000000">
      <w:pPr>
        <w:pStyle w:val="BodyText"/>
        <w:spacing w:line="278" w:lineRule="auto"/>
        <w:ind w:left="142"/>
      </w:pPr>
      <w:r>
        <w:t>Commission also published a National Standards Advisory to support alignment with reporting requirements under the NSQHS Standards.</w:t>
      </w:r>
    </w:p>
    <w:p w14:paraId="247DC7D6" w14:textId="588D5255" w:rsidR="009D54AF" w:rsidRDefault="00000000" w:rsidP="008F5B74">
      <w:pPr>
        <w:pStyle w:val="Heading1"/>
      </w:pPr>
      <w:bookmarkStart w:id="31" w:name="_Strategic_Priority_2:"/>
      <w:bookmarkStart w:id="32" w:name="_Toc243037275"/>
      <w:bookmarkEnd w:id="31"/>
      <w:r>
        <w:t>Strategic</w:t>
      </w:r>
      <w:r>
        <w:rPr>
          <w:spacing w:val="-28"/>
        </w:rPr>
        <w:t xml:space="preserve"> </w:t>
      </w:r>
      <w:r>
        <w:t>Priority</w:t>
      </w:r>
      <w:r>
        <w:rPr>
          <w:spacing w:val="-28"/>
        </w:rPr>
        <w:t xml:space="preserve"> </w:t>
      </w:r>
      <w:r>
        <w:t>2:</w:t>
      </w:r>
      <w:r>
        <w:rPr>
          <w:spacing w:val="-28"/>
        </w:rPr>
        <w:t xml:space="preserve"> </w:t>
      </w:r>
      <w:r w:rsidR="008F5B74">
        <w:rPr>
          <w:spacing w:val="-28"/>
        </w:rPr>
        <w:br/>
      </w:r>
      <w:r>
        <w:t>Strong</w:t>
      </w:r>
      <w:r>
        <w:rPr>
          <w:spacing w:val="-28"/>
        </w:rPr>
        <w:t xml:space="preserve"> </w:t>
      </w:r>
      <w:r>
        <w:t>outcome-focused</w:t>
      </w:r>
      <w:r>
        <w:rPr>
          <w:spacing w:val="-27"/>
        </w:rPr>
        <w:t xml:space="preserve"> </w:t>
      </w:r>
      <w:r>
        <w:t xml:space="preserve">clinical </w:t>
      </w:r>
      <w:r>
        <w:rPr>
          <w:spacing w:val="-2"/>
        </w:rPr>
        <w:t>governance</w:t>
      </w:r>
      <w:bookmarkEnd w:id="32"/>
    </w:p>
    <w:p w14:paraId="08681A69" w14:textId="77777777" w:rsidR="009D54AF" w:rsidRDefault="00000000">
      <w:pPr>
        <w:pStyle w:val="Heading9"/>
        <w:spacing w:before="172" w:line="268" w:lineRule="auto"/>
        <w:ind w:right="285"/>
      </w:pPr>
      <w:r>
        <w:t>This</w:t>
      </w:r>
      <w:r>
        <w:rPr>
          <w:spacing w:val="-11"/>
        </w:rPr>
        <w:t xml:space="preserve"> </w:t>
      </w:r>
      <w:r>
        <w:t>priority</w:t>
      </w:r>
      <w:r>
        <w:rPr>
          <w:spacing w:val="-11"/>
        </w:rPr>
        <w:t xml:space="preserve"> </w:t>
      </w:r>
      <w:r>
        <w:t>focuses</w:t>
      </w:r>
      <w:r>
        <w:rPr>
          <w:spacing w:val="-11"/>
        </w:rPr>
        <w:t xml:space="preserve"> </w:t>
      </w:r>
      <w:r>
        <w:t>on</w:t>
      </w:r>
      <w:r>
        <w:rPr>
          <w:spacing w:val="-11"/>
        </w:rPr>
        <w:t xml:space="preserve"> </w:t>
      </w:r>
      <w:r>
        <w:t>clinical</w:t>
      </w:r>
      <w:r>
        <w:rPr>
          <w:spacing w:val="-11"/>
        </w:rPr>
        <w:t xml:space="preserve"> </w:t>
      </w:r>
      <w:r>
        <w:t>governance,</w:t>
      </w:r>
      <w:r>
        <w:rPr>
          <w:spacing w:val="-11"/>
        </w:rPr>
        <w:t xml:space="preserve"> </w:t>
      </w:r>
      <w:r>
        <w:t>integrated</w:t>
      </w:r>
      <w:r>
        <w:rPr>
          <w:spacing w:val="-11"/>
        </w:rPr>
        <w:t xml:space="preserve"> </w:t>
      </w:r>
      <w:r>
        <w:t>standards</w:t>
      </w:r>
      <w:r>
        <w:rPr>
          <w:spacing w:val="-11"/>
        </w:rPr>
        <w:t xml:space="preserve"> </w:t>
      </w:r>
      <w:r>
        <w:t>and</w:t>
      </w:r>
      <w:r>
        <w:rPr>
          <w:spacing w:val="-11"/>
        </w:rPr>
        <w:t xml:space="preserve"> </w:t>
      </w:r>
      <w:r>
        <w:t>accreditation</w:t>
      </w:r>
      <w:r>
        <w:rPr>
          <w:spacing w:val="-11"/>
        </w:rPr>
        <w:t xml:space="preserve"> </w:t>
      </w:r>
      <w:r>
        <w:t>to</w:t>
      </w:r>
      <w:r>
        <w:rPr>
          <w:spacing w:val="-11"/>
        </w:rPr>
        <w:t xml:space="preserve"> </w:t>
      </w:r>
      <w:r>
        <w:t>drive better patient outcomes.</w:t>
      </w:r>
    </w:p>
    <w:p w14:paraId="1CC9F46E" w14:textId="77777777" w:rsidR="009D54AF" w:rsidRDefault="009D54AF">
      <w:pPr>
        <w:pStyle w:val="BodyText"/>
        <w:spacing w:before="2"/>
        <w:rPr>
          <w:sz w:val="24"/>
        </w:rPr>
      </w:pPr>
    </w:p>
    <w:p w14:paraId="0AB2E1FA" w14:textId="77777777" w:rsidR="009D54AF" w:rsidRDefault="00000000">
      <w:pPr>
        <w:pStyle w:val="Heading5"/>
        <w:spacing w:before="1"/>
      </w:pPr>
      <w:r>
        <w:t>National</w:t>
      </w:r>
      <w:r>
        <w:rPr>
          <w:spacing w:val="-6"/>
        </w:rPr>
        <w:t xml:space="preserve"> </w:t>
      </w:r>
      <w:r>
        <w:t>Model</w:t>
      </w:r>
      <w:r>
        <w:rPr>
          <w:spacing w:val="-4"/>
        </w:rPr>
        <w:t xml:space="preserve"> </w:t>
      </w:r>
      <w:r>
        <w:t>for</w:t>
      </w:r>
      <w:r>
        <w:rPr>
          <w:spacing w:val="-4"/>
        </w:rPr>
        <w:t xml:space="preserve"> </w:t>
      </w:r>
      <w:r>
        <w:t>Clinical</w:t>
      </w:r>
      <w:r>
        <w:rPr>
          <w:spacing w:val="-4"/>
        </w:rPr>
        <w:t xml:space="preserve"> </w:t>
      </w:r>
      <w:r>
        <w:rPr>
          <w:spacing w:val="-2"/>
        </w:rPr>
        <w:t>Governance</w:t>
      </w:r>
    </w:p>
    <w:p w14:paraId="0B93E846" w14:textId="77777777" w:rsidR="009D54AF" w:rsidRDefault="00000000">
      <w:pPr>
        <w:pStyle w:val="BodyText"/>
        <w:spacing w:before="132" w:line="278" w:lineRule="auto"/>
        <w:ind w:left="142" w:right="285"/>
      </w:pPr>
      <w:r>
        <w:t xml:space="preserve">In June 2026, the Commission released a new </w:t>
      </w:r>
      <w:r>
        <w:rPr>
          <w:i/>
        </w:rPr>
        <w:t xml:space="preserve">National Model for Clinical Governance </w:t>
      </w:r>
      <w:r>
        <w:t xml:space="preserve">(national model) </w:t>
      </w:r>
      <w:r>
        <w:lastRenderedPageBreak/>
        <w:t>aimed</w:t>
      </w:r>
      <w:r>
        <w:rPr>
          <w:spacing w:val="-2"/>
        </w:rPr>
        <w:t xml:space="preserve"> </w:t>
      </w:r>
      <w:r>
        <w:t>at</w:t>
      </w:r>
      <w:r>
        <w:rPr>
          <w:spacing w:val="-2"/>
        </w:rPr>
        <w:t xml:space="preserve"> </w:t>
      </w:r>
      <w:r>
        <w:t>significantly</w:t>
      </w:r>
      <w:r>
        <w:rPr>
          <w:spacing w:val="-2"/>
        </w:rPr>
        <w:t xml:space="preserve"> </w:t>
      </w:r>
      <w:r>
        <w:t>improving</w:t>
      </w:r>
      <w:r>
        <w:rPr>
          <w:spacing w:val="-2"/>
        </w:rPr>
        <w:t xml:space="preserve"> </w:t>
      </w:r>
      <w:r>
        <w:t>the</w:t>
      </w:r>
      <w:r>
        <w:rPr>
          <w:spacing w:val="-2"/>
        </w:rPr>
        <w:t xml:space="preserve"> </w:t>
      </w:r>
      <w:r>
        <w:t>quality</w:t>
      </w:r>
      <w:r>
        <w:rPr>
          <w:spacing w:val="-2"/>
        </w:rPr>
        <w:t xml:space="preserve"> </w:t>
      </w:r>
      <w:r>
        <w:t>of</w:t>
      </w:r>
      <w:r>
        <w:rPr>
          <w:spacing w:val="-2"/>
        </w:rPr>
        <w:t xml:space="preserve"> </w:t>
      </w:r>
      <w:r>
        <w:t>care</w:t>
      </w:r>
      <w:r>
        <w:rPr>
          <w:spacing w:val="-2"/>
        </w:rPr>
        <w:t xml:space="preserve"> </w:t>
      </w:r>
      <w:r>
        <w:t>and</w:t>
      </w:r>
      <w:r>
        <w:rPr>
          <w:spacing w:val="-2"/>
        </w:rPr>
        <w:t xml:space="preserve"> </w:t>
      </w:r>
      <w:r>
        <w:t>outcomes</w:t>
      </w:r>
      <w:r>
        <w:rPr>
          <w:spacing w:val="-2"/>
        </w:rPr>
        <w:t xml:space="preserve"> </w:t>
      </w:r>
      <w:r>
        <w:t>for</w:t>
      </w:r>
      <w:r>
        <w:rPr>
          <w:spacing w:val="-2"/>
        </w:rPr>
        <w:t xml:space="preserve"> </w:t>
      </w:r>
      <w:r>
        <w:t>patients</w:t>
      </w:r>
      <w:r>
        <w:rPr>
          <w:spacing w:val="-2"/>
        </w:rPr>
        <w:t xml:space="preserve"> </w:t>
      </w:r>
      <w:r>
        <w:t>in</w:t>
      </w:r>
      <w:r>
        <w:rPr>
          <w:spacing w:val="-2"/>
        </w:rPr>
        <w:t xml:space="preserve"> </w:t>
      </w:r>
      <w:r>
        <w:t>Australian</w:t>
      </w:r>
      <w:r>
        <w:rPr>
          <w:spacing w:val="-2"/>
        </w:rPr>
        <w:t xml:space="preserve"> </w:t>
      </w:r>
      <w:r>
        <w:t>public</w:t>
      </w:r>
      <w:r>
        <w:rPr>
          <w:spacing w:val="-2"/>
        </w:rPr>
        <w:t xml:space="preserve"> </w:t>
      </w:r>
      <w:r>
        <w:t>and</w:t>
      </w:r>
      <w:r>
        <w:rPr>
          <w:spacing w:val="-2"/>
        </w:rPr>
        <w:t xml:space="preserve"> </w:t>
      </w:r>
      <w:r>
        <w:t xml:space="preserve">private </w:t>
      </w:r>
      <w:r>
        <w:rPr>
          <w:spacing w:val="-2"/>
        </w:rPr>
        <w:t>hospitals.</w:t>
      </w:r>
    </w:p>
    <w:p w14:paraId="44427E9A" w14:textId="77777777" w:rsidR="009D54AF" w:rsidRDefault="00000000">
      <w:pPr>
        <w:pStyle w:val="BodyText"/>
        <w:spacing w:before="142" w:line="278" w:lineRule="auto"/>
        <w:ind w:left="142"/>
      </w:pPr>
      <w:r>
        <w:t>The</w:t>
      </w:r>
      <w:r>
        <w:rPr>
          <w:spacing w:val="-1"/>
        </w:rPr>
        <w:t xml:space="preserve"> </w:t>
      </w:r>
      <w:r>
        <w:t>national</w:t>
      </w:r>
      <w:r>
        <w:rPr>
          <w:spacing w:val="-1"/>
        </w:rPr>
        <w:t xml:space="preserve"> </w:t>
      </w:r>
      <w:r>
        <w:t>model</w:t>
      </w:r>
      <w:r>
        <w:rPr>
          <w:spacing w:val="-1"/>
        </w:rPr>
        <w:t xml:space="preserve"> </w:t>
      </w:r>
      <w:r>
        <w:t>is</w:t>
      </w:r>
      <w:r>
        <w:rPr>
          <w:spacing w:val="-1"/>
        </w:rPr>
        <w:t xml:space="preserve"> </w:t>
      </w:r>
      <w:r>
        <w:t>part</w:t>
      </w:r>
      <w:r>
        <w:rPr>
          <w:spacing w:val="-1"/>
        </w:rPr>
        <w:t xml:space="preserve"> </w:t>
      </w:r>
      <w:r>
        <w:t>of</w:t>
      </w:r>
      <w:r>
        <w:rPr>
          <w:spacing w:val="-1"/>
        </w:rPr>
        <w:t xml:space="preserve"> </w:t>
      </w:r>
      <w:r>
        <w:t>a</w:t>
      </w:r>
      <w:r>
        <w:rPr>
          <w:spacing w:val="-1"/>
        </w:rPr>
        <w:t xml:space="preserve"> </w:t>
      </w:r>
      <w:r>
        <w:t>broader</w:t>
      </w:r>
      <w:r>
        <w:rPr>
          <w:spacing w:val="-1"/>
        </w:rPr>
        <w:t xml:space="preserve"> </w:t>
      </w:r>
      <w:r>
        <w:t>program</w:t>
      </w:r>
      <w:r>
        <w:rPr>
          <w:spacing w:val="-1"/>
        </w:rPr>
        <w:t xml:space="preserve"> </w:t>
      </w:r>
      <w:r>
        <w:t>of</w:t>
      </w:r>
      <w:r>
        <w:rPr>
          <w:spacing w:val="-1"/>
        </w:rPr>
        <w:t xml:space="preserve"> </w:t>
      </w:r>
      <w:r>
        <w:t>work</w:t>
      </w:r>
      <w:r>
        <w:rPr>
          <w:spacing w:val="-1"/>
        </w:rPr>
        <w:t xml:space="preserve"> </w:t>
      </w:r>
      <w:r>
        <w:t>to</w:t>
      </w:r>
      <w:r>
        <w:rPr>
          <w:spacing w:val="-1"/>
        </w:rPr>
        <w:t xml:space="preserve"> </w:t>
      </w:r>
      <w:r>
        <w:t>develop</w:t>
      </w:r>
      <w:r>
        <w:rPr>
          <w:spacing w:val="-1"/>
        </w:rPr>
        <w:t xml:space="preserve"> </w:t>
      </w:r>
      <w:r>
        <w:t>strong,</w:t>
      </w:r>
      <w:r>
        <w:rPr>
          <w:spacing w:val="-1"/>
        </w:rPr>
        <w:t xml:space="preserve"> </w:t>
      </w:r>
      <w:r>
        <w:t>outcome-focused</w:t>
      </w:r>
      <w:r>
        <w:rPr>
          <w:spacing w:val="-1"/>
        </w:rPr>
        <w:t xml:space="preserve"> </w:t>
      </w:r>
      <w:r>
        <w:t xml:space="preserve">clinical </w:t>
      </w:r>
      <w:r>
        <w:rPr>
          <w:spacing w:val="-2"/>
        </w:rPr>
        <w:t>governance.</w:t>
      </w:r>
    </w:p>
    <w:p w14:paraId="45FFA420" w14:textId="77777777" w:rsidR="009D54AF" w:rsidRDefault="00000000">
      <w:pPr>
        <w:pStyle w:val="BodyText"/>
        <w:spacing w:before="141" w:line="278" w:lineRule="auto"/>
        <w:ind w:left="142" w:right="285"/>
      </w:pPr>
      <w:r>
        <w:t>Clinical</w:t>
      </w:r>
      <w:r>
        <w:rPr>
          <w:spacing w:val="-3"/>
        </w:rPr>
        <w:t xml:space="preserve"> </w:t>
      </w:r>
      <w:r>
        <w:t>governance</w:t>
      </w:r>
      <w:r>
        <w:rPr>
          <w:spacing w:val="-3"/>
        </w:rPr>
        <w:t xml:space="preserve"> </w:t>
      </w:r>
      <w:r>
        <w:t>is</w:t>
      </w:r>
      <w:r>
        <w:rPr>
          <w:spacing w:val="-3"/>
        </w:rPr>
        <w:t xml:space="preserve"> </w:t>
      </w:r>
      <w:r>
        <w:t>the</w:t>
      </w:r>
      <w:r>
        <w:rPr>
          <w:spacing w:val="-3"/>
        </w:rPr>
        <w:t xml:space="preserve"> </w:t>
      </w:r>
      <w:r>
        <w:t>combination</w:t>
      </w:r>
      <w:r>
        <w:rPr>
          <w:spacing w:val="-3"/>
        </w:rPr>
        <w:t xml:space="preserve"> </w:t>
      </w:r>
      <w:r>
        <w:t>of</w:t>
      </w:r>
      <w:r>
        <w:rPr>
          <w:spacing w:val="-3"/>
        </w:rPr>
        <w:t xml:space="preserve"> </w:t>
      </w:r>
      <w:proofErr w:type="spellStart"/>
      <w:r>
        <w:t>organisational</w:t>
      </w:r>
      <w:proofErr w:type="spellEnd"/>
      <w:r>
        <w:rPr>
          <w:spacing w:val="-3"/>
        </w:rPr>
        <w:t xml:space="preserve"> </w:t>
      </w:r>
      <w:r>
        <w:t>culture,</w:t>
      </w:r>
      <w:r>
        <w:rPr>
          <w:spacing w:val="-3"/>
        </w:rPr>
        <w:t xml:space="preserve"> </w:t>
      </w:r>
      <w:r>
        <w:t>systems</w:t>
      </w:r>
      <w:r>
        <w:rPr>
          <w:spacing w:val="-3"/>
        </w:rPr>
        <w:t xml:space="preserve"> </w:t>
      </w:r>
      <w:r>
        <w:t>and</w:t>
      </w:r>
      <w:r>
        <w:rPr>
          <w:spacing w:val="-3"/>
        </w:rPr>
        <w:t xml:space="preserve"> </w:t>
      </w:r>
      <w:r>
        <w:t>structures</w:t>
      </w:r>
      <w:r>
        <w:rPr>
          <w:spacing w:val="-3"/>
        </w:rPr>
        <w:t xml:space="preserve"> </w:t>
      </w:r>
      <w:r>
        <w:t>that</w:t>
      </w:r>
      <w:r>
        <w:rPr>
          <w:spacing w:val="-3"/>
        </w:rPr>
        <w:t xml:space="preserve"> </w:t>
      </w:r>
      <w:r>
        <w:t>enables everyone in a health service to deliver care that is consistently high quality and improving.</w:t>
      </w:r>
    </w:p>
    <w:p w14:paraId="7B4832B8" w14:textId="77777777" w:rsidR="009D54AF" w:rsidRDefault="00000000">
      <w:pPr>
        <w:pStyle w:val="BodyText"/>
        <w:spacing w:before="142" w:line="278" w:lineRule="auto"/>
        <w:ind w:left="142" w:right="285"/>
      </w:pPr>
      <w:r>
        <w:t>The</w:t>
      </w:r>
      <w:r>
        <w:rPr>
          <w:spacing w:val="-1"/>
        </w:rPr>
        <w:t xml:space="preserve"> </w:t>
      </w:r>
      <w:r>
        <w:t>national</w:t>
      </w:r>
      <w:r>
        <w:rPr>
          <w:spacing w:val="-2"/>
        </w:rPr>
        <w:t xml:space="preserve"> </w:t>
      </w:r>
      <w:r>
        <w:t>model</w:t>
      </w:r>
      <w:r>
        <w:rPr>
          <w:spacing w:val="-1"/>
        </w:rPr>
        <w:t xml:space="preserve"> </w:t>
      </w:r>
      <w:r>
        <w:t>signals</w:t>
      </w:r>
      <w:r>
        <w:rPr>
          <w:spacing w:val="-2"/>
        </w:rPr>
        <w:t xml:space="preserve"> </w:t>
      </w:r>
      <w:r>
        <w:t>a</w:t>
      </w:r>
      <w:r>
        <w:rPr>
          <w:spacing w:val="-1"/>
        </w:rPr>
        <w:t xml:space="preserve"> </w:t>
      </w:r>
      <w:r>
        <w:t>strategic</w:t>
      </w:r>
      <w:r>
        <w:rPr>
          <w:spacing w:val="-2"/>
        </w:rPr>
        <w:t xml:space="preserve"> </w:t>
      </w:r>
      <w:r>
        <w:t>shift</w:t>
      </w:r>
      <w:r>
        <w:rPr>
          <w:spacing w:val="-1"/>
        </w:rPr>
        <w:t xml:space="preserve"> </w:t>
      </w:r>
      <w:r>
        <w:t>in</w:t>
      </w:r>
      <w:r>
        <w:rPr>
          <w:spacing w:val="-2"/>
        </w:rPr>
        <w:t xml:space="preserve"> </w:t>
      </w:r>
      <w:r>
        <w:t>how</w:t>
      </w:r>
      <w:r>
        <w:rPr>
          <w:spacing w:val="-1"/>
        </w:rPr>
        <w:t xml:space="preserve"> </w:t>
      </w:r>
      <w:r>
        <w:t>clinical</w:t>
      </w:r>
      <w:r>
        <w:rPr>
          <w:spacing w:val="-2"/>
        </w:rPr>
        <w:t xml:space="preserve"> </w:t>
      </w:r>
      <w:r>
        <w:t>governance</w:t>
      </w:r>
      <w:r>
        <w:rPr>
          <w:spacing w:val="-1"/>
        </w:rPr>
        <w:t xml:space="preserve"> </w:t>
      </w:r>
      <w:r>
        <w:t>is</w:t>
      </w:r>
      <w:r>
        <w:rPr>
          <w:spacing w:val="-2"/>
        </w:rPr>
        <w:t xml:space="preserve"> </w:t>
      </w:r>
      <w:r>
        <w:t>understood,</w:t>
      </w:r>
      <w:r>
        <w:rPr>
          <w:spacing w:val="-1"/>
        </w:rPr>
        <w:t xml:space="preserve"> </w:t>
      </w:r>
      <w:r>
        <w:t>led</w:t>
      </w:r>
      <w:r>
        <w:rPr>
          <w:spacing w:val="-2"/>
        </w:rPr>
        <w:t xml:space="preserve"> </w:t>
      </w:r>
      <w:r>
        <w:t>and</w:t>
      </w:r>
      <w:r>
        <w:rPr>
          <w:spacing w:val="-1"/>
        </w:rPr>
        <w:t xml:space="preserve"> </w:t>
      </w:r>
      <w:r>
        <w:t>embedded</w:t>
      </w:r>
      <w:r>
        <w:rPr>
          <w:spacing w:val="-2"/>
        </w:rPr>
        <w:t xml:space="preserve"> </w:t>
      </w:r>
      <w:r>
        <w:t>in every health service by:</w:t>
      </w:r>
    </w:p>
    <w:p w14:paraId="1BCEA78B" w14:textId="77777777" w:rsidR="009D54AF" w:rsidRDefault="00000000">
      <w:pPr>
        <w:pStyle w:val="ListParagraph"/>
        <w:numPr>
          <w:ilvl w:val="0"/>
          <w:numId w:val="35"/>
        </w:numPr>
        <w:tabs>
          <w:tab w:val="left" w:pos="424"/>
          <w:tab w:val="left" w:pos="440"/>
        </w:tabs>
        <w:spacing w:before="56" w:line="278" w:lineRule="auto"/>
        <w:ind w:right="1400" w:hanging="284"/>
        <w:rPr>
          <w:sz w:val="21"/>
        </w:rPr>
      </w:pPr>
      <w:r>
        <w:rPr>
          <w:sz w:val="21"/>
        </w:rPr>
        <w:t>elevating</w:t>
      </w:r>
      <w:r>
        <w:rPr>
          <w:spacing w:val="-4"/>
          <w:sz w:val="21"/>
        </w:rPr>
        <w:t xml:space="preserve"> </w:t>
      </w:r>
      <w:r>
        <w:rPr>
          <w:sz w:val="21"/>
        </w:rPr>
        <w:t>clinical</w:t>
      </w:r>
      <w:r>
        <w:rPr>
          <w:spacing w:val="-4"/>
          <w:sz w:val="21"/>
        </w:rPr>
        <w:t xml:space="preserve"> </w:t>
      </w:r>
      <w:r>
        <w:rPr>
          <w:sz w:val="21"/>
        </w:rPr>
        <w:t>governance</w:t>
      </w:r>
      <w:r>
        <w:rPr>
          <w:spacing w:val="-4"/>
          <w:sz w:val="21"/>
        </w:rPr>
        <w:t xml:space="preserve"> </w:t>
      </w:r>
      <w:r>
        <w:rPr>
          <w:sz w:val="21"/>
        </w:rPr>
        <w:t>to</w:t>
      </w:r>
      <w:r>
        <w:rPr>
          <w:spacing w:val="-4"/>
          <w:sz w:val="21"/>
        </w:rPr>
        <w:t xml:space="preserve"> </w:t>
      </w:r>
      <w:r>
        <w:rPr>
          <w:sz w:val="21"/>
        </w:rPr>
        <w:t>board</w:t>
      </w:r>
      <w:r>
        <w:rPr>
          <w:spacing w:val="-4"/>
          <w:sz w:val="21"/>
        </w:rPr>
        <w:t xml:space="preserve"> </w:t>
      </w:r>
      <w:r>
        <w:rPr>
          <w:sz w:val="21"/>
        </w:rPr>
        <w:t>and</w:t>
      </w:r>
      <w:r>
        <w:rPr>
          <w:spacing w:val="-4"/>
          <w:sz w:val="21"/>
        </w:rPr>
        <w:t xml:space="preserve"> </w:t>
      </w:r>
      <w:r>
        <w:rPr>
          <w:sz w:val="21"/>
        </w:rPr>
        <w:t>executive</w:t>
      </w:r>
      <w:r>
        <w:rPr>
          <w:spacing w:val="-4"/>
          <w:sz w:val="21"/>
        </w:rPr>
        <w:t xml:space="preserve"> </w:t>
      </w:r>
      <w:r>
        <w:rPr>
          <w:sz w:val="21"/>
        </w:rPr>
        <w:t>level,</w:t>
      </w:r>
      <w:r>
        <w:rPr>
          <w:spacing w:val="-4"/>
          <w:sz w:val="21"/>
        </w:rPr>
        <w:t xml:space="preserve"> </w:t>
      </w:r>
      <w:proofErr w:type="spellStart"/>
      <w:r>
        <w:rPr>
          <w:sz w:val="21"/>
        </w:rPr>
        <w:t>emphasising</w:t>
      </w:r>
      <w:proofErr w:type="spellEnd"/>
      <w:r>
        <w:rPr>
          <w:spacing w:val="-4"/>
          <w:sz w:val="21"/>
        </w:rPr>
        <w:t xml:space="preserve"> </w:t>
      </w:r>
      <w:r>
        <w:rPr>
          <w:sz w:val="21"/>
        </w:rPr>
        <w:t>that</w:t>
      </w:r>
      <w:r>
        <w:rPr>
          <w:spacing w:val="-4"/>
          <w:sz w:val="21"/>
        </w:rPr>
        <w:t xml:space="preserve"> </w:t>
      </w:r>
      <w:r>
        <w:rPr>
          <w:sz w:val="21"/>
        </w:rPr>
        <w:t>it</w:t>
      </w:r>
      <w:r>
        <w:rPr>
          <w:spacing w:val="-4"/>
          <w:sz w:val="21"/>
        </w:rPr>
        <w:t xml:space="preserve"> </w:t>
      </w:r>
      <w:r>
        <w:rPr>
          <w:sz w:val="21"/>
        </w:rPr>
        <w:t>is</w:t>
      </w:r>
      <w:r>
        <w:rPr>
          <w:spacing w:val="-4"/>
          <w:sz w:val="21"/>
        </w:rPr>
        <w:t xml:space="preserve"> </w:t>
      </w:r>
      <w:r>
        <w:rPr>
          <w:sz w:val="21"/>
        </w:rPr>
        <w:t>a</w:t>
      </w:r>
      <w:r>
        <w:rPr>
          <w:spacing w:val="-4"/>
          <w:sz w:val="21"/>
        </w:rPr>
        <w:t xml:space="preserve"> </w:t>
      </w:r>
      <w:r>
        <w:rPr>
          <w:sz w:val="21"/>
        </w:rPr>
        <w:t>core</w:t>
      </w:r>
      <w:r>
        <w:rPr>
          <w:spacing w:val="-4"/>
          <w:sz w:val="21"/>
        </w:rPr>
        <w:t xml:space="preserve"> </w:t>
      </w:r>
      <w:r>
        <w:rPr>
          <w:sz w:val="21"/>
        </w:rPr>
        <w:t xml:space="preserve">board </w:t>
      </w:r>
      <w:r>
        <w:rPr>
          <w:spacing w:val="-2"/>
          <w:sz w:val="21"/>
        </w:rPr>
        <w:t>responsibility</w:t>
      </w:r>
    </w:p>
    <w:p w14:paraId="61FE4C25" w14:textId="77777777" w:rsidR="009D54AF" w:rsidRDefault="00000000">
      <w:pPr>
        <w:pStyle w:val="ListParagraph"/>
        <w:numPr>
          <w:ilvl w:val="0"/>
          <w:numId w:val="35"/>
        </w:numPr>
        <w:tabs>
          <w:tab w:val="left" w:pos="424"/>
          <w:tab w:val="left" w:pos="440"/>
        </w:tabs>
        <w:spacing w:before="57" w:line="278" w:lineRule="auto"/>
        <w:ind w:right="206" w:hanging="284"/>
        <w:rPr>
          <w:sz w:val="21"/>
        </w:rPr>
      </w:pPr>
      <w:r>
        <w:rPr>
          <w:sz w:val="21"/>
        </w:rPr>
        <w:t>building</w:t>
      </w:r>
      <w:r>
        <w:rPr>
          <w:spacing w:val="-1"/>
          <w:sz w:val="21"/>
        </w:rPr>
        <w:t xml:space="preserve"> </w:t>
      </w:r>
      <w:r>
        <w:rPr>
          <w:sz w:val="21"/>
        </w:rPr>
        <w:t>the</w:t>
      </w:r>
      <w:r>
        <w:rPr>
          <w:spacing w:val="-1"/>
          <w:sz w:val="21"/>
        </w:rPr>
        <w:t xml:space="preserve"> </w:t>
      </w:r>
      <w:r>
        <w:rPr>
          <w:sz w:val="21"/>
        </w:rPr>
        <w:t>culture</w:t>
      </w:r>
      <w:r>
        <w:rPr>
          <w:spacing w:val="-1"/>
          <w:sz w:val="21"/>
        </w:rPr>
        <w:t xml:space="preserve"> </w:t>
      </w:r>
      <w:r>
        <w:rPr>
          <w:sz w:val="21"/>
        </w:rPr>
        <w:t>of</w:t>
      </w:r>
      <w:r>
        <w:rPr>
          <w:spacing w:val="-1"/>
          <w:sz w:val="21"/>
        </w:rPr>
        <w:t xml:space="preserve"> </w:t>
      </w:r>
      <w:r>
        <w:rPr>
          <w:sz w:val="21"/>
        </w:rPr>
        <w:t>the</w:t>
      </w:r>
      <w:r>
        <w:rPr>
          <w:spacing w:val="-1"/>
          <w:sz w:val="21"/>
        </w:rPr>
        <w:t xml:space="preserve"> </w:t>
      </w:r>
      <w:proofErr w:type="spellStart"/>
      <w:r>
        <w:rPr>
          <w:sz w:val="21"/>
        </w:rPr>
        <w:t>organisation</w:t>
      </w:r>
      <w:proofErr w:type="spellEnd"/>
      <w:r>
        <w:rPr>
          <w:spacing w:val="-1"/>
          <w:sz w:val="21"/>
        </w:rPr>
        <w:t xml:space="preserve"> </w:t>
      </w:r>
      <w:r>
        <w:rPr>
          <w:sz w:val="21"/>
        </w:rPr>
        <w:t>to</w:t>
      </w:r>
      <w:r>
        <w:rPr>
          <w:spacing w:val="-1"/>
          <w:sz w:val="21"/>
        </w:rPr>
        <w:t xml:space="preserve"> </w:t>
      </w:r>
      <w:r>
        <w:rPr>
          <w:sz w:val="21"/>
        </w:rPr>
        <w:t>support</w:t>
      </w:r>
      <w:r>
        <w:rPr>
          <w:spacing w:val="-1"/>
          <w:sz w:val="21"/>
        </w:rPr>
        <w:t xml:space="preserve"> </w:t>
      </w:r>
      <w:r>
        <w:rPr>
          <w:sz w:val="21"/>
        </w:rPr>
        <w:t>the</w:t>
      </w:r>
      <w:r>
        <w:rPr>
          <w:spacing w:val="-1"/>
          <w:sz w:val="21"/>
        </w:rPr>
        <w:t xml:space="preserve"> </w:t>
      </w:r>
      <w:r>
        <w:rPr>
          <w:sz w:val="21"/>
        </w:rPr>
        <w:t>delivery</w:t>
      </w:r>
      <w:r>
        <w:rPr>
          <w:spacing w:val="-1"/>
          <w:sz w:val="21"/>
        </w:rPr>
        <w:t xml:space="preserve"> </w:t>
      </w:r>
      <w:r>
        <w:rPr>
          <w:sz w:val="21"/>
        </w:rPr>
        <w:t>of</w:t>
      </w:r>
      <w:r>
        <w:rPr>
          <w:spacing w:val="-1"/>
          <w:sz w:val="21"/>
        </w:rPr>
        <w:t xml:space="preserve"> </w:t>
      </w:r>
      <w:r>
        <w:rPr>
          <w:sz w:val="21"/>
        </w:rPr>
        <w:t>high-quality</w:t>
      </w:r>
      <w:r>
        <w:rPr>
          <w:spacing w:val="-1"/>
          <w:sz w:val="21"/>
        </w:rPr>
        <w:t xml:space="preserve"> </w:t>
      </w:r>
      <w:r>
        <w:rPr>
          <w:sz w:val="21"/>
        </w:rPr>
        <w:t>care</w:t>
      </w:r>
      <w:r>
        <w:rPr>
          <w:spacing w:val="-1"/>
          <w:sz w:val="21"/>
        </w:rPr>
        <w:t xml:space="preserve"> </w:t>
      </w:r>
      <w:r>
        <w:rPr>
          <w:sz w:val="21"/>
        </w:rPr>
        <w:t>every</w:t>
      </w:r>
      <w:r>
        <w:rPr>
          <w:spacing w:val="-1"/>
          <w:sz w:val="21"/>
        </w:rPr>
        <w:t xml:space="preserve"> </w:t>
      </w:r>
      <w:r>
        <w:rPr>
          <w:sz w:val="21"/>
        </w:rPr>
        <w:t>day</w:t>
      </w:r>
      <w:r>
        <w:rPr>
          <w:spacing w:val="-1"/>
          <w:sz w:val="21"/>
        </w:rPr>
        <w:t xml:space="preserve"> </w:t>
      </w:r>
      <w:r>
        <w:rPr>
          <w:sz w:val="21"/>
        </w:rPr>
        <w:t>rather</w:t>
      </w:r>
      <w:r>
        <w:rPr>
          <w:spacing w:val="-1"/>
          <w:sz w:val="21"/>
        </w:rPr>
        <w:t xml:space="preserve"> </w:t>
      </w:r>
      <w:r>
        <w:rPr>
          <w:sz w:val="21"/>
        </w:rPr>
        <w:t>than</w:t>
      </w:r>
      <w:r>
        <w:rPr>
          <w:spacing w:val="-1"/>
          <w:sz w:val="21"/>
        </w:rPr>
        <w:t xml:space="preserve"> </w:t>
      </w:r>
      <w:r>
        <w:rPr>
          <w:sz w:val="21"/>
        </w:rPr>
        <w:t>by complying with accreditation requirements.</w:t>
      </w:r>
    </w:p>
    <w:p w14:paraId="73BC20AC" w14:textId="77777777" w:rsidR="009D54AF" w:rsidRDefault="00000000">
      <w:pPr>
        <w:pStyle w:val="BodyText"/>
        <w:spacing w:before="170" w:line="278" w:lineRule="auto"/>
        <w:ind w:left="142" w:right="573"/>
      </w:pPr>
      <w:r>
        <w:t>Although implementation of the national model is not mandatory, the Commission encouraged all health services to use it when they next reviewed their clinical governance arrangements. The six foundations</w:t>
      </w:r>
      <w:r>
        <w:rPr>
          <w:spacing w:val="80"/>
        </w:rPr>
        <w:t xml:space="preserve"> </w:t>
      </w:r>
      <w:r>
        <w:t>of</w:t>
      </w:r>
      <w:r>
        <w:rPr>
          <w:spacing w:val="-1"/>
        </w:rPr>
        <w:t xml:space="preserve"> </w:t>
      </w:r>
      <w:r>
        <w:t>clinical</w:t>
      </w:r>
      <w:r>
        <w:rPr>
          <w:spacing w:val="-1"/>
        </w:rPr>
        <w:t xml:space="preserve"> </w:t>
      </w:r>
      <w:r>
        <w:t>governance</w:t>
      </w:r>
      <w:r>
        <w:rPr>
          <w:spacing w:val="-1"/>
        </w:rPr>
        <w:t xml:space="preserve"> </w:t>
      </w:r>
      <w:r>
        <w:t>in</w:t>
      </w:r>
      <w:r>
        <w:rPr>
          <w:spacing w:val="-1"/>
        </w:rPr>
        <w:t xml:space="preserve"> </w:t>
      </w:r>
      <w:r>
        <w:t>the</w:t>
      </w:r>
      <w:r>
        <w:rPr>
          <w:spacing w:val="-1"/>
        </w:rPr>
        <w:t xml:space="preserve"> </w:t>
      </w:r>
      <w:r>
        <w:t>model</w:t>
      </w:r>
      <w:r>
        <w:rPr>
          <w:spacing w:val="-1"/>
        </w:rPr>
        <w:t xml:space="preserve"> </w:t>
      </w:r>
      <w:r>
        <w:t>will</w:t>
      </w:r>
      <w:r>
        <w:rPr>
          <w:spacing w:val="-1"/>
        </w:rPr>
        <w:t xml:space="preserve"> </w:t>
      </w:r>
      <w:r>
        <w:t>form</w:t>
      </w:r>
      <w:r>
        <w:rPr>
          <w:spacing w:val="-1"/>
        </w:rPr>
        <w:t xml:space="preserve"> </w:t>
      </w:r>
      <w:r>
        <w:t>the</w:t>
      </w:r>
      <w:r>
        <w:rPr>
          <w:spacing w:val="-1"/>
        </w:rPr>
        <w:t xml:space="preserve"> </w:t>
      </w:r>
      <w:r>
        <w:t>structure</w:t>
      </w:r>
      <w:r>
        <w:rPr>
          <w:spacing w:val="-1"/>
        </w:rPr>
        <w:t xml:space="preserve"> </w:t>
      </w:r>
      <w:r>
        <w:t>of</w:t>
      </w:r>
      <w:r>
        <w:rPr>
          <w:spacing w:val="-1"/>
        </w:rPr>
        <w:t xml:space="preserve"> </w:t>
      </w:r>
      <w:r>
        <w:t>the</w:t>
      </w:r>
      <w:r>
        <w:rPr>
          <w:spacing w:val="-1"/>
        </w:rPr>
        <w:t xml:space="preserve"> </w:t>
      </w:r>
      <w:r>
        <w:t>Clinical</w:t>
      </w:r>
      <w:r>
        <w:rPr>
          <w:spacing w:val="-1"/>
        </w:rPr>
        <w:t xml:space="preserve"> </w:t>
      </w:r>
      <w:r>
        <w:t>Governance</w:t>
      </w:r>
      <w:r>
        <w:rPr>
          <w:spacing w:val="-1"/>
        </w:rPr>
        <w:t xml:space="preserve"> </w:t>
      </w:r>
      <w:r>
        <w:t>Standard</w:t>
      </w:r>
      <w:r>
        <w:rPr>
          <w:spacing w:val="-1"/>
        </w:rPr>
        <w:t xml:space="preserve"> </w:t>
      </w:r>
      <w:r>
        <w:t>in</w:t>
      </w:r>
      <w:r>
        <w:rPr>
          <w:spacing w:val="-1"/>
        </w:rPr>
        <w:t xml:space="preserve"> </w:t>
      </w:r>
      <w:r>
        <w:t>the</w:t>
      </w:r>
      <w:r>
        <w:rPr>
          <w:spacing w:val="-1"/>
        </w:rPr>
        <w:t xml:space="preserve"> </w:t>
      </w:r>
      <w:r>
        <w:t>third edition of the NSQHS Standards (in development).</w:t>
      </w:r>
    </w:p>
    <w:p w14:paraId="133E62A5" w14:textId="77777777" w:rsidR="009D54AF" w:rsidRDefault="00000000">
      <w:pPr>
        <w:pStyle w:val="BodyText"/>
        <w:spacing w:before="141" w:line="278" w:lineRule="auto"/>
        <w:ind w:left="142"/>
      </w:pPr>
      <w:r>
        <w:t>The</w:t>
      </w:r>
      <w:r>
        <w:rPr>
          <w:spacing w:val="-2"/>
        </w:rPr>
        <w:t xml:space="preserve"> </w:t>
      </w:r>
      <w:r>
        <w:t>Commission</w:t>
      </w:r>
      <w:r>
        <w:rPr>
          <w:spacing w:val="-2"/>
        </w:rPr>
        <w:t xml:space="preserve"> </w:t>
      </w:r>
      <w:r>
        <w:t>published</w:t>
      </w:r>
      <w:r>
        <w:rPr>
          <w:spacing w:val="-2"/>
        </w:rPr>
        <w:t xml:space="preserve"> </w:t>
      </w:r>
      <w:r>
        <w:t>a</w:t>
      </w:r>
      <w:r>
        <w:rPr>
          <w:spacing w:val="-3"/>
        </w:rPr>
        <w:t xml:space="preserve"> </w:t>
      </w:r>
      <w:hyperlink r:id="rId46">
        <w:r>
          <w:rPr>
            <w:u w:val="single"/>
          </w:rPr>
          <w:t>new</w:t>
        </w:r>
        <w:r>
          <w:rPr>
            <w:spacing w:val="-2"/>
            <w:u w:val="single"/>
          </w:rPr>
          <w:t xml:space="preserve"> </w:t>
        </w:r>
        <w:r>
          <w:rPr>
            <w:u w:val="single"/>
          </w:rPr>
          <w:t>clinical</w:t>
        </w:r>
        <w:r>
          <w:rPr>
            <w:spacing w:val="-2"/>
            <w:u w:val="single"/>
          </w:rPr>
          <w:t xml:space="preserve"> </w:t>
        </w:r>
        <w:r>
          <w:rPr>
            <w:u w:val="single"/>
          </w:rPr>
          <w:t>governance</w:t>
        </w:r>
        <w:r>
          <w:rPr>
            <w:spacing w:val="-2"/>
            <w:u w:val="single"/>
          </w:rPr>
          <w:t xml:space="preserve"> </w:t>
        </w:r>
        <w:r>
          <w:rPr>
            <w:u w:val="single"/>
          </w:rPr>
          <w:t>web</w:t>
        </w:r>
        <w:r>
          <w:rPr>
            <w:spacing w:val="-2"/>
            <w:u w:val="single"/>
          </w:rPr>
          <w:t xml:space="preserve"> </w:t>
        </w:r>
        <w:r>
          <w:rPr>
            <w:u w:val="single"/>
          </w:rPr>
          <w:t>hub</w:t>
        </w:r>
      </w:hyperlink>
      <w:r>
        <w:rPr>
          <w:spacing w:val="-2"/>
        </w:rPr>
        <w:t xml:space="preserve"> </w:t>
      </w:r>
      <w:r>
        <w:t>that</w:t>
      </w:r>
      <w:r>
        <w:rPr>
          <w:spacing w:val="-2"/>
        </w:rPr>
        <w:t xml:space="preserve"> </w:t>
      </w:r>
      <w:r>
        <w:t>includes</w:t>
      </w:r>
      <w:r>
        <w:rPr>
          <w:spacing w:val="-2"/>
        </w:rPr>
        <w:t xml:space="preserve"> </w:t>
      </w:r>
      <w:r>
        <w:t>implementation</w:t>
      </w:r>
      <w:r>
        <w:rPr>
          <w:spacing w:val="-2"/>
        </w:rPr>
        <w:t xml:space="preserve"> </w:t>
      </w:r>
      <w:r>
        <w:t>resources</w:t>
      </w:r>
      <w:r>
        <w:rPr>
          <w:spacing w:val="-2"/>
        </w:rPr>
        <w:t xml:space="preserve"> </w:t>
      </w:r>
      <w:r>
        <w:t>and stories of success.</w:t>
      </w:r>
    </w:p>
    <w:p w14:paraId="5B5B06AB" w14:textId="77777777" w:rsidR="009D54AF" w:rsidRDefault="009D54AF">
      <w:pPr>
        <w:pStyle w:val="BodyText"/>
        <w:spacing w:before="65"/>
      </w:pPr>
    </w:p>
    <w:p w14:paraId="4E1BA6D6" w14:textId="77777777" w:rsidR="009D54AF" w:rsidRDefault="00000000">
      <w:pPr>
        <w:pStyle w:val="Heading5"/>
        <w:spacing w:before="1"/>
      </w:pPr>
      <w:r>
        <w:t>National</w:t>
      </w:r>
      <w:r>
        <w:rPr>
          <w:spacing w:val="-5"/>
        </w:rPr>
        <w:t xml:space="preserve"> </w:t>
      </w:r>
      <w:r>
        <w:t>coordination</w:t>
      </w:r>
      <w:r>
        <w:rPr>
          <w:spacing w:val="-5"/>
        </w:rPr>
        <w:t xml:space="preserve"> </w:t>
      </w:r>
      <w:r>
        <w:t>of</w:t>
      </w:r>
      <w:r>
        <w:rPr>
          <w:spacing w:val="-4"/>
        </w:rPr>
        <w:t xml:space="preserve"> </w:t>
      </w:r>
      <w:r>
        <w:rPr>
          <w:spacing w:val="-2"/>
        </w:rPr>
        <w:t>guidance</w:t>
      </w:r>
    </w:p>
    <w:p w14:paraId="15DC3BFB" w14:textId="77777777" w:rsidR="009D54AF" w:rsidRDefault="00000000">
      <w:pPr>
        <w:pStyle w:val="BodyText"/>
        <w:spacing w:before="132" w:line="278" w:lineRule="auto"/>
        <w:ind w:left="142" w:right="285"/>
      </w:pPr>
      <w:r>
        <w:t xml:space="preserve">Clinical guidance is an umbrella term for evidence-based documents that support clinical decision-making, with the aim of promoting safe, consistent and appropriate patient care. In 2024, the Commission’s Inter-Jurisdictional Committee identified the need for a national approach to coordinating clinical guidance to reduce duplication of effort and create greater efficiency and consistency across the Australian healthcare </w:t>
      </w:r>
      <w:r>
        <w:rPr>
          <w:spacing w:val="-2"/>
        </w:rPr>
        <w:t>system.</w:t>
      </w:r>
    </w:p>
    <w:p w14:paraId="3CF5D6AA" w14:textId="77777777" w:rsidR="009D54AF" w:rsidRDefault="00000000">
      <w:pPr>
        <w:pStyle w:val="BodyText"/>
        <w:spacing w:before="142" w:line="278" w:lineRule="auto"/>
        <w:ind w:left="142" w:right="228"/>
      </w:pPr>
      <w:r>
        <w:t xml:space="preserve">Between June 2024 and June 2025, an environmental scan and consultations with jurisdictional representatives, clinical experts and guidance developers across the country helped to frame the scope of this work. Key findings revealed several layers of complexity, including siloed development of guidance with unclear </w:t>
      </w:r>
      <w:proofErr w:type="spellStart"/>
      <w:r>
        <w:t>prioritisation</w:t>
      </w:r>
      <w:proofErr w:type="spellEnd"/>
      <w:r>
        <w:t xml:space="preserve"> rationales to support the case for new guidance; variations in implementation; ongoing costs</w:t>
      </w:r>
      <w:r>
        <w:rPr>
          <w:spacing w:val="-2"/>
        </w:rPr>
        <w:t xml:space="preserve"> </w:t>
      </w:r>
      <w:r>
        <w:t>to</w:t>
      </w:r>
      <w:r>
        <w:rPr>
          <w:spacing w:val="-2"/>
        </w:rPr>
        <w:t xml:space="preserve"> </w:t>
      </w:r>
      <w:r>
        <w:t>maintain</w:t>
      </w:r>
      <w:r>
        <w:rPr>
          <w:spacing w:val="-2"/>
        </w:rPr>
        <w:t xml:space="preserve"> </w:t>
      </w:r>
      <w:r>
        <w:t>the</w:t>
      </w:r>
      <w:r>
        <w:rPr>
          <w:spacing w:val="-2"/>
        </w:rPr>
        <w:t xml:space="preserve"> </w:t>
      </w:r>
      <w:r>
        <w:t>currency</w:t>
      </w:r>
      <w:r>
        <w:rPr>
          <w:spacing w:val="-2"/>
        </w:rPr>
        <w:t xml:space="preserve"> </w:t>
      </w:r>
      <w:r>
        <w:t>of</w:t>
      </w:r>
      <w:r>
        <w:rPr>
          <w:spacing w:val="-2"/>
        </w:rPr>
        <w:t xml:space="preserve"> </w:t>
      </w:r>
      <w:r>
        <w:t>guidance;</w:t>
      </w:r>
      <w:r>
        <w:rPr>
          <w:spacing w:val="-2"/>
        </w:rPr>
        <w:t xml:space="preserve"> </w:t>
      </w:r>
      <w:r>
        <w:t>and</w:t>
      </w:r>
      <w:r>
        <w:rPr>
          <w:spacing w:val="-2"/>
        </w:rPr>
        <w:t xml:space="preserve"> </w:t>
      </w:r>
      <w:r>
        <w:t>variations</w:t>
      </w:r>
      <w:r>
        <w:rPr>
          <w:spacing w:val="-2"/>
        </w:rPr>
        <w:t xml:space="preserve"> </w:t>
      </w:r>
      <w:r>
        <w:t>in</w:t>
      </w:r>
      <w:r>
        <w:rPr>
          <w:spacing w:val="-2"/>
        </w:rPr>
        <w:t xml:space="preserve"> </w:t>
      </w:r>
      <w:r>
        <w:t>governance</w:t>
      </w:r>
      <w:r>
        <w:rPr>
          <w:spacing w:val="-2"/>
        </w:rPr>
        <w:t xml:space="preserve"> </w:t>
      </w:r>
      <w:r>
        <w:t>and</w:t>
      </w:r>
      <w:r>
        <w:rPr>
          <w:spacing w:val="-2"/>
        </w:rPr>
        <w:t xml:space="preserve"> </w:t>
      </w:r>
      <w:r>
        <w:t>oversight</w:t>
      </w:r>
      <w:r>
        <w:rPr>
          <w:spacing w:val="-2"/>
        </w:rPr>
        <w:t xml:space="preserve"> </w:t>
      </w:r>
      <w:r>
        <w:t>processes.</w:t>
      </w:r>
      <w:r>
        <w:rPr>
          <w:spacing w:val="-2"/>
        </w:rPr>
        <w:t xml:space="preserve"> </w:t>
      </w:r>
      <w:r>
        <w:t>Examples of</w:t>
      </w:r>
      <w:r>
        <w:rPr>
          <w:spacing w:val="-5"/>
        </w:rPr>
        <w:t xml:space="preserve"> </w:t>
      </w:r>
      <w:r>
        <w:t>good</w:t>
      </w:r>
      <w:r>
        <w:rPr>
          <w:spacing w:val="-5"/>
        </w:rPr>
        <w:t xml:space="preserve"> </w:t>
      </w:r>
      <w:r>
        <w:t>practice</w:t>
      </w:r>
      <w:r>
        <w:rPr>
          <w:spacing w:val="-5"/>
        </w:rPr>
        <w:t xml:space="preserve"> </w:t>
      </w:r>
      <w:r>
        <w:t>were</w:t>
      </w:r>
      <w:r>
        <w:rPr>
          <w:spacing w:val="-5"/>
        </w:rPr>
        <w:t xml:space="preserve"> </w:t>
      </w:r>
      <w:r>
        <w:t>also</w:t>
      </w:r>
      <w:r>
        <w:rPr>
          <w:spacing w:val="-5"/>
        </w:rPr>
        <w:t xml:space="preserve"> </w:t>
      </w:r>
      <w:r>
        <w:t>discovered.</w:t>
      </w:r>
      <w:r>
        <w:rPr>
          <w:spacing w:val="-5"/>
        </w:rPr>
        <w:t xml:space="preserve"> </w:t>
      </w:r>
      <w:r>
        <w:t>For</w:t>
      </w:r>
      <w:r>
        <w:rPr>
          <w:spacing w:val="-5"/>
        </w:rPr>
        <w:t xml:space="preserve"> </w:t>
      </w:r>
      <w:r>
        <w:t>example,</w:t>
      </w:r>
      <w:r>
        <w:rPr>
          <w:spacing w:val="-5"/>
        </w:rPr>
        <w:t xml:space="preserve"> </w:t>
      </w:r>
      <w:r>
        <w:t>the</w:t>
      </w:r>
      <w:r>
        <w:rPr>
          <w:spacing w:val="-5"/>
        </w:rPr>
        <w:t xml:space="preserve"> </w:t>
      </w:r>
      <w:proofErr w:type="spellStart"/>
      <w:r>
        <w:t>Paediatric</w:t>
      </w:r>
      <w:proofErr w:type="spellEnd"/>
      <w:r>
        <w:rPr>
          <w:spacing w:val="-5"/>
        </w:rPr>
        <w:t xml:space="preserve"> </w:t>
      </w:r>
      <w:r>
        <w:t>Improvement</w:t>
      </w:r>
      <w:r>
        <w:rPr>
          <w:spacing w:val="-5"/>
        </w:rPr>
        <w:t xml:space="preserve"> </w:t>
      </w:r>
      <w:r>
        <w:t>Collaborative</w:t>
      </w:r>
      <w:r>
        <w:rPr>
          <w:spacing w:val="-5"/>
        </w:rPr>
        <w:t xml:space="preserve"> </w:t>
      </w:r>
      <w:r>
        <w:t>(PIC)</w:t>
      </w:r>
      <w:r>
        <w:rPr>
          <w:spacing w:val="-5"/>
        </w:rPr>
        <w:t xml:space="preserve"> </w:t>
      </w:r>
      <w:r>
        <w:t xml:space="preserve">involves all jurisdictions working together to develop nationally coordinated, high-quality guidance for a shared topic area of </w:t>
      </w:r>
      <w:proofErr w:type="spellStart"/>
      <w:r>
        <w:t>paediatric</w:t>
      </w:r>
      <w:proofErr w:type="spellEnd"/>
      <w:r>
        <w:t xml:space="preserve"> care (see case study below).</w:t>
      </w:r>
    </w:p>
    <w:p w14:paraId="5D853026" w14:textId="7C846635" w:rsidR="009D54AF" w:rsidRDefault="00000000" w:rsidP="003F1A04">
      <w:pPr>
        <w:pStyle w:val="BodyText"/>
        <w:spacing w:before="140" w:line="278" w:lineRule="auto"/>
        <w:ind w:left="142" w:right="285"/>
      </w:pPr>
      <w:r>
        <w:t>The final project report recommended that the Commission explore opportunities to scale effective elements of the PIC model across the health system. The report also recommended that the Commission consider</w:t>
      </w:r>
      <w:r w:rsidR="003F1A04">
        <w:t xml:space="preserve"> </w:t>
      </w:r>
      <w:bookmarkStart w:id="33" w:name="_bookmark8"/>
      <w:bookmarkEnd w:id="33"/>
      <w:r>
        <w:t>emerging</w:t>
      </w:r>
      <w:r>
        <w:rPr>
          <w:spacing w:val="-3"/>
        </w:rPr>
        <w:t xml:space="preserve"> </w:t>
      </w:r>
      <w:r>
        <w:t>digital</w:t>
      </w:r>
      <w:r>
        <w:rPr>
          <w:spacing w:val="-3"/>
        </w:rPr>
        <w:t xml:space="preserve"> </w:t>
      </w:r>
      <w:r>
        <w:t>health</w:t>
      </w:r>
      <w:r>
        <w:rPr>
          <w:spacing w:val="-3"/>
        </w:rPr>
        <w:t xml:space="preserve"> </w:t>
      </w:r>
      <w:r>
        <w:t>innovations,</w:t>
      </w:r>
      <w:r>
        <w:rPr>
          <w:spacing w:val="-3"/>
        </w:rPr>
        <w:t xml:space="preserve"> </w:t>
      </w:r>
      <w:r>
        <w:t>including</w:t>
      </w:r>
      <w:r>
        <w:rPr>
          <w:spacing w:val="-3"/>
        </w:rPr>
        <w:t xml:space="preserve"> </w:t>
      </w:r>
      <w:r>
        <w:t>the</w:t>
      </w:r>
      <w:r>
        <w:rPr>
          <w:spacing w:val="-3"/>
        </w:rPr>
        <w:t xml:space="preserve"> </w:t>
      </w:r>
      <w:r>
        <w:t>Department</w:t>
      </w:r>
      <w:r>
        <w:rPr>
          <w:spacing w:val="-3"/>
        </w:rPr>
        <w:t xml:space="preserve"> </w:t>
      </w:r>
      <w:r>
        <w:t>of</w:t>
      </w:r>
      <w:r>
        <w:rPr>
          <w:spacing w:val="-3"/>
        </w:rPr>
        <w:t xml:space="preserve"> </w:t>
      </w:r>
      <w:r>
        <w:t>Health,</w:t>
      </w:r>
      <w:r>
        <w:rPr>
          <w:spacing w:val="-3"/>
        </w:rPr>
        <w:t xml:space="preserve"> </w:t>
      </w:r>
      <w:r>
        <w:t>Disability</w:t>
      </w:r>
      <w:r>
        <w:rPr>
          <w:spacing w:val="-3"/>
        </w:rPr>
        <w:t xml:space="preserve"> </w:t>
      </w:r>
      <w:r>
        <w:t>and</w:t>
      </w:r>
      <w:r>
        <w:rPr>
          <w:spacing w:val="-3"/>
        </w:rPr>
        <w:t xml:space="preserve"> </w:t>
      </w:r>
      <w:r>
        <w:t>Ageing’s</w:t>
      </w:r>
      <w:r>
        <w:rPr>
          <w:spacing w:val="-3"/>
        </w:rPr>
        <w:t xml:space="preserve"> </w:t>
      </w:r>
      <w:r>
        <w:t>feasibility assessment of an electronic clinical decision support system that would enable a more connected digital health system and support tailored clinical decisions using a clinically trusted knowledge base. The Commission has an advisory role in supporting this work.</w:t>
      </w:r>
    </w:p>
    <w:p w14:paraId="243B7F2B" w14:textId="55B96B93" w:rsidR="00D13873" w:rsidRDefault="00D13873">
      <w:pPr>
        <w:rPr>
          <w:sz w:val="20"/>
          <w:szCs w:val="21"/>
        </w:rPr>
      </w:pPr>
      <w:r>
        <w:rPr>
          <w:sz w:val="20"/>
        </w:rPr>
        <w:br w:type="page"/>
      </w:r>
    </w:p>
    <w:p w14:paraId="4560BF31" w14:textId="77777777" w:rsidR="009D54AF" w:rsidRDefault="009D54AF">
      <w:pPr>
        <w:pStyle w:val="BodyText"/>
        <w:spacing w:before="133" w:after="1"/>
        <w:rPr>
          <w:sz w:val="20"/>
        </w:rPr>
      </w:pPr>
    </w:p>
    <w:tbl>
      <w:tblPr>
        <w:tblW w:w="0" w:type="auto"/>
        <w:tblInd w:w="167" w:type="dxa"/>
        <w:tblBorders>
          <w:top w:val="single" w:sz="18" w:space="0" w:color="007CAE"/>
          <w:left w:val="single" w:sz="18" w:space="0" w:color="007CAE"/>
          <w:bottom w:val="single" w:sz="18" w:space="0" w:color="007CAE"/>
          <w:right w:val="single" w:sz="18" w:space="0" w:color="007CAE"/>
          <w:insideH w:val="single" w:sz="18" w:space="0" w:color="007CAE"/>
          <w:insideV w:val="single" w:sz="18" w:space="0" w:color="007CAE"/>
        </w:tblBorders>
        <w:tblLayout w:type="fixed"/>
        <w:tblCellMar>
          <w:left w:w="0" w:type="dxa"/>
          <w:right w:w="0" w:type="dxa"/>
        </w:tblCellMar>
        <w:tblLook w:val="01E0" w:firstRow="1" w:lastRow="1" w:firstColumn="1" w:lastColumn="1" w:noHBand="0" w:noVBand="0"/>
      </w:tblPr>
      <w:tblGrid>
        <w:gridCol w:w="10205"/>
      </w:tblGrid>
      <w:tr w:rsidR="009D54AF" w14:paraId="6E7779A4" w14:textId="77777777">
        <w:trPr>
          <w:trHeight w:val="633"/>
        </w:trPr>
        <w:tc>
          <w:tcPr>
            <w:tcW w:w="10205" w:type="dxa"/>
            <w:shd w:val="clear" w:color="auto" w:fill="B3E1EA"/>
          </w:tcPr>
          <w:p w14:paraId="198A6CAA" w14:textId="77777777" w:rsidR="009D54AF" w:rsidRDefault="00000000">
            <w:pPr>
              <w:pStyle w:val="TableParagraph"/>
              <w:spacing w:before="154"/>
              <w:ind w:left="280"/>
              <w:rPr>
                <w:b/>
                <w:sz w:val="24"/>
              </w:rPr>
            </w:pPr>
            <w:r>
              <w:rPr>
                <w:b/>
                <w:sz w:val="24"/>
              </w:rPr>
              <w:t>Case</w:t>
            </w:r>
            <w:r>
              <w:rPr>
                <w:b/>
                <w:spacing w:val="-8"/>
                <w:sz w:val="24"/>
              </w:rPr>
              <w:t xml:space="preserve"> </w:t>
            </w:r>
            <w:r>
              <w:rPr>
                <w:b/>
                <w:sz w:val="24"/>
              </w:rPr>
              <w:t>study:</w:t>
            </w:r>
            <w:r>
              <w:rPr>
                <w:b/>
                <w:spacing w:val="-6"/>
                <w:sz w:val="24"/>
              </w:rPr>
              <w:t xml:space="preserve"> </w:t>
            </w:r>
            <w:proofErr w:type="spellStart"/>
            <w:r>
              <w:rPr>
                <w:b/>
                <w:sz w:val="24"/>
              </w:rPr>
              <w:t>Paediatric</w:t>
            </w:r>
            <w:proofErr w:type="spellEnd"/>
            <w:r>
              <w:rPr>
                <w:b/>
                <w:spacing w:val="-6"/>
                <w:sz w:val="24"/>
              </w:rPr>
              <w:t xml:space="preserve"> </w:t>
            </w:r>
            <w:r>
              <w:rPr>
                <w:b/>
                <w:sz w:val="24"/>
              </w:rPr>
              <w:t>Improvement</w:t>
            </w:r>
            <w:r>
              <w:rPr>
                <w:b/>
                <w:spacing w:val="-5"/>
                <w:sz w:val="24"/>
              </w:rPr>
              <w:t xml:space="preserve"> </w:t>
            </w:r>
            <w:r>
              <w:rPr>
                <w:b/>
                <w:spacing w:val="-2"/>
                <w:sz w:val="24"/>
              </w:rPr>
              <w:t>Collaborative</w:t>
            </w:r>
          </w:p>
        </w:tc>
      </w:tr>
      <w:tr w:rsidR="009D54AF" w14:paraId="2778A620" w14:textId="77777777">
        <w:trPr>
          <w:trHeight w:val="2475"/>
        </w:trPr>
        <w:tc>
          <w:tcPr>
            <w:tcW w:w="10205" w:type="dxa"/>
            <w:shd w:val="clear" w:color="auto" w:fill="ECF7FA"/>
          </w:tcPr>
          <w:p w14:paraId="78827825" w14:textId="77777777" w:rsidR="009D54AF" w:rsidRDefault="00000000">
            <w:pPr>
              <w:pStyle w:val="TableParagraph"/>
              <w:spacing w:before="180" w:line="278" w:lineRule="auto"/>
              <w:ind w:left="280" w:right="316"/>
              <w:rPr>
                <w:sz w:val="21"/>
              </w:rPr>
            </w:pPr>
            <w:r>
              <w:rPr>
                <w:sz w:val="21"/>
              </w:rPr>
              <w:t>The</w:t>
            </w:r>
            <w:r>
              <w:rPr>
                <w:spacing w:val="-5"/>
                <w:sz w:val="21"/>
              </w:rPr>
              <w:t xml:space="preserve"> </w:t>
            </w:r>
            <w:proofErr w:type="spellStart"/>
            <w:r>
              <w:rPr>
                <w:sz w:val="21"/>
              </w:rPr>
              <w:t>Paediatric</w:t>
            </w:r>
            <w:proofErr w:type="spellEnd"/>
            <w:r>
              <w:rPr>
                <w:spacing w:val="-5"/>
                <w:sz w:val="21"/>
              </w:rPr>
              <w:t xml:space="preserve"> </w:t>
            </w:r>
            <w:r>
              <w:rPr>
                <w:sz w:val="21"/>
              </w:rPr>
              <w:t>Improvement</w:t>
            </w:r>
            <w:r>
              <w:rPr>
                <w:spacing w:val="-5"/>
                <w:sz w:val="21"/>
              </w:rPr>
              <w:t xml:space="preserve"> </w:t>
            </w:r>
            <w:r>
              <w:rPr>
                <w:sz w:val="21"/>
              </w:rPr>
              <w:t>Collaborative</w:t>
            </w:r>
            <w:r>
              <w:rPr>
                <w:spacing w:val="-5"/>
                <w:sz w:val="21"/>
              </w:rPr>
              <w:t xml:space="preserve"> </w:t>
            </w:r>
            <w:r>
              <w:rPr>
                <w:sz w:val="21"/>
              </w:rPr>
              <w:t>(PIC)</w:t>
            </w:r>
            <w:r>
              <w:rPr>
                <w:spacing w:val="-5"/>
                <w:sz w:val="21"/>
              </w:rPr>
              <w:t xml:space="preserve"> </w:t>
            </w:r>
            <w:r>
              <w:rPr>
                <w:sz w:val="21"/>
              </w:rPr>
              <w:t>was</w:t>
            </w:r>
            <w:r>
              <w:rPr>
                <w:spacing w:val="-5"/>
                <w:sz w:val="21"/>
              </w:rPr>
              <w:t xml:space="preserve"> </w:t>
            </w:r>
            <w:r>
              <w:rPr>
                <w:sz w:val="21"/>
              </w:rPr>
              <w:t>formed</w:t>
            </w:r>
            <w:r>
              <w:rPr>
                <w:spacing w:val="-5"/>
                <w:sz w:val="21"/>
              </w:rPr>
              <w:t xml:space="preserve"> </w:t>
            </w:r>
            <w:r>
              <w:rPr>
                <w:sz w:val="21"/>
              </w:rPr>
              <w:t>in</w:t>
            </w:r>
            <w:r>
              <w:rPr>
                <w:spacing w:val="-5"/>
                <w:sz w:val="21"/>
              </w:rPr>
              <w:t xml:space="preserve"> </w:t>
            </w:r>
            <w:r>
              <w:rPr>
                <w:sz w:val="21"/>
              </w:rPr>
              <w:t>2018</w:t>
            </w:r>
            <w:r>
              <w:rPr>
                <w:spacing w:val="-5"/>
                <w:sz w:val="21"/>
              </w:rPr>
              <w:t xml:space="preserve"> </w:t>
            </w:r>
            <w:r>
              <w:rPr>
                <w:sz w:val="21"/>
              </w:rPr>
              <w:t>as</w:t>
            </w:r>
            <w:r>
              <w:rPr>
                <w:spacing w:val="-5"/>
                <w:sz w:val="21"/>
              </w:rPr>
              <w:t xml:space="preserve"> </w:t>
            </w:r>
            <w:r>
              <w:rPr>
                <w:sz w:val="21"/>
              </w:rPr>
              <w:t>a</w:t>
            </w:r>
            <w:r>
              <w:rPr>
                <w:spacing w:val="-5"/>
                <w:sz w:val="21"/>
              </w:rPr>
              <w:t xml:space="preserve"> </w:t>
            </w:r>
            <w:r>
              <w:rPr>
                <w:sz w:val="21"/>
              </w:rPr>
              <w:t>tri-state</w:t>
            </w:r>
            <w:r>
              <w:rPr>
                <w:spacing w:val="-5"/>
                <w:sz w:val="21"/>
              </w:rPr>
              <w:t xml:space="preserve"> </w:t>
            </w:r>
            <w:r>
              <w:rPr>
                <w:sz w:val="21"/>
              </w:rPr>
              <w:t>initiative</w:t>
            </w:r>
            <w:r>
              <w:rPr>
                <w:spacing w:val="-5"/>
                <w:sz w:val="21"/>
              </w:rPr>
              <w:t xml:space="preserve"> </w:t>
            </w:r>
            <w:r>
              <w:rPr>
                <w:sz w:val="21"/>
              </w:rPr>
              <w:t>between New South Wales, Queensland and Victoria, under the auspices of the Royal Children’s Hospital Melbourne.</w:t>
            </w:r>
            <w:r>
              <w:rPr>
                <w:spacing w:val="-1"/>
                <w:sz w:val="21"/>
              </w:rPr>
              <w:t xml:space="preserve"> </w:t>
            </w:r>
            <w:r>
              <w:rPr>
                <w:sz w:val="21"/>
              </w:rPr>
              <w:t>It</w:t>
            </w:r>
            <w:r>
              <w:rPr>
                <w:spacing w:val="-1"/>
                <w:sz w:val="21"/>
              </w:rPr>
              <w:t xml:space="preserve"> </w:t>
            </w:r>
            <w:r>
              <w:rPr>
                <w:sz w:val="21"/>
              </w:rPr>
              <w:t>identified</w:t>
            </w:r>
            <w:r>
              <w:rPr>
                <w:spacing w:val="-1"/>
                <w:sz w:val="21"/>
              </w:rPr>
              <w:t xml:space="preserve"> </w:t>
            </w:r>
            <w:r>
              <w:rPr>
                <w:sz w:val="21"/>
              </w:rPr>
              <w:t>opportunities</w:t>
            </w:r>
            <w:r>
              <w:rPr>
                <w:spacing w:val="-1"/>
                <w:sz w:val="21"/>
              </w:rPr>
              <w:t xml:space="preserve"> </w:t>
            </w:r>
            <w:r>
              <w:rPr>
                <w:sz w:val="21"/>
              </w:rPr>
              <w:t>to</w:t>
            </w:r>
            <w:r>
              <w:rPr>
                <w:spacing w:val="-1"/>
                <w:sz w:val="21"/>
              </w:rPr>
              <w:t xml:space="preserve"> </w:t>
            </w:r>
            <w:r>
              <w:rPr>
                <w:sz w:val="21"/>
              </w:rPr>
              <w:t>develop</w:t>
            </w:r>
            <w:r>
              <w:rPr>
                <w:spacing w:val="-1"/>
                <w:sz w:val="21"/>
              </w:rPr>
              <w:t xml:space="preserve"> </w:t>
            </w:r>
            <w:r>
              <w:rPr>
                <w:sz w:val="21"/>
              </w:rPr>
              <w:t>and</w:t>
            </w:r>
            <w:r>
              <w:rPr>
                <w:spacing w:val="-1"/>
                <w:sz w:val="21"/>
              </w:rPr>
              <w:t xml:space="preserve"> </w:t>
            </w:r>
            <w:r>
              <w:rPr>
                <w:sz w:val="21"/>
              </w:rPr>
              <w:t>maintain</w:t>
            </w:r>
            <w:r>
              <w:rPr>
                <w:spacing w:val="-1"/>
                <w:sz w:val="21"/>
              </w:rPr>
              <w:t xml:space="preserve"> </w:t>
            </w:r>
            <w:r>
              <w:rPr>
                <w:sz w:val="21"/>
              </w:rPr>
              <w:t>shared</w:t>
            </w:r>
            <w:r>
              <w:rPr>
                <w:spacing w:val="-1"/>
                <w:sz w:val="21"/>
              </w:rPr>
              <w:t xml:space="preserve"> </w:t>
            </w:r>
            <w:r>
              <w:rPr>
                <w:sz w:val="21"/>
              </w:rPr>
              <w:t>clinical</w:t>
            </w:r>
            <w:r>
              <w:rPr>
                <w:spacing w:val="-1"/>
                <w:sz w:val="21"/>
              </w:rPr>
              <w:t xml:space="preserve"> </w:t>
            </w:r>
            <w:r>
              <w:rPr>
                <w:sz w:val="21"/>
              </w:rPr>
              <w:t>guidelines</w:t>
            </w:r>
            <w:r>
              <w:rPr>
                <w:spacing w:val="-1"/>
                <w:sz w:val="21"/>
              </w:rPr>
              <w:t xml:space="preserve"> </w:t>
            </w:r>
            <w:r>
              <w:rPr>
                <w:sz w:val="21"/>
              </w:rPr>
              <w:t>on</w:t>
            </w:r>
            <w:r>
              <w:rPr>
                <w:spacing w:val="-1"/>
                <w:sz w:val="21"/>
              </w:rPr>
              <w:t xml:space="preserve"> </w:t>
            </w:r>
            <w:r>
              <w:rPr>
                <w:sz w:val="21"/>
              </w:rPr>
              <w:t xml:space="preserve">selected </w:t>
            </w:r>
            <w:proofErr w:type="spellStart"/>
            <w:r>
              <w:rPr>
                <w:sz w:val="21"/>
              </w:rPr>
              <w:t>paediatric</w:t>
            </w:r>
            <w:proofErr w:type="spellEnd"/>
            <w:r>
              <w:rPr>
                <w:sz w:val="21"/>
              </w:rPr>
              <w:t xml:space="preserve"> topics when a national approach can contribute to better practice, reducing variation.</w:t>
            </w:r>
          </w:p>
          <w:p w14:paraId="40480F1D" w14:textId="77777777" w:rsidR="009D54AF" w:rsidRDefault="00000000">
            <w:pPr>
              <w:pStyle w:val="TableParagraph"/>
              <w:spacing w:before="113" w:line="278" w:lineRule="auto"/>
              <w:ind w:left="280"/>
              <w:rPr>
                <w:sz w:val="21"/>
              </w:rPr>
            </w:pPr>
            <w:r>
              <w:rPr>
                <w:sz w:val="21"/>
              </w:rPr>
              <w:t>Now a national initiative, the PIC has evolved its governance arrangements to strengthen inter-jurisdictional</w:t>
            </w:r>
            <w:r>
              <w:rPr>
                <w:spacing w:val="-3"/>
                <w:sz w:val="21"/>
              </w:rPr>
              <w:t xml:space="preserve"> </w:t>
            </w:r>
            <w:r>
              <w:rPr>
                <w:sz w:val="21"/>
              </w:rPr>
              <w:t>relationships</w:t>
            </w:r>
            <w:r>
              <w:rPr>
                <w:spacing w:val="-3"/>
                <w:sz w:val="21"/>
              </w:rPr>
              <w:t xml:space="preserve"> </w:t>
            </w:r>
            <w:r>
              <w:rPr>
                <w:sz w:val="21"/>
              </w:rPr>
              <w:t>and</w:t>
            </w:r>
            <w:r>
              <w:rPr>
                <w:spacing w:val="-3"/>
                <w:sz w:val="21"/>
              </w:rPr>
              <w:t xml:space="preserve"> </w:t>
            </w:r>
            <w:r>
              <w:rPr>
                <w:sz w:val="21"/>
              </w:rPr>
              <w:t>collaboration</w:t>
            </w:r>
            <w:r>
              <w:rPr>
                <w:spacing w:val="-3"/>
                <w:sz w:val="21"/>
              </w:rPr>
              <w:t xml:space="preserve"> </w:t>
            </w:r>
            <w:r>
              <w:rPr>
                <w:sz w:val="21"/>
              </w:rPr>
              <w:t>and</w:t>
            </w:r>
            <w:r>
              <w:rPr>
                <w:spacing w:val="-3"/>
                <w:sz w:val="21"/>
              </w:rPr>
              <w:t xml:space="preserve"> </w:t>
            </w:r>
            <w:r>
              <w:rPr>
                <w:sz w:val="21"/>
              </w:rPr>
              <w:t>expand</w:t>
            </w:r>
            <w:r>
              <w:rPr>
                <w:spacing w:val="-3"/>
                <w:sz w:val="21"/>
              </w:rPr>
              <w:t xml:space="preserve"> </w:t>
            </w:r>
            <w:r>
              <w:rPr>
                <w:sz w:val="21"/>
              </w:rPr>
              <w:t>the</w:t>
            </w:r>
            <w:r>
              <w:rPr>
                <w:spacing w:val="-3"/>
                <w:sz w:val="21"/>
              </w:rPr>
              <w:t xml:space="preserve"> </w:t>
            </w:r>
            <w:r>
              <w:rPr>
                <w:sz w:val="21"/>
              </w:rPr>
              <w:t>range</w:t>
            </w:r>
            <w:r>
              <w:rPr>
                <w:spacing w:val="-3"/>
                <w:sz w:val="21"/>
              </w:rPr>
              <w:t xml:space="preserve"> </w:t>
            </w:r>
            <w:r>
              <w:rPr>
                <w:sz w:val="21"/>
              </w:rPr>
              <w:t>of</w:t>
            </w:r>
            <w:r>
              <w:rPr>
                <w:spacing w:val="-3"/>
                <w:sz w:val="21"/>
              </w:rPr>
              <w:t xml:space="preserve"> </w:t>
            </w:r>
            <w:r>
              <w:rPr>
                <w:sz w:val="21"/>
              </w:rPr>
              <w:t>national</w:t>
            </w:r>
            <w:r>
              <w:rPr>
                <w:spacing w:val="-3"/>
                <w:sz w:val="21"/>
              </w:rPr>
              <w:t xml:space="preserve"> </w:t>
            </w:r>
            <w:r>
              <w:rPr>
                <w:sz w:val="21"/>
              </w:rPr>
              <w:t>guidelines</w:t>
            </w:r>
            <w:r>
              <w:rPr>
                <w:spacing w:val="-3"/>
                <w:sz w:val="21"/>
              </w:rPr>
              <w:t xml:space="preserve"> </w:t>
            </w:r>
            <w:r>
              <w:rPr>
                <w:sz w:val="21"/>
              </w:rPr>
              <w:t>available</w:t>
            </w:r>
            <w:r>
              <w:rPr>
                <w:spacing w:val="-3"/>
                <w:sz w:val="21"/>
              </w:rPr>
              <w:t xml:space="preserve"> </w:t>
            </w:r>
            <w:r>
              <w:rPr>
                <w:sz w:val="21"/>
              </w:rPr>
              <w:t>to support the delivery of safe, consistent care.</w:t>
            </w:r>
          </w:p>
        </w:tc>
      </w:tr>
    </w:tbl>
    <w:p w14:paraId="5A89E441" w14:textId="77777777" w:rsidR="009D54AF" w:rsidRDefault="009D54AF">
      <w:pPr>
        <w:pStyle w:val="BodyText"/>
        <w:spacing w:before="6"/>
        <w:rPr>
          <w:sz w:val="30"/>
        </w:rPr>
      </w:pPr>
    </w:p>
    <w:p w14:paraId="77066827" w14:textId="77777777" w:rsidR="009D54AF" w:rsidRDefault="00000000">
      <w:pPr>
        <w:pStyle w:val="Heading5"/>
      </w:pPr>
      <w:r>
        <w:t>National</w:t>
      </w:r>
      <w:r>
        <w:rPr>
          <w:spacing w:val="-1"/>
        </w:rPr>
        <w:t xml:space="preserve"> </w:t>
      </w:r>
      <w:r>
        <w:t>Safety</w:t>
      </w:r>
      <w:r>
        <w:rPr>
          <w:spacing w:val="2"/>
        </w:rPr>
        <w:t xml:space="preserve"> </w:t>
      </w:r>
      <w:r>
        <w:t>and</w:t>
      </w:r>
      <w:r>
        <w:rPr>
          <w:spacing w:val="2"/>
        </w:rPr>
        <w:t xml:space="preserve"> </w:t>
      </w:r>
      <w:r>
        <w:t>Quality</w:t>
      </w:r>
      <w:r>
        <w:rPr>
          <w:spacing w:val="2"/>
        </w:rPr>
        <w:t xml:space="preserve"> </w:t>
      </w:r>
      <w:r>
        <w:t>Health</w:t>
      </w:r>
      <w:r>
        <w:rPr>
          <w:spacing w:val="2"/>
        </w:rPr>
        <w:t xml:space="preserve"> </w:t>
      </w:r>
      <w:r>
        <w:t>Service</w:t>
      </w:r>
      <w:r>
        <w:rPr>
          <w:spacing w:val="2"/>
        </w:rPr>
        <w:t xml:space="preserve"> </w:t>
      </w:r>
      <w:r>
        <w:rPr>
          <w:spacing w:val="-2"/>
        </w:rPr>
        <w:t>Standards</w:t>
      </w:r>
    </w:p>
    <w:p w14:paraId="4BD69881" w14:textId="77777777" w:rsidR="009D54AF" w:rsidRDefault="00000000">
      <w:pPr>
        <w:pStyle w:val="BodyText"/>
        <w:spacing w:before="133" w:line="278" w:lineRule="auto"/>
        <w:ind w:left="142" w:right="285"/>
      </w:pPr>
      <w:r>
        <w:t>The</w:t>
      </w:r>
      <w:r>
        <w:rPr>
          <w:spacing w:val="-1"/>
        </w:rPr>
        <w:t xml:space="preserve"> </w:t>
      </w:r>
      <w:r>
        <w:t>National</w:t>
      </w:r>
      <w:r>
        <w:rPr>
          <w:spacing w:val="-1"/>
        </w:rPr>
        <w:t xml:space="preserve"> </w:t>
      </w:r>
      <w:r>
        <w:t>Safety</w:t>
      </w:r>
      <w:r>
        <w:rPr>
          <w:spacing w:val="-1"/>
        </w:rPr>
        <w:t xml:space="preserve"> </w:t>
      </w:r>
      <w:r>
        <w:t>and</w:t>
      </w:r>
      <w:r>
        <w:rPr>
          <w:spacing w:val="-1"/>
        </w:rPr>
        <w:t xml:space="preserve"> </w:t>
      </w:r>
      <w:r>
        <w:t>Quality</w:t>
      </w:r>
      <w:r>
        <w:rPr>
          <w:spacing w:val="-1"/>
        </w:rPr>
        <w:t xml:space="preserve"> </w:t>
      </w:r>
      <w:r>
        <w:t>Health</w:t>
      </w:r>
      <w:r>
        <w:rPr>
          <w:spacing w:val="-1"/>
        </w:rPr>
        <w:t xml:space="preserve"> </w:t>
      </w:r>
      <w:r>
        <w:t>Service</w:t>
      </w:r>
      <w:r>
        <w:rPr>
          <w:spacing w:val="-1"/>
        </w:rPr>
        <w:t xml:space="preserve"> </w:t>
      </w:r>
      <w:r>
        <w:t>(NSQHS)</w:t>
      </w:r>
      <w:r>
        <w:rPr>
          <w:spacing w:val="-1"/>
        </w:rPr>
        <w:t xml:space="preserve"> </w:t>
      </w:r>
      <w:r>
        <w:t>Standards</w:t>
      </w:r>
      <w:r>
        <w:rPr>
          <w:spacing w:val="-1"/>
        </w:rPr>
        <w:t xml:space="preserve"> </w:t>
      </w:r>
      <w:r>
        <w:t>specify</w:t>
      </w:r>
      <w:r>
        <w:rPr>
          <w:spacing w:val="-1"/>
        </w:rPr>
        <w:t xml:space="preserve"> </w:t>
      </w:r>
      <w:r>
        <w:t>the</w:t>
      </w:r>
      <w:r>
        <w:rPr>
          <w:spacing w:val="-1"/>
        </w:rPr>
        <w:t xml:space="preserve"> </w:t>
      </w:r>
      <w:r>
        <w:t>safety</w:t>
      </w:r>
      <w:r>
        <w:rPr>
          <w:spacing w:val="-1"/>
        </w:rPr>
        <w:t xml:space="preserve"> </w:t>
      </w:r>
      <w:r>
        <w:t>and</w:t>
      </w:r>
      <w:r>
        <w:rPr>
          <w:spacing w:val="-1"/>
        </w:rPr>
        <w:t xml:space="preserve"> </w:t>
      </w:r>
      <w:r>
        <w:t>quality</w:t>
      </w:r>
      <w:r>
        <w:rPr>
          <w:spacing w:val="-1"/>
        </w:rPr>
        <w:t xml:space="preserve"> </w:t>
      </w:r>
      <w:r>
        <w:t>systems and processes a health service must establish and use to support the delivery of high-quality care.</w:t>
      </w:r>
    </w:p>
    <w:p w14:paraId="02A55BEB" w14:textId="77777777" w:rsidR="009D54AF" w:rsidRDefault="00000000">
      <w:pPr>
        <w:pStyle w:val="BodyText"/>
        <w:spacing w:before="141" w:line="278" w:lineRule="auto"/>
        <w:ind w:left="142"/>
      </w:pPr>
      <w:r>
        <w:t>The</w:t>
      </w:r>
      <w:r>
        <w:rPr>
          <w:spacing w:val="-2"/>
        </w:rPr>
        <w:t xml:space="preserve"> </w:t>
      </w:r>
      <w:r>
        <w:t>second</w:t>
      </w:r>
      <w:r>
        <w:rPr>
          <w:spacing w:val="-2"/>
        </w:rPr>
        <w:t xml:space="preserve"> </w:t>
      </w:r>
      <w:r>
        <w:t>edition</w:t>
      </w:r>
      <w:r>
        <w:rPr>
          <w:spacing w:val="-2"/>
        </w:rPr>
        <w:t xml:space="preserve"> </w:t>
      </w:r>
      <w:r>
        <w:t>of</w:t>
      </w:r>
      <w:r>
        <w:rPr>
          <w:spacing w:val="-2"/>
        </w:rPr>
        <w:t xml:space="preserve"> </w:t>
      </w:r>
      <w:r>
        <w:t>the</w:t>
      </w:r>
      <w:r>
        <w:rPr>
          <w:spacing w:val="-2"/>
        </w:rPr>
        <w:t xml:space="preserve"> </w:t>
      </w:r>
      <w:r>
        <w:t>NSQHS</w:t>
      </w:r>
      <w:r>
        <w:rPr>
          <w:spacing w:val="-2"/>
        </w:rPr>
        <w:t xml:space="preserve"> </w:t>
      </w:r>
      <w:r>
        <w:t>Standards</w:t>
      </w:r>
      <w:r>
        <w:rPr>
          <w:spacing w:val="-2"/>
        </w:rPr>
        <w:t xml:space="preserve"> </w:t>
      </w:r>
      <w:r>
        <w:t>was</w:t>
      </w:r>
      <w:r>
        <w:rPr>
          <w:spacing w:val="-2"/>
        </w:rPr>
        <w:t xml:space="preserve"> </w:t>
      </w:r>
      <w:r>
        <w:t>implemented</w:t>
      </w:r>
      <w:r>
        <w:rPr>
          <w:spacing w:val="-2"/>
        </w:rPr>
        <w:t xml:space="preserve"> </w:t>
      </w:r>
      <w:r>
        <w:t>in</w:t>
      </w:r>
      <w:r>
        <w:rPr>
          <w:spacing w:val="-2"/>
        </w:rPr>
        <w:t xml:space="preserve"> </w:t>
      </w:r>
      <w:r>
        <w:t>2017</w:t>
      </w:r>
      <w:r>
        <w:rPr>
          <w:spacing w:val="-2"/>
        </w:rPr>
        <w:t xml:space="preserve"> </w:t>
      </w:r>
      <w:r>
        <w:t>and</w:t>
      </w:r>
      <w:r>
        <w:rPr>
          <w:spacing w:val="-2"/>
        </w:rPr>
        <w:t xml:space="preserve"> </w:t>
      </w:r>
      <w:r>
        <w:t>assessment</w:t>
      </w:r>
      <w:r>
        <w:rPr>
          <w:spacing w:val="-2"/>
        </w:rPr>
        <w:t xml:space="preserve"> </w:t>
      </w:r>
      <w:r>
        <w:t>of</w:t>
      </w:r>
      <w:r>
        <w:rPr>
          <w:spacing w:val="-2"/>
        </w:rPr>
        <w:t xml:space="preserve"> </w:t>
      </w:r>
      <w:r>
        <w:t>health</w:t>
      </w:r>
      <w:r>
        <w:rPr>
          <w:spacing w:val="-2"/>
        </w:rPr>
        <w:t xml:space="preserve"> </w:t>
      </w:r>
      <w:r>
        <w:t>services commenced in January 2019. These standards apply in public, private and day hospitals. When fully implemented, they can improve the safety and quality of care provided and protect patients from harm.</w:t>
      </w:r>
    </w:p>
    <w:p w14:paraId="1CC3EBB0" w14:textId="77777777" w:rsidR="009D54AF" w:rsidRDefault="00000000">
      <w:pPr>
        <w:pStyle w:val="BodyText"/>
        <w:spacing w:before="141" w:line="278" w:lineRule="auto"/>
        <w:ind w:left="142" w:right="260"/>
        <w:jc w:val="both"/>
      </w:pPr>
      <w:r>
        <w:t>All hospitals in Australia are required to implement the NSQHS Standards. A key requirement of the NSQHS Standards</w:t>
      </w:r>
      <w:r>
        <w:rPr>
          <w:spacing w:val="-1"/>
        </w:rPr>
        <w:t xml:space="preserve"> </w:t>
      </w:r>
      <w:r>
        <w:t>is</w:t>
      </w:r>
      <w:r>
        <w:rPr>
          <w:spacing w:val="-1"/>
        </w:rPr>
        <w:t xml:space="preserve"> </w:t>
      </w:r>
      <w:r>
        <w:t>that</w:t>
      </w:r>
      <w:r>
        <w:rPr>
          <w:spacing w:val="-1"/>
        </w:rPr>
        <w:t xml:space="preserve"> </w:t>
      </w:r>
      <w:r>
        <w:t>health</w:t>
      </w:r>
      <w:r>
        <w:rPr>
          <w:spacing w:val="-1"/>
        </w:rPr>
        <w:t xml:space="preserve"> </w:t>
      </w:r>
      <w:r>
        <w:t>services</w:t>
      </w:r>
      <w:r>
        <w:rPr>
          <w:spacing w:val="-1"/>
        </w:rPr>
        <w:t xml:space="preserve"> </w:t>
      </w:r>
      <w:r>
        <w:t>implement</w:t>
      </w:r>
      <w:r>
        <w:rPr>
          <w:spacing w:val="-1"/>
        </w:rPr>
        <w:t xml:space="preserve"> </w:t>
      </w:r>
      <w:r>
        <w:t>a</w:t>
      </w:r>
      <w:r>
        <w:rPr>
          <w:spacing w:val="-1"/>
        </w:rPr>
        <w:t xml:space="preserve"> </w:t>
      </w:r>
      <w:r>
        <w:t>comprehensive</w:t>
      </w:r>
      <w:r>
        <w:rPr>
          <w:spacing w:val="-1"/>
        </w:rPr>
        <w:t xml:space="preserve"> </w:t>
      </w:r>
      <w:r>
        <w:t>and</w:t>
      </w:r>
      <w:r>
        <w:rPr>
          <w:spacing w:val="-1"/>
        </w:rPr>
        <w:t xml:space="preserve"> </w:t>
      </w:r>
      <w:r>
        <w:t>robust</w:t>
      </w:r>
      <w:r>
        <w:rPr>
          <w:spacing w:val="-1"/>
        </w:rPr>
        <w:t xml:space="preserve"> </w:t>
      </w:r>
      <w:r>
        <w:t>clinical</w:t>
      </w:r>
      <w:r>
        <w:rPr>
          <w:spacing w:val="-1"/>
        </w:rPr>
        <w:t xml:space="preserve"> </w:t>
      </w:r>
      <w:r>
        <w:t>governance</w:t>
      </w:r>
      <w:r>
        <w:rPr>
          <w:spacing w:val="-1"/>
        </w:rPr>
        <w:t xml:space="preserve"> </w:t>
      </w:r>
      <w:r>
        <w:t>framework</w:t>
      </w:r>
      <w:r>
        <w:rPr>
          <w:spacing w:val="-1"/>
        </w:rPr>
        <w:t xml:space="preserve"> </w:t>
      </w:r>
      <w:r>
        <w:t>that provides a foundation for all other clinical safety and quality processes.</w:t>
      </w:r>
    </w:p>
    <w:p w14:paraId="233583F3" w14:textId="77777777" w:rsidR="009D54AF" w:rsidRDefault="00000000">
      <w:pPr>
        <w:pStyle w:val="BodyText"/>
        <w:spacing w:before="142" w:line="278" w:lineRule="auto"/>
        <w:ind w:left="142"/>
      </w:pPr>
      <w:r>
        <w:t xml:space="preserve">With the NSQHS Standards and clinical governance framework in place, health service </w:t>
      </w:r>
      <w:proofErr w:type="spellStart"/>
      <w:r>
        <w:t>organisations</w:t>
      </w:r>
      <w:proofErr w:type="spellEnd"/>
      <w:r>
        <w:t xml:space="preserve"> can improve</w:t>
      </w:r>
      <w:r>
        <w:rPr>
          <w:spacing w:val="-2"/>
        </w:rPr>
        <w:t xml:space="preserve"> </w:t>
      </w:r>
      <w:r>
        <w:t>their</w:t>
      </w:r>
      <w:r>
        <w:rPr>
          <w:spacing w:val="-2"/>
        </w:rPr>
        <w:t xml:space="preserve"> </w:t>
      </w:r>
      <w:r>
        <w:t>comprehensive</w:t>
      </w:r>
      <w:r>
        <w:rPr>
          <w:spacing w:val="-2"/>
        </w:rPr>
        <w:t xml:space="preserve"> </w:t>
      </w:r>
      <w:r>
        <w:t>care,</w:t>
      </w:r>
      <w:r>
        <w:rPr>
          <w:spacing w:val="-2"/>
        </w:rPr>
        <w:t xml:space="preserve"> </w:t>
      </w:r>
      <w:r>
        <w:t>management</w:t>
      </w:r>
      <w:r>
        <w:rPr>
          <w:spacing w:val="-2"/>
        </w:rPr>
        <w:t xml:space="preserve"> </w:t>
      </w:r>
      <w:r>
        <w:t>of</w:t>
      </w:r>
      <w:r>
        <w:rPr>
          <w:spacing w:val="-2"/>
        </w:rPr>
        <w:t xml:space="preserve"> </w:t>
      </w:r>
      <w:r>
        <w:t>acute</w:t>
      </w:r>
      <w:r>
        <w:rPr>
          <w:spacing w:val="-2"/>
        </w:rPr>
        <w:t xml:space="preserve"> </w:t>
      </w:r>
      <w:r>
        <w:t>deterioration</w:t>
      </w:r>
      <w:r>
        <w:rPr>
          <w:spacing w:val="-2"/>
        </w:rPr>
        <w:t xml:space="preserve"> </w:t>
      </w:r>
      <w:r>
        <w:t>and</w:t>
      </w:r>
      <w:r>
        <w:rPr>
          <w:spacing w:val="-2"/>
        </w:rPr>
        <w:t xml:space="preserve"> </w:t>
      </w:r>
      <w:r>
        <w:t>reduce</w:t>
      </w:r>
      <w:r>
        <w:rPr>
          <w:spacing w:val="-2"/>
        </w:rPr>
        <w:t xml:space="preserve"> </w:t>
      </w:r>
      <w:r>
        <w:t>the</w:t>
      </w:r>
      <w:r>
        <w:rPr>
          <w:spacing w:val="-2"/>
        </w:rPr>
        <w:t xml:space="preserve"> </w:t>
      </w:r>
      <w:r>
        <w:t>risk</w:t>
      </w:r>
      <w:r>
        <w:rPr>
          <w:spacing w:val="-2"/>
        </w:rPr>
        <w:t xml:space="preserve"> </w:t>
      </w:r>
      <w:r>
        <w:t>of</w:t>
      </w:r>
      <w:r>
        <w:rPr>
          <w:spacing w:val="-2"/>
        </w:rPr>
        <w:t xml:space="preserve"> </w:t>
      </w:r>
      <w:r>
        <w:t>harm</w:t>
      </w:r>
      <w:r>
        <w:rPr>
          <w:spacing w:val="-2"/>
        </w:rPr>
        <w:t xml:space="preserve"> </w:t>
      </w:r>
      <w:r>
        <w:t>to</w:t>
      </w:r>
      <w:r>
        <w:rPr>
          <w:spacing w:val="-2"/>
        </w:rPr>
        <w:t xml:space="preserve"> </w:t>
      </w:r>
      <w:r>
        <w:t>patients from common risks such as hospital-acquired infections, medication errors and lapses in communication.</w:t>
      </w:r>
    </w:p>
    <w:p w14:paraId="5713D6EB" w14:textId="77777777" w:rsidR="009D54AF" w:rsidRDefault="009D54AF">
      <w:pPr>
        <w:pStyle w:val="BodyText"/>
        <w:spacing w:before="63"/>
      </w:pPr>
    </w:p>
    <w:p w14:paraId="2F28E6D0" w14:textId="77777777" w:rsidR="009D54AF" w:rsidRDefault="00000000">
      <w:pPr>
        <w:pStyle w:val="Heading7"/>
        <w:jc w:val="both"/>
      </w:pPr>
      <w:r>
        <w:t>Assessment</w:t>
      </w:r>
      <w:r>
        <w:rPr>
          <w:spacing w:val="-3"/>
        </w:rPr>
        <w:t xml:space="preserve"> </w:t>
      </w:r>
      <w:r>
        <w:t>to</w:t>
      </w:r>
      <w:r>
        <w:rPr>
          <w:spacing w:val="-2"/>
        </w:rPr>
        <w:t xml:space="preserve"> </w:t>
      </w:r>
      <w:r>
        <w:t>the</w:t>
      </w:r>
      <w:r>
        <w:rPr>
          <w:spacing w:val="-2"/>
        </w:rPr>
        <w:t xml:space="preserve"> </w:t>
      </w:r>
      <w:r>
        <w:t>NSQHS</w:t>
      </w:r>
      <w:r>
        <w:rPr>
          <w:spacing w:val="-2"/>
        </w:rPr>
        <w:t xml:space="preserve"> Standards</w:t>
      </w:r>
    </w:p>
    <w:p w14:paraId="4F2B938D" w14:textId="77777777" w:rsidR="009D54AF" w:rsidRDefault="00000000">
      <w:pPr>
        <w:pStyle w:val="BodyText"/>
        <w:spacing w:before="141" w:line="278" w:lineRule="auto"/>
        <w:ind w:left="142"/>
      </w:pPr>
      <w:r>
        <w:t xml:space="preserve">At 30 June 2026, 1,313 hospitals had been assessed to the NSQHS Standards. Health services must demonstrate they meet all the actions in the NSQHS Standards to achieve accreditation. Of the 487 </w:t>
      </w:r>
      <w:proofErr w:type="spellStart"/>
      <w:r>
        <w:t>organisations</w:t>
      </w:r>
      <w:proofErr w:type="spellEnd"/>
      <w:r>
        <w:rPr>
          <w:spacing w:val="-4"/>
        </w:rPr>
        <w:t xml:space="preserve"> </w:t>
      </w:r>
      <w:r>
        <w:t>assessed</w:t>
      </w:r>
      <w:r>
        <w:rPr>
          <w:spacing w:val="-4"/>
        </w:rPr>
        <w:t xml:space="preserve"> </w:t>
      </w:r>
      <w:r>
        <w:t>in</w:t>
      </w:r>
      <w:r>
        <w:rPr>
          <w:spacing w:val="-4"/>
        </w:rPr>
        <w:t xml:space="preserve"> </w:t>
      </w:r>
      <w:r>
        <w:t>the</w:t>
      </w:r>
      <w:r>
        <w:rPr>
          <w:spacing w:val="-4"/>
        </w:rPr>
        <w:t xml:space="preserve"> </w:t>
      </w:r>
      <w:r>
        <w:t>2025–26</w:t>
      </w:r>
      <w:r>
        <w:rPr>
          <w:spacing w:val="-4"/>
        </w:rPr>
        <w:t xml:space="preserve"> </w:t>
      </w:r>
      <w:r>
        <w:t>financial</w:t>
      </w:r>
      <w:r>
        <w:rPr>
          <w:spacing w:val="-4"/>
        </w:rPr>
        <w:t xml:space="preserve"> </w:t>
      </w:r>
      <w:r>
        <w:t>year,</w:t>
      </w:r>
      <w:r>
        <w:rPr>
          <w:spacing w:val="-4"/>
        </w:rPr>
        <w:t xml:space="preserve"> </w:t>
      </w:r>
      <w:r>
        <w:t>163</w:t>
      </w:r>
      <w:r>
        <w:rPr>
          <w:spacing w:val="-4"/>
        </w:rPr>
        <w:t xml:space="preserve"> </w:t>
      </w:r>
      <w:proofErr w:type="spellStart"/>
      <w:r>
        <w:t>organisations</w:t>
      </w:r>
      <w:proofErr w:type="spellEnd"/>
      <w:r>
        <w:rPr>
          <w:spacing w:val="-4"/>
        </w:rPr>
        <w:t xml:space="preserve"> </w:t>
      </w:r>
      <w:r>
        <w:t>(33%)</w:t>
      </w:r>
      <w:r>
        <w:rPr>
          <w:spacing w:val="-4"/>
        </w:rPr>
        <w:t xml:space="preserve"> </w:t>
      </w:r>
      <w:r>
        <w:t>met</w:t>
      </w:r>
      <w:r>
        <w:rPr>
          <w:spacing w:val="-4"/>
        </w:rPr>
        <w:t xml:space="preserve"> </w:t>
      </w:r>
      <w:r>
        <w:t>all</w:t>
      </w:r>
      <w:r>
        <w:rPr>
          <w:spacing w:val="-4"/>
        </w:rPr>
        <w:t xml:space="preserve"> </w:t>
      </w:r>
      <w:r>
        <w:t>actions</w:t>
      </w:r>
      <w:r>
        <w:rPr>
          <w:spacing w:val="-4"/>
        </w:rPr>
        <w:t xml:space="preserve"> </w:t>
      </w:r>
      <w:r>
        <w:t>at</w:t>
      </w:r>
      <w:r>
        <w:rPr>
          <w:spacing w:val="-4"/>
        </w:rPr>
        <w:t xml:space="preserve"> </w:t>
      </w:r>
      <w:r>
        <w:t>the</w:t>
      </w:r>
      <w:r>
        <w:rPr>
          <w:spacing w:val="-4"/>
        </w:rPr>
        <w:t xml:space="preserve"> </w:t>
      </w:r>
      <w:r>
        <w:t xml:space="preserve">initial </w:t>
      </w:r>
      <w:r>
        <w:rPr>
          <w:spacing w:val="-2"/>
        </w:rPr>
        <w:t>assessment.</w:t>
      </w:r>
    </w:p>
    <w:p w14:paraId="55C867D5" w14:textId="6BE5784A" w:rsidR="009D54AF" w:rsidRDefault="00000000">
      <w:pPr>
        <w:pStyle w:val="BodyText"/>
        <w:spacing w:before="141" w:line="278" w:lineRule="auto"/>
        <w:ind w:left="142" w:right="295"/>
        <w:jc w:val="both"/>
      </w:pPr>
      <w:r>
        <w:t xml:space="preserve">Figure 1 </w:t>
      </w:r>
      <w:proofErr w:type="spellStart"/>
      <w:r>
        <w:t>summarises</w:t>
      </w:r>
      <w:proofErr w:type="spellEnd"/>
      <w:r>
        <w:t xml:space="preserve"> the outcomes for assessment of health service </w:t>
      </w:r>
      <w:proofErr w:type="spellStart"/>
      <w:r>
        <w:t>organisations</w:t>
      </w:r>
      <w:proofErr w:type="spellEnd"/>
      <w:r>
        <w:t xml:space="preserve"> in 2025–26 and provides initial trend data.</w:t>
      </w:r>
    </w:p>
    <w:p w14:paraId="742F09F8" w14:textId="77777777" w:rsidR="00D13873" w:rsidRDefault="00D13873">
      <w:pPr>
        <w:rPr>
          <w:b/>
          <w:sz w:val="19"/>
        </w:rPr>
      </w:pPr>
      <w:r>
        <w:rPr>
          <w:b/>
          <w:sz w:val="19"/>
        </w:rPr>
        <w:br w:type="page"/>
      </w:r>
    </w:p>
    <w:p w14:paraId="45AD3504" w14:textId="59217915" w:rsidR="009D54AF" w:rsidRDefault="00000000">
      <w:pPr>
        <w:spacing w:before="64"/>
        <w:ind w:left="142"/>
        <w:rPr>
          <w:sz w:val="19"/>
        </w:rPr>
      </w:pPr>
      <w:r>
        <w:rPr>
          <w:b/>
          <w:sz w:val="19"/>
        </w:rPr>
        <w:lastRenderedPageBreak/>
        <w:t>Figure</w:t>
      </w:r>
      <w:r>
        <w:rPr>
          <w:b/>
          <w:spacing w:val="6"/>
          <w:sz w:val="19"/>
        </w:rPr>
        <w:t xml:space="preserve"> </w:t>
      </w:r>
      <w:r>
        <w:rPr>
          <w:b/>
          <w:sz w:val="19"/>
        </w:rPr>
        <w:t>1</w:t>
      </w:r>
      <w:r>
        <w:rPr>
          <w:b/>
          <w:spacing w:val="8"/>
          <w:sz w:val="19"/>
        </w:rPr>
        <w:t xml:space="preserve"> </w:t>
      </w:r>
      <w:r>
        <w:rPr>
          <w:sz w:val="19"/>
        </w:rPr>
        <w:t>Health</w:t>
      </w:r>
      <w:r>
        <w:rPr>
          <w:spacing w:val="8"/>
          <w:sz w:val="19"/>
        </w:rPr>
        <w:t xml:space="preserve"> </w:t>
      </w:r>
      <w:r>
        <w:rPr>
          <w:sz w:val="19"/>
        </w:rPr>
        <w:t>service</w:t>
      </w:r>
      <w:r>
        <w:rPr>
          <w:spacing w:val="8"/>
          <w:sz w:val="19"/>
        </w:rPr>
        <w:t xml:space="preserve"> </w:t>
      </w:r>
      <w:proofErr w:type="spellStart"/>
      <w:r>
        <w:rPr>
          <w:sz w:val="19"/>
        </w:rPr>
        <w:t>organisation</w:t>
      </w:r>
      <w:proofErr w:type="spellEnd"/>
      <w:r>
        <w:rPr>
          <w:spacing w:val="8"/>
          <w:sz w:val="19"/>
        </w:rPr>
        <w:t xml:space="preserve"> </w:t>
      </w:r>
      <w:r>
        <w:rPr>
          <w:sz w:val="19"/>
        </w:rPr>
        <w:t>accreditation,</w:t>
      </w:r>
      <w:r>
        <w:rPr>
          <w:spacing w:val="8"/>
          <w:sz w:val="19"/>
        </w:rPr>
        <w:t xml:space="preserve"> </w:t>
      </w:r>
      <w:r>
        <w:rPr>
          <w:sz w:val="19"/>
        </w:rPr>
        <w:t>2025–</w:t>
      </w:r>
      <w:r>
        <w:rPr>
          <w:spacing w:val="-5"/>
          <w:sz w:val="19"/>
        </w:rPr>
        <w:t>26</w:t>
      </w:r>
    </w:p>
    <w:p w14:paraId="20D7C587" w14:textId="77777777" w:rsidR="009D54AF" w:rsidRDefault="00000000">
      <w:pPr>
        <w:pStyle w:val="BodyText"/>
        <w:spacing w:before="8"/>
        <w:rPr>
          <w:sz w:val="16"/>
        </w:rPr>
      </w:pPr>
      <w:r>
        <w:rPr>
          <w:noProof/>
          <w:sz w:val="16"/>
        </w:rPr>
        <mc:AlternateContent>
          <mc:Choice Requires="wpg">
            <w:drawing>
              <wp:anchor distT="0" distB="0" distL="0" distR="0" simplePos="0" relativeHeight="487591936" behindDoc="1" locked="0" layoutInCell="1" allowOverlap="1" wp14:anchorId="5B350C49" wp14:editId="1D253A24">
                <wp:simplePos x="0" y="0"/>
                <wp:positionH relativeFrom="page">
                  <wp:posOffset>539997</wp:posOffset>
                </wp:positionH>
                <wp:positionV relativeFrom="paragraph">
                  <wp:posOffset>137660</wp:posOffset>
                </wp:positionV>
                <wp:extent cx="5267960" cy="4900930"/>
                <wp:effectExtent l="0" t="0" r="0" b="0"/>
                <wp:wrapTopAndBottom/>
                <wp:docPr id="43" name="Group 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267960" cy="4900930"/>
                          <a:chOff x="0" y="0"/>
                          <a:chExt cx="5267960" cy="4900930"/>
                        </a:xfrm>
                      </wpg:grpSpPr>
                      <wps:wsp>
                        <wps:cNvPr id="44" name="Textbox 44"/>
                        <wps:cNvSpPr txBox="1"/>
                        <wps:spPr>
                          <a:xfrm>
                            <a:off x="1841899" y="691356"/>
                            <a:ext cx="1584325" cy="252095"/>
                          </a:xfrm>
                          <a:prstGeom prst="rect">
                            <a:avLst/>
                          </a:prstGeom>
                          <a:solidFill>
                            <a:srgbClr val="B3E1EA"/>
                          </a:solidFill>
                        </wps:spPr>
                        <wps:txbx>
                          <w:txbxContent>
                            <w:p w14:paraId="5EF3E136" w14:textId="77777777" w:rsidR="009D54AF" w:rsidRDefault="00000000">
                              <w:pPr>
                                <w:spacing w:before="103"/>
                                <w:ind w:left="632"/>
                                <w:rPr>
                                  <w:color w:val="000000"/>
                                  <w:sz w:val="16"/>
                                </w:rPr>
                              </w:pPr>
                              <w:r>
                                <w:rPr>
                                  <w:color w:val="000000"/>
                                  <w:spacing w:val="2"/>
                                  <w:sz w:val="16"/>
                                </w:rPr>
                                <w:t>Announced</w:t>
                              </w:r>
                              <w:r>
                                <w:rPr>
                                  <w:color w:val="000000"/>
                                  <w:spacing w:val="12"/>
                                  <w:sz w:val="16"/>
                                </w:rPr>
                                <w:t xml:space="preserve"> </w:t>
                              </w:r>
                              <w:r>
                                <w:rPr>
                                  <w:color w:val="000000"/>
                                  <w:spacing w:val="2"/>
                                  <w:sz w:val="16"/>
                                </w:rPr>
                                <w:t>–</w:t>
                              </w:r>
                              <w:r>
                                <w:rPr>
                                  <w:color w:val="000000"/>
                                  <w:spacing w:val="12"/>
                                  <w:sz w:val="16"/>
                                </w:rPr>
                                <w:t xml:space="preserve"> </w:t>
                              </w:r>
                              <w:r>
                                <w:rPr>
                                  <w:color w:val="000000"/>
                                  <w:spacing w:val="-5"/>
                                  <w:sz w:val="16"/>
                                </w:rPr>
                                <w:t>20</w:t>
                              </w:r>
                            </w:p>
                          </w:txbxContent>
                        </wps:txbx>
                        <wps:bodyPr wrap="square" lIns="0" tIns="0" rIns="0" bIns="0" rtlCol="0">
                          <a:noAutofit/>
                        </wps:bodyPr>
                      </wps:wsp>
                      <wps:wsp>
                        <wps:cNvPr id="45" name="Textbox 45"/>
                        <wps:cNvSpPr txBox="1"/>
                        <wps:spPr>
                          <a:xfrm>
                            <a:off x="1841899" y="961370"/>
                            <a:ext cx="1584325" cy="252095"/>
                          </a:xfrm>
                          <a:prstGeom prst="rect">
                            <a:avLst/>
                          </a:prstGeom>
                          <a:solidFill>
                            <a:srgbClr val="6ECCDE"/>
                          </a:solidFill>
                        </wps:spPr>
                        <wps:txbx>
                          <w:txbxContent>
                            <w:p w14:paraId="0AA4E750" w14:textId="77777777" w:rsidR="009D54AF" w:rsidRDefault="00000000">
                              <w:pPr>
                                <w:spacing w:before="96"/>
                                <w:ind w:left="155"/>
                                <w:rPr>
                                  <w:color w:val="000000"/>
                                  <w:sz w:val="16"/>
                                </w:rPr>
                              </w:pPr>
                              <w:r>
                                <w:rPr>
                                  <w:color w:val="000000"/>
                                  <w:spacing w:val="2"/>
                                  <w:sz w:val="16"/>
                                </w:rPr>
                                <w:t>Mandatory</w:t>
                              </w:r>
                              <w:r>
                                <w:rPr>
                                  <w:color w:val="000000"/>
                                  <w:spacing w:val="10"/>
                                  <w:sz w:val="16"/>
                                </w:rPr>
                                <w:t xml:space="preserve"> </w:t>
                              </w:r>
                              <w:r>
                                <w:rPr>
                                  <w:color w:val="000000"/>
                                  <w:spacing w:val="2"/>
                                  <w:sz w:val="16"/>
                                </w:rPr>
                                <w:t>short</w:t>
                              </w:r>
                              <w:r>
                                <w:rPr>
                                  <w:color w:val="000000"/>
                                  <w:spacing w:val="10"/>
                                  <w:sz w:val="16"/>
                                </w:rPr>
                                <w:t xml:space="preserve"> </w:t>
                              </w:r>
                              <w:r>
                                <w:rPr>
                                  <w:color w:val="000000"/>
                                  <w:spacing w:val="2"/>
                                  <w:sz w:val="16"/>
                                </w:rPr>
                                <w:t>notice</w:t>
                              </w:r>
                              <w:r>
                                <w:rPr>
                                  <w:color w:val="000000"/>
                                  <w:spacing w:val="9"/>
                                  <w:sz w:val="16"/>
                                </w:rPr>
                                <w:t xml:space="preserve"> </w:t>
                              </w:r>
                              <w:r>
                                <w:rPr>
                                  <w:color w:val="000000"/>
                                  <w:spacing w:val="2"/>
                                  <w:sz w:val="16"/>
                                </w:rPr>
                                <w:t>–</w:t>
                              </w:r>
                              <w:r>
                                <w:rPr>
                                  <w:color w:val="000000"/>
                                  <w:spacing w:val="8"/>
                                  <w:sz w:val="16"/>
                                </w:rPr>
                                <w:t xml:space="preserve"> </w:t>
                              </w:r>
                              <w:r>
                                <w:rPr>
                                  <w:color w:val="000000"/>
                                  <w:spacing w:val="-5"/>
                                  <w:sz w:val="16"/>
                                </w:rPr>
                                <w:t>458</w:t>
                              </w:r>
                            </w:p>
                          </w:txbxContent>
                        </wps:txbx>
                        <wps:bodyPr wrap="square" lIns="0" tIns="0" rIns="0" bIns="0" rtlCol="0">
                          <a:noAutofit/>
                        </wps:bodyPr>
                      </wps:wsp>
                      <wps:wsp>
                        <wps:cNvPr id="46" name="Textbox 46"/>
                        <wps:cNvSpPr txBox="1"/>
                        <wps:spPr>
                          <a:xfrm>
                            <a:off x="2070914" y="156150"/>
                            <a:ext cx="1141730" cy="101600"/>
                          </a:xfrm>
                          <a:prstGeom prst="rect">
                            <a:avLst/>
                          </a:prstGeom>
                        </wps:spPr>
                        <wps:txbx>
                          <w:txbxContent>
                            <w:p w14:paraId="107D0BF6" w14:textId="77777777" w:rsidR="009D54AF" w:rsidRDefault="00000000">
                              <w:pPr>
                                <w:spacing w:line="158" w:lineRule="exact"/>
                                <w:rPr>
                                  <w:b/>
                                  <w:sz w:val="16"/>
                                </w:rPr>
                              </w:pPr>
                              <w:r>
                                <w:rPr>
                                  <w:b/>
                                  <w:spacing w:val="-8"/>
                                  <w:sz w:val="16"/>
                                </w:rPr>
                                <w:t>Assessments</w:t>
                              </w:r>
                              <w:r>
                                <w:rPr>
                                  <w:b/>
                                  <w:spacing w:val="-9"/>
                                  <w:sz w:val="16"/>
                                </w:rPr>
                                <w:t xml:space="preserve"> </w:t>
                              </w:r>
                              <w:r>
                                <w:rPr>
                                  <w:b/>
                                  <w:spacing w:val="-2"/>
                                  <w:sz w:val="16"/>
                                </w:rPr>
                                <w:t>conducted</w:t>
                              </w:r>
                            </w:p>
                          </w:txbxContent>
                        </wps:txbx>
                        <wps:bodyPr wrap="square" lIns="0" tIns="0" rIns="0" bIns="0" rtlCol="0">
                          <a:noAutofit/>
                        </wps:bodyPr>
                      </wps:wsp>
                      <wps:wsp>
                        <wps:cNvPr id="47" name="Graphic 47"/>
                        <wps:cNvSpPr/>
                        <wps:spPr>
                          <a:xfrm>
                            <a:off x="1769890" y="5886"/>
                            <a:ext cx="1728470" cy="1279525"/>
                          </a:xfrm>
                          <a:custGeom>
                            <a:avLst/>
                            <a:gdLst/>
                            <a:ahLst/>
                            <a:cxnLst/>
                            <a:rect l="l" t="t" r="r" b="b"/>
                            <a:pathLst>
                              <a:path w="1728470" h="1279525">
                                <a:moveTo>
                                  <a:pt x="1728000" y="1279283"/>
                                </a:moveTo>
                                <a:lnTo>
                                  <a:pt x="0" y="1279283"/>
                                </a:lnTo>
                                <a:lnTo>
                                  <a:pt x="0" y="0"/>
                                </a:lnTo>
                                <a:lnTo>
                                  <a:pt x="1728000" y="0"/>
                                </a:lnTo>
                                <a:lnTo>
                                  <a:pt x="1728000" y="1279283"/>
                                </a:lnTo>
                                <a:close/>
                              </a:path>
                            </a:pathLst>
                          </a:custGeom>
                          <a:ln w="11772">
                            <a:solidFill>
                              <a:srgbClr val="3A74BA"/>
                            </a:solidFill>
                            <a:prstDash val="solid"/>
                          </a:ln>
                        </wps:spPr>
                        <wps:bodyPr wrap="square" lIns="0" tIns="0" rIns="0" bIns="0" rtlCol="0">
                          <a:prstTxWarp prst="textNoShape">
                            <a:avLst/>
                          </a:prstTxWarp>
                          <a:noAutofit/>
                        </wps:bodyPr>
                      </wps:wsp>
                      <wps:wsp>
                        <wps:cNvPr id="48" name="Graphic 48"/>
                        <wps:cNvSpPr/>
                        <wps:spPr>
                          <a:xfrm>
                            <a:off x="1769890" y="3336728"/>
                            <a:ext cx="1728470" cy="1006475"/>
                          </a:xfrm>
                          <a:custGeom>
                            <a:avLst/>
                            <a:gdLst/>
                            <a:ahLst/>
                            <a:cxnLst/>
                            <a:rect l="l" t="t" r="r" b="b"/>
                            <a:pathLst>
                              <a:path w="1728470" h="1006475">
                                <a:moveTo>
                                  <a:pt x="1728000" y="1006373"/>
                                </a:moveTo>
                                <a:lnTo>
                                  <a:pt x="0" y="1006373"/>
                                </a:lnTo>
                                <a:lnTo>
                                  <a:pt x="0" y="0"/>
                                </a:lnTo>
                                <a:lnTo>
                                  <a:pt x="1728000" y="0"/>
                                </a:lnTo>
                                <a:lnTo>
                                  <a:pt x="1728000" y="1006373"/>
                                </a:lnTo>
                                <a:close/>
                              </a:path>
                            </a:pathLst>
                          </a:custGeom>
                          <a:ln w="11772">
                            <a:solidFill>
                              <a:srgbClr val="3A74BA"/>
                            </a:solidFill>
                            <a:prstDash val="solid"/>
                          </a:ln>
                        </wps:spPr>
                        <wps:bodyPr wrap="square" lIns="0" tIns="0" rIns="0" bIns="0" rtlCol="0">
                          <a:prstTxWarp prst="textNoShape">
                            <a:avLst/>
                          </a:prstTxWarp>
                          <a:noAutofit/>
                        </wps:bodyPr>
                      </wps:wsp>
                      <wps:wsp>
                        <wps:cNvPr id="49" name="Graphic 49"/>
                        <wps:cNvSpPr/>
                        <wps:spPr>
                          <a:xfrm>
                            <a:off x="77895" y="2575871"/>
                            <a:ext cx="1584325" cy="252095"/>
                          </a:xfrm>
                          <a:custGeom>
                            <a:avLst/>
                            <a:gdLst/>
                            <a:ahLst/>
                            <a:cxnLst/>
                            <a:rect l="l" t="t" r="r" b="b"/>
                            <a:pathLst>
                              <a:path w="1584325" h="252095">
                                <a:moveTo>
                                  <a:pt x="1583994" y="0"/>
                                </a:moveTo>
                                <a:lnTo>
                                  <a:pt x="0" y="0"/>
                                </a:lnTo>
                                <a:lnTo>
                                  <a:pt x="0" y="251993"/>
                                </a:lnTo>
                                <a:lnTo>
                                  <a:pt x="1583994" y="251993"/>
                                </a:lnTo>
                                <a:lnTo>
                                  <a:pt x="1583994" y="0"/>
                                </a:lnTo>
                                <a:close/>
                              </a:path>
                            </a:pathLst>
                          </a:custGeom>
                          <a:solidFill>
                            <a:srgbClr val="6ECCDE"/>
                          </a:solidFill>
                        </wps:spPr>
                        <wps:bodyPr wrap="square" lIns="0" tIns="0" rIns="0" bIns="0" rtlCol="0">
                          <a:prstTxWarp prst="textNoShape">
                            <a:avLst/>
                          </a:prstTxWarp>
                          <a:noAutofit/>
                        </wps:bodyPr>
                      </wps:wsp>
                      <wps:wsp>
                        <wps:cNvPr id="50" name="Graphic 50"/>
                        <wps:cNvSpPr/>
                        <wps:spPr>
                          <a:xfrm>
                            <a:off x="77895" y="2035930"/>
                            <a:ext cx="1584325" cy="252095"/>
                          </a:xfrm>
                          <a:custGeom>
                            <a:avLst/>
                            <a:gdLst/>
                            <a:ahLst/>
                            <a:cxnLst/>
                            <a:rect l="l" t="t" r="r" b="b"/>
                            <a:pathLst>
                              <a:path w="1584325" h="252095">
                                <a:moveTo>
                                  <a:pt x="1583994" y="0"/>
                                </a:moveTo>
                                <a:lnTo>
                                  <a:pt x="0" y="0"/>
                                </a:lnTo>
                                <a:lnTo>
                                  <a:pt x="0" y="251993"/>
                                </a:lnTo>
                                <a:lnTo>
                                  <a:pt x="1583994" y="251993"/>
                                </a:lnTo>
                                <a:lnTo>
                                  <a:pt x="1583994" y="0"/>
                                </a:lnTo>
                                <a:close/>
                              </a:path>
                            </a:pathLst>
                          </a:custGeom>
                          <a:solidFill>
                            <a:srgbClr val="DAF0F4"/>
                          </a:solidFill>
                        </wps:spPr>
                        <wps:bodyPr wrap="square" lIns="0" tIns="0" rIns="0" bIns="0" rtlCol="0">
                          <a:prstTxWarp prst="textNoShape">
                            <a:avLst/>
                          </a:prstTxWarp>
                          <a:noAutofit/>
                        </wps:bodyPr>
                      </wps:wsp>
                      <wps:wsp>
                        <wps:cNvPr id="51" name="Graphic 51"/>
                        <wps:cNvSpPr/>
                        <wps:spPr>
                          <a:xfrm>
                            <a:off x="77895" y="2305907"/>
                            <a:ext cx="1584325" cy="252095"/>
                          </a:xfrm>
                          <a:custGeom>
                            <a:avLst/>
                            <a:gdLst/>
                            <a:ahLst/>
                            <a:cxnLst/>
                            <a:rect l="l" t="t" r="r" b="b"/>
                            <a:pathLst>
                              <a:path w="1584325" h="252095">
                                <a:moveTo>
                                  <a:pt x="1583994" y="0"/>
                                </a:moveTo>
                                <a:lnTo>
                                  <a:pt x="0" y="0"/>
                                </a:lnTo>
                                <a:lnTo>
                                  <a:pt x="0" y="251993"/>
                                </a:lnTo>
                                <a:lnTo>
                                  <a:pt x="1583994" y="251993"/>
                                </a:lnTo>
                                <a:lnTo>
                                  <a:pt x="1583994" y="0"/>
                                </a:lnTo>
                                <a:close/>
                              </a:path>
                            </a:pathLst>
                          </a:custGeom>
                          <a:solidFill>
                            <a:srgbClr val="B3E1EA"/>
                          </a:solidFill>
                        </wps:spPr>
                        <wps:bodyPr wrap="square" lIns="0" tIns="0" rIns="0" bIns="0" rtlCol="0">
                          <a:prstTxWarp prst="textNoShape">
                            <a:avLst/>
                          </a:prstTxWarp>
                          <a:noAutofit/>
                        </wps:bodyPr>
                      </wps:wsp>
                      <wps:wsp>
                        <wps:cNvPr id="52" name="Graphic 52"/>
                        <wps:cNvSpPr/>
                        <wps:spPr>
                          <a:xfrm>
                            <a:off x="5886" y="1625885"/>
                            <a:ext cx="1728470" cy="1274445"/>
                          </a:xfrm>
                          <a:custGeom>
                            <a:avLst/>
                            <a:gdLst/>
                            <a:ahLst/>
                            <a:cxnLst/>
                            <a:rect l="l" t="t" r="r" b="b"/>
                            <a:pathLst>
                              <a:path w="1728470" h="1274445">
                                <a:moveTo>
                                  <a:pt x="1728000" y="1273949"/>
                                </a:moveTo>
                                <a:lnTo>
                                  <a:pt x="0" y="1273949"/>
                                </a:lnTo>
                                <a:lnTo>
                                  <a:pt x="0" y="0"/>
                                </a:lnTo>
                                <a:lnTo>
                                  <a:pt x="1728000" y="0"/>
                                </a:lnTo>
                                <a:lnTo>
                                  <a:pt x="1728000" y="1273949"/>
                                </a:lnTo>
                                <a:close/>
                              </a:path>
                            </a:pathLst>
                          </a:custGeom>
                          <a:ln w="11772">
                            <a:solidFill>
                              <a:srgbClr val="3A74BA"/>
                            </a:solidFill>
                            <a:prstDash val="solid"/>
                          </a:ln>
                        </wps:spPr>
                        <wps:bodyPr wrap="square" lIns="0" tIns="0" rIns="0" bIns="0" rtlCol="0">
                          <a:prstTxWarp prst="textNoShape">
                            <a:avLst/>
                          </a:prstTxWarp>
                          <a:noAutofit/>
                        </wps:bodyPr>
                      </wps:wsp>
                      <wps:wsp>
                        <wps:cNvPr id="53" name="Graphic 53"/>
                        <wps:cNvSpPr/>
                        <wps:spPr>
                          <a:xfrm>
                            <a:off x="3605891" y="2575871"/>
                            <a:ext cx="1584325" cy="252095"/>
                          </a:xfrm>
                          <a:custGeom>
                            <a:avLst/>
                            <a:gdLst/>
                            <a:ahLst/>
                            <a:cxnLst/>
                            <a:rect l="l" t="t" r="r" b="b"/>
                            <a:pathLst>
                              <a:path w="1584325" h="252095">
                                <a:moveTo>
                                  <a:pt x="1583994" y="0"/>
                                </a:moveTo>
                                <a:lnTo>
                                  <a:pt x="0" y="0"/>
                                </a:lnTo>
                                <a:lnTo>
                                  <a:pt x="0" y="251993"/>
                                </a:lnTo>
                                <a:lnTo>
                                  <a:pt x="1583994" y="251993"/>
                                </a:lnTo>
                                <a:lnTo>
                                  <a:pt x="1583994" y="0"/>
                                </a:lnTo>
                                <a:close/>
                              </a:path>
                            </a:pathLst>
                          </a:custGeom>
                          <a:solidFill>
                            <a:srgbClr val="6ECCDE"/>
                          </a:solidFill>
                        </wps:spPr>
                        <wps:bodyPr wrap="square" lIns="0" tIns="0" rIns="0" bIns="0" rtlCol="0">
                          <a:prstTxWarp prst="textNoShape">
                            <a:avLst/>
                          </a:prstTxWarp>
                          <a:noAutofit/>
                        </wps:bodyPr>
                      </wps:wsp>
                      <wps:wsp>
                        <wps:cNvPr id="54" name="Graphic 54"/>
                        <wps:cNvSpPr/>
                        <wps:spPr>
                          <a:xfrm>
                            <a:off x="3605891" y="2035930"/>
                            <a:ext cx="1584325" cy="252095"/>
                          </a:xfrm>
                          <a:custGeom>
                            <a:avLst/>
                            <a:gdLst/>
                            <a:ahLst/>
                            <a:cxnLst/>
                            <a:rect l="l" t="t" r="r" b="b"/>
                            <a:pathLst>
                              <a:path w="1584325" h="252095">
                                <a:moveTo>
                                  <a:pt x="1583994" y="0"/>
                                </a:moveTo>
                                <a:lnTo>
                                  <a:pt x="0" y="0"/>
                                </a:lnTo>
                                <a:lnTo>
                                  <a:pt x="0" y="251993"/>
                                </a:lnTo>
                                <a:lnTo>
                                  <a:pt x="1583994" y="251993"/>
                                </a:lnTo>
                                <a:lnTo>
                                  <a:pt x="1583994" y="0"/>
                                </a:lnTo>
                                <a:close/>
                              </a:path>
                            </a:pathLst>
                          </a:custGeom>
                          <a:solidFill>
                            <a:srgbClr val="DAF0F4"/>
                          </a:solidFill>
                        </wps:spPr>
                        <wps:bodyPr wrap="square" lIns="0" tIns="0" rIns="0" bIns="0" rtlCol="0">
                          <a:prstTxWarp prst="textNoShape">
                            <a:avLst/>
                          </a:prstTxWarp>
                          <a:noAutofit/>
                        </wps:bodyPr>
                      </wps:wsp>
                      <wps:wsp>
                        <wps:cNvPr id="55" name="Graphic 55"/>
                        <wps:cNvSpPr/>
                        <wps:spPr>
                          <a:xfrm>
                            <a:off x="3605891" y="2305907"/>
                            <a:ext cx="1584325" cy="252095"/>
                          </a:xfrm>
                          <a:custGeom>
                            <a:avLst/>
                            <a:gdLst/>
                            <a:ahLst/>
                            <a:cxnLst/>
                            <a:rect l="l" t="t" r="r" b="b"/>
                            <a:pathLst>
                              <a:path w="1584325" h="252095">
                                <a:moveTo>
                                  <a:pt x="1583994" y="0"/>
                                </a:moveTo>
                                <a:lnTo>
                                  <a:pt x="0" y="0"/>
                                </a:lnTo>
                                <a:lnTo>
                                  <a:pt x="0" y="251993"/>
                                </a:lnTo>
                                <a:lnTo>
                                  <a:pt x="1583994" y="251993"/>
                                </a:lnTo>
                                <a:lnTo>
                                  <a:pt x="1583994" y="0"/>
                                </a:lnTo>
                                <a:close/>
                              </a:path>
                            </a:pathLst>
                          </a:custGeom>
                          <a:solidFill>
                            <a:srgbClr val="B3E1EA"/>
                          </a:solidFill>
                        </wps:spPr>
                        <wps:bodyPr wrap="square" lIns="0" tIns="0" rIns="0" bIns="0" rtlCol="0">
                          <a:prstTxWarp prst="textNoShape">
                            <a:avLst/>
                          </a:prstTxWarp>
                          <a:noAutofit/>
                        </wps:bodyPr>
                      </wps:wsp>
                      <wps:wsp>
                        <wps:cNvPr id="56" name="Graphic 56"/>
                        <wps:cNvSpPr/>
                        <wps:spPr>
                          <a:xfrm>
                            <a:off x="3533895" y="1625885"/>
                            <a:ext cx="1728470" cy="1274445"/>
                          </a:xfrm>
                          <a:custGeom>
                            <a:avLst/>
                            <a:gdLst/>
                            <a:ahLst/>
                            <a:cxnLst/>
                            <a:rect l="l" t="t" r="r" b="b"/>
                            <a:pathLst>
                              <a:path w="1728470" h="1274445">
                                <a:moveTo>
                                  <a:pt x="1728000" y="1273949"/>
                                </a:moveTo>
                                <a:lnTo>
                                  <a:pt x="0" y="1273949"/>
                                </a:lnTo>
                                <a:lnTo>
                                  <a:pt x="0" y="0"/>
                                </a:lnTo>
                                <a:lnTo>
                                  <a:pt x="1728000" y="0"/>
                                </a:lnTo>
                                <a:lnTo>
                                  <a:pt x="1728000" y="1273949"/>
                                </a:lnTo>
                                <a:close/>
                              </a:path>
                            </a:pathLst>
                          </a:custGeom>
                          <a:ln w="11772">
                            <a:solidFill>
                              <a:srgbClr val="3A74BA"/>
                            </a:solidFill>
                            <a:prstDash val="solid"/>
                          </a:ln>
                        </wps:spPr>
                        <wps:bodyPr wrap="square" lIns="0" tIns="0" rIns="0" bIns="0" rtlCol="0">
                          <a:prstTxWarp prst="textNoShape">
                            <a:avLst/>
                          </a:prstTxWarp>
                          <a:noAutofit/>
                        </wps:bodyPr>
                      </wps:wsp>
                      <wps:wsp>
                        <wps:cNvPr id="57" name="Graphic 57"/>
                        <wps:cNvSpPr/>
                        <wps:spPr>
                          <a:xfrm>
                            <a:off x="868160" y="645537"/>
                            <a:ext cx="895985" cy="931544"/>
                          </a:xfrm>
                          <a:custGeom>
                            <a:avLst/>
                            <a:gdLst/>
                            <a:ahLst/>
                            <a:cxnLst/>
                            <a:rect l="l" t="t" r="r" b="b"/>
                            <a:pathLst>
                              <a:path w="895985" h="931544">
                                <a:moveTo>
                                  <a:pt x="895604" y="0"/>
                                </a:moveTo>
                                <a:lnTo>
                                  <a:pt x="0" y="0"/>
                                </a:lnTo>
                                <a:lnTo>
                                  <a:pt x="0" y="931468"/>
                                </a:lnTo>
                              </a:path>
                            </a:pathLst>
                          </a:custGeom>
                          <a:ln w="11772">
                            <a:solidFill>
                              <a:srgbClr val="3A74BA"/>
                            </a:solidFill>
                            <a:prstDash val="solid"/>
                          </a:ln>
                        </wps:spPr>
                        <wps:bodyPr wrap="square" lIns="0" tIns="0" rIns="0" bIns="0" rtlCol="0">
                          <a:prstTxWarp prst="textNoShape">
                            <a:avLst/>
                          </a:prstTxWarp>
                          <a:noAutofit/>
                        </wps:bodyPr>
                      </wps:wsp>
                      <wps:wsp>
                        <wps:cNvPr id="58" name="Graphic 58"/>
                        <wps:cNvSpPr/>
                        <wps:spPr>
                          <a:xfrm>
                            <a:off x="820030" y="1529994"/>
                            <a:ext cx="96520" cy="60325"/>
                          </a:xfrm>
                          <a:custGeom>
                            <a:avLst/>
                            <a:gdLst/>
                            <a:ahLst/>
                            <a:cxnLst/>
                            <a:rect l="l" t="t" r="r" b="b"/>
                            <a:pathLst>
                              <a:path w="96520" h="60325">
                                <a:moveTo>
                                  <a:pt x="87617" y="0"/>
                                </a:moveTo>
                                <a:lnTo>
                                  <a:pt x="48107" y="42506"/>
                                </a:lnTo>
                                <a:lnTo>
                                  <a:pt x="8623" y="0"/>
                                </a:lnTo>
                                <a:lnTo>
                                  <a:pt x="0" y="8026"/>
                                </a:lnTo>
                                <a:lnTo>
                                  <a:pt x="48107" y="59778"/>
                                </a:lnTo>
                                <a:lnTo>
                                  <a:pt x="96240" y="8026"/>
                                </a:lnTo>
                                <a:lnTo>
                                  <a:pt x="87617" y="0"/>
                                </a:lnTo>
                                <a:close/>
                              </a:path>
                            </a:pathLst>
                          </a:custGeom>
                          <a:solidFill>
                            <a:srgbClr val="3A74BA"/>
                          </a:solidFill>
                        </wps:spPr>
                        <wps:bodyPr wrap="square" lIns="0" tIns="0" rIns="0" bIns="0" rtlCol="0">
                          <a:prstTxWarp prst="textNoShape">
                            <a:avLst/>
                          </a:prstTxWarp>
                          <a:noAutofit/>
                        </wps:bodyPr>
                      </wps:wsp>
                      <wps:wsp>
                        <wps:cNvPr id="59" name="Graphic 59"/>
                        <wps:cNvSpPr/>
                        <wps:spPr>
                          <a:xfrm>
                            <a:off x="3503372" y="645537"/>
                            <a:ext cx="895985" cy="931544"/>
                          </a:xfrm>
                          <a:custGeom>
                            <a:avLst/>
                            <a:gdLst/>
                            <a:ahLst/>
                            <a:cxnLst/>
                            <a:rect l="l" t="t" r="r" b="b"/>
                            <a:pathLst>
                              <a:path w="895985" h="931544">
                                <a:moveTo>
                                  <a:pt x="0" y="0"/>
                                </a:moveTo>
                                <a:lnTo>
                                  <a:pt x="895604" y="0"/>
                                </a:lnTo>
                                <a:lnTo>
                                  <a:pt x="895604" y="931468"/>
                                </a:lnTo>
                              </a:path>
                            </a:pathLst>
                          </a:custGeom>
                          <a:ln w="11772">
                            <a:solidFill>
                              <a:srgbClr val="3A74BA"/>
                            </a:solidFill>
                            <a:prstDash val="solid"/>
                          </a:ln>
                        </wps:spPr>
                        <wps:bodyPr wrap="square" lIns="0" tIns="0" rIns="0" bIns="0" rtlCol="0">
                          <a:prstTxWarp prst="textNoShape">
                            <a:avLst/>
                          </a:prstTxWarp>
                          <a:noAutofit/>
                        </wps:bodyPr>
                      </wps:wsp>
                      <wps:wsp>
                        <wps:cNvPr id="60" name="Graphic 60"/>
                        <wps:cNvSpPr/>
                        <wps:spPr>
                          <a:xfrm>
                            <a:off x="4350857" y="1529994"/>
                            <a:ext cx="96520" cy="60325"/>
                          </a:xfrm>
                          <a:custGeom>
                            <a:avLst/>
                            <a:gdLst/>
                            <a:ahLst/>
                            <a:cxnLst/>
                            <a:rect l="l" t="t" r="r" b="b"/>
                            <a:pathLst>
                              <a:path w="96520" h="60325">
                                <a:moveTo>
                                  <a:pt x="87617" y="0"/>
                                </a:moveTo>
                                <a:lnTo>
                                  <a:pt x="48107" y="42506"/>
                                </a:lnTo>
                                <a:lnTo>
                                  <a:pt x="8623" y="0"/>
                                </a:lnTo>
                                <a:lnTo>
                                  <a:pt x="0" y="8026"/>
                                </a:lnTo>
                                <a:lnTo>
                                  <a:pt x="48107" y="59778"/>
                                </a:lnTo>
                                <a:lnTo>
                                  <a:pt x="96240" y="8026"/>
                                </a:lnTo>
                                <a:lnTo>
                                  <a:pt x="87617" y="0"/>
                                </a:lnTo>
                                <a:close/>
                              </a:path>
                            </a:pathLst>
                          </a:custGeom>
                          <a:solidFill>
                            <a:srgbClr val="3A74BA"/>
                          </a:solidFill>
                        </wps:spPr>
                        <wps:bodyPr wrap="square" lIns="0" tIns="0" rIns="0" bIns="0" rtlCol="0">
                          <a:prstTxWarp prst="textNoShape">
                            <a:avLst/>
                          </a:prstTxWarp>
                          <a:noAutofit/>
                        </wps:bodyPr>
                      </wps:wsp>
                      <wps:wsp>
                        <wps:cNvPr id="61" name="Graphic 61"/>
                        <wps:cNvSpPr/>
                        <wps:spPr>
                          <a:xfrm>
                            <a:off x="868160" y="2897352"/>
                            <a:ext cx="853440" cy="944244"/>
                          </a:xfrm>
                          <a:custGeom>
                            <a:avLst/>
                            <a:gdLst/>
                            <a:ahLst/>
                            <a:cxnLst/>
                            <a:rect l="l" t="t" r="r" b="b"/>
                            <a:pathLst>
                              <a:path w="853440" h="944244">
                                <a:moveTo>
                                  <a:pt x="852830" y="944232"/>
                                </a:moveTo>
                                <a:lnTo>
                                  <a:pt x="0" y="944232"/>
                                </a:lnTo>
                                <a:lnTo>
                                  <a:pt x="0" y="0"/>
                                </a:lnTo>
                              </a:path>
                            </a:pathLst>
                          </a:custGeom>
                          <a:ln w="11772">
                            <a:solidFill>
                              <a:srgbClr val="3A74BA"/>
                            </a:solidFill>
                            <a:prstDash val="solid"/>
                          </a:ln>
                        </wps:spPr>
                        <wps:bodyPr wrap="square" lIns="0" tIns="0" rIns="0" bIns="0" rtlCol="0">
                          <a:prstTxWarp prst="textNoShape">
                            <a:avLst/>
                          </a:prstTxWarp>
                          <a:noAutofit/>
                        </wps:bodyPr>
                      </wps:wsp>
                      <wps:wsp>
                        <wps:cNvPr id="62" name="Graphic 62"/>
                        <wps:cNvSpPr/>
                        <wps:spPr>
                          <a:xfrm>
                            <a:off x="1673975" y="3793464"/>
                            <a:ext cx="60325" cy="96520"/>
                          </a:xfrm>
                          <a:custGeom>
                            <a:avLst/>
                            <a:gdLst/>
                            <a:ahLst/>
                            <a:cxnLst/>
                            <a:rect l="l" t="t" r="r" b="b"/>
                            <a:pathLst>
                              <a:path w="60325" h="96520">
                                <a:moveTo>
                                  <a:pt x="8026" y="0"/>
                                </a:moveTo>
                                <a:lnTo>
                                  <a:pt x="0" y="8610"/>
                                </a:lnTo>
                                <a:lnTo>
                                  <a:pt x="42506" y="48107"/>
                                </a:lnTo>
                                <a:lnTo>
                                  <a:pt x="0" y="87617"/>
                                </a:lnTo>
                                <a:lnTo>
                                  <a:pt x="8026" y="96240"/>
                                </a:lnTo>
                                <a:lnTo>
                                  <a:pt x="59778" y="48107"/>
                                </a:lnTo>
                                <a:lnTo>
                                  <a:pt x="8026" y="0"/>
                                </a:lnTo>
                                <a:close/>
                              </a:path>
                            </a:pathLst>
                          </a:custGeom>
                          <a:solidFill>
                            <a:srgbClr val="3A74BA"/>
                          </a:solidFill>
                        </wps:spPr>
                        <wps:bodyPr wrap="square" lIns="0" tIns="0" rIns="0" bIns="0" rtlCol="0">
                          <a:prstTxWarp prst="textNoShape">
                            <a:avLst/>
                          </a:prstTxWarp>
                          <a:noAutofit/>
                        </wps:bodyPr>
                      </wps:wsp>
                      <wps:wsp>
                        <wps:cNvPr id="63" name="Graphic 63"/>
                        <wps:cNvSpPr/>
                        <wps:spPr>
                          <a:xfrm>
                            <a:off x="3546488" y="2897352"/>
                            <a:ext cx="852805" cy="944244"/>
                          </a:xfrm>
                          <a:custGeom>
                            <a:avLst/>
                            <a:gdLst/>
                            <a:ahLst/>
                            <a:cxnLst/>
                            <a:rect l="l" t="t" r="r" b="b"/>
                            <a:pathLst>
                              <a:path w="852805" h="944244">
                                <a:moveTo>
                                  <a:pt x="0" y="944232"/>
                                </a:moveTo>
                                <a:lnTo>
                                  <a:pt x="852487" y="944232"/>
                                </a:lnTo>
                                <a:lnTo>
                                  <a:pt x="852487" y="0"/>
                                </a:lnTo>
                              </a:path>
                            </a:pathLst>
                          </a:custGeom>
                          <a:ln w="11772">
                            <a:solidFill>
                              <a:srgbClr val="3A74BA"/>
                            </a:solidFill>
                            <a:prstDash val="solid"/>
                          </a:ln>
                        </wps:spPr>
                        <wps:bodyPr wrap="square" lIns="0" tIns="0" rIns="0" bIns="0" rtlCol="0">
                          <a:prstTxWarp prst="textNoShape">
                            <a:avLst/>
                          </a:prstTxWarp>
                          <a:noAutofit/>
                        </wps:bodyPr>
                      </wps:wsp>
                      <wps:wsp>
                        <wps:cNvPr id="64" name="Graphic 64"/>
                        <wps:cNvSpPr/>
                        <wps:spPr>
                          <a:xfrm>
                            <a:off x="3533726" y="3793476"/>
                            <a:ext cx="60325" cy="96520"/>
                          </a:xfrm>
                          <a:custGeom>
                            <a:avLst/>
                            <a:gdLst/>
                            <a:ahLst/>
                            <a:cxnLst/>
                            <a:rect l="l" t="t" r="r" b="b"/>
                            <a:pathLst>
                              <a:path w="60325" h="96520">
                                <a:moveTo>
                                  <a:pt x="51752" y="0"/>
                                </a:moveTo>
                                <a:lnTo>
                                  <a:pt x="0" y="48120"/>
                                </a:lnTo>
                                <a:lnTo>
                                  <a:pt x="51752" y="96240"/>
                                </a:lnTo>
                                <a:lnTo>
                                  <a:pt x="59778" y="87617"/>
                                </a:lnTo>
                                <a:lnTo>
                                  <a:pt x="17284" y="48120"/>
                                </a:lnTo>
                                <a:lnTo>
                                  <a:pt x="59778" y="8610"/>
                                </a:lnTo>
                                <a:lnTo>
                                  <a:pt x="51752" y="0"/>
                                </a:lnTo>
                                <a:close/>
                              </a:path>
                            </a:pathLst>
                          </a:custGeom>
                          <a:solidFill>
                            <a:srgbClr val="3A74BA"/>
                          </a:solidFill>
                        </wps:spPr>
                        <wps:bodyPr wrap="square" lIns="0" tIns="0" rIns="0" bIns="0" rtlCol="0">
                          <a:prstTxWarp prst="textNoShape">
                            <a:avLst/>
                          </a:prstTxWarp>
                          <a:noAutofit/>
                        </wps:bodyPr>
                      </wps:wsp>
                      <wps:wsp>
                        <wps:cNvPr id="65" name="Graphic 65"/>
                        <wps:cNvSpPr/>
                        <wps:spPr>
                          <a:xfrm>
                            <a:off x="2633880" y="4342841"/>
                            <a:ext cx="1270" cy="545465"/>
                          </a:xfrm>
                          <a:custGeom>
                            <a:avLst/>
                            <a:gdLst/>
                            <a:ahLst/>
                            <a:cxnLst/>
                            <a:rect l="l" t="t" r="r" b="b"/>
                            <a:pathLst>
                              <a:path h="545465">
                                <a:moveTo>
                                  <a:pt x="0" y="0"/>
                                </a:moveTo>
                                <a:lnTo>
                                  <a:pt x="0" y="544969"/>
                                </a:lnTo>
                              </a:path>
                            </a:pathLst>
                          </a:custGeom>
                          <a:ln w="11772">
                            <a:solidFill>
                              <a:srgbClr val="3A74BA"/>
                            </a:solidFill>
                            <a:prstDash val="solid"/>
                          </a:ln>
                        </wps:spPr>
                        <wps:bodyPr wrap="square" lIns="0" tIns="0" rIns="0" bIns="0" rtlCol="0">
                          <a:prstTxWarp prst="textNoShape">
                            <a:avLst/>
                          </a:prstTxWarp>
                          <a:noAutofit/>
                        </wps:bodyPr>
                      </wps:wsp>
                      <wps:wsp>
                        <wps:cNvPr id="66" name="Graphic 66"/>
                        <wps:cNvSpPr/>
                        <wps:spPr>
                          <a:xfrm>
                            <a:off x="2585759" y="4840795"/>
                            <a:ext cx="96520" cy="60325"/>
                          </a:xfrm>
                          <a:custGeom>
                            <a:avLst/>
                            <a:gdLst/>
                            <a:ahLst/>
                            <a:cxnLst/>
                            <a:rect l="l" t="t" r="r" b="b"/>
                            <a:pathLst>
                              <a:path w="96520" h="60325">
                                <a:moveTo>
                                  <a:pt x="87617" y="0"/>
                                </a:moveTo>
                                <a:lnTo>
                                  <a:pt x="48120" y="42494"/>
                                </a:lnTo>
                                <a:lnTo>
                                  <a:pt x="8623" y="0"/>
                                </a:lnTo>
                                <a:lnTo>
                                  <a:pt x="0" y="8026"/>
                                </a:lnTo>
                                <a:lnTo>
                                  <a:pt x="48120" y="59778"/>
                                </a:lnTo>
                                <a:lnTo>
                                  <a:pt x="96240" y="8026"/>
                                </a:lnTo>
                                <a:lnTo>
                                  <a:pt x="87617" y="0"/>
                                </a:lnTo>
                                <a:close/>
                              </a:path>
                            </a:pathLst>
                          </a:custGeom>
                          <a:solidFill>
                            <a:srgbClr val="3A74BA"/>
                          </a:solidFill>
                        </wps:spPr>
                        <wps:bodyPr wrap="square" lIns="0" tIns="0" rIns="0" bIns="0" rtlCol="0">
                          <a:prstTxWarp prst="textNoShape">
                            <a:avLst/>
                          </a:prstTxWarp>
                          <a:noAutofit/>
                        </wps:bodyPr>
                      </wps:wsp>
                      <wps:wsp>
                        <wps:cNvPr id="67" name="Textbox 67"/>
                        <wps:cNvSpPr txBox="1"/>
                        <wps:spPr>
                          <a:xfrm>
                            <a:off x="125488" y="1745136"/>
                            <a:ext cx="1501140" cy="215900"/>
                          </a:xfrm>
                          <a:prstGeom prst="rect">
                            <a:avLst/>
                          </a:prstGeom>
                        </wps:spPr>
                        <wps:txbx>
                          <w:txbxContent>
                            <w:p w14:paraId="5372F9C1" w14:textId="77777777" w:rsidR="009D54AF" w:rsidRDefault="00000000">
                              <w:pPr>
                                <w:spacing w:line="156" w:lineRule="exact"/>
                                <w:ind w:right="19"/>
                                <w:jc w:val="center"/>
                                <w:rPr>
                                  <w:b/>
                                  <w:sz w:val="16"/>
                                </w:rPr>
                              </w:pPr>
                              <w:r>
                                <w:rPr>
                                  <w:b/>
                                  <w:spacing w:val="-4"/>
                                  <w:sz w:val="16"/>
                                </w:rPr>
                                <w:t>Areas</w:t>
                              </w:r>
                              <w:r>
                                <w:rPr>
                                  <w:b/>
                                  <w:spacing w:val="-20"/>
                                  <w:sz w:val="16"/>
                                </w:rPr>
                                <w:t xml:space="preserve"> </w:t>
                              </w:r>
                              <w:r>
                                <w:rPr>
                                  <w:b/>
                                  <w:spacing w:val="-4"/>
                                  <w:sz w:val="16"/>
                                </w:rPr>
                                <w:t>of</w:t>
                              </w:r>
                              <w:r>
                                <w:rPr>
                                  <w:b/>
                                  <w:spacing w:val="-19"/>
                                  <w:sz w:val="16"/>
                                </w:rPr>
                                <w:t xml:space="preserve"> </w:t>
                              </w:r>
                              <w:r>
                                <w:rPr>
                                  <w:b/>
                                  <w:spacing w:val="-4"/>
                                  <w:sz w:val="16"/>
                                </w:rPr>
                                <w:t>improvement</w:t>
                              </w:r>
                              <w:r>
                                <w:rPr>
                                  <w:b/>
                                  <w:spacing w:val="-19"/>
                                  <w:sz w:val="16"/>
                                </w:rPr>
                                <w:t xml:space="preserve"> </w:t>
                              </w:r>
                              <w:proofErr w:type="spellStart"/>
                              <w:r>
                                <w:rPr>
                                  <w:b/>
                                  <w:spacing w:val="-4"/>
                                  <w:sz w:val="16"/>
                                </w:rPr>
                                <w:t>identi</w:t>
                              </w:r>
                              <w:proofErr w:type="spellEnd"/>
                              <w:r>
                                <w:rPr>
                                  <w:b/>
                                  <w:spacing w:val="11"/>
                                  <w:sz w:val="16"/>
                                </w:rPr>
                                <w:t xml:space="preserve"> </w:t>
                              </w:r>
                              <w:r>
                                <w:rPr>
                                  <w:b/>
                                  <w:spacing w:val="-5"/>
                                  <w:sz w:val="16"/>
                                </w:rPr>
                                <w:t>ed,</w:t>
                              </w:r>
                            </w:p>
                            <w:p w14:paraId="7CE4527A" w14:textId="77777777" w:rsidR="009D54AF" w:rsidRDefault="00000000">
                              <w:pPr>
                                <w:spacing w:line="182" w:lineRule="exact"/>
                                <w:ind w:left="3" w:right="19"/>
                                <w:jc w:val="center"/>
                                <w:rPr>
                                  <w:b/>
                                  <w:sz w:val="16"/>
                                </w:rPr>
                              </w:pPr>
                              <w:r>
                                <w:rPr>
                                  <w:b/>
                                  <w:spacing w:val="-7"/>
                                  <w:sz w:val="16"/>
                                </w:rPr>
                                <w:t>reassessment</w:t>
                              </w:r>
                              <w:r>
                                <w:rPr>
                                  <w:b/>
                                  <w:spacing w:val="-10"/>
                                  <w:sz w:val="16"/>
                                </w:rPr>
                                <w:t xml:space="preserve"> </w:t>
                              </w:r>
                              <w:r>
                                <w:rPr>
                                  <w:b/>
                                  <w:spacing w:val="-2"/>
                                  <w:sz w:val="16"/>
                                </w:rPr>
                                <w:t>required</w:t>
                              </w:r>
                            </w:p>
                          </w:txbxContent>
                        </wps:txbx>
                        <wps:bodyPr wrap="square" lIns="0" tIns="0" rIns="0" bIns="0" rtlCol="0">
                          <a:noAutofit/>
                        </wps:bodyPr>
                      </wps:wsp>
                      <wps:wsp>
                        <wps:cNvPr id="68" name="Textbox 68"/>
                        <wps:cNvSpPr txBox="1"/>
                        <wps:spPr>
                          <a:xfrm>
                            <a:off x="3593631" y="1794158"/>
                            <a:ext cx="1624330" cy="101600"/>
                          </a:xfrm>
                          <a:prstGeom prst="rect">
                            <a:avLst/>
                          </a:prstGeom>
                        </wps:spPr>
                        <wps:txbx>
                          <w:txbxContent>
                            <w:p w14:paraId="66F6DC1E" w14:textId="77777777" w:rsidR="009D54AF" w:rsidRDefault="00000000">
                              <w:pPr>
                                <w:spacing w:line="158" w:lineRule="exact"/>
                                <w:rPr>
                                  <w:b/>
                                  <w:sz w:val="16"/>
                                </w:rPr>
                              </w:pPr>
                              <w:r>
                                <w:rPr>
                                  <w:b/>
                                  <w:spacing w:val="-4"/>
                                  <w:sz w:val="16"/>
                                </w:rPr>
                                <w:t>All</w:t>
                              </w:r>
                              <w:r>
                                <w:rPr>
                                  <w:b/>
                                  <w:spacing w:val="-19"/>
                                  <w:sz w:val="16"/>
                                </w:rPr>
                                <w:t xml:space="preserve"> </w:t>
                              </w:r>
                              <w:r>
                                <w:rPr>
                                  <w:b/>
                                  <w:spacing w:val="-4"/>
                                  <w:sz w:val="16"/>
                                </w:rPr>
                                <w:t>actions</w:t>
                              </w:r>
                              <w:r>
                                <w:rPr>
                                  <w:b/>
                                  <w:spacing w:val="-18"/>
                                  <w:sz w:val="16"/>
                                </w:rPr>
                                <w:t xml:space="preserve"> </w:t>
                              </w:r>
                              <w:r>
                                <w:rPr>
                                  <w:b/>
                                  <w:spacing w:val="-4"/>
                                  <w:sz w:val="16"/>
                                </w:rPr>
                                <w:t>met</w:t>
                              </w:r>
                              <w:r>
                                <w:rPr>
                                  <w:b/>
                                  <w:spacing w:val="-18"/>
                                  <w:sz w:val="16"/>
                                </w:rPr>
                                <w:t xml:space="preserve"> </w:t>
                              </w:r>
                              <w:r>
                                <w:rPr>
                                  <w:b/>
                                  <w:spacing w:val="-4"/>
                                  <w:sz w:val="16"/>
                                </w:rPr>
                                <w:t>at</w:t>
                              </w:r>
                              <w:r>
                                <w:rPr>
                                  <w:b/>
                                  <w:spacing w:val="-20"/>
                                  <w:sz w:val="16"/>
                                </w:rPr>
                                <w:t xml:space="preserve"> </w:t>
                              </w:r>
                              <w:r>
                                <w:rPr>
                                  <w:b/>
                                  <w:spacing w:val="-4"/>
                                  <w:sz w:val="16"/>
                                </w:rPr>
                                <w:t>initial</w:t>
                              </w:r>
                              <w:r>
                                <w:rPr>
                                  <w:b/>
                                  <w:spacing w:val="-20"/>
                                  <w:sz w:val="16"/>
                                </w:rPr>
                                <w:t xml:space="preserve"> </w:t>
                              </w:r>
                              <w:r>
                                <w:rPr>
                                  <w:b/>
                                  <w:spacing w:val="-4"/>
                                  <w:sz w:val="16"/>
                                </w:rPr>
                                <w:t>assessment</w:t>
                              </w:r>
                            </w:p>
                          </w:txbxContent>
                        </wps:txbx>
                        <wps:bodyPr wrap="square" lIns="0" tIns="0" rIns="0" bIns="0" rtlCol="0">
                          <a:noAutofit/>
                        </wps:bodyPr>
                      </wps:wsp>
                      <wps:wsp>
                        <wps:cNvPr id="69" name="Textbox 69"/>
                        <wps:cNvSpPr txBox="1"/>
                        <wps:spPr>
                          <a:xfrm>
                            <a:off x="698303" y="2127119"/>
                            <a:ext cx="359410" cy="102235"/>
                          </a:xfrm>
                          <a:prstGeom prst="rect">
                            <a:avLst/>
                          </a:prstGeom>
                        </wps:spPr>
                        <wps:txbx>
                          <w:txbxContent>
                            <w:p w14:paraId="4428C5C4" w14:textId="77777777" w:rsidR="009D54AF" w:rsidRDefault="00000000">
                              <w:pPr>
                                <w:spacing w:line="160" w:lineRule="exact"/>
                                <w:rPr>
                                  <w:sz w:val="16"/>
                                </w:rPr>
                              </w:pPr>
                              <w:r>
                                <w:rPr>
                                  <w:spacing w:val="-2"/>
                                  <w:sz w:val="16"/>
                                </w:rPr>
                                <w:t>2</w:t>
                              </w:r>
                              <w:r>
                                <w:rPr>
                                  <w:spacing w:val="-13"/>
                                  <w:sz w:val="16"/>
                                </w:rPr>
                                <w:t xml:space="preserve"> </w:t>
                              </w:r>
                              <w:r>
                                <w:rPr>
                                  <w:spacing w:val="-2"/>
                                  <w:sz w:val="16"/>
                                </w:rPr>
                                <w:t>(22%)</w:t>
                              </w:r>
                            </w:p>
                          </w:txbxContent>
                        </wps:txbx>
                        <wps:bodyPr wrap="square" lIns="0" tIns="0" rIns="0" bIns="0" rtlCol="0">
                          <a:noAutofit/>
                        </wps:bodyPr>
                      </wps:wsp>
                      <wps:wsp>
                        <wps:cNvPr id="70" name="Textbox 70"/>
                        <wps:cNvSpPr txBox="1"/>
                        <wps:spPr>
                          <a:xfrm>
                            <a:off x="4226726" y="2127119"/>
                            <a:ext cx="358775" cy="102235"/>
                          </a:xfrm>
                          <a:prstGeom prst="rect">
                            <a:avLst/>
                          </a:prstGeom>
                        </wps:spPr>
                        <wps:txbx>
                          <w:txbxContent>
                            <w:p w14:paraId="563ABA92" w14:textId="77777777" w:rsidR="009D54AF" w:rsidRDefault="00000000">
                              <w:pPr>
                                <w:spacing w:line="160" w:lineRule="exact"/>
                                <w:rPr>
                                  <w:sz w:val="16"/>
                                </w:rPr>
                              </w:pPr>
                              <w:r>
                                <w:rPr>
                                  <w:spacing w:val="-2"/>
                                  <w:sz w:val="16"/>
                                </w:rPr>
                                <w:t>7</w:t>
                              </w:r>
                              <w:r>
                                <w:rPr>
                                  <w:spacing w:val="-15"/>
                                  <w:sz w:val="16"/>
                                </w:rPr>
                                <w:t xml:space="preserve"> </w:t>
                              </w:r>
                              <w:r>
                                <w:rPr>
                                  <w:spacing w:val="-2"/>
                                  <w:sz w:val="16"/>
                                </w:rPr>
                                <w:t>(78%)</w:t>
                              </w:r>
                            </w:p>
                          </w:txbxContent>
                        </wps:txbx>
                        <wps:bodyPr wrap="square" lIns="0" tIns="0" rIns="0" bIns="0" rtlCol="0">
                          <a:noAutofit/>
                        </wps:bodyPr>
                      </wps:wsp>
                      <wps:wsp>
                        <wps:cNvPr id="71" name="Textbox 71"/>
                        <wps:cNvSpPr txBox="1"/>
                        <wps:spPr>
                          <a:xfrm>
                            <a:off x="699626" y="2392309"/>
                            <a:ext cx="356870" cy="102235"/>
                          </a:xfrm>
                          <a:prstGeom prst="rect">
                            <a:avLst/>
                          </a:prstGeom>
                        </wps:spPr>
                        <wps:txbx>
                          <w:txbxContent>
                            <w:p w14:paraId="781A7443" w14:textId="77777777" w:rsidR="009D54AF" w:rsidRDefault="00000000">
                              <w:pPr>
                                <w:spacing w:line="160" w:lineRule="exact"/>
                                <w:rPr>
                                  <w:sz w:val="16"/>
                                </w:rPr>
                              </w:pPr>
                              <w:r>
                                <w:rPr>
                                  <w:spacing w:val="-2"/>
                                  <w:sz w:val="16"/>
                                </w:rPr>
                                <w:t>7</w:t>
                              </w:r>
                              <w:r>
                                <w:rPr>
                                  <w:spacing w:val="-15"/>
                                  <w:sz w:val="16"/>
                                </w:rPr>
                                <w:t xml:space="preserve"> </w:t>
                              </w:r>
                              <w:r>
                                <w:rPr>
                                  <w:spacing w:val="-2"/>
                                  <w:sz w:val="16"/>
                                </w:rPr>
                                <w:t>(35%)</w:t>
                              </w:r>
                            </w:p>
                          </w:txbxContent>
                        </wps:txbx>
                        <wps:bodyPr wrap="square" lIns="0" tIns="0" rIns="0" bIns="0" rtlCol="0">
                          <a:noAutofit/>
                        </wps:bodyPr>
                      </wps:wsp>
                      <wps:wsp>
                        <wps:cNvPr id="72" name="Textbox 72"/>
                        <wps:cNvSpPr txBox="1"/>
                        <wps:spPr>
                          <a:xfrm>
                            <a:off x="4205246" y="2392309"/>
                            <a:ext cx="401320" cy="102235"/>
                          </a:xfrm>
                          <a:prstGeom prst="rect">
                            <a:avLst/>
                          </a:prstGeom>
                        </wps:spPr>
                        <wps:txbx>
                          <w:txbxContent>
                            <w:p w14:paraId="3F5C911F" w14:textId="77777777" w:rsidR="009D54AF" w:rsidRDefault="00000000">
                              <w:pPr>
                                <w:spacing w:line="160" w:lineRule="exact"/>
                                <w:rPr>
                                  <w:sz w:val="16"/>
                                </w:rPr>
                              </w:pPr>
                              <w:r>
                                <w:rPr>
                                  <w:w w:val="85"/>
                                  <w:sz w:val="16"/>
                                </w:rPr>
                                <w:t>13</w:t>
                              </w:r>
                              <w:r>
                                <w:rPr>
                                  <w:spacing w:val="-4"/>
                                  <w:w w:val="85"/>
                                  <w:sz w:val="16"/>
                                </w:rPr>
                                <w:t xml:space="preserve"> </w:t>
                              </w:r>
                              <w:r>
                                <w:rPr>
                                  <w:spacing w:val="-2"/>
                                  <w:w w:val="95"/>
                                  <w:sz w:val="16"/>
                                </w:rPr>
                                <w:t>(65%)</w:t>
                              </w:r>
                            </w:p>
                          </w:txbxContent>
                        </wps:txbx>
                        <wps:bodyPr wrap="square" lIns="0" tIns="0" rIns="0" bIns="0" rtlCol="0">
                          <a:noAutofit/>
                        </wps:bodyPr>
                      </wps:wsp>
                      <wps:wsp>
                        <wps:cNvPr id="73" name="Textbox 73"/>
                        <wps:cNvSpPr txBox="1"/>
                        <wps:spPr>
                          <a:xfrm>
                            <a:off x="645366" y="2657500"/>
                            <a:ext cx="464820" cy="102235"/>
                          </a:xfrm>
                          <a:prstGeom prst="rect">
                            <a:avLst/>
                          </a:prstGeom>
                        </wps:spPr>
                        <wps:txbx>
                          <w:txbxContent>
                            <w:p w14:paraId="4E9C17A5" w14:textId="77777777" w:rsidR="009D54AF" w:rsidRDefault="00000000">
                              <w:pPr>
                                <w:spacing w:line="160" w:lineRule="exact"/>
                                <w:rPr>
                                  <w:sz w:val="16"/>
                                </w:rPr>
                              </w:pPr>
                              <w:r>
                                <w:rPr>
                                  <w:w w:val="90"/>
                                  <w:sz w:val="16"/>
                                </w:rPr>
                                <w:t>315</w:t>
                              </w:r>
                              <w:r>
                                <w:rPr>
                                  <w:spacing w:val="-7"/>
                                  <w:w w:val="90"/>
                                  <w:sz w:val="16"/>
                                </w:rPr>
                                <w:t xml:space="preserve"> </w:t>
                              </w:r>
                              <w:r>
                                <w:rPr>
                                  <w:spacing w:val="-4"/>
                                  <w:w w:val="105"/>
                                  <w:sz w:val="16"/>
                                </w:rPr>
                                <w:t>(69%)</w:t>
                              </w:r>
                            </w:p>
                          </w:txbxContent>
                        </wps:txbx>
                        <wps:bodyPr wrap="square" lIns="0" tIns="0" rIns="0" bIns="0" rtlCol="0">
                          <a:noAutofit/>
                        </wps:bodyPr>
                      </wps:wsp>
                      <wps:wsp>
                        <wps:cNvPr id="74" name="Textbox 74"/>
                        <wps:cNvSpPr txBox="1"/>
                        <wps:spPr>
                          <a:xfrm>
                            <a:off x="4184377" y="2657500"/>
                            <a:ext cx="443230" cy="102235"/>
                          </a:xfrm>
                          <a:prstGeom prst="rect">
                            <a:avLst/>
                          </a:prstGeom>
                        </wps:spPr>
                        <wps:txbx>
                          <w:txbxContent>
                            <w:p w14:paraId="28B97103" w14:textId="77777777" w:rsidR="009D54AF" w:rsidRDefault="00000000">
                              <w:pPr>
                                <w:spacing w:line="160" w:lineRule="exact"/>
                                <w:rPr>
                                  <w:sz w:val="16"/>
                                </w:rPr>
                              </w:pPr>
                              <w:r>
                                <w:rPr>
                                  <w:w w:val="90"/>
                                  <w:sz w:val="16"/>
                                </w:rPr>
                                <w:t>143</w:t>
                              </w:r>
                              <w:r>
                                <w:rPr>
                                  <w:spacing w:val="-4"/>
                                  <w:w w:val="90"/>
                                  <w:sz w:val="16"/>
                                </w:rPr>
                                <w:t xml:space="preserve"> </w:t>
                              </w:r>
                              <w:r>
                                <w:rPr>
                                  <w:spacing w:val="-2"/>
                                  <w:w w:val="95"/>
                                  <w:sz w:val="16"/>
                                </w:rPr>
                                <w:t>(31%)</w:t>
                              </w:r>
                            </w:p>
                          </w:txbxContent>
                        </wps:txbx>
                        <wps:bodyPr wrap="square" lIns="0" tIns="0" rIns="0" bIns="0" rtlCol="0">
                          <a:noAutofit/>
                        </wps:bodyPr>
                      </wps:wsp>
                      <wps:wsp>
                        <wps:cNvPr id="75" name="Textbox 75"/>
                        <wps:cNvSpPr txBox="1"/>
                        <wps:spPr>
                          <a:xfrm>
                            <a:off x="2108505" y="3509979"/>
                            <a:ext cx="1063625" cy="101600"/>
                          </a:xfrm>
                          <a:prstGeom prst="rect">
                            <a:avLst/>
                          </a:prstGeom>
                        </wps:spPr>
                        <wps:txbx>
                          <w:txbxContent>
                            <w:p w14:paraId="1870BB5A" w14:textId="77777777" w:rsidR="009D54AF" w:rsidRDefault="00000000">
                              <w:pPr>
                                <w:spacing w:line="158" w:lineRule="exact"/>
                                <w:rPr>
                                  <w:b/>
                                  <w:sz w:val="16"/>
                                </w:rPr>
                              </w:pPr>
                              <w:r>
                                <w:rPr>
                                  <w:b/>
                                  <w:spacing w:val="-5"/>
                                  <w:sz w:val="16"/>
                                </w:rPr>
                                <w:t>Accreditation</w:t>
                              </w:r>
                              <w:r>
                                <w:rPr>
                                  <w:b/>
                                  <w:spacing w:val="-9"/>
                                  <w:sz w:val="16"/>
                                </w:rPr>
                                <w:t xml:space="preserve"> </w:t>
                              </w:r>
                              <w:r>
                                <w:rPr>
                                  <w:b/>
                                  <w:spacing w:val="-2"/>
                                  <w:sz w:val="16"/>
                                </w:rPr>
                                <w:t>outcome</w:t>
                              </w:r>
                            </w:p>
                          </w:txbxContent>
                        </wps:txbx>
                        <wps:bodyPr wrap="square" lIns="0" tIns="0" rIns="0" bIns="0" rtlCol="0">
                          <a:noAutofit/>
                        </wps:bodyPr>
                      </wps:wsp>
                      <wps:wsp>
                        <wps:cNvPr id="76" name="Textbox 76"/>
                        <wps:cNvSpPr txBox="1"/>
                        <wps:spPr>
                          <a:xfrm>
                            <a:off x="1841887" y="4019276"/>
                            <a:ext cx="1584325" cy="252095"/>
                          </a:xfrm>
                          <a:prstGeom prst="rect">
                            <a:avLst/>
                          </a:prstGeom>
                          <a:solidFill>
                            <a:srgbClr val="B81F36"/>
                          </a:solidFill>
                        </wps:spPr>
                        <wps:txbx>
                          <w:txbxContent>
                            <w:p w14:paraId="49060D1A" w14:textId="77777777" w:rsidR="009D54AF" w:rsidRDefault="00000000">
                              <w:pPr>
                                <w:spacing w:before="108"/>
                                <w:ind w:left="571"/>
                                <w:rPr>
                                  <w:color w:val="000000"/>
                                  <w:sz w:val="16"/>
                                </w:rPr>
                              </w:pPr>
                              <w:r>
                                <w:rPr>
                                  <w:color w:val="FFFFFF"/>
                                  <w:sz w:val="16"/>
                                </w:rPr>
                                <w:t>Not</w:t>
                              </w:r>
                              <w:r>
                                <w:rPr>
                                  <w:color w:val="FFFFFF"/>
                                  <w:spacing w:val="7"/>
                                  <w:sz w:val="16"/>
                                </w:rPr>
                                <w:t xml:space="preserve"> </w:t>
                              </w:r>
                              <w:r>
                                <w:rPr>
                                  <w:color w:val="FFFFFF"/>
                                  <w:sz w:val="16"/>
                                </w:rPr>
                                <w:t>accredited</w:t>
                              </w:r>
                              <w:r>
                                <w:rPr>
                                  <w:color w:val="FFFFFF"/>
                                  <w:spacing w:val="8"/>
                                  <w:sz w:val="16"/>
                                </w:rPr>
                                <w:t xml:space="preserve"> </w:t>
                              </w:r>
                              <w:r>
                                <w:rPr>
                                  <w:color w:val="FFFFFF"/>
                                  <w:sz w:val="16"/>
                                </w:rPr>
                                <w:t>–</w:t>
                              </w:r>
                              <w:r>
                                <w:rPr>
                                  <w:color w:val="FFFFFF"/>
                                  <w:spacing w:val="11"/>
                                  <w:sz w:val="16"/>
                                </w:rPr>
                                <w:t xml:space="preserve"> </w:t>
                              </w:r>
                              <w:r>
                                <w:rPr>
                                  <w:color w:val="FFFFFF"/>
                                  <w:spacing w:val="-10"/>
                                  <w:sz w:val="16"/>
                                </w:rPr>
                                <w:t>0</w:t>
                              </w:r>
                            </w:p>
                          </w:txbxContent>
                        </wps:txbx>
                        <wps:bodyPr wrap="square" lIns="0" tIns="0" rIns="0" bIns="0" rtlCol="0">
                          <a:noAutofit/>
                        </wps:bodyPr>
                      </wps:wsp>
                      <wps:wsp>
                        <wps:cNvPr id="77" name="Textbox 77"/>
                        <wps:cNvSpPr txBox="1"/>
                        <wps:spPr>
                          <a:xfrm>
                            <a:off x="1841887" y="3749224"/>
                            <a:ext cx="1584325" cy="252095"/>
                          </a:xfrm>
                          <a:prstGeom prst="rect">
                            <a:avLst/>
                          </a:prstGeom>
                          <a:solidFill>
                            <a:srgbClr val="007CAE"/>
                          </a:solidFill>
                        </wps:spPr>
                        <wps:txbx>
                          <w:txbxContent>
                            <w:p w14:paraId="6B98A8EF" w14:textId="77777777" w:rsidR="009D54AF" w:rsidRDefault="00000000">
                              <w:pPr>
                                <w:spacing w:before="115"/>
                                <w:ind w:left="352"/>
                                <w:rPr>
                                  <w:color w:val="000000"/>
                                  <w:sz w:val="16"/>
                                </w:rPr>
                              </w:pPr>
                              <w:r>
                                <w:rPr>
                                  <w:color w:val="FFFFFF"/>
                                  <w:w w:val="105"/>
                                  <w:sz w:val="16"/>
                                </w:rPr>
                                <w:t>Accredited</w:t>
                              </w:r>
                              <w:r>
                                <w:rPr>
                                  <w:color w:val="FFFFFF"/>
                                  <w:spacing w:val="-15"/>
                                  <w:w w:val="105"/>
                                  <w:sz w:val="16"/>
                                </w:rPr>
                                <w:t xml:space="preserve"> </w:t>
                              </w:r>
                              <w:r>
                                <w:rPr>
                                  <w:color w:val="FFFFFF"/>
                                  <w:w w:val="105"/>
                                  <w:sz w:val="16"/>
                                </w:rPr>
                                <w:t>–</w:t>
                              </w:r>
                              <w:r>
                                <w:rPr>
                                  <w:color w:val="FFFFFF"/>
                                  <w:spacing w:val="-14"/>
                                  <w:w w:val="105"/>
                                  <w:sz w:val="16"/>
                                </w:rPr>
                                <w:t xml:space="preserve"> </w:t>
                              </w:r>
                              <w:r>
                                <w:rPr>
                                  <w:color w:val="FFFFFF"/>
                                  <w:w w:val="105"/>
                                  <w:sz w:val="16"/>
                                </w:rPr>
                                <w:t>487</w:t>
                              </w:r>
                              <w:r>
                                <w:rPr>
                                  <w:color w:val="FFFFFF"/>
                                  <w:spacing w:val="-14"/>
                                  <w:w w:val="105"/>
                                  <w:sz w:val="16"/>
                                </w:rPr>
                                <w:t xml:space="preserve"> </w:t>
                              </w:r>
                              <w:r>
                                <w:rPr>
                                  <w:color w:val="FFFFFF"/>
                                  <w:spacing w:val="-2"/>
                                  <w:w w:val="105"/>
                                  <w:sz w:val="16"/>
                                </w:rPr>
                                <w:t>(100%)</w:t>
                              </w:r>
                            </w:p>
                          </w:txbxContent>
                        </wps:txbx>
                        <wps:bodyPr wrap="square" lIns="0" tIns="0" rIns="0" bIns="0" rtlCol="0">
                          <a:noAutofit/>
                        </wps:bodyPr>
                      </wps:wsp>
                      <wps:wsp>
                        <wps:cNvPr id="78" name="Textbox 78"/>
                        <wps:cNvSpPr txBox="1"/>
                        <wps:spPr>
                          <a:xfrm>
                            <a:off x="1841899" y="421316"/>
                            <a:ext cx="1584325" cy="252095"/>
                          </a:xfrm>
                          <a:prstGeom prst="rect">
                            <a:avLst/>
                          </a:prstGeom>
                          <a:solidFill>
                            <a:srgbClr val="DAF0F4"/>
                          </a:solidFill>
                        </wps:spPr>
                        <wps:txbx>
                          <w:txbxContent>
                            <w:p w14:paraId="3D4CE5FC" w14:textId="77777777" w:rsidR="009D54AF" w:rsidRDefault="00000000">
                              <w:pPr>
                                <w:spacing w:before="111"/>
                                <w:ind w:left="2"/>
                                <w:jc w:val="center"/>
                                <w:rPr>
                                  <w:color w:val="000000"/>
                                  <w:sz w:val="16"/>
                                </w:rPr>
                              </w:pPr>
                              <w:r>
                                <w:rPr>
                                  <w:color w:val="000000"/>
                                  <w:sz w:val="16"/>
                                </w:rPr>
                                <w:t>Interim</w:t>
                              </w:r>
                              <w:r>
                                <w:rPr>
                                  <w:color w:val="000000"/>
                                  <w:spacing w:val="12"/>
                                  <w:sz w:val="16"/>
                                </w:rPr>
                                <w:t xml:space="preserve"> </w:t>
                              </w:r>
                              <w:r>
                                <w:rPr>
                                  <w:color w:val="000000"/>
                                  <w:sz w:val="16"/>
                                </w:rPr>
                                <w:t>–</w:t>
                              </w:r>
                              <w:r>
                                <w:rPr>
                                  <w:color w:val="000000"/>
                                  <w:spacing w:val="10"/>
                                  <w:sz w:val="16"/>
                                </w:rPr>
                                <w:t xml:space="preserve"> </w:t>
                              </w:r>
                              <w:r>
                                <w:rPr>
                                  <w:color w:val="000000"/>
                                  <w:spacing w:val="-10"/>
                                  <w:sz w:val="16"/>
                                </w:rPr>
                                <w:t>9</w:t>
                              </w:r>
                            </w:p>
                          </w:txbxContent>
                        </wps:txbx>
                        <wps:bodyPr wrap="square" lIns="0" tIns="0" rIns="0" bIns="0" rtlCol="0">
                          <a:noAutofit/>
                        </wps:bodyPr>
                      </wps:wsp>
                    </wpg:wgp>
                  </a:graphicData>
                </a:graphic>
              </wp:anchor>
            </w:drawing>
          </mc:Choice>
          <mc:Fallback>
            <w:pict>
              <v:group w14:anchorId="5B350C49" id="Group 43" o:spid="_x0000_s1054" style="position:absolute;margin-left:42.5pt;margin-top:10.85pt;width:414.8pt;height:385.9pt;z-index:-15724544;mso-wrap-distance-left:0;mso-wrap-distance-right:0;mso-position-horizontal-relative:page" coordsize="52679,4900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">
                <v:shape id="Textbox 44" o:spid="_x0000_s1055" type="#_x0000_t202" style="position:absolute;left:18418;top:6913;width:15844;height:252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" fillcolor="#b3e1ea" stroked="f">
                  <v:textbox inset="0,0,0,0">
                    <w:txbxContent>
                      <w:p w14:paraId="5EF3E136" w14:textId="77777777" w:rsidR="009D54AF" w:rsidRDefault="00000000">
                        <w:pPr>
                          <w:spacing w:before="103"/>
                          <w:ind w:left="632"/>
                          <w:rPr>
                            <w:color w:val="000000"/>
                            <w:sz w:val="16"/>
                          </w:rPr>
                        </w:pPr>
                        <w:r>
                          <w:rPr>
                            <w:color w:val="000000"/>
                            <w:spacing w:val="2"/>
                            <w:sz w:val="16"/>
                          </w:rPr>
                          <w:t>Announced</w:t>
                        </w:r>
                        <w:r>
                          <w:rPr>
                            <w:color w:val="000000"/>
                            <w:spacing w:val="12"/>
                            <w:sz w:val="16"/>
                          </w:rPr>
                          <w:t xml:space="preserve"> </w:t>
                        </w:r>
                        <w:r>
                          <w:rPr>
                            <w:color w:val="000000"/>
                            <w:spacing w:val="2"/>
                            <w:sz w:val="16"/>
                          </w:rPr>
                          <w:t>–</w:t>
                        </w:r>
                        <w:r>
                          <w:rPr>
                            <w:color w:val="000000"/>
                            <w:spacing w:val="12"/>
                            <w:sz w:val="16"/>
                          </w:rPr>
                          <w:t xml:space="preserve"> </w:t>
                        </w:r>
                        <w:r>
                          <w:rPr>
                            <w:color w:val="000000"/>
                            <w:spacing w:val="-5"/>
                            <w:sz w:val="16"/>
                          </w:rPr>
                          <w:t>20</w:t>
                        </w:r>
                      </w:p>
                    </w:txbxContent>
                  </v:textbox>
                </v:shape>
                <v:shape id="Textbox 45" o:spid="_x0000_s1056" type="#_x0000_t202" style="position:absolute;left:18418;top:9613;width:15844;height:252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" fillcolor="#6eccde" stroked="f">
                  <v:textbox inset="0,0,0,0">
                    <w:txbxContent>
                      <w:p w14:paraId="0AA4E750" w14:textId="77777777" w:rsidR="009D54AF" w:rsidRDefault="00000000">
                        <w:pPr>
                          <w:spacing w:before="96"/>
                          <w:ind w:left="155"/>
                          <w:rPr>
                            <w:color w:val="000000"/>
                            <w:sz w:val="16"/>
                          </w:rPr>
                        </w:pPr>
                        <w:r>
                          <w:rPr>
                            <w:color w:val="000000"/>
                            <w:spacing w:val="2"/>
                            <w:sz w:val="16"/>
                          </w:rPr>
                          <w:t>Mandatory</w:t>
                        </w:r>
                        <w:r>
                          <w:rPr>
                            <w:color w:val="000000"/>
                            <w:spacing w:val="10"/>
                            <w:sz w:val="16"/>
                          </w:rPr>
                          <w:t xml:space="preserve"> </w:t>
                        </w:r>
                        <w:r>
                          <w:rPr>
                            <w:color w:val="000000"/>
                            <w:spacing w:val="2"/>
                            <w:sz w:val="16"/>
                          </w:rPr>
                          <w:t>short</w:t>
                        </w:r>
                        <w:r>
                          <w:rPr>
                            <w:color w:val="000000"/>
                            <w:spacing w:val="10"/>
                            <w:sz w:val="16"/>
                          </w:rPr>
                          <w:t xml:space="preserve"> </w:t>
                        </w:r>
                        <w:r>
                          <w:rPr>
                            <w:color w:val="000000"/>
                            <w:spacing w:val="2"/>
                            <w:sz w:val="16"/>
                          </w:rPr>
                          <w:t>notice</w:t>
                        </w:r>
                        <w:r>
                          <w:rPr>
                            <w:color w:val="000000"/>
                            <w:spacing w:val="9"/>
                            <w:sz w:val="16"/>
                          </w:rPr>
                          <w:t xml:space="preserve"> </w:t>
                        </w:r>
                        <w:r>
                          <w:rPr>
                            <w:color w:val="000000"/>
                            <w:spacing w:val="2"/>
                            <w:sz w:val="16"/>
                          </w:rPr>
                          <w:t>–</w:t>
                        </w:r>
                        <w:r>
                          <w:rPr>
                            <w:color w:val="000000"/>
                            <w:spacing w:val="8"/>
                            <w:sz w:val="16"/>
                          </w:rPr>
                          <w:t xml:space="preserve"> </w:t>
                        </w:r>
                        <w:r>
                          <w:rPr>
                            <w:color w:val="000000"/>
                            <w:spacing w:val="-5"/>
                            <w:sz w:val="16"/>
                          </w:rPr>
                          <w:t>458</w:t>
                        </w:r>
                      </w:p>
                    </w:txbxContent>
                  </v:textbox>
                </v:shape>
                <v:shape id="Textbox 46" o:spid="_x0000_s1057" type="#_x0000_t202" style="position:absolute;left:20709;top:1561;width:11417;height:101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" filled="f" stroked="f">
                  <v:textbox inset="0,0,0,0">
                    <w:txbxContent>
                      <w:p w14:paraId="107D0BF6" w14:textId="77777777" w:rsidR="009D54AF" w:rsidRDefault="00000000">
                        <w:pPr>
                          <w:spacing w:line="158" w:lineRule="exact"/>
                          <w:rPr>
                            <w:b/>
                            <w:sz w:val="16"/>
                          </w:rPr>
                        </w:pPr>
                        <w:r>
                          <w:rPr>
                            <w:b/>
                            <w:spacing w:val="-8"/>
                            <w:sz w:val="16"/>
                          </w:rPr>
                          <w:t>Assessments</w:t>
                        </w:r>
                        <w:r>
                          <w:rPr>
                            <w:b/>
                            <w:spacing w:val="-9"/>
                            <w:sz w:val="16"/>
                          </w:rPr>
                          <w:t xml:space="preserve"> </w:t>
                        </w:r>
                        <w:r>
                          <w:rPr>
                            <w:b/>
                            <w:spacing w:val="-2"/>
                            <w:sz w:val="16"/>
                          </w:rPr>
                          <w:t>conducted</w:t>
                        </w:r>
                      </w:p>
                    </w:txbxContent>
                  </v:textbox>
                </v:shape>
                <v:shape id="Graphic 47" o:spid="_x0000_s1058" style="position:absolute;left:17698;top:58;width:17285;height:12796;visibility:visible;mso-wrap-style:square;v-text-anchor:top" coordsize="1728470,127952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" path="m1728000,1279283l,1279283,,,1728000,r,1279283xe" filled="f" strokecolor="#3a74ba" strokeweight=".327mm">
                  <v:path arrowok="t"/>
                </v:shape>
                <v:shape id="Graphic 48" o:spid="_x0000_s1059" style="position:absolute;left:17698;top:33367;width:17285;height:10065;visibility:visible;mso-wrap-style:square;v-text-anchor:top" coordsize="1728470,100647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" path="m1728000,1006373l,1006373,,,1728000,r,1006373xe" filled="f" strokecolor="#3a74ba" strokeweight=".327mm">
                  <v:path arrowok="t"/>
                </v:shape>
                <v:shape id="Graphic 49" o:spid="_x0000_s1060" style="position:absolute;left:778;top:25758;width:15844;height:2521;visibility:visible;mso-wrap-style:square;v-text-anchor:top" coordsize="1584325,25209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" path="m1583994,l,,,251993r1583994,l1583994,xe" fillcolor="#6eccde" stroked="f">
                  <v:path arrowok="t"/>
                </v:shape>
                <v:shape id="Graphic 50" o:spid="_x0000_s1061" style="position:absolute;left:778;top:20359;width:15844;height:2521;visibility:visible;mso-wrap-style:square;v-text-anchor:top" coordsize="1584325,25209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" path="m1583994,l,,,251993r1583994,l1583994,xe" fillcolor="#daf0f4" stroked="f">
                  <v:path arrowok="t"/>
                </v:shape>
                <v:shape id="Graphic 51" o:spid="_x0000_s1062" style="position:absolute;left:778;top:23059;width:15844;height:2521;visibility:visible;mso-wrap-style:square;v-text-anchor:top" coordsize="1584325,25209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" path="m1583994,l,,,251993r1583994,l1583994,xe" fillcolor="#b3e1ea" stroked="f">
                  <v:path arrowok="t"/>
                </v:shape>
                <v:shape id="Graphic 52" o:spid="_x0000_s1063" style="position:absolute;left:58;top:16258;width:17285;height:12745;visibility:visible;mso-wrap-style:square;v-text-anchor:top" coordsize="1728470,127444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" path="m1728000,1273949l,1273949,,,1728000,r,1273949xe" filled="f" strokecolor="#3a74ba" strokeweight=".327mm">
                  <v:path arrowok="t"/>
                </v:shape>
                <v:shape id="Graphic 53" o:spid="_x0000_s1064" style="position:absolute;left:36058;top:25758;width:15844;height:2521;visibility:visible;mso-wrap-style:square;v-text-anchor:top" coordsize="1584325,25209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" path="m1583994,l,,,251993r1583994,l1583994,xe" fillcolor="#6eccde" stroked="f">
                  <v:path arrowok="t"/>
                </v:shape>
                <v:shape id="Graphic 54" o:spid="_x0000_s1065" style="position:absolute;left:36058;top:20359;width:15844;height:2521;visibility:visible;mso-wrap-style:square;v-text-anchor:top" coordsize="1584325,25209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" path="m1583994,l,,,251993r1583994,l1583994,xe" fillcolor="#daf0f4" stroked="f">
                  <v:path arrowok="t"/>
                </v:shape>
                <v:shape id="Graphic 55" o:spid="_x0000_s1066" style="position:absolute;left:36058;top:23059;width:15844;height:2521;visibility:visible;mso-wrap-style:square;v-text-anchor:top" coordsize="1584325,25209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" path="m1583994,l,,,251993r1583994,l1583994,xe" fillcolor="#b3e1ea" stroked="f">
                  <v:path arrowok="t"/>
                </v:shape>
                <v:shape id="Graphic 56" o:spid="_x0000_s1067" style="position:absolute;left:35338;top:16258;width:17285;height:12745;visibility:visible;mso-wrap-style:square;v-text-anchor:top" coordsize="1728470,127444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" path="m1728000,1273949l,1273949,,,1728000,r,1273949xe" filled="f" strokecolor="#3a74ba" strokeweight=".327mm">
                  <v:path arrowok="t"/>
                </v:shape>
                <v:shape id="Graphic 57" o:spid="_x0000_s1068" style="position:absolute;left:8681;top:6455;width:8960;height:9315;visibility:visible;mso-wrap-style:square;v-text-anchor:top" coordsize="895985,9315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" path="m895604,l,,,931468e" filled="f" strokecolor="#3a74ba" strokeweight=".327mm">
                  <v:path arrowok="t"/>
                </v:shape>
                <v:shape id="Graphic 58" o:spid="_x0000_s1069" style="position:absolute;left:8200;top:15299;width:965;height:604;visibility:visible;mso-wrap-style:square;v-text-anchor:top" coordsize="96520,6032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" path="m87617,l48107,42506,8623,,,8026,48107,59778,96240,8026,87617,xe" fillcolor="#3a74ba" stroked="f">
                  <v:path arrowok="t"/>
                </v:shape>
                <v:shape id="Graphic 59" o:spid="_x0000_s1070" style="position:absolute;left:35033;top:6455;width:8960;height:9315;visibility:visible;mso-wrap-style:square;v-text-anchor:top" coordsize="895985,9315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" path="m,l895604,r,931468e" filled="f" strokecolor="#3a74ba" strokeweight=".327mm">
                  <v:path arrowok="t"/>
                </v:shape>
                <v:shape id="Graphic 60" o:spid="_x0000_s1071" style="position:absolute;left:43508;top:15299;width:965;height:604;visibility:visible;mso-wrap-style:square;v-text-anchor:top" coordsize="96520,6032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" path="m87617,l48107,42506,8623,,,8026,48107,59778,96240,8026,87617,xe" fillcolor="#3a74ba" stroked="f">
                  <v:path arrowok="t"/>
                </v:shape>
                <v:shape id="Graphic 61" o:spid="_x0000_s1072" style="position:absolute;left:8681;top:28973;width:8535;height:9442;visibility:visible;mso-wrap-style:square;v-text-anchor:top" coordsize="853440,9442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" path="m852830,944232l,944232,,e" filled="f" strokecolor="#3a74ba" strokeweight=".327mm">
                  <v:path arrowok="t"/>
                </v:shape>
                <v:shape id="Graphic 62" o:spid="_x0000_s1073" style="position:absolute;left:16739;top:37934;width:604;height:965;visibility:visible;mso-wrap-style:square;v-text-anchor:top" coordsize="60325,9652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" path="m8026,l,8610,42506,48107,,87617r8026,8623l59778,48107,8026,xe" fillcolor="#3a74ba" stroked="f">
                  <v:path arrowok="t"/>
                </v:shape>
                <v:shape id="Graphic 63" o:spid="_x0000_s1074" style="position:absolute;left:35464;top:28973;width:8528;height:9442;visibility:visible;mso-wrap-style:square;v-text-anchor:top" coordsize="852805,9442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" path="m,944232r852487,l852487,e" filled="f" strokecolor="#3a74ba" strokeweight=".327mm">
                  <v:path arrowok="t"/>
                </v:shape>
                <v:shape id="Graphic 64" o:spid="_x0000_s1075" style="position:absolute;left:35337;top:37934;width:603;height:965;visibility:visible;mso-wrap-style:square;v-text-anchor:top" coordsize="60325,9652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" path="m51752,l,48120,51752,96240r8026,-8623l17284,48120,59778,8610,51752,xe" fillcolor="#3a74ba" stroked="f">
                  <v:path arrowok="t"/>
                </v:shape>
                <v:shape id="Graphic 65" o:spid="_x0000_s1076" style="position:absolute;left:26338;top:43428;width:13;height:5455;visibility:visible;mso-wrap-style:square;v-text-anchor:top" coordsize="1270,54546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" path="m,l,544969e" filled="f" strokecolor="#3a74ba" strokeweight=".327mm">
                  <v:path arrowok="t"/>
                </v:shape>
                <v:shape id="Graphic 66" o:spid="_x0000_s1077" style="position:absolute;left:25857;top:48407;width:965;height:604;visibility:visible;mso-wrap-style:square;v-text-anchor:top" coordsize="96520,6032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" path="m87617,l48120,42494,8623,,,8026,48120,59778,96240,8026,87617,xe" fillcolor="#3a74ba" stroked="f">
                  <v:path arrowok="t"/>
                </v:shape>
                <v:shape id="Textbox 67" o:spid="_x0000_s1078" type="#_x0000_t202" style="position:absolute;left:1254;top:17451;width:15012;height:215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" filled="f" stroked="f">
                  <v:textbox inset="0,0,0,0">
                    <w:txbxContent>
                      <w:p w14:paraId="5372F9C1" w14:textId="77777777" w:rsidR="009D54AF" w:rsidRDefault="00000000">
                        <w:pPr>
                          <w:spacing w:line="156" w:lineRule="exact"/>
                          <w:ind w:right="19"/>
                          <w:jc w:val="center"/>
                          <w:rPr>
                            <w:b/>
                            <w:sz w:val="16"/>
                          </w:rPr>
                        </w:pPr>
                        <w:r>
                          <w:rPr>
                            <w:b/>
                            <w:spacing w:val="-4"/>
                            <w:sz w:val="16"/>
                          </w:rPr>
                          <w:t>Areas</w:t>
                        </w:r>
                        <w:r>
                          <w:rPr>
                            <w:b/>
                            <w:spacing w:val="-20"/>
                            <w:sz w:val="16"/>
                          </w:rPr>
                          <w:t xml:space="preserve"> </w:t>
                        </w:r>
                        <w:r>
                          <w:rPr>
                            <w:b/>
                            <w:spacing w:val="-4"/>
                            <w:sz w:val="16"/>
                          </w:rPr>
                          <w:t>of</w:t>
                        </w:r>
                        <w:r>
                          <w:rPr>
                            <w:b/>
                            <w:spacing w:val="-19"/>
                            <w:sz w:val="16"/>
                          </w:rPr>
                          <w:t xml:space="preserve"> </w:t>
                        </w:r>
                        <w:r>
                          <w:rPr>
                            <w:b/>
                            <w:spacing w:val="-4"/>
                            <w:sz w:val="16"/>
                          </w:rPr>
                          <w:t>improvement</w:t>
                        </w:r>
                        <w:r>
                          <w:rPr>
                            <w:b/>
                            <w:spacing w:val="-19"/>
                            <w:sz w:val="16"/>
                          </w:rPr>
                          <w:t xml:space="preserve"> </w:t>
                        </w:r>
                        <w:proofErr w:type="spellStart"/>
                        <w:r>
                          <w:rPr>
                            <w:b/>
                            <w:spacing w:val="-4"/>
                            <w:sz w:val="16"/>
                          </w:rPr>
                          <w:t>identi</w:t>
                        </w:r>
                        <w:proofErr w:type="spellEnd"/>
                        <w:r>
                          <w:rPr>
                            <w:b/>
                            <w:spacing w:val="11"/>
                            <w:sz w:val="16"/>
                          </w:rPr>
                          <w:t xml:space="preserve"> </w:t>
                        </w:r>
                        <w:r>
                          <w:rPr>
                            <w:b/>
                            <w:spacing w:val="-5"/>
                            <w:sz w:val="16"/>
                          </w:rPr>
                          <w:t>ed,</w:t>
                        </w:r>
                      </w:p>
                      <w:p w14:paraId="7CE4527A" w14:textId="77777777" w:rsidR="009D54AF" w:rsidRDefault="00000000">
                        <w:pPr>
                          <w:spacing w:line="182" w:lineRule="exact"/>
                          <w:ind w:left="3" w:right="19"/>
                          <w:jc w:val="center"/>
                          <w:rPr>
                            <w:b/>
                            <w:sz w:val="16"/>
                          </w:rPr>
                        </w:pPr>
                        <w:r>
                          <w:rPr>
                            <w:b/>
                            <w:spacing w:val="-7"/>
                            <w:sz w:val="16"/>
                          </w:rPr>
                          <w:t>reassessment</w:t>
                        </w:r>
                        <w:r>
                          <w:rPr>
                            <w:b/>
                            <w:spacing w:val="-10"/>
                            <w:sz w:val="16"/>
                          </w:rPr>
                          <w:t xml:space="preserve"> </w:t>
                        </w:r>
                        <w:r>
                          <w:rPr>
                            <w:b/>
                            <w:spacing w:val="-2"/>
                            <w:sz w:val="16"/>
                          </w:rPr>
                          <w:t>required</w:t>
                        </w:r>
                      </w:p>
                    </w:txbxContent>
                  </v:textbox>
                </v:shape>
                <v:shape id="Textbox 68" o:spid="_x0000_s1079" type="#_x0000_t202" style="position:absolute;left:35936;top:17941;width:16243;height:101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" filled="f" stroked="f">
                  <v:textbox inset="0,0,0,0">
                    <w:txbxContent>
                      <w:p w14:paraId="66F6DC1E" w14:textId="77777777" w:rsidR="009D54AF" w:rsidRDefault="00000000">
                        <w:pPr>
                          <w:spacing w:line="158" w:lineRule="exact"/>
                          <w:rPr>
                            <w:b/>
                            <w:sz w:val="16"/>
                          </w:rPr>
                        </w:pPr>
                        <w:r>
                          <w:rPr>
                            <w:b/>
                            <w:spacing w:val="-4"/>
                            <w:sz w:val="16"/>
                          </w:rPr>
                          <w:t>All</w:t>
                        </w:r>
                        <w:r>
                          <w:rPr>
                            <w:b/>
                            <w:spacing w:val="-19"/>
                            <w:sz w:val="16"/>
                          </w:rPr>
                          <w:t xml:space="preserve"> </w:t>
                        </w:r>
                        <w:r>
                          <w:rPr>
                            <w:b/>
                            <w:spacing w:val="-4"/>
                            <w:sz w:val="16"/>
                          </w:rPr>
                          <w:t>actions</w:t>
                        </w:r>
                        <w:r>
                          <w:rPr>
                            <w:b/>
                            <w:spacing w:val="-18"/>
                            <w:sz w:val="16"/>
                          </w:rPr>
                          <w:t xml:space="preserve"> </w:t>
                        </w:r>
                        <w:r>
                          <w:rPr>
                            <w:b/>
                            <w:spacing w:val="-4"/>
                            <w:sz w:val="16"/>
                          </w:rPr>
                          <w:t>met</w:t>
                        </w:r>
                        <w:r>
                          <w:rPr>
                            <w:b/>
                            <w:spacing w:val="-18"/>
                            <w:sz w:val="16"/>
                          </w:rPr>
                          <w:t xml:space="preserve"> </w:t>
                        </w:r>
                        <w:r>
                          <w:rPr>
                            <w:b/>
                            <w:spacing w:val="-4"/>
                            <w:sz w:val="16"/>
                          </w:rPr>
                          <w:t>at</w:t>
                        </w:r>
                        <w:r>
                          <w:rPr>
                            <w:b/>
                            <w:spacing w:val="-20"/>
                            <w:sz w:val="16"/>
                          </w:rPr>
                          <w:t xml:space="preserve"> </w:t>
                        </w:r>
                        <w:r>
                          <w:rPr>
                            <w:b/>
                            <w:spacing w:val="-4"/>
                            <w:sz w:val="16"/>
                          </w:rPr>
                          <w:t>initial</w:t>
                        </w:r>
                        <w:r>
                          <w:rPr>
                            <w:b/>
                            <w:spacing w:val="-20"/>
                            <w:sz w:val="16"/>
                          </w:rPr>
                          <w:t xml:space="preserve"> </w:t>
                        </w:r>
                        <w:r>
                          <w:rPr>
                            <w:b/>
                            <w:spacing w:val="-4"/>
                            <w:sz w:val="16"/>
                          </w:rPr>
                          <w:t>assessment</w:t>
                        </w:r>
                      </w:p>
                    </w:txbxContent>
                  </v:textbox>
                </v:shape>
                <v:shape id="Textbox 69" o:spid="_x0000_s1080" type="#_x0000_t202" style="position:absolute;left:6983;top:21271;width:3594;height:102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" filled="f" stroked="f">
                  <v:textbox inset="0,0,0,0">
                    <w:txbxContent>
                      <w:p w14:paraId="4428C5C4" w14:textId="77777777" w:rsidR="009D54AF" w:rsidRDefault="00000000">
                        <w:pPr>
                          <w:spacing w:line="160" w:lineRule="exact"/>
                          <w:rPr>
                            <w:sz w:val="16"/>
                          </w:rPr>
                        </w:pPr>
                        <w:r>
                          <w:rPr>
                            <w:spacing w:val="-2"/>
                            <w:sz w:val="16"/>
                          </w:rPr>
                          <w:t>2</w:t>
                        </w:r>
                        <w:r>
                          <w:rPr>
                            <w:spacing w:val="-13"/>
                            <w:sz w:val="16"/>
                          </w:rPr>
                          <w:t xml:space="preserve"> </w:t>
                        </w:r>
                        <w:r>
                          <w:rPr>
                            <w:spacing w:val="-2"/>
                            <w:sz w:val="16"/>
                          </w:rPr>
                          <w:t>(22%)</w:t>
                        </w:r>
                      </w:p>
                    </w:txbxContent>
                  </v:textbox>
                </v:shape>
                <v:shape id="Textbox 70" o:spid="_x0000_s1081" type="#_x0000_t202" style="position:absolute;left:42267;top:21271;width:3588;height:102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" filled="f" stroked="f">
                  <v:textbox inset="0,0,0,0">
                    <w:txbxContent>
                      <w:p w14:paraId="563ABA92" w14:textId="77777777" w:rsidR="009D54AF" w:rsidRDefault="00000000">
                        <w:pPr>
                          <w:spacing w:line="160" w:lineRule="exact"/>
                          <w:rPr>
                            <w:sz w:val="16"/>
                          </w:rPr>
                        </w:pPr>
                        <w:r>
                          <w:rPr>
                            <w:spacing w:val="-2"/>
                            <w:sz w:val="16"/>
                          </w:rPr>
                          <w:t>7</w:t>
                        </w:r>
                        <w:r>
                          <w:rPr>
                            <w:spacing w:val="-15"/>
                            <w:sz w:val="16"/>
                          </w:rPr>
                          <w:t xml:space="preserve"> </w:t>
                        </w:r>
                        <w:r>
                          <w:rPr>
                            <w:spacing w:val="-2"/>
                            <w:sz w:val="16"/>
                          </w:rPr>
                          <w:t>(78%)</w:t>
                        </w:r>
                      </w:p>
                    </w:txbxContent>
                  </v:textbox>
                </v:shape>
                <v:shape id="Textbox 71" o:spid="_x0000_s1082" type="#_x0000_t202" style="position:absolute;left:6996;top:23923;width:3568;height:102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" filled="f" stroked="f">
                  <v:textbox inset="0,0,0,0">
                    <w:txbxContent>
                      <w:p w14:paraId="781A7443" w14:textId="77777777" w:rsidR="009D54AF" w:rsidRDefault="00000000">
                        <w:pPr>
                          <w:spacing w:line="160" w:lineRule="exact"/>
                          <w:rPr>
                            <w:sz w:val="16"/>
                          </w:rPr>
                        </w:pPr>
                        <w:r>
                          <w:rPr>
                            <w:spacing w:val="-2"/>
                            <w:sz w:val="16"/>
                          </w:rPr>
                          <w:t>7</w:t>
                        </w:r>
                        <w:r>
                          <w:rPr>
                            <w:spacing w:val="-15"/>
                            <w:sz w:val="16"/>
                          </w:rPr>
                          <w:t xml:space="preserve"> </w:t>
                        </w:r>
                        <w:r>
                          <w:rPr>
                            <w:spacing w:val="-2"/>
                            <w:sz w:val="16"/>
                          </w:rPr>
                          <w:t>(35%)</w:t>
                        </w:r>
                      </w:p>
                    </w:txbxContent>
                  </v:textbox>
                </v:shape>
                <v:shape id="Textbox 72" o:spid="_x0000_s1083" type="#_x0000_t202" style="position:absolute;left:42052;top:23923;width:4013;height:102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" filled="f" stroked="f">
                  <v:textbox inset="0,0,0,0">
                    <w:txbxContent>
                      <w:p w14:paraId="3F5C911F" w14:textId="77777777" w:rsidR="009D54AF" w:rsidRDefault="00000000">
                        <w:pPr>
                          <w:spacing w:line="160" w:lineRule="exact"/>
                          <w:rPr>
                            <w:sz w:val="16"/>
                          </w:rPr>
                        </w:pPr>
                        <w:r>
                          <w:rPr>
                            <w:w w:val="85"/>
                            <w:sz w:val="16"/>
                          </w:rPr>
                          <w:t>13</w:t>
                        </w:r>
                        <w:r>
                          <w:rPr>
                            <w:spacing w:val="-4"/>
                            <w:w w:val="85"/>
                            <w:sz w:val="16"/>
                          </w:rPr>
                          <w:t xml:space="preserve"> </w:t>
                        </w:r>
                        <w:r>
                          <w:rPr>
                            <w:spacing w:val="-2"/>
                            <w:w w:val="95"/>
                            <w:sz w:val="16"/>
                          </w:rPr>
                          <w:t>(65%)</w:t>
                        </w:r>
                      </w:p>
                    </w:txbxContent>
                  </v:textbox>
                </v:shape>
                <v:shape id="Textbox 73" o:spid="_x0000_s1084" type="#_x0000_t202" style="position:absolute;left:6453;top:26575;width:4648;height:102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" filled="f" stroked="f">
                  <v:textbox inset="0,0,0,0">
                    <w:txbxContent>
                      <w:p w14:paraId="4E9C17A5" w14:textId="77777777" w:rsidR="009D54AF" w:rsidRDefault="00000000">
                        <w:pPr>
                          <w:spacing w:line="160" w:lineRule="exact"/>
                          <w:rPr>
                            <w:sz w:val="16"/>
                          </w:rPr>
                        </w:pPr>
                        <w:r>
                          <w:rPr>
                            <w:w w:val="90"/>
                            <w:sz w:val="16"/>
                          </w:rPr>
                          <w:t>315</w:t>
                        </w:r>
                        <w:r>
                          <w:rPr>
                            <w:spacing w:val="-7"/>
                            <w:w w:val="90"/>
                            <w:sz w:val="16"/>
                          </w:rPr>
                          <w:t xml:space="preserve"> </w:t>
                        </w:r>
                        <w:r>
                          <w:rPr>
                            <w:spacing w:val="-4"/>
                            <w:w w:val="105"/>
                            <w:sz w:val="16"/>
                          </w:rPr>
                          <w:t>(69%)</w:t>
                        </w:r>
                      </w:p>
                    </w:txbxContent>
                  </v:textbox>
                </v:shape>
                <v:shape id="Textbox 74" o:spid="_x0000_s1085" type="#_x0000_t202" style="position:absolute;left:41843;top:26575;width:4433;height:102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" filled="f" stroked="f">
                  <v:textbox inset="0,0,0,0">
                    <w:txbxContent>
                      <w:p w14:paraId="28B97103" w14:textId="77777777" w:rsidR="009D54AF" w:rsidRDefault="00000000">
                        <w:pPr>
                          <w:spacing w:line="160" w:lineRule="exact"/>
                          <w:rPr>
                            <w:sz w:val="16"/>
                          </w:rPr>
                        </w:pPr>
                        <w:r>
                          <w:rPr>
                            <w:w w:val="90"/>
                            <w:sz w:val="16"/>
                          </w:rPr>
                          <w:t>143</w:t>
                        </w:r>
                        <w:r>
                          <w:rPr>
                            <w:spacing w:val="-4"/>
                            <w:w w:val="90"/>
                            <w:sz w:val="16"/>
                          </w:rPr>
                          <w:t xml:space="preserve"> </w:t>
                        </w:r>
                        <w:r>
                          <w:rPr>
                            <w:spacing w:val="-2"/>
                            <w:w w:val="95"/>
                            <w:sz w:val="16"/>
                          </w:rPr>
                          <w:t>(31%)</w:t>
                        </w:r>
                      </w:p>
                    </w:txbxContent>
                  </v:textbox>
                </v:shape>
                <v:shape id="Textbox 75" o:spid="_x0000_s1086" type="#_x0000_t202" style="position:absolute;left:21085;top:35099;width:10636;height:101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" filled="f" stroked="f">
                  <v:textbox inset="0,0,0,0">
                    <w:txbxContent>
                      <w:p w14:paraId="1870BB5A" w14:textId="77777777" w:rsidR="009D54AF" w:rsidRDefault="00000000">
                        <w:pPr>
                          <w:spacing w:line="158" w:lineRule="exact"/>
                          <w:rPr>
                            <w:b/>
                            <w:sz w:val="16"/>
                          </w:rPr>
                        </w:pPr>
                        <w:r>
                          <w:rPr>
                            <w:b/>
                            <w:spacing w:val="-5"/>
                            <w:sz w:val="16"/>
                          </w:rPr>
                          <w:t>Accreditation</w:t>
                        </w:r>
                        <w:r>
                          <w:rPr>
                            <w:b/>
                            <w:spacing w:val="-9"/>
                            <w:sz w:val="16"/>
                          </w:rPr>
                          <w:t xml:space="preserve"> </w:t>
                        </w:r>
                        <w:r>
                          <w:rPr>
                            <w:b/>
                            <w:spacing w:val="-2"/>
                            <w:sz w:val="16"/>
                          </w:rPr>
                          <w:t>outcome</w:t>
                        </w:r>
                      </w:p>
                    </w:txbxContent>
                  </v:textbox>
                </v:shape>
                <v:shape id="Textbox 76" o:spid="_x0000_s1087" type="#_x0000_t202" style="position:absolute;left:18418;top:40192;width:15844;height:252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" fillcolor="#b81f36" stroked="f">
                  <v:textbox inset="0,0,0,0">
                    <w:txbxContent>
                      <w:p w14:paraId="49060D1A" w14:textId="77777777" w:rsidR="009D54AF" w:rsidRDefault="00000000">
                        <w:pPr>
                          <w:spacing w:before="108"/>
                          <w:ind w:left="571"/>
                          <w:rPr>
                            <w:color w:val="000000"/>
                            <w:sz w:val="16"/>
                          </w:rPr>
                        </w:pPr>
                        <w:r>
                          <w:rPr>
                            <w:color w:val="FFFFFF"/>
                            <w:sz w:val="16"/>
                          </w:rPr>
                          <w:t>Not</w:t>
                        </w:r>
                        <w:r>
                          <w:rPr>
                            <w:color w:val="FFFFFF"/>
                            <w:spacing w:val="7"/>
                            <w:sz w:val="16"/>
                          </w:rPr>
                          <w:t xml:space="preserve"> </w:t>
                        </w:r>
                        <w:r>
                          <w:rPr>
                            <w:color w:val="FFFFFF"/>
                            <w:sz w:val="16"/>
                          </w:rPr>
                          <w:t>accredited</w:t>
                        </w:r>
                        <w:r>
                          <w:rPr>
                            <w:color w:val="FFFFFF"/>
                            <w:spacing w:val="8"/>
                            <w:sz w:val="16"/>
                          </w:rPr>
                          <w:t xml:space="preserve"> </w:t>
                        </w:r>
                        <w:r>
                          <w:rPr>
                            <w:color w:val="FFFFFF"/>
                            <w:sz w:val="16"/>
                          </w:rPr>
                          <w:t>–</w:t>
                        </w:r>
                        <w:r>
                          <w:rPr>
                            <w:color w:val="FFFFFF"/>
                            <w:spacing w:val="11"/>
                            <w:sz w:val="16"/>
                          </w:rPr>
                          <w:t xml:space="preserve"> </w:t>
                        </w:r>
                        <w:r>
                          <w:rPr>
                            <w:color w:val="FFFFFF"/>
                            <w:spacing w:val="-10"/>
                            <w:sz w:val="16"/>
                          </w:rPr>
                          <w:t>0</w:t>
                        </w:r>
                      </w:p>
                    </w:txbxContent>
                  </v:textbox>
                </v:shape>
                <v:shape id="Textbox 77" o:spid="_x0000_s1088" type="#_x0000_t202" style="position:absolute;left:18418;top:37492;width:15844;height:252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" fillcolor="#007cae" stroked="f">
                  <v:textbox inset="0,0,0,0">
                    <w:txbxContent>
                      <w:p w14:paraId="6B98A8EF" w14:textId="77777777" w:rsidR="009D54AF" w:rsidRDefault="00000000">
                        <w:pPr>
                          <w:spacing w:before="115"/>
                          <w:ind w:left="352"/>
                          <w:rPr>
                            <w:color w:val="000000"/>
                            <w:sz w:val="16"/>
                          </w:rPr>
                        </w:pPr>
                        <w:r>
                          <w:rPr>
                            <w:color w:val="FFFFFF"/>
                            <w:w w:val="105"/>
                            <w:sz w:val="16"/>
                          </w:rPr>
                          <w:t>Accredited</w:t>
                        </w:r>
                        <w:r>
                          <w:rPr>
                            <w:color w:val="FFFFFF"/>
                            <w:spacing w:val="-15"/>
                            <w:w w:val="105"/>
                            <w:sz w:val="16"/>
                          </w:rPr>
                          <w:t xml:space="preserve"> </w:t>
                        </w:r>
                        <w:r>
                          <w:rPr>
                            <w:color w:val="FFFFFF"/>
                            <w:w w:val="105"/>
                            <w:sz w:val="16"/>
                          </w:rPr>
                          <w:t>–</w:t>
                        </w:r>
                        <w:r>
                          <w:rPr>
                            <w:color w:val="FFFFFF"/>
                            <w:spacing w:val="-14"/>
                            <w:w w:val="105"/>
                            <w:sz w:val="16"/>
                          </w:rPr>
                          <w:t xml:space="preserve"> </w:t>
                        </w:r>
                        <w:r>
                          <w:rPr>
                            <w:color w:val="FFFFFF"/>
                            <w:w w:val="105"/>
                            <w:sz w:val="16"/>
                          </w:rPr>
                          <w:t>487</w:t>
                        </w:r>
                        <w:r>
                          <w:rPr>
                            <w:color w:val="FFFFFF"/>
                            <w:spacing w:val="-14"/>
                            <w:w w:val="105"/>
                            <w:sz w:val="16"/>
                          </w:rPr>
                          <w:t xml:space="preserve"> </w:t>
                        </w:r>
                        <w:r>
                          <w:rPr>
                            <w:color w:val="FFFFFF"/>
                            <w:spacing w:val="-2"/>
                            <w:w w:val="105"/>
                            <w:sz w:val="16"/>
                          </w:rPr>
                          <w:t>(100%)</w:t>
                        </w:r>
                      </w:p>
                    </w:txbxContent>
                  </v:textbox>
                </v:shape>
                <v:shape id="Textbox 78" o:spid="_x0000_s1089" type="#_x0000_t202" style="position:absolute;left:18418;top:4213;width:15844;height:252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" fillcolor="#daf0f4" stroked="f">
                  <v:textbox inset="0,0,0,0">
                    <w:txbxContent>
                      <w:p w14:paraId="3D4CE5FC" w14:textId="77777777" w:rsidR="009D54AF" w:rsidRDefault="00000000">
                        <w:pPr>
                          <w:spacing w:before="111"/>
                          <w:ind w:left="2"/>
                          <w:jc w:val="center"/>
                          <w:rPr>
                            <w:color w:val="000000"/>
                            <w:sz w:val="16"/>
                          </w:rPr>
                        </w:pPr>
                        <w:r>
                          <w:rPr>
                            <w:color w:val="000000"/>
                            <w:sz w:val="16"/>
                          </w:rPr>
                          <w:t>Interim</w:t>
                        </w:r>
                        <w:r>
                          <w:rPr>
                            <w:color w:val="000000"/>
                            <w:spacing w:val="12"/>
                            <w:sz w:val="16"/>
                          </w:rPr>
                          <w:t xml:space="preserve"> </w:t>
                        </w:r>
                        <w:r>
                          <w:rPr>
                            <w:color w:val="000000"/>
                            <w:sz w:val="16"/>
                          </w:rPr>
                          <w:t>–</w:t>
                        </w:r>
                        <w:r>
                          <w:rPr>
                            <w:color w:val="000000"/>
                            <w:spacing w:val="10"/>
                            <w:sz w:val="16"/>
                          </w:rPr>
                          <w:t xml:space="preserve"> </w:t>
                        </w:r>
                        <w:r>
                          <w:rPr>
                            <w:color w:val="000000"/>
                            <w:spacing w:val="-10"/>
                            <w:sz w:val="16"/>
                          </w:rPr>
                          <w:t>9</w:t>
                        </w:r>
                      </w:p>
                    </w:txbxContent>
                  </v:textbox>
                </v:shape>
                <w10:wrap type="topAndBottom" anchorx="page"/>
              </v:group>
            </w:pict>
          </mc:Fallback>
        </mc:AlternateContent>
      </w:r>
    </w:p>
    <w:p w14:paraId="10C1952D" w14:textId="77777777" w:rsidR="009D54AF" w:rsidRDefault="009D54AF">
      <w:pPr>
        <w:pStyle w:val="BodyText"/>
        <w:spacing w:before="1"/>
        <w:rPr>
          <w:sz w:val="4"/>
        </w:rPr>
      </w:pPr>
    </w:p>
    <w:p w14:paraId="6D849D9C" w14:textId="77777777" w:rsidR="009D54AF" w:rsidRDefault="00000000">
      <w:pPr>
        <w:ind w:left="2919"/>
        <w:rPr>
          <w:sz w:val="20"/>
        </w:rPr>
      </w:pPr>
      <w:r>
        <w:rPr>
          <w:noProof/>
          <w:sz w:val="20"/>
        </w:rPr>
        <mc:AlternateContent>
          <mc:Choice Requires="wps">
            <w:drawing>
              <wp:inline distT="0" distB="0" distL="0" distR="0" wp14:anchorId="383446F4" wp14:editId="4892CA3E">
                <wp:extent cx="1728470" cy="397510"/>
                <wp:effectExtent l="9525" t="0" r="5080" b="12064"/>
                <wp:docPr id="79" name="Textbox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28470" cy="397510"/>
                        </a:xfrm>
                        <a:prstGeom prst="rect">
                          <a:avLst/>
                        </a:prstGeom>
                        <a:ln w="11772">
                          <a:solidFill>
                            <a:srgbClr val="3A74BA"/>
                          </a:solidFill>
                          <a:prstDash val="solid"/>
                        </a:ln>
                      </wps:spPr>
                      <wps:txbx>
                        <w:txbxContent>
                          <w:p w14:paraId="42D88B25" w14:textId="77777777" w:rsidR="009D54AF" w:rsidRDefault="00000000">
                            <w:pPr>
                              <w:spacing w:before="111" w:line="235" w:lineRule="auto"/>
                              <w:ind w:left="455" w:right="340" w:hanging="136"/>
                              <w:rPr>
                                <w:b/>
                                <w:sz w:val="16"/>
                              </w:rPr>
                            </w:pPr>
                            <w:r>
                              <w:rPr>
                                <w:b/>
                                <w:spacing w:val="-4"/>
                                <w:sz w:val="16"/>
                              </w:rPr>
                              <w:t>Ongoing</w:t>
                            </w:r>
                            <w:r>
                              <w:rPr>
                                <w:b/>
                                <w:spacing w:val="-25"/>
                                <w:sz w:val="16"/>
                              </w:rPr>
                              <w:t xml:space="preserve"> </w:t>
                            </w:r>
                            <w:r>
                              <w:rPr>
                                <w:b/>
                                <w:spacing w:val="-4"/>
                                <w:sz w:val="16"/>
                              </w:rPr>
                              <w:t>assessment</w:t>
                            </w:r>
                            <w:r>
                              <w:rPr>
                                <w:b/>
                                <w:spacing w:val="-23"/>
                                <w:sz w:val="16"/>
                              </w:rPr>
                              <w:t xml:space="preserve"> </w:t>
                            </w:r>
                            <w:r>
                              <w:rPr>
                                <w:b/>
                                <w:spacing w:val="-4"/>
                                <w:sz w:val="16"/>
                              </w:rPr>
                              <w:t>as</w:t>
                            </w:r>
                            <w:r>
                              <w:rPr>
                                <w:b/>
                                <w:spacing w:val="-23"/>
                                <w:sz w:val="16"/>
                              </w:rPr>
                              <w:t xml:space="preserve"> </w:t>
                            </w:r>
                            <w:r>
                              <w:rPr>
                                <w:b/>
                                <w:spacing w:val="-4"/>
                                <w:sz w:val="16"/>
                              </w:rPr>
                              <w:t xml:space="preserve">part </w:t>
                            </w:r>
                            <w:r>
                              <w:rPr>
                                <w:b/>
                                <w:sz w:val="16"/>
                              </w:rPr>
                              <w:t>of</w:t>
                            </w:r>
                            <w:r>
                              <w:rPr>
                                <w:b/>
                                <w:spacing w:val="-19"/>
                                <w:sz w:val="16"/>
                              </w:rPr>
                              <w:t xml:space="preserve"> </w:t>
                            </w:r>
                            <w:r>
                              <w:rPr>
                                <w:b/>
                                <w:sz w:val="16"/>
                              </w:rPr>
                              <w:t>the</w:t>
                            </w:r>
                            <w:r>
                              <w:rPr>
                                <w:b/>
                                <w:spacing w:val="-19"/>
                                <w:sz w:val="16"/>
                              </w:rPr>
                              <w:t xml:space="preserve"> </w:t>
                            </w:r>
                            <w:r>
                              <w:rPr>
                                <w:b/>
                                <w:sz w:val="16"/>
                              </w:rPr>
                              <w:t>accreditation</w:t>
                            </w:r>
                            <w:r>
                              <w:rPr>
                                <w:b/>
                                <w:spacing w:val="-18"/>
                                <w:sz w:val="16"/>
                              </w:rPr>
                              <w:t xml:space="preserve"> </w:t>
                            </w:r>
                            <w:r>
                              <w:rPr>
                                <w:b/>
                                <w:spacing w:val="-2"/>
                                <w:sz w:val="16"/>
                              </w:rPr>
                              <w:t>cycle</w:t>
                            </w:r>
                          </w:p>
                        </w:txbxContent>
                      </wps:txbx>
                      <wps:bodyPr wrap="square" lIns="0" tIns="0" rIns="0" bIns="0" rtlCol="0">
                        <a:noAutofit/>
                      </wps:bodyPr>
                    </wps:wsp>
                  </a:graphicData>
                </a:graphic>
              </wp:inline>
            </w:drawing>
          </mc:Choice>
          <mc:Fallback>
            <w:pict>
              <v:shape w14:anchorId="383446F4" id="Textbox 79" o:spid="_x0000_s1090" type="#_x0000_t202" style="width:136.1pt;height:31.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" filled="f" strokecolor="#3a74ba" strokeweight=".327mm">
                <v:path arrowok="t"/>
                <v:textbox inset="0,0,0,0">
                  <w:txbxContent>
                    <w:p w14:paraId="42D88B25" w14:textId="77777777" w:rsidR="009D54AF" w:rsidRDefault="00000000">
                      <w:pPr>
                        <w:spacing w:before="111" w:line="235" w:lineRule="auto"/>
                        <w:ind w:left="455" w:right="340" w:hanging="136"/>
                        <w:rPr>
                          <w:b/>
                          <w:sz w:val="16"/>
                        </w:rPr>
                      </w:pPr>
                      <w:r>
                        <w:rPr>
                          <w:b/>
                          <w:spacing w:val="-4"/>
                          <w:sz w:val="16"/>
                        </w:rPr>
                        <w:t>Ongoing</w:t>
                      </w:r>
                      <w:r>
                        <w:rPr>
                          <w:b/>
                          <w:spacing w:val="-25"/>
                          <w:sz w:val="16"/>
                        </w:rPr>
                        <w:t xml:space="preserve"> </w:t>
                      </w:r>
                      <w:r>
                        <w:rPr>
                          <w:b/>
                          <w:spacing w:val="-4"/>
                          <w:sz w:val="16"/>
                        </w:rPr>
                        <w:t>assessment</w:t>
                      </w:r>
                      <w:r>
                        <w:rPr>
                          <w:b/>
                          <w:spacing w:val="-23"/>
                          <w:sz w:val="16"/>
                        </w:rPr>
                        <w:t xml:space="preserve"> </w:t>
                      </w:r>
                      <w:r>
                        <w:rPr>
                          <w:b/>
                          <w:spacing w:val="-4"/>
                          <w:sz w:val="16"/>
                        </w:rPr>
                        <w:t>as</w:t>
                      </w:r>
                      <w:r>
                        <w:rPr>
                          <w:b/>
                          <w:spacing w:val="-23"/>
                          <w:sz w:val="16"/>
                        </w:rPr>
                        <w:t xml:space="preserve"> </w:t>
                      </w:r>
                      <w:r>
                        <w:rPr>
                          <w:b/>
                          <w:spacing w:val="-4"/>
                          <w:sz w:val="16"/>
                        </w:rPr>
                        <w:t xml:space="preserve">part </w:t>
                      </w:r>
                      <w:r>
                        <w:rPr>
                          <w:b/>
                          <w:sz w:val="16"/>
                        </w:rPr>
                        <w:t>of</w:t>
                      </w:r>
                      <w:r>
                        <w:rPr>
                          <w:b/>
                          <w:spacing w:val="-19"/>
                          <w:sz w:val="16"/>
                        </w:rPr>
                        <w:t xml:space="preserve"> </w:t>
                      </w:r>
                      <w:r>
                        <w:rPr>
                          <w:b/>
                          <w:sz w:val="16"/>
                        </w:rPr>
                        <w:t>the</w:t>
                      </w:r>
                      <w:r>
                        <w:rPr>
                          <w:b/>
                          <w:spacing w:val="-19"/>
                          <w:sz w:val="16"/>
                        </w:rPr>
                        <w:t xml:space="preserve"> </w:t>
                      </w:r>
                      <w:r>
                        <w:rPr>
                          <w:b/>
                          <w:sz w:val="16"/>
                        </w:rPr>
                        <w:t>accreditation</w:t>
                      </w:r>
                      <w:r>
                        <w:rPr>
                          <w:b/>
                          <w:spacing w:val="-18"/>
                          <w:sz w:val="16"/>
                        </w:rPr>
                        <w:t xml:space="preserve"> </w:t>
                      </w:r>
                      <w:r>
                        <w:rPr>
                          <w:b/>
                          <w:spacing w:val="-2"/>
                          <w:sz w:val="16"/>
                        </w:rPr>
                        <w:t>cycle</w:t>
                      </w:r>
                    </w:p>
                  </w:txbxContent>
                </v:textbox>
                <w10:anchorlock/>
              </v:shape>
            </w:pict>
          </mc:Fallback>
        </mc:AlternateContent>
      </w:r>
    </w:p>
    <w:p w14:paraId="139F67B4" w14:textId="77777777" w:rsidR="009D54AF" w:rsidRDefault="009D54AF">
      <w:pPr>
        <w:pStyle w:val="BodyText"/>
        <w:spacing w:before="56"/>
        <w:rPr>
          <w:sz w:val="17"/>
        </w:rPr>
      </w:pPr>
    </w:p>
    <w:p w14:paraId="655A2BF2" w14:textId="77777777" w:rsidR="009D54AF" w:rsidRDefault="00000000">
      <w:pPr>
        <w:spacing w:line="295" w:lineRule="auto"/>
        <w:ind w:left="142" w:right="285"/>
        <w:rPr>
          <w:sz w:val="17"/>
        </w:rPr>
      </w:pPr>
      <w:r>
        <w:rPr>
          <w:sz w:val="17"/>
        </w:rPr>
        <w:t xml:space="preserve">Note: The term ‘health service’ includes only hospitals and day procedure services, for which accreditation to the NSQHS Standards (second edition) is mandatory. Other services assessed to the NSQHS Standards are not included. This figure shows assessments that were </w:t>
      </w:r>
      <w:proofErr w:type="spellStart"/>
      <w:r>
        <w:rPr>
          <w:sz w:val="17"/>
        </w:rPr>
        <w:t>finalised</w:t>
      </w:r>
      <w:proofErr w:type="spellEnd"/>
      <w:r>
        <w:rPr>
          <w:sz w:val="17"/>
        </w:rPr>
        <w:t xml:space="preserve"> between 1 July 2025 and 30 June 2026.</w:t>
      </w:r>
    </w:p>
    <w:p w14:paraId="4F54CEA9" w14:textId="77777777" w:rsidR="009D54AF" w:rsidRDefault="009D54AF">
      <w:pPr>
        <w:pStyle w:val="BodyText"/>
        <w:spacing w:before="110"/>
        <w:rPr>
          <w:sz w:val="17"/>
        </w:rPr>
      </w:pPr>
    </w:p>
    <w:p w14:paraId="17A7CDCA" w14:textId="77777777" w:rsidR="00D13873" w:rsidRDefault="00D13873">
      <w:pPr>
        <w:rPr>
          <w:b/>
          <w:bCs/>
          <w:sz w:val="26"/>
          <w:szCs w:val="26"/>
        </w:rPr>
      </w:pPr>
      <w:r>
        <w:br w:type="page"/>
      </w:r>
    </w:p>
    <w:p w14:paraId="03890AE1" w14:textId="4B9E6C26" w:rsidR="009D54AF" w:rsidRDefault="00000000">
      <w:pPr>
        <w:pStyle w:val="Heading7"/>
        <w:spacing w:before="1"/>
      </w:pPr>
      <w:r>
        <w:lastRenderedPageBreak/>
        <w:t>Providing</w:t>
      </w:r>
      <w:r>
        <w:rPr>
          <w:spacing w:val="-8"/>
        </w:rPr>
        <w:t xml:space="preserve"> </w:t>
      </w:r>
      <w:r>
        <w:t>guidance</w:t>
      </w:r>
      <w:r>
        <w:rPr>
          <w:spacing w:val="-7"/>
        </w:rPr>
        <w:t xml:space="preserve"> </w:t>
      </w:r>
      <w:r>
        <w:t>on</w:t>
      </w:r>
      <w:r>
        <w:rPr>
          <w:spacing w:val="-7"/>
        </w:rPr>
        <w:t xml:space="preserve"> </w:t>
      </w:r>
      <w:r>
        <w:rPr>
          <w:spacing w:val="-2"/>
        </w:rPr>
        <w:t>implementation</w:t>
      </w:r>
    </w:p>
    <w:p w14:paraId="3B731947" w14:textId="77777777" w:rsidR="009D54AF" w:rsidRDefault="00000000">
      <w:pPr>
        <w:pStyle w:val="BodyText"/>
        <w:spacing w:before="141" w:line="278" w:lineRule="auto"/>
        <w:ind w:left="142" w:right="285"/>
      </w:pPr>
      <w:r>
        <w:t>The</w:t>
      </w:r>
      <w:r>
        <w:rPr>
          <w:spacing w:val="-2"/>
        </w:rPr>
        <w:t xml:space="preserve"> </w:t>
      </w:r>
      <w:r>
        <w:t>Commission</w:t>
      </w:r>
      <w:r>
        <w:rPr>
          <w:spacing w:val="-2"/>
        </w:rPr>
        <w:t xml:space="preserve"> </w:t>
      </w:r>
      <w:r>
        <w:t>monitors</w:t>
      </w:r>
      <w:r>
        <w:rPr>
          <w:spacing w:val="-2"/>
        </w:rPr>
        <w:t xml:space="preserve"> </w:t>
      </w:r>
      <w:r>
        <w:t>and</w:t>
      </w:r>
      <w:r>
        <w:rPr>
          <w:spacing w:val="-2"/>
        </w:rPr>
        <w:t xml:space="preserve"> </w:t>
      </w:r>
      <w:r>
        <w:t>responds</w:t>
      </w:r>
      <w:r>
        <w:rPr>
          <w:spacing w:val="-2"/>
        </w:rPr>
        <w:t xml:space="preserve"> </w:t>
      </w:r>
      <w:r>
        <w:t>to</w:t>
      </w:r>
      <w:r>
        <w:rPr>
          <w:spacing w:val="-2"/>
        </w:rPr>
        <w:t xml:space="preserve"> </w:t>
      </w:r>
      <w:r>
        <w:t>emerging</w:t>
      </w:r>
      <w:r>
        <w:rPr>
          <w:spacing w:val="-2"/>
        </w:rPr>
        <w:t xml:space="preserve"> </w:t>
      </w:r>
      <w:r>
        <w:t>issues,</w:t>
      </w:r>
      <w:r>
        <w:rPr>
          <w:spacing w:val="-2"/>
        </w:rPr>
        <w:t xml:space="preserve"> </w:t>
      </w:r>
      <w:r>
        <w:t>developing</w:t>
      </w:r>
      <w:r>
        <w:rPr>
          <w:spacing w:val="-2"/>
        </w:rPr>
        <w:t xml:space="preserve"> </w:t>
      </w:r>
      <w:r>
        <w:t>resources</w:t>
      </w:r>
      <w:r>
        <w:rPr>
          <w:spacing w:val="-2"/>
        </w:rPr>
        <w:t xml:space="preserve"> </w:t>
      </w:r>
      <w:r>
        <w:t>that</w:t>
      </w:r>
      <w:r>
        <w:rPr>
          <w:spacing w:val="-2"/>
        </w:rPr>
        <w:t xml:space="preserve"> </w:t>
      </w:r>
      <w:r>
        <w:t>support implementation of and assessment to the standards.</w:t>
      </w:r>
    </w:p>
    <w:p w14:paraId="499D93D5" w14:textId="77777777" w:rsidR="009D54AF" w:rsidRDefault="00000000">
      <w:pPr>
        <w:pStyle w:val="BodyText"/>
        <w:spacing w:before="56"/>
        <w:ind w:left="142"/>
      </w:pPr>
      <w:r>
        <w:t>In</w:t>
      </w:r>
      <w:r>
        <w:rPr>
          <w:spacing w:val="-2"/>
        </w:rPr>
        <w:t xml:space="preserve"> </w:t>
      </w:r>
      <w:r>
        <w:t>2025–26,</w:t>
      </w:r>
      <w:r>
        <w:rPr>
          <w:spacing w:val="1"/>
        </w:rPr>
        <w:t xml:space="preserve"> </w:t>
      </w:r>
      <w:r>
        <w:t>the Commission</w:t>
      </w:r>
      <w:r>
        <w:rPr>
          <w:spacing w:val="1"/>
        </w:rPr>
        <w:t xml:space="preserve"> </w:t>
      </w:r>
      <w:r>
        <w:t>updated and</w:t>
      </w:r>
      <w:r>
        <w:rPr>
          <w:spacing w:val="1"/>
        </w:rPr>
        <w:t xml:space="preserve"> </w:t>
      </w:r>
      <w:r>
        <w:rPr>
          <w:spacing w:val="-2"/>
        </w:rPr>
        <w:t>released:</w:t>
      </w:r>
    </w:p>
    <w:p w14:paraId="3D3D2074" w14:textId="77777777" w:rsidR="009D54AF" w:rsidRDefault="00000000">
      <w:pPr>
        <w:pStyle w:val="ListParagraph"/>
        <w:numPr>
          <w:ilvl w:val="0"/>
          <w:numId w:val="35"/>
        </w:numPr>
        <w:tabs>
          <w:tab w:val="left" w:pos="424"/>
        </w:tabs>
        <w:spacing w:before="96"/>
        <w:ind w:left="424" w:hanging="268"/>
        <w:rPr>
          <w:sz w:val="21"/>
        </w:rPr>
      </w:pPr>
      <w:hyperlink r:id="rId47">
        <w:r>
          <w:rPr>
            <w:sz w:val="21"/>
            <w:u w:val="single"/>
          </w:rPr>
          <w:t>Advisory</w:t>
        </w:r>
        <w:r>
          <w:rPr>
            <w:spacing w:val="-5"/>
            <w:sz w:val="21"/>
            <w:u w:val="single"/>
          </w:rPr>
          <w:t xml:space="preserve"> </w:t>
        </w:r>
        <w:r>
          <w:rPr>
            <w:sz w:val="21"/>
            <w:u w:val="single"/>
          </w:rPr>
          <w:t>AS18/01:</w:t>
        </w:r>
        <w:r>
          <w:rPr>
            <w:spacing w:val="-5"/>
            <w:sz w:val="21"/>
            <w:u w:val="single"/>
          </w:rPr>
          <w:t xml:space="preserve"> </w:t>
        </w:r>
        <w:r>
          <w:rPr>
            <w:sz w:val="21"/>
            <w:u w:val="single"/>
          </w:rPr>
          <w:t>Advice</w:t>
        </w:r>
        <w:r>
          <w:rPr>
            <w:spacing w:val="-5"/>
            <w:sz w:val="21"/>
            <w:u w:val="single"/>
          </w:rPr>
          <w:t xml:space="preserve"> </w:t>
        </w:r>
        <w:r>
          <w:rPr>
            <w:sz w:val="21"/>
            <w:u w:val="single"/>
          </w:rPr>
          <w:t>on</w:t>
        </w:r>
        <w:r>
          <w:rPr>
            <w:spacing w:val="-5"/>
            <w:sz w:val="21"/>
            <w:u w:val="single"/>
          </w:rPr>
          <w:t xml:space="preserve"> </w:t>
        </w:r>
        <w:r>
          <w:rPr>
            <w:sz w:val="21"/>
            <w:u w:val="single"/>
          </w:rPr>
          <w:t>not</w:t>
        </w:r>
        <w:r>
          <w:rPr>
            <w:spacing w:val="-5"/>
            <w:sz w:val="21"/>
            <w:u w:val="single"/>
          </w:rPr>
          <w:t xml:space="preserve"> </w:t>
        </w:r>
        <w:r>
          <w:rPr>
            <w:sz w:val="21"/>
            <w:u w:val="single"/>
          </w:rPr>
          <w:t>applicable</w:t>
        </w:r>
        <w:r>
          <w:rPr>
            <w:spacing w:val="-5"/>
            <w:sz w:val="21"/>
            <w:u w:val="single"/>
          </w:rPr>
          <w:t xml:space="preserve"> </w:t>
        </w:r>
        <w:r>
          <w:rPr>
            <w:spacing w:val="-2"/>
            <w:sz w:val="21"/>
            <w:u w:val="single"/>
          </w:rPr>
          <w:t>action</w:t>
        </w:r>
      </w:hyperlink>
      <w:r>
        <w:rPr>
          <w:spacing w:val="-2"/>
          <w:sz w:val="21"/>
          <w:u w:val="single"/>
        </w:rPr>
        <w:t>s</w:t>
      </w:r>
      <w:r>
        <w:rPr>
          <w:spacing w:val="40"/>
          <w:sz w:val="21"/>
          <w:u w:val="single"/>
        </w:rPr>
        <w:t xml:space="preserve"> </w:t>
      </w:r>
    </w:p>
    <w:p w14:paraId="6D12E651" w14:textId="77777777" w:rsidR="009D54AF" w:rsidRDefault="00000000">
      <w:pPr>
        <w:pStyle w:val="ListParagraph"/>
        <w:numPr>
          <w:ilvl w:val="0"/>
          <w:numId w:val="35"/>
        </w:numPr>
        <w:tabs>
          <w:tab w:val="left" w:pos="424"/>
        </w:tabs>
        <w:ind w:left="424" w:hanging="268"/>
        <w:rPr>
          <w:sz w:val="21"/>
        </w:rPr>
      </w:pPr>
      <w:hyperlink r:id="rId48">
        <w:r>
          <w:rPr>
            <w:sz w:val="21"/>
            <w:u w:val="single"/>
          </w:rPr>
          <w:t>Advisory</w:t>
        </w:r>
        <w:r>
          <w:rPr>
            <w:spacing w:val="-8"/>
            <w:sz w:val="21"/>
            <w:u w:val="single"/>
          </w:rPr>
          <w:t xml:space="preserve"> </w:t>
        </w:r>
        <w:r>
          <w:rPr>
            <w:sz w:val="21"/>
            <w:u w:val="single"/>
          </w:rPr>
          <w:t>AS18/05:</w:t>
        </w:r>
        <w:r>
          <w:rPr>
            <w:spacing w:val="-6"/>
            <w:sz w:val="21"/>
            <w:u w:val="single"/>
          </w:rPr>
          <w:t xml:space="preserve"> </w:t>
        </w:r>
        <w:r>
          <w:rPr>
            <w:sz w:val="21"/>
            <w:u w:val="single"/>
          </w:rPr>
          <w:t>Transferring</w:t>
        </w:r>
        <w:r>
          <w:rPr>
            <w:spacing w:val="-6"/>
            <w:sz w:val="21"/>
            <w:u w:val="single"/>
          </w:rPr>
          <w:t xml:space="preserve"> </w:t>
        </w:r>
        <w:r>
          <w:rPr>
            <w:sz w:val="21"/>
            <w:u w:val="single"/>
          </w:rPr>
          <w:t>between</w:t>
        </w:r>
        <w:r>
          <w:rPr>
            <w:spacing w:val="-6"/>
            <w:sz w:val="21"/>
            <w:u w:val="single"/>
          </w:rPr>
          <w:t xml:space="preserve"> </w:t>
        </w:r>
        <w:r>
          <w:rPr>
            <w:sz w:val="21"/>
            <w:u w:val="single"/>
          </w:rPr>
          <w:t>accrediting</w:t>
        </w:r>
        <w:r>
          <w:rPr>
            <w:spacing w:val="-5"/>
            <w:sz w:val="21"/>
            <w:u w:val="single"/>
          </w:rPr>
          <w:t xml:space="preserve"> </w:t>
        </w:r>
        <w:r>
          <w:rPr>
            <w:spacing w:val="-2"/>
            <w:sz w:val="21"/>
            <w:u w:val="single"/>
          </w:rPr>
          <w:t>agencies</w:t>
        </w:r>
      </w:hyperlink>
    </w:p>
    <w:p w14:paraId="091AAC03" w14:textId="77777777" w:rsidR="009D54AF" w:rsidRDefault="00000000">
      <w:pPr>
        <w:pStyle w:val="ListParagraph"/>
        <w:numPr>
          <w:ilvl w:val="0"/>
          <w:numId w:val="35"/>
        </w:numPr>
        <w:tabs>
          <w:tab w:val="left" w:pos="424"/>
        </w:tabs>
        <w:ind w:left="424" w:hanging="268"/>
        <w:rPr>
          <w:sz w:val="21"/>
        </w:rPr>
      </w:pPr>
      <w:hyperlink r:id="rId49">
        <w:r>
          <w:rPr>
            <w:sz w:val="21"/>
            <w:u w:val="single"/>
          </w:rPr>
          <w:t>Advisory</w:t>
        </w:r>
        <w:r>
          <w:rPr>
            <w:spacing w:val="-8"/>
            <w:sz w:val="21"/>
            <w:u w:val="single"/>
          </w:rPr>
          <w:t xml:space="preserve"> </w:t>
        </w:r>
        <w:r>
          <w:rPr>
            <w:sz w:val="21"/>
            <w:u w:val="single"/>
          </w:rPr>
          <w:t>AS18/12:</w:t>
        </w:r>
        <w:r>
          <w:rPr>
            <w:spacing w:val="-6"/>
            <w:sz w:val="21"/>
            <w:u w:val="single"/>
          </w:rPr>
          <w:t xml:space="preserve"> </w:t>
        </w:r>
        <w:r>
          <w:rPr>
            <w:sz w:val="21"/>
            <w:u w:val="single"/>
          </w:rPr>
          <w:t>Implementing</w:t>
        </w:r>
        <w:r>
          <w:rPr>
            <w:spacing w:val="-5"/>
            <w:sz w:val="21"/>
            <w:u w:val="single"/>
          </w:rPr>
          <w:t xml:space="preserve"> </w:t>
        </w:r>
        <w:r>
          <w:rPr>
            <w:sz w:val="21"/>
            <w:u w:val="single"/>
          </w:rPr>
          <w:t>the</w:t>
        </w:r>
        <w:r>
          <w:rPr>
            <w:spacing w:val="-6"/>
            <w:sz w:val="21"/>
            <w:u w:val="single"/>
          </w:rPr>
          <w:t xml:space="preserve"> </w:t>
        </w:r>
        <w:r>
          <w:rPr>
            <w:sz w:val="21"/>
            <w:u w:val="single"/>
          </w:rPr>
          <w:t>Colonoscopy</w:t>
        </w:r>
        <w:r>
          <w:rPr>
            <w:spacing w:val="-5"/>
            <w:sz w:val="21"/>
            <w:u w:val="single"/>
          </w:rPr>
          <w:t xml:space="preserve"> </w:t>
        </w:r>
        <w:r>
          <w:rPr>
            <w:sz w:val="21"/>
            <w:u w:val="single"/>
          </w:rPr>
          <w:t>Clinical</w:t>
        </w:r>
        <w:r>
          <w:rPr>
            <w:spacing w:val="-6"/>
            <w:sz w:val="21"/>
            <w:u w:val="single"/>
          </w:rPr>
          <w:t xml:space="preserve"> </w:t>
        </w:r>
        <w:r>
          <w:rPr>
            <w:sz w:val="21"/>
            <w:u w:val="single"/>
          </w:rPr>
          <w:t>Care</w:t>
        </w:r>
        <w:r>
          <w:rPr>
            <w:spacing w:val="-5"/>
            <w:sz w:val="21"/>
            <w:u w:val="single"/>
          </w:rPr>
          <w:t xml:space="preserve"> </w:t>
        </w:r>
        <w:r>
          <w:rPr>
            <w:spacing w:val="-2"/>
            <w:sz w:val="21"/>
            <w:u w:val="single"/>
          </w:rPr>
          <w:t>Standard</w:t>
        </w:r>
      </w:hyperlink>
    </w:p>
    <w:p w14:paraId="5F45A8DC" w14:textId="77777777" w:rsidR="009D54AF" w:rsidRDefault="00000000">
      <w:pPr>
        <w:pStyle w:val="ListParagraph"/>
        <w:numPr>
          <w:ilvl w:val="0"/>
          <w:numId w:val="35"/>
        </w:numPr>
        <w:tabs>
          <w:tab w:val="left" w:pos="424"/>
        </w:tabs>
        <w:ind w:left="424" w:hanging="268"/>
        <w:rPr>
          <w:sz w:val="21"/>
        </w:rPr>
      </w:pPr>
      <w:hyperlink r:id="rId50">
        <w:r>
          <w:rPr>
            <w:sz w:val="21"/>
            <w:u w:val="single"/>
          </w:rPr>
          <w:t>Addendum</w:t>
        </w:r>
        <w:r>
          <w:rPr>
            <w:spacing w:val="-3"/>
            <w:sz w:val="21"/>
            <w:u w:val="single"/>
          </w:rPr>
          <w:t xml:space="preserve"> </w:t>
        </w:r>
        <w:r>
          <w:rPr>
            <w:sz w:val="21"/>
            <w:u w:val="single"/>
          </w:rPr>
          <w:t>to</w:t>
        </w:r>
        <w:r>
          <w:rPr>
            <w:spacing w:val="-1"/>
            <w:sz w:val="21"/>
            <w:u w:val="single"/>
          </w:rPr>
          <w:t xml:space="preserve"> </w:t>
        </w:r>
        <w:r>
          <w:rPr>
            <w:sz w:val="21"/>
            <w:u w:val="single"/>
          </w:rPr>
          <w:t>the</w:t>
        </w:r>
        <w:r>
          <w:rPr>
            <w:spacing w:val="-1"/>
            <w:sz w:val="21"/>
            <w:u w:val="single"/>
          </w:rPr>
          <w:t xml:space="preserve"> </w:t>
        </w:r>
        <w:r>
          <w:rPr>
            <w:sz w:val="21"/>
            <w:u w:val="single"/>
          </w:rPr>
          <w:t>NSQHS Standards</w:t>
        </w:r>
        <w:r>
          <w:rPr>
            <w:spacing w:val="-1"/>
            <w:sz w:val="21"/>
            <w:u w:val="single"/>
          </w:rPr>
          <w:t xml:space="preserve"> </w:t>
        </w:r>
        <w:r>
          <w:rPr>
            <w:sz w:val="21"/>
            <w:u w:val="single"/>
          </w:rPr>
          <w:t>Accreditation</w:t>
        </w:r>
        <w:r>
          <w:rPr>
            <w:spacing w:val="-1"/>
            <w:sz w:val="21"/>
            <w:u w:val="single"/>
          </w:rPr>
          <w:t xml:space="preserve"> </w:t>
        </w:r>
        <w:r>
          <w:rPr>
            <w:sz w:val="21"/>
            <w:u w:val="single"/>
          </w:rPr>
          <w:t xml:space="preserve">Workbook </w:t>
        </w:r>
        <w:r>
          <w:rPr>
            <w:spacing w:val="-2"/>
            <w:sz w:val="21"/>
            <w:u w:val="single"/>
          </w:rPr>
          <w:t>(2025)</w:t>
        </w:r>
      </w:hyperlink>
      <w:r>
        <w:rPr>
          <w:spacing w:val="-2"/>
          <w:sz w:val="21"/>
        </w:rPr>
        <w:t>.</w:t>
      </w:r>
    </w:p>
    <w:p w14:paraId="0E6BDB7D" w14:textId="77777777" w:rsidR="009D54AF" w:rsidRDefault="00000000">
      <w:pPr>
        <w:pStyle w:val="BodyText"/>
        <w:spacing w:before="209" w:line="278" w:lineRule="auto"/>
        <w:ind w:left="142" w:right="285"/>
      </w:pPr>
      <w:r>
        <w:t>Throughout</w:t>
      </w:r>
      <w:r>
        <w:rPr>
          <w:spacing w:val="-2"/>
        </w:rPr>
        <w:t xml:space="preserve"> </w:t>
      </w:r>
      <w:r>
        <w:t>the</w:t>
      </w:r>
      <w:r>
        <w:rPr>
          <w:spacing w:val="-2"/>
        </w:rPr>
        <w:t xml:space="preserve"> </w:t>
      </w:r>
      <w:r>
        <w:t>year,</w:t>
      </w:r>
      <w:r>
        <w:rPr>
          <w:spacing w:val="-2"/>
        </w:rPr>
        <w:t xml:space="preserve"> </w:t>
      </w:r>
      <w:r>
        <w:t>the</w:t>
      </w:r>
      <w:r>
        <w:rPr>
          <w:spacing w:val="-2"/>
        </w:rPr>
        <w:t xml:space="preserve"> </w:t>
      </w:r>
      <w:r>
        <w:t>Commission</w:t>
      </w:r>
      <w:r>
        <w:rPr>
          <w:spacing w:val="-2"/>
        </w:rPr>
        <w:t xml:space="preserve"> </w:t>
      </w:r>
      <w:r>
        <w:t>also</w:t>
      </w:r>
      <w:r>
        <w:rPr>
          <w:spacing w:val="-2"/>
        </w:rPr>
        <w:t xml:space="preserve"> </w:t>
      </w:r>
      <w:r>
        <w:t>published</w:t>
      </w:r>
      <w:r>
        <w:rPr>
          <w:spacing w:val="-2"/>
        </w:rPr>
        <w:t xml:space="preserve"> </w:t>
      </w:r>
      <w:r>
        <w:t>additional</w:t>
      </w:r>
      <w:r>
        <w:rPr>
          <w:spacing w:val="-2"/>
        </w:rPr>
        <w:t xml:space="preserve"> </w:t>
      </w:r>
      <w:r>
        <w:t>resources</w:t>
      </w:r>
      <w:r>
        <w:rPr>
          <w:spacing w:val="-2"/>
        </w:rPr>
        <w:t xml:space="preserve"> </w:t>
      </w:r>
      <w:r>
        <w:t>that</w:t>
      </w:r>
      <w:r>
        <w:rPr>
          <w:spacing w:val="-2"/>
        </w:rPr>
        <w:t xml:space="preserve"> </w:t>
      </w:r>
      <w:r>
        <w:t>support</w:t>
      </w:r>
      <w:r>
        <w:rPr>
          <w:spacing w:val="-2"/>
        </w:rPr>
        <w:t xml:space="preserve"> </w:t>
      </w:r>
      <w:r>
        <w:t>the</w:t>
      </w:r>
      <w:r>
        <w:rPr>
          <w:spacing w:val="-2"/>
        </w:rPr>
        <w:t xml:space="preserve"> </w:t>
      </w:r>
      <w:r>
        <w:t>implementation and assessment of the NSQHS Standards, including:</w:t>
      </w:r>
    </w:p>
    <w:p w14:paraId="5ACFFC89" w14:textId="77777777" w:rsidR="009D54AF" w:rsidRDefault="00000000">
      <w:pPr>
        <w:pStyle w:val="ListParagraph"/>
        <w:numPr>
          <w:ilvl w:val="0"/>
          <w:numId w:val="35"/>
        </w:numPr>
        <w:tabs>
          <w:tab w:val="left" w:pos="424"/>
        </w:tabs>
        <w:spacing w:before="56"/>
        <w:ind w:left="424" w:hanging="268"/>
        <w:rPr>
          <w:sz w:val="21"/>
        </w:rPr>
      </w:pPr>
      <w:hyperlink r:id="rId51">
        <w:r>
          <w:rPr>
            <w:sz w:val="21"/>
            <w:u w:val="single"/>
          </w:rPr>
          <w:t>Advisory</w:t>
        </w:r>
        <w:r>
          <w:rPr>
            <w:spacing w:val="-4"/>
            <w:sz w:val="21"/>
            <w:u w:val="single"/>
          </w:rPr>
          <w:t xml:space="preserve"> </w:t>
        </w:r>
        <w:r>
          <w:rPr>
            <w:sz w:val="21"/>
            <w:u w:val="single"/>
          </w:rPr>
          <w:t>AS25/01:</w:t>
        </w:r>
        <w:r>
          <w:rPr>
            <w:spacing w:val="-2"/>
            <w:sz w:val="21"/>
            <w:u w:val="single"/>
          </w:rPr>
          <w:t xml:space="preserve"> </w:t>
        </w:r>
        <w:r>
          <w:rPr>
            <w:sz w:val="21"/>
            <w:u w:val="single"/>
          </w:rPr>
          <w:t>Mandatory</w:t>
        </w:r>
        <w:r>
          <w:rPr>
            <w:spacing w:val="-2"/>
            <w:sz w:val="21"/>
            <w:u w:val="single"/>
          </w:rPr>
          <w:t xml:space="preserve"> </w:t>
        </w:r>
        <w:r>
          <w:rPr>
            <w:sz w:val="21"/>
            <w:u w:val="single"/>
          </w:rPr>
          <w:t>reporting</w:t>
        </w:r>
        <w:r>
          <w:rPr>
            <w:spacing w:val="-2"/>
            <w:sz w:val="21"/>
            <w:u w:val="single"/>
          </w:rPr>
          <w:t xml:space="preserve"> </w:t>
        </w:r>
        <w:r>
          <w:rPr>
            <w:sz w:val="21"/>
            <w:u w:val="single"/>
          </w:rPr>
          <w:t>of</w:t>
        </w:r>
        <w:r>
          <w:rPr>
            <w:spacing w:val="-2"/>
            <w:sz w:val="21"/>
            <w:u w:val="single"/>
          </w:rPr>
          <w:t xml:space="preserve"> </w:t>
        </w:r>
        <w:r>
          <w:rPr>
            <w:sz w:val="21"/>
            <w:u w:val="single"/>
          </w:rPr>
          <w:t>medical</w:t>
        </w:r>
        <w:r>
          <w:rPr>
            <w:spacing w:val="-2"/>
            <w:sz w:val="21"/>
            <w:u w:val="single"/>
          </w:rPr>
          <w:t xml:space="preserve"> </w:t>
        </w:r>
        <w:r>
          <w:rPr>
            <w:sz w:val="21"/>
            <w:u w:val="single"/>
          </w:rPr>
          <w:t>device</w:t>
        </w:r>
        <w:r>
          <w:rPr>
            <w:spacing w:val="-2"/>
            <w:sz w:val="21"/>
            <w:u w:val="single"/>
          </w:rPr>
          <w:t xml:space="preserve"> </w:t>
        </w:r>
        <w:r>
          <w:rPr>
            <w:sz w:val="21"/>
            <w:u w:val="single"/>
          </w:rPr>
          <w:t>adverse</w:t>
        </w:r>
        <w:r>
          <w:rPr>
            <w:spacing w:val="-2"/>
            <w:sz w:val="21"/>
            <w:u w:val="single"/>
          </w:rPr>
          <w:t xml:space="preserve"> events.</w:t>
        </w:r>
      </w:hyperlink>
    </w:p>
    <w:p w14:paraId="78180176" w14:textId="2B577AD9" w:rsidR="009D54AF" w:rsidRDefault="00000000">
      <w:pPr>
        <w:pStyle w:val="BodyText"/>
        <w:spacing w:before="209" w:line="278" w:lineRule="auto"/>
        <w:ind w:left="142"/>
      </w:pPr>
      <w:r>
        <w:t xml:space="preserve">This advisory describes the legislated requirements for health service </w:t>
      </w:r>
      <w:proofErr w:type="spellStart"/>
      <w:r>
        <w:t>organisations</w:t>
      </w:r>
      <w:proofErr w:type="spellEnd"/>
      <w:r>
        <w:t xml:space="preserve"> to report medical device-related adverse events.</w:t>
      </w:r>
    </w:p>
    <w:p w14:paraId="4BFD0912" w14:textId="77777777" w:rsidR="009D54AF" w:rsidRDefault="00000000">
      <w:pPr>
        <w:pStyle w:val="Heading7"/>
        <w:spacing w:before="220"/>
      </w:pPr>
      <w:r>
        <w:t>Safety</w:t>
      </w:r>
      <w:r>
        <w:rPr>
          <w:spacing w:val="-17"/>
        </w:rPr>
        <w:t xml:space="preserve"> </w:t>
      </w:r>
      <w:r>
        <w:t>and</w:t>
      </w:r>
      <w:r>
        <w:rPr>
          <w:spacing w:val="-17"/>
        </w:rPr>
        <w:t xml:space="preserve"> </w:t>
      </w:r>
      <w:r>
        <w:t>Quality</w:t>
      </w:r>
      <w:r>
        <w:rPr>
          <w:spacing w:val="-17"/>
        </w:rPr>
        <w:t xml:space="preserve"> </w:t>
      </w:r>
      <w:r>
        <w:t>Advice</w:t>
      </w:r>
      <w:r>
        <w:rPr>
          <w:spacing w:val="-17"/>
        </w:rPr>
        <w:t xml:space="preserve"> </w:t>
      </w:r>
      <w:r>
        <w:rPr>
          <w:spacing w:val="-2"/>
        </w:rPr>
        <w:t>Centre</w:t>
      </w:r>
    </w:p>
    <w:p w14:paraId="71DCA540" w14:textId="77777777" w:rsidR="009D54AF" w:rsidRDefault="00000000">
      <w:pPr>
        <w:pStyle w:val="BodyText"/>
        <w:spacing w:before="68" w:line="278" w:lineRule="auto"/>
        <w:ind w:left="142"/>
      </w:pPr>
      <w:bookmarkStart w:id="34" w:name="_bookmark9"/>
      <w:bookmarkEnd w:id="34"/>
      <w:r>
        <w:t>The</w:t>
      </w:r>
      <w:r>
        <w:rPr>
          <w:spacing w:val="-3"/>
        </w:rPr>
        <w:t xml:space="preserve"> </w:t>
      </w:r>
      <w:r>
        <w:t>Commission’s</w:t>
      </w:r>
      <w:r>
        <w:rPr>
          <w:spacing w:val="-3"/>
        </w:rPr>
        <w:t xml:space="preserve"> </w:t>
      </w:r>
      <w:r>
        <w:t>Safety</w:t>
      </w:r>
      <w:r>
        <w:rPr>
          <w:spacing w:val="-3"/>
        </w:rPr>
        <w:t xml:space="preserve"> </w:t>
      </w:r>
      <w:r>
        <w:t>and</w:t>
      </w:r>
      <w:r>
        <w:rPr>
          <w:spacing w:val="-3"/>
        </w:rPr>
        <w:t xml:space="preserve"> </w:t>
      </w:r>
      <w:r>
        <w:t>Quality</w:t>
      </w:r>
      <w:r>
        <w:rPr>
          <w:spacing w:val="-3"/>
        </w:rPr>
        <w:t xml:space="preserve"> </w:t>
      </w:r>
      <w:r>
        <w:t>Advice</w:t>
      </w:r>
      <w:r>
        <w:rPr>
          <w:spacing w:val="-3"/>
        </w:rPr>
        <w:t xml:space="preserve"> </w:t>
      </w:r>
      <w:r>
        <w:t>Centre</w:t>
      </w:r>
      <w:r>
        <w:rPr>
          <w:spacing w:val="-3"/>
        </w:rPr>
        <w:t xml:space="preserve"> </w:t>
      </w:r>
      <w:r>
        <w:t>plays</w:t>
      </w:r>
      <w:r>
        <w:rPr>
          <w:spacing w:val="-3"/>
        </w:rPr>
        <w:t xml:space="preserve"> </w:t>
      </w:r>
      <w:r>
        <w:t>a</w:t>
      </w:r>
      <w:r>
        <w:rPr>
          <w:spacing w:val="-3"/>
        </w:rPr>
        <w:t xml:space="preserve"> </w:t>
      </w:r>
      <w:r>
        <w:t>key</w:t>
      </w:r>
      <w:r>
        <w:rPr>
          <w:spacing w:val="-3"/>
        </w:rPr>
        <w:t xml:space="preserve"> </w:t>
      </w:r>
      <w:r>
        <w:t>role</w:t>
      </w:r>
      <w:r>
        <w:rPr>
          <w:spacing w:val="-3"/>
        </w:rPr>
        <w:t xml:space="preserve"> </w:t>
      </w:r>
      <w:r>
        <w:t>in</w:t>
      </w:r>
      <w:r>
        <w:rPr>
          <w:spacing w:val="-3"/>
        </w:rPr>
        <w:t xml:space="preserve"> </w:t>
      </w:r>
      <w:r>
        <w:t>ensuring</w:t>
      </w:r>
      <w:r>
        <w:rPr>
          <w:spacing w:val="-3"/>
        </w:rPr>
        <w:t xml:space="preserve"> </w:t>
      </w:r>
      <w:r>
        <w:t>that</w:t>
      </w:r>
      <w:r>
        <w:rPr>
          <w:spacing w:val="-3"/>
        </w:rPr>
        <w:t xml:space="preserve"> </w:t>
      </w:r>
      <w:r>
        <w:t>accrediting</w:t>
      </w:r>
      <w:r>
        <w:rPr>
          <w:spacing w:val="-3"/>
        </w:rPr>
        <w:t xml:space="preserve"> </w:t>
      </w:r>
      <w:r>
        <w:t>agencies, assessors and health services have a shared understanding of NSQHS Standards and assessment requirements under the Australian Health Service Safety and Quality Accreditation (AHSSQA) Scheme.</w:t>
      </w:r>
    </w:p>
    <w:p w14:paraId="38BC69BC" w14:textId="77777777" w:rsidR="009D54AF" w:rsidRDefault="00000000">
      <w:pPr>
        <w:pStyle w:val="BodyText"/>
        <w:spacing w:before="57" w:line="278" w:lineRule="auto"/>
        <w:ind w:left="142"/>
      </w:pPr>
      <w:r>
        <w:t>The data derived from the Advice Centre are one source of information used to monitor and evaluate the functions of the AHSSQA Scheme. This includes identifying trends relating to individual safety and quality standards,</w:t>
      </w:r>
      <w:r>
        <w:rPr>
          <w:spacing w:val="-2"/>
        </w:rPr>
        <w:t xml:space="preserve"> </w:t>
      </w:r>
      <w:r>
        <w:t>emerging</w:t>
      </w:r>
      <w:r>
        <w:rPr>
          <w:spacing w:val="-2"/>
        </w:rPr>
        <w:t xml:space="preserve"> </w:t>
      </w:r>
      <w:r>
        <w:t>issues,</w:t>
      </w:r>
      <w:r>
        <w:rPr>
          <w:spacing w:val="-2"/>
        </w:rPr>
        <w:t xml:space="preserve"> </w:t>
      </w:r>
      <w:r>
        <w:t>information</w:t>
      </w:r>
      <w:r>
        <w:rPr>
          <w:spacing w:val="-2"/>
        </w:rPr>
        <w:t xml:space="preserve"> </w:t>
      </w:r>
      <w:r>
        <w:t>gaps,</w:t>
      </w:r>
      <w:r>
        <w:rPr>
          <w:spacing w:val="-2"/>
        </w:rPr>
        <w:t xml:space="preserve"> </w:t>
      </w:r>
      <w:r>
        <w:t>and</w:t>
      </w:r>
      <w:r>
        <w:rPr>
          <w:spacing w:val="-2"/>
        </w:rPr>
        <w:t xml:space="preserve"> </w:t>
      </w:r>
      <w:r>
        <w:t>opportunities</w:t>
      </w:r>
      <w:r>
        <w:rPr>
          <w:spacing w:val="-2"/>
        </w:rPr>
        <w:t xml:space="preserve"> </w:t>
      </w:r>
      <w:r>
        <w:t>to</w:t>
      </w:r>
      <w:r>
        <w:rPr>
          <w:spacing w:val="-2"/>
        </w:rPr>
        <w:t xml:space="preserve"> </w:t>
      </w:r>
      <w:r>
        <w:t>improve</w:t>
      </w:r>
      <w:r>
        <w:rPr>
          <w:spacing w:val="-2"/>
        </w:rPr>
        <w:t xml:space="preserve"> </w:t>
      </w:r>
      <w:r>
        <w:t>resources</w:t>
      </w:r>
      <w:r>
        <w:rPr>
          <w:spacing w:val="-2"/>
        </w:rPr>
        <w:t xml:space="preserve"> </w:t>
      </w:r>
      <w:r>
        <w:t>for</w:t>
      </w:r>
      <w:r>
        <w:rPr>
          <w:spacing w:val="-2"/>
        </w:rPr>
        <w:t xml:space="preserve"> </w:t>
      </w:r>
      <w:r>
        <w:t>the</w:t>
      </w:r>
      <w:r>
        <w:rPr>
          <w:spacing w:val="-2"/>
        </w:rPr>
        <w:t xml:space="preserve"> </w:t>
      </w:r>
      <w:r>
        <w:t>health</w:t>
      </w:r>
      <w:r>
        <w:rPr>
          <w:spacing w:val="-2"/>
        </w:rPr>
        <w:t xml:space="preserve"> </w:t>
      </w:r>
      <w:r>
        <w:t>system.</w:t>
      </w:r>
    </w:p>
    <w:p w14:paraId="2F3110EA" w14:textId="77777777" w:rsidR="009D54AF" w:rsidRDefault="00000000">
      <w:pPr>
        <w:pStyle w:val="BodyText"/>
        <w:spacing w:before="56" w:line="278" w:lineRule="auto"/>
        <w:ind w:left="142" w:right="285"/>
      </w:pPr>
      <w:r>
        <w:t>Between</w:t>
      </w:r>
      <w:r>
        <w:rPr>
          <w:spacing w:val="-1"/>
        </w:rPr>
        <w:t xml:space="preserve"> </w:t>
      </w:r>
      <w:r>
        <w:t>1</w:t>
      </w:r>
      <w:r>
        <w:rPr>
          <w:spacing w:val="-1"/>
        </w:rPr>
        <w:t xml:space="preserve"> </w:t>
      </w:r>
      <w:r>
        <w:t>July</w:t>
      </w:r>
      <w:r>
        <w:rPr>
          <w:spacing w:val="-1"/>
        </w:rPr>
        <w:t xml:space="preserve"> </w:t>
      </w:r>
      <w:r>
        <w:t>2025</w:t>
      </w:r>
      <w:r>
        <w:rPr>
          <w:spacing w:val="-1"/>
        </w:rPr>
        <w:t xml:space="preserve"> </w:t>
      </w:r>
      <w:r>
        <w:t>and</w:t>
      </w:r>
      <w:r>
        <w:rPr>
          <w:spacing w:val="-1"/>
        </w:rPr>
        <w:t xml:space="preserve"> </w:t>
      </w:r>
      <w:r>
        <w:t>30</w:t>
      </w:r>
      <w:r>
        <w:rPr>
          <w:spacing w:val="-1"/>
        </w:rPr>
        <w:t xml:space="preserve"> </w:t>
      </w:r>
      <w:r>
        <w:t>June</w:t>
      </w:r>
      <w:r>
        <w:rPr>
          <w:spacing w:val="-1"/>
        </w:rPr>
        <w:t xml:space="preserve"> </w:t>
      </w:r>
      <w:r>
        <w:t>2026,</w:t>
      </w:r>
      <w:r>
        <w:rPr>
          <w:spacing w:val="-1"/>
        </w:rPr>
        <w:t xml:space="preserve"> </w:t>
      </w:r>
      <w:r>
        <w:t>the</w:t>
      </w:r>
      <w:r>
        <w:rPr>
          <w:spacing w:val="-1"/>
        </w:rPr>
        <w:t xml:space="preserve"> </w:t>
      </w:r>
      <w:r>
        <w:t>Advice</w:t>
      </w:r>
      <w:r>
        <w:rPr>
          <w:spacing w:val="-1"/>
        </w:rPr>
        <w:t xml:space="preserve"> </w:t>
      </w:r>
      <w:r>
        <w:t>Centre</w:t>
      </w:r>
      <w:r>
        <w:rPr>
          <w:spacing w:val="-1"/>
        </w:rPr>
        <w:t xml:space="preserve"> </w:t>
      </w:r>
      <w:r>
        <w:t>received</w:t>
      </w:r>
      <w:r>
        <w:rPr>
          <w:spacing w:val="-1"/>
        </w:rPr>
        <w:t xml:space="preserve"> </w:t>
      </w:r>
      <w:r>
        <w:t>2970</w:t>
      </w:r>
      <w:r>
        <w:rPr>
          <w:spacing w:val="-1"/>
        </w:rPr>
        <w:t xml:space="preserve"> </w:t>
      </w:r>
      <w:r>
        <w:t>email</w:t>
      </w:r>
      <w:r>
        <w:rPr>
          <w:spacing w:val="-1"/>
        </w:rPr>
        <w:t xml:space="preserve"> </w:t>
      </w:r>
      <w:r>
        <w:t>enquiries</w:t>
      </w:r>
      <w:r>
        <w:rPr>
          <w:spacing w:val="-1"/>
        </w:rPr>
        <w:t xml:space="preserve"> </w:t>
      </w:r>
      <w:r>
        <w:t>and</w:t>
      </w:r>
      <w:r>
        <w:rPr>
          <w:spacing w:val="-1"/>
        </w:rPr>
        <w:t xml:space="preserve"> </w:t>
      </w:r>
      <w:r>
        <w:t>940</w:t>
      </w:r>
      <w:r>
        <w:rPr>
          <w:spacing w:val="-1"/>
        </w:rPr>
        <w:t xml:space="preserve"> </w:t>
      </w:r>
      <w:r>
        <w:t xml:space="preserve">phone </w:t>
      </w:r>
      <w:r>
        <w:rPr>
          <w:spacing w:val="-2"/>
        </w:rPr>
        <w:t>calls.</w:t>
      </w:r>
    </w:p>
    <w:p w14:paraId="08629CA8" w14:textId="77777777" w:rsidR="009D54AF" w:rsidRDefault="00000000">
      <w:pPr>
        <w:pStyle w:val="Heading5"/>
        <w:spacing w:before="222"/>
      </w:pPr>
      <w:r>
        <w:t>Improving</w:t>
      </w:r>
      <w:r>
        <w:rPr>
          <w:spacing w:val="-7"/>
        </w:rPr>
        <w:t xml:space="preserve"> </w:t>
      </w:r>
      <w:r>
        <w:t>reliability</w:t>
      </w:r>
      <w:r>
        <w:rPr>
          <w:spacing w:val="-5"/>
        </w:rPr>
        <w:t xml:space="preserve"> </w:t>
      </w:r>
      <w:r>
        <w:t>of</w:t>
      </w:r>
      <w:r>
        <w:rPr>
          <w:spacing w:val="-5"/>
        </w:rPr>
        <w:t xml:space="preserve"> </w:t>
      </w:r>
      <w:r>
        <w:t>assessment</w:t>
      </w:r>
      <w:r>
        <w:rPr>
          <w:spacing w:val="-5"/>
        </w:rPr>
        <w:t xml:space="preserve"> </w:t>
      </w:r>
      <w:r>
        <w:t>for</w:t>
      </w:r>
      <w:r>
        <w:rPr>
          <w:spacing w:val="-5"/>
        </w:rPr>
        <w:t xml:space="preserve"> </w:t>
      </w:r>
      <w:r>
        <w:rPr>
          <w:spacing w:val="-2"/>
        </w:rPr>
        <w:t>accreditation</w:t>
      </w:r>
    </w:p>
    <w:p w14:paraId="4A207C9F" w14:textId="77777777" w:rsidR="009D54AF" w:rsidRDefault="00000000">
      <w:pPr>
        <w:pStyle w:val="Heading7"/>
        <w:spacing w:before="296"/>
      </w:pPr>
      <w:r>
        <w:t>Short</w:t>
      </w:r>
      <w:r>
        <w:rPr>
          <w:spacing w:val="3"/>
        </w:rPr>
        <w:t xml:space="preserve"> </w:t>
      </w:r>
      <w:r>
        <w:t>notice</w:t>
      </w:r>
      <w:r>
        <w:rPr>
          <w:spacing w:val="3"/>
        </w:rPr>
        <w:t xml:space="preserve"> </w:t>
      </w:r>
      <w:r>
        <w:rPr>
          <w:spacing w:val="-2"/>
        </w:rPr>
        <w:t>assessments</w:t>
      </w:r>
    </w:p>
    <w:p w14:paraId="5B59C450" w14:textId="77777777" w:rsidR="009D54AF" w:rsidRDefault="00000000">
      <w:pPr>
        <w:pStyle w:val="BodyText"/>
        <w:spacing w:before="141" w:line="278" w:lineRule="auto"/>
        <w:ind w:left="142" w:right="364"/>
        <w:jc w:val="both"/>
      </w:pPr>
      <w:r>
        <w:t>The Commission introduced short notice assessments in 2023–24 to improve the reliability and accuracy of assessment processes. Short notice assessments help to ensure that assessment outcomes reflect day-to-day practice, and that assessment processes support continuous implementation of the NSQHS Standards and reduce the administrative burden of preparing for an accreditation assessment.</w:t>
      </w:r>
    </w:p>
    <w:p w14:paraId="1DCD2820" w14:textId="77777777" w:rsidR="009D54AF" w:rsidRDefault="00000000">
      <w:pPr>
        <w:pStyle w:val="BodyText"/>
        <w:spacing w:before="142" w:line="278" w:lineRule="auto"/>
        <w:ind w:left="142" w:right="356"/>
      </w:pPr>
      <w:r>
        <w:t>In 2025–26, 458 of the 487 Australian hospitals assessed to the NSQHS Standards completed mandatory short notice assessments. Feedback from hospitals, accrediting agencies and other stakeholders is that</w:t>
      </w:r>
      <w:r>
        <w:rPr>
          <w:spacing w:val="80"/>
        </w:rPr>
        <w:t xml:space="preserve"> </w:t>
      </w:r>
      <w:r>
        <w:t>the</w:t>
      </w:r>
      <w:r>
        <w:rPr>
          <w:spacing w:val="-1"/>
        </w:rPr>
        <w:t xml:space="preserve"> </w:t>
      </w:r>
      <w:r>
        <w:t>transition</w:t>
      </w:r>
      <w:r>
        <w:rPr>
          <w:spacing w:val="-1"/>
        </w:rPr>
        <w:t xml:space="preserve"> </w:t>
      </w:r>
      <w:r>
        <w:t>to</w:t>
      </w:r>
      <w:r>
        <w:rPr>
          <w:spacing w:val="-1"/>
        </w:rPr>
        <w:t xml:space="preserve"> </w:t>
      </w:r>
      <w:r>
        <w:t>short</w:t>
      </w:r>
      <w:r>
        <w:rPr>
          <w:spacing w:val="-1"/>
        </w:rPr>
        <w:t xml:space="preserve"> </w:t>
      </w:r>
      <w:r>
        <w:t>notice</w:t>
      </w:r>
      <w:r>
        <w:rPr>
          <w:spacing w:val="-1"/>
        </w:rPr>
        <w:t xml:space="preserve"> </w:t>
      </w:r>
      <w:r>
        <w:t>assessment</w:t>
      </w:r>
      <w:r>
        <w:rPr>
          <w:spacing w:val="-1"/>
        </w:rPr>
        <w:t xml:space="preserve"> </w:t>
      </w:r>
      <w:r>
        <w:t>has</w:t>
      </w:r>
      <w:r>
        <w:rPr>
          <w:spacing w:val="-1"/>
        </w:rPr>
        <w:t xml:space="preserve"> </w:t>
      </w:r>
      <w:r>
        <w:t>been</w:t>
      </w:r>
      <w:r>
        <w:rPr>
          <w:spacing w:val="-1"/>
        </w:rPr>
        <w:t xml:space="preserve"> </w:t>
      </w:r>
      <w:r>
        <w:t>smooth</w:t>
      </w:r>
      <w:r>
        <w:rPr>
          <w:spacing w:val="-1"/>
        </w:rPr>
        <w:t xml:space="preserve"> </w:t>
      </w:r>
      <w:r>
        <w:t>and</w:t>
      </w:r>
      <w:r>
        <w:rPr>
          <w:spacing w:val="-1"/>
        </w:rPr>
        <w:t xml:space="preserve"> </w:t>
      </w:r>
      <w:r>
        <w:t>that</w:t>
      </w:r>
      <w:r>
        <w:rPr>
          <w:spacing w:val="-1"/>
        </w:rPr>
        <w:t xml:space="preserve"> </w:t>
      </w:r>
      <w:r>
        <w:t>this</w:t>
      </w:r>
      <w:r>
        <w:rPr>
          <w:spacing w:val="-1"/>
        </w:rPr>
        <w:t xml:space="preserve"> </w:t>
      </w:r>
      <w:r>
        <w:t>assessment</w:t>
      </w:r>
      <w:r>
        <w:rPr>
          <w:spacing w:val="-1"/>
        </w:rPr>
        <w:t xml:space="preserve"> </w:t>
      </w:r>
      <w:r>
        <w:t>method</w:t>
      </w:r>
      <w:r>
        <w:rPr>
          <w:spacing w:val="-1"/>
        </w:rPr>
        <w:t xml:space="preserve"> </w:t>
      </w:r>
      <w:r>
        <w:t>is</w:t>
      </w:r>
      <w:r>
        <w:rPr>
          <w:spacing w:val="-1"/>
        </w:rPr>
        <w:t xml:space="preserve"> </w:t>
      </w:r>
      <w:r>
        <w:t>preferred</w:t>
      </w:r>
      <w:r>
        <w:rPr>
          <w:spacing w:val="-1"/>
        </w:rPr>
        <w:t xml:space="preserve"> </w:t>
      </w:r>
      <w:r>
        <w:t>by clinicians and health services.</w:t>
      </w:r>
    </w:p>
    <w:p w14:paraId="62891F27" w14:textId="77777777" w:rsidR="009D54AF" w:rsidRDefault="009D54AF">
      <w:pPr>
        <w:pStyle w:val="BodyText"/>
        <w:spacing w:before="62"/>
      </w:pPr>
    </w:p>
    <w:p w14:paraId="417CF89B" w14:textId="77777777" w:rsidR="009D54AF" w:rsidRDefault="00000000">
      <w:pPr>
        <w:pStyle w:val="Heading7"/>
        <w:spacing w:before="1"/>
      </w:pPr>
      <w:r>
        <w:t>Public</w:t>
      </w:r>
      <w:r>
        <w:rPr>
          <w:spacing w:val="-2"/>
        </w:rPr>
        <w:t xml:space="preserve"> </w:t>
      </w:r>
      <w:r>
        <w:t>reporting</w:t>
      </w:r>
      <w:r>
        <w:rPr>
          <w:spacing w:val="-1"/>
        </w:rPr>
        <w:t xml:space="preserve"> </w:t>
      </w:r>
      <w:r>
        <w:t>of</w:t>
      </w:r>
      <w:r>
        <w:rPr>
          <w:spacing w:val="-2"/>
        </w:rPr>
        <w:t xml:space="preserve"> </w:t>
      </w:r>
      <w:r>
        <w:t>accreditation</w:t>
      </w:r>
      <w:r>
        <w:rPr>
          <w:spacing w:val="-1"/>
        </w:rPr>
        <w:t xml:space="preserve"> </w:t>
      </w:r>
      <w:r>
        <w:rPr>
          <w:spacing w:val="-2"/>
        </w:rPr>
        <w:t>outcomes</w:t>
      </w:r>
    </w:p>
    <w:p w14:paraId="725A1930" w14:textId="77777777" w:rsidR="009D54AF" w:rsidRDefault="00000000">
      <w:pPr>
        <w:pStyle w:val="BodyText"/>
        <w:spacing w:before="141" w:line="278" w:lineRule="auto"/>
        <w:ind w:left="142" w:right="285"/>
      </w:pPr>
      <w:r>
        <w:t>An NSQHS Standards dashboard was first published in 2021 to provide an overview of accreditation assessments, outcomes and overall performance by sector and by standard. This dashboard complements the public reporting tool on the performance of individual hospital assessments and provides details on accreditation</w:t>
      </w:r>
      <w:r>
        <w:rPr>
          <w:spacing w:val="-2"/>
        </w:rPr>
        <w:t xml:space="preserve"> </w:t>
      </w:r>
      <w:r>
        <w:t>expiry</w:t>
      </w:r>
      <w:r>
        <w:rPr>
          <w:spacing w:val="-2"/>
        </w:rPr>
        <w:t xml:space="preserve"> </w:t>
      </w:r>
      <w:r>
        <w:t>dates</w:t>
      </w:r>
      <w:r>
        <w:rPr>
          <w:spacing w:val="-2"/>
        </w:rPr>
        <w:t xml:space="preserve"> </w:t>
      </w:r>
      <w:r>
        <w:t>and</w:t>
      </w:r>
      <w:r>
        <w:rPr>
          <w:spacing w:val="-2"/>
        </w:rPr>
        <w:t xml:space="preserve"> </w:t>
      </w:r>
      <w:r>
        <w:t>areas</w:t>
      </w:r>
      <w:r>
        <w:rPr>
          <w:spacing w:val="-2"/>
        </w:rPr>
        <w:t xml:space="preserve"> </w:t>
      </w:r>
      <w:r>
        <w:t>in</w:t>
      </w:r>
      <w:r>
        <w:rPr>
          <w:spacing w:val="-2"/>
        </w:rPr>
        <w:t xml:space="preserve"> </w:t>
      </w:r>
      <w:r>
        <w:t>which</w:t>
      </w:r>
      <w:r>
        <w:rPr>
          <w:spacing w:val="-2"/>
        </w:rPr>
        <w:t xml:space="preserve"> </w:t>
      </w:r>
      <w:r>
        <w:t>improvements</w:t>
      </w:r>
      <w:r>
        <w:rPr>
          <w:spacing w:val="-2"/>
        </w:rPr>
        <w:t xml:space="preserve"> </w:t>
      </w:r>
      <w:r>
        <w:t>are</w:t>
      </w:r>
      <w:r>
        <w:rPr>
          <w:spacing w:val="-2"/>
        </w:rPr>
        <w:t xml:space="preserve"> </w:t>
      </w:r>
      <w:r>
        <w:t>required</w:t>
      </w:r>
      <w:r>
        <w:rPr>
          <w:spacing w:val="-2"/>
        </w:rPr>
        <w:t xml:space="preserve"> </w:t>
      </w:r>
      <w:r>
        <w:t>to</w:t>
      </w:r>
      <w:r>
        <w:rPr>
          <w:spacing w:val="-2"/>
        </w:rPr>
        <w:t xml:space="preserve"> </w:t>
      </w:r>
      <w:r>
        <w:t>achieve</w:t>
      </w:r>
      <w:r>
        <w:rPr>
          <w:spacing w:val="-2"/>
        </w:rPr>
        <w:t xml:space="preserve"> </w:t>
      </w:r>
      <w:r>
        <w:t>accreditation.</w:t>
      </w:r>
      <w:r>
        <w:rPr>
          <w:spacing w:val="-2"/>
        </w:rPr>
        <w:t xml:space="preserve"> </w:t>
      </w:r>
      <w:r>
        <w:t>In</w:t>
      </w:r>
      <w:r>
        <w:rPr>
          <w:spacing w:val="-2"/>
        </w:rPr>
        <w:t xml:space="preserve"> </w:t>
      </w:r>
      <w:r>
        <w:t>2025–26, the dashboard had 9,948 users and 12,829 page views.</w:t>
      </w:r>
    </w:p>
    <w:p w14:paraId="37DDBA73" w14:textId="77777777" w:rsidR="00D13873" w:rsidRDefault="00D13873">
      <w:pPr>
        <w:rPr>
          <w:sz w:val="21"/>
          <w:szCs w:val="21"/>
        </w:rPr>
      </w:pPr>
      <w:r>
        <w:br w:type="page"/>
      </w:r>
    </w:p>
    <w:p w14:paraId="05854033" w14:textId="469E0975" w:rsidR="009D54AF" w:rsidRDefault="00000000">
      <w:pPr>
        <w:pStyle w:val="BodyText"/>
        <w:spacing w:before="141" w:line="278" w:lineRule="auto"/>
        <w:ind w:left="142" w:right="285"/>
      </w:pPr>
      <w:r>
        <w:lastRenderedPageBreak/>
        <w:t>A</w:t>
      </w:r>
      <w:r>
        <w:rPr>
          <w:spacing w:val="-1"/>
        </w:rPr>
        <w:t xml:space="preserve"> </w:t>
      </w:r>
      <w:r>
        <w:t>dashboard</w:t>
      </w:r>
      <w:r>
        <w:rPr>
          <w:spacing w:val="-1"/>
        </w:rPr>
        <w:t xml:space="preserve"> </w:t>
      </w:r>
      <w:r>
        <w:t>for</w:t>
      </w:r>
      <w:r>
        <w:rPr>
          <w:spacing w:val="-1"/>
        </w:rPr>
        <w:t xml:space="preserve"> </w:t>
      </w:r>
      <w:r>
        <w:t>the</w:t>
      </w:r>
      <w:r>
        <w:rPr>
          <w:spacing w:val="-1"/>
        </w:rPr>
        <w:t xml:space="preserve"> </w:t>
      </w:r>
      <w:r>
        <w:t>National</w:t>
      </w:r>
      <w:r>
        <w:rPr>
          <w:spacing w:val="-1"/>
        </w:rPr>
        <w:t xml:space="preserve"> </w:t>
      </w:r>
      <w:r>
        <w:t>Safety</w:t>
      </w:r>
      <w:r>
        <w:rPr>
          <w:spacing w:val="-1"/>
        </w:rPr>
        <w:t xml:space="preserve"> </w:t>
      </w:r>
      <w:r>
        <w:t>and</w:t>
      </w:r>
      <w:r>
        <w:rPr>
          <w:spacing w:val="-1"/>
        </w:rPr>
        <w:t xml:space="preserve"> </w:t>
      </w:r>
      <w:r>
        <w:t>Quality</w:t>
      </w:r>
      <w:r>
        <w:rPr>
          <w:spacing w:val="-1"/>
        </w:rPr>
        <w:t xml:space="preserve"> </w:t>
      </w:r>
      <w:r>
        <w:t>Digital</w:t>
      </w:r>
      <w:r>
        <w:rPr>
          <w:spacing w:val="-1"/>
        </w:rPr>
        <w:t xml:space="preserve"> </w:t>
      </w:r>
      <w:r>
        <w:t>Mental</w:t>
      </w:r>
      <w:r>
        <w:rPr>
          <w:spacing w:val="-1"/>
        </w:rPr>
        <w:t xml:space="preserve"> </w:t>
      </w:r>
      <w:r>
        <w:t>Health</w:t>
      </w:r>
      <w:r>
        <w:rPr>
          <w:spacing w:val="-1"/>
        </w:rPr>
        <w:t xml:space="preserve"> </w:t>
      </w:r>
      <w:r>
        <w:t>(NSQDMH)</w:t>
      </w:r>
      <w:r>
        <w:rPr>
          <w:spacing w:val="-1"/>
        </w:rPr>
        <w:t xml:space="preserve"> </w:t>
      </w:r>
      <w:r>
        <w:t>Standards</w:t>
      </w:r>
      <w:r>
        <w:rPr>
          <w:spacing w:val="-1"/>
        </w:rPr>
        <w:t xml:space="preserve"> </w:t>
      </w:r>
      <w:r>
        <w:t>was</w:t>
      </w:r>
      <w:r>
        <w:rPr>
          <w:spacing w:val="-1"/>
        </w:rPr>
        <w:t xml:space="preserve"> </w:t>
      </w:r>
      <w:r>
        <w:t>first published in May 2025. In 2025–26, this site had 3,692 users and 5,180 page views.</w:t>
      </w:r>
    </w:p>
    <w:p w14:paraId="63FC9E72" w14:textId="77777777" w:rsidR="009D54AF" w:rsidRDefault="009D54AF">
      <w:pPr>
        <w:pStyle w:val="BodyText"/>
        <w:spacing w:before="63"/>
      </w:pPr>
    </w:p>
    <w:p w14:paraId="6D5764E9" w14:textId="77777777" w:rsidR="009D54AF" w:rsidRDefault="00000000">
      <w:pPr>
        <w:pStyle w:val="Heading7"/>
      </w:pPr>
      <w:r>
        <w:t>Oversight</w:t>
      </w:r>
      <w:r>
        <w:rPr>
          <w:spacing w:val="-5"/>
        </w:rPr>
        <w:t xml:space="preserve"> </w:t>
      </w:r>
      <w:r>
        <w:t>and</w:t>
      </w:r>
      <w:r>
        <w:rPr>
          <w:spacing w:val="-3"/>
        </w:rPr>
        <w:t xml:space="preserve"> </w:t>
      </w:r>
      <w:r>
        <w:t>feedback</w:t>
      </w:r>
      <w:r>
        <w:rPr>
          <w:spacing w:val="-3"/>
        </w:rPr>
        <w:t xml:space="preserve"> </w:t>
      </w:r>
      <w:r>
        <w:t>on</w:t>
      </w:r>
      <w:r>
        <w:rPr>
          <w:spacing w:val="-3"/>
        </w:rPr>
        <w:t xml:space="preserve"> </w:t>
      </w:r>
      <w:r>
        <w:t>accrediting</w:t>
      </w:r>
      <w:r>
        <w:rPr>
          <w:spacing w:val="-3"/>
        </w:rPr>
        <w:t xml:space="preserve"> </w:t>
      </w:r>
      <w:r>
        <w:t>agency</w:t>
      </w:r>
      <w:r>
        <w:rPr>
          <w:spacing w:val="-2"/>
        </w:rPr>
        <w:t xml:space="preserve"> performance</w:t>
      </w:r>
    </w:p>
    <w:p w14:paraId="4CC73541" w14:textId="77777777" w:rsidR="009D54AF" w:rsidRDefault="00000000">
      <w:pPr>
        <w:pStyle w:val="BodyText"/>
        <w:spacing w:before="142" w:line="278" w:lineRule="auto"/>
        <w:ind w:left="142"/>
      </w:pPr>
      <w:r>
        <w:t>The Commission manages and oversees accrediting agency approval and performance as part of the requirements of the AHSSQA Scheme. The Commission conducts observation visits and prepares an annual performance</w:t>
      </w:r>
      <w:r>
        <w:rPr>
          <w:spacing w:val="-1"/>
        </w:rPr>
        <w:t xml:space="preserve"> </w:t>
      </w:r>
      <w:r>
        <w:t>review</w:t>
      </w:r>
      <w:r>
        <w:rPr>
          <w:spacing w:val="-1"/>
        </w:rPr>
        <w:t xml:space="preserve"> </w:t>
      </w:r>
      <w:r>
        <w:t>report</w:t>
      </w:r>
      <w:r>
        <w:rPr>
          <w:spacing w:val="-1"/>
        </w:rPr>
        <w:t xml:space="preserve"> </w:t>
      </w:r>
      <w:r>
        <w:t>for</w:t>
      </w:r>
      <w:r>
        <w:rPr>
          <w:spacing w:val="-1"/>
        </w:rPr>
        <w:t xml:space="preserve"> </w:t>
      </w:r>
      <w:r>
        <w:t>discussion</w:t>
      </w:r>
      <w:r>
        <w:rPr>
          <w:spacing w:val="-1"/>
        </w:rPr>
        <w:t xml:space="preserve"> </w:t>
      </w:r>
      <w:r>
        <w:t>with</w:t>
      </w:r>
      <w:r>
        <w:rPr>
          <w:spacing w:val="-1"/>
        </w:rPr>
        <w:t xml:space="preserve"> </w:t>
      </w:r>
      <w:r>
        <w:t>each</w:t>
      </w:r>
      <w:r>
        <w:rPr>
          <w:spacing w:val="-1"/>
        </w:rPr>
        <w:t xml:space="preserve"> </w:t>
      </w:r>
      <w:r>
        <w:t>approved</w:t>
      </w:r>
      <w:r>
        <w:rPr>
          <w:spacing w:val="-1"/>
        </w:rPr>
        <w:t xml:space="preserve"> </w:t>
      </w:r>
      <w:r>
        <w:t>accrediting</w:t>
      </w:r>
      <w:r>
        <w:rPr>
          <w:spacing w:val="-1"/>
        </w:rPr>
        <w:t xml:space="preserve"> </w:t>
      </w:r>
      <w:r>
        <w:t>agency.</w:t>
      </w:r>
      <w:r>
        <w:rPr>
          <w:spacing w:val="-1"/>
        </w:rPr>
        <w:t xml:space="preserve"> </w:t>
      </w:r>
      <w:r>
        <w:t>This</w:t>
      </w:r>
      <w:r>
        <w:rPr>
          <w:spacing w:val="-1"/>
        </w:rPr>
        <w:t xml:space="preserve"> </w:t>
      </w:r>
      <w:r>
        <w:t>report</w:t>
      </w:r>
      <w:r>
        <w:rPr>
          <w:spacing w:val="-1"/>
        </w:rPr>
        <w:t xml:space="preserve"> </w:t>
      </w:r>
      <w:r>
        <w:t>gathers</w:t>
      </w:r>
      <w:r>
        <w:rPr>
          <w:spacing w:val="-1"/>
        </w:rPr>
        <w:t xml:space="preserve"> </w:t>
      </w:r>
      <w:r>
        <w:t>insights and feedback from:</w:t>
      </w:r>
    </w:p>
    <w:p w14:paraId="1152ED23" w14:textId="77777777" w:rsidR="009D54AF" w:rsidRDefault="00000000">
      <w:pPr>
        <w:pStyle w:val="ListParagraph"/>
        <w:numPr>
          <w:ilvl w:val="0"/>
          <w:numId w:val="35"/>
        </w:numPr>
        <w:tabs>
          <w:tab w:val="left" w:pos="424"/>
        </w:tabs>
        <w:spacing w:before="56"/>
        <w:ind w:left="424" w:hanging="268"/>
        <w:rPr>
          <w:sz w:val="21"/>
        </w:rPr>
      </w:pPr>
      <w:r>
        <w:rPr>
          <w:sz w:val="21"/>
        </w:rPr>
        <w:t>observers</w:t>
      </w:r>
      <w:r>
        <w:rPr>
          <w:spacing w:val="1"/>
          <w:sz w:val="21"/>
        </w:rPr>
        <w:t xml:space="preserve"> </w:t>
      </w:r>
      <w:r>
        <w:rPr>
          <w:sz w:val="21"/>
        </w:rPr>
        <w:t>on</w:t>
      </w:r>
      <w:r>
        <w:rPr>
          <w:spacing w:val="1"/>
          <w:sz w:val="21"/>
        </w:rPr>
        <w:t xml:space="preserve"> </w:t>
      </w:r>
      <w:r>
        <w:rPr>
          <w:sz w:val="21"/>
        </w:rPr>
        <w:t>accreditation</w:t>
      </w:r>
      <w:r>
        <w:rPr>
          <w:spacing w:val="1"/>
          <w:sz w:val="21"/>
        </w:rPr>
        <w:t xml:space="preserve"> </w:t>
      </w:r>
      <w:r>
        <w:rPr>
          <w:sz w:val="21"/>
        </w:rPr>
        <w:t>assessment</w:t>
      </w:r>
      <w:r>
        <w:rPr>
          <w:spacing w:val="1"/>
          <w:sz w:val="21"/>
        </w:rPr>
        <w:t xml:space="preserve"> </w:t>
      </w:r>
      <w:r>
        <w:rPr>
          <w:spacing w:val="-2"/>
          <w:sz w:val="21"/>
        </w:rPr>
        <w:t>visits</w:t>
      </w:r>
    </w:p>
    <w:p w14:paraId="3560081F" w14:textId="77777777" w:rsidR="009D54AF" w:rsidRDefault="00000000">
      <w:pPr>
        <w:pStyle w:val="ListParagraph"/>
        <w:numPr>
          <w:ilvl w:val="0"/>
          <w:numId w:val="35"/>
        </w:numPr>
        <w:tabs>
          <w:tab w:val="left" w:pos="424"/>
        </w:tabs>
        <w:ind w:left="424" w:hanging="268"/>
        <w:rPr>
          <w:sz w:val="21"/>
        </w:rPr>
      </w:pPr>
      <w:r>
        <w:rPr>
          <w:sz w:val="21"/>
        </w:rPr>
        <w:t>health</w:t>
      </w:r>
      <w:r>
        <w:rPr>
          <w:spacing w:val="-2"/>
          <w:sz w:val="21"/>
        </w:rPr>
        <w:t xml:space="preserve"> services</w:t>
      </w:r>
    </w:p>
    <w:p w14:paraId="40244DC6" w14:textId="77777777" w:rsidR="009D54AF" w:rsidRDefault="00000000">
      <w:pPr>
        <w:pStyle w:val="ListParagraph"/>
        <w:numPr>
          <w:ilvl w:val="0"/>
          <w:numId w:val="35"/>
        </w:numPr>
        <w:tabs>
          <w:tab w:val="left" w:pos="424"/>
        </w:tabs>
        <w:ind w:left="424" w:hanging="268"/>
        <w:rPr>
          <w:sz w:val="21"/>
        </w:rPr>
      </w:pPr>
      <w:r>
        <w:rPr>
          <w:sz w:val="21"/>
        </w:rPr>
        <w:t>assessment</w:t>
      </w:r>
      <w:r>
        <w:rPr>
          <w:spacing w:val="-1"/>
          <w:sz w:val="21"/>
        </w:rPr>
        <w:t xml:space="preserve"> </w:t>
      </w:r>
      <w:r>
        <w:rPr>
          <w:sz w:val="21"/>
        </w:rPr>
        <w:t>outcome</w:t>
      </w:r>
      <w:r>
        <w:rPr>
          <w:spacing w:val="-1"/>
          <w:sz w:val="21"/>
        </w:rPr>
        <w:t xml:space="preserve"> </w:t>
      </w:r>
      <w:r>
        <w:rPr>
          <w:spacing w:val="-4"/>
          <w:sz w:val="21"/>
        </w:rPr>
        <w:t>data</w:t>
      </w:r>
    </w:p>
    <w:p w14:paraId="4BC88DD4" w14:textId="77777777" w:rsidR="009D54AF" w:rsidRDefault="00000000">
      <w:pPr>
        <w:pStyle w:val="ListParagraph"/>
        <w:numPr>
          <w:ilvl w:val="0"/>
          <w:numId w:val="35"/>
        </w:numPr>
        <w:tabs>
          <w:tab w:val="left" w:pos="424"/>
        </w:tabs>
        <w:ind w:left="424" w:hanging="268"/>
        <w:rPr>
          <w:sz w:val="21"/>
        </w:rPr>
      </w:pPr>
      <w:r>
        <w:rPr>
          <w:sz w:val="21"/>
        </w:rPr>
        <w:t xml:space="preserve">Safety and Quality Advice Centre </w:t>
      </w:r>
      <w:r>
        <w:rPr>
          <w:spacing w:val="-4"/>
          <w:sz w:val="21"/>
        </w:rPr>
        <w:t>data.</w:t>
      </w:r>
    </w:p>
    <w:p w14:paraId="67F5E33E" w14:textId="77777777" w:rsidR="009D54AF" w:rsidRDefault="00000000">
      <w:pPr>
        <w:pStyle w:val="BodyText"/>
        <w:spacing w:before="209" w:line="278" w:lineRule="auto"/>
        <w:ind w:left="142"/>
      </w:pPr>
      <w:r>
        <w:t>Four</w:t>
      </w:r>
      <w:r>
        <w:rPr>
          <w:spacing w:val="-1"/>
        </w:rPr>
        <w:t xml:space="preserve"> </w:t>
      </w:r>
      <w:r>
        <w:t>observation</w:t>
      </w:r>
      <w:r>
        <w:rPr>
          <w:spacing w:val="-1"/>
        </w:rPr>
        <w:t xml:space="preserve"> </w:t>
      </w:r>
      <w:r>
        <w:t>visits</w:t>
      </w:r>
      <w:r>
        <w:rPr>
          <w:spacing w:val="-1"/>
        </w:rPr>
        <w:t xml:space="preserve"> </w:t>
      </w:r>
      <w:r>
        <w:t>were</w:t>
      </w:r>
      <w:r>
        <w:rPr>
          <w:spacing w:val="-1"/>
        </w:rPr>
        <w:t xml:space="preserve"> </w:t>
      </w:r>
      <w:r>
        <w:t>conducted</w:t>
      </w:r>
      <w:r>
        <w:rPr>
          <w:spacing w:val="-1"/>
        </w:rPr>
        <w:t xml:space="preserve"> </w:t>
      </w:r>
      <w:r>
        <w:t>in</w:t>
      </w:r>
      <w:r>
        <w:rPr>
          <w:spacing w:val="-1"/>
        </w:rPr>
        <w:t xml:space="preserve"> </w:t>
      </w:r>
      <w:r>
        <w:t>2025–26.</w:t>
      </w:r>
      <w:r>
        <w:rPr>
          <w:spacing w:val="-1"/>
        </w:rPr>
        <w:t xml:space="preserve"> </w:t>
      </w:r>
      <w:r>
        <w:t>These</w:t>
      </w:r>
      <w:r>
        <w:rPr>
          <w:spacing w:val="-1"/>
        </w:rPr>
        <w:t xml:space="preserve"> </w:t>
      </w:r>
      <w:r>
        <w:t>visits</w:t>
      </w:r>
      <w:r>
        <w:rPr>
          <w:spacing w:val="-1"/>
        </w:rPr>
        <w:t xml:space="preserve"> </w:t>
      </w:r>
      <w:r>
        <w:t>reviewed</w:t>
      </w:r>
      <w:r>
        <w:rPr>
          <w:spacing w:val="-1"/>
        </w:rPr>
        <w:t xml:space="preserve"> </w:t>
      </w:r>
      <w:r>
        <w:t>assessments</w:t>
      </w:r>
      <w:r>
        <w:rPr>
          <w:spacing w:val="-1"/>
        </w:rPr>
        <w:t xml:space="preserve"> </w:t>
      </w:r>
      <w:r>
        <w:t>of</w:t>
      </w:r>
      <w:r>
        <w:rPr>
          <w:spacing w:val="-1"/>
        </w:rPr>
        <w:t xml:space="preserve"> </w:t>
      </w:r>
      <w:r>
        <w:t>the</w:t>
      </w:r>
      <w:r>
        <w:rPr>
          <w:spacing w:val="-1"/>
        </w:rPr>
        <w:t xml:space="preserve"> </w:t>
      </w:r>
      <w:r>
        <w:t>NSQHS Standards and the NSQDMH Standards.</w:t>
      </w:r>
    </w:p>
    <w:p w14:paraId="5F1BAA92" w14:textId="77777777" w:rsidR="009D54AF" w:rsidRDefault="009D54AF">
      <w:pPr>
        <w:pStyle w:val="BodyText"/>
        <w:spacing w:before="63"/>
      </w:pPr>
    </w:p>
    <w:p w14:paraId="436B9634" w14:textId="77777777" w:rsidR="009D54AF" w:rsidRDefault="00000000">
      <w:pPr>
        <w:pStyle w:val="Heading7"/>
      </w:pPr>
      <w:r>
        <w:t>Review</w:t>
      </w:r>
      <w:r>
        <w:rPr>
          <w:spacing w:val="-4"/>
        </w:rPr>
        <w:t xml:space="preserve"> </w:t>
      </w:r>
      <w:r>
        <w:t>of</w:t>
      </w:r>
      <w:r>
        <w:rPr>
          <w:spacing w:val="-4"/>
        </w:rPr>
        <w:t xml:space="preserve"> </w:t>
      </w:r>
      <w:r>
        <w:t>accreditation</w:t>
      </w:r>
      <w:r>
        <w:rPr>
          <w:spacing w:val="-4"/>
        </w:rPr>
        <w:t xml:space="preserve"> </w:t>
      </w:r>
      <w:r>
        <w:t>outcomes</w:t>
      </w:r>
      <w:r>
        <w:rPr>
          <w:spacing w:val="-4"/>
        </w:rPr>
        <w:t xml:space="preserve"> data</w:t>
      </w:r>
    </w:p>
    <w:p w14:paraId="116E29B3" w14:textId="77777777" w:rsidR="009D54AF" w:rsidRDefault="00000000">
      <w:pPr>
        <w:pStyle w:val="BodyText"/>
        <w:spacing w:before="142" w:line="278" w:lineRule="auto"/>
        <w:ind w:left="142" w:right="285"/>
      </w:pPr>
      <w:r>
        <w:t>Accrediting</w:t>
      </w:r>
      <w:r>
        <w:rPr>
          <w:spacing w:val="-2"/>
        </w:rPr>
        <w:t xml:space="preserve"> </w:t>
      </w:r>
      <w:r>
        <w:t>agencies</w:t>
      </w:r>
      <w:r>
        <w:rPr>
          <w:spacing w:val="-2"/>
        </w:rPr>
        <w:t xml:space="preserve"> </w:t>
      </w:r>
      <w:r>
        <w:t>continue</w:t>
      </w:r>
      <w:r>
        <w:rPr>
          <w:spacing w:val="-2"/>
        </w:rPr>
        <w:t xml:space="preserve"> </w:t>
      </w:r>
      <w:r>
        <w:t>to</w:t>
      </w:r>
      <w:r>
        <w:rPr>
          <w:spacing w:val="-2"/>
        </w:rPr>
        <w:t xml:space="preserve"> </w:t>
      </w:r>
      <w:r>
        <w:t>submit</w:t>
      </w:r>
      <w:r>
        <w:rPr>
          <w:spacing w:val="-2"/>
        </w:rPr>
        <w:t xml:space="preserve"> </w:t>
      </w:r>
      <w:r>
        <w:t>data</w:t>
      </w:r>
      <w:r>
        <w:rPr>
          <w:spacing w:val="-2"/>
        </w:rPr>
        <w:t xml:space="preserve"> </w:t>
      </w:r>
      <w:r>
        <w:t>on</w:t>
      </w:r>
      <w:r>
        <w:rPr>
          <w:spacing w:val="-2"/>
        </w:rPr>
        <w:t xml:space="preserve"> </w:t>
      </w:r>
      <w:r>
        <w:t>assessment</w:t>
      </w:r>
      <w:r>
        <w:rPr>
          <w:spacing w:val="-2"/>
        </w:rPr>
        <w:t xml:space="preserve"> </w:t>
      </w:r>
      <w:r>
        <w:t>outcomes</w:t>
      </w:r>
      <w:r>
        <w:rPr>
          <w:spacing w:val="-2"/>
        </w:rPr>
        <w:t xml:space="preserve"> </w:t>
      </w:r>
      <w:r>
        <w:t>monthly</w:t>
      </w:r>
      <w:r>
        <w:rPr>
          <w:spacing w:val="-2"/>
        </w:rPr>
        <w:t xml:space="preserve"> </w:t>
      </w:r>
      <w:r>
        <w:t>through</w:t>
      </w:r>
      <w:r>
        <w:rPr>
          <w:spacing w:val="-2"/>
        </w:rPr>
        <w:t xml:space="preserve"> </w:t>
      </w:r>
      <w:r>
        <w:t>the</w:t>
      </w:r>
      <w:r>
        <w:rPr>
          <w:spacing w:val="-2"/>
        </w:rPr>
        <w:t xml:space="preserve"> </w:t>
      </w:r>
      <w:r>
        <w:t xml:space="preserve">Commission’s data collection portal. The portal validates the data submitted to ensure accuracy, consistency and completeness. The data are </w:t>
      </w:r>
      <w:proofErr w:type="spellStart"/>
      <w:r>
        <w:t>analysed</w:t>
      </w:r>
      <w:proofErr w:type="spellEnd"/>
      <w:r>
        <w:t xml:space="preserve"> in a variety of ways to report to state and territory regulators, the Department of Health, Disability and Ageing, program areas and program administrators.</w:t>
      </w:r>
    </w:p>
    <w:p w14:paraId="4A428594" w14:textId="77777777" w:rsidR="009D54AF" w:rsidRDefault="00000000">
      <w:pPr>
        <w:pStyle w:val="BodyText"/>
        <w:spacing w:before="141"/>
        <w:ind w:left="142"/>
        <w:jc w:val="both"/>
      </w:pPr>
      <w:r>
        <w:t>In</w:t>
      </w:r>
      <w:r>
        <w:rPr>
          <w:spacing w:val="-2"/>
        </w:rPr>
        <w:t xml:space="preserve"> </w:t>
      </w:r>
      <w:r>
        <w:t>2025–26, an annual report</w:t>
      </w:r>
      <w:r>
        <w:rPr>
          <w:spacing w:val="1"/>
        </w:rPr>
        <w:t xml:space="preserve"> </w:t>
      </w:r>
      <w:r>
        <w:t>was prepared for the</w:t>
      </w:r>
      <w:r>
        <w:rPr>
          <w:spacing w:val="1"/>
        </w:rPr>
        <w:t xml:space="preserve"> </w:t>
      </w:r>
      <w:r>
        <w:t>Productivity Commission on accredited</w:t>
      </w:r>
      <w:r>
        <w:rPr>
          <w:spacing w:val="1"/>
        </w:rPr>
        <w:t xml:space="preserve"> </w:t>
      </w:r>
      <w:r>
        <w:rPr>
          <w:spacing w:val="-2"/>
        </w:rPr>
        <w:t>hospitals.</w:t>
      </w:r>
    </w:p>
    <w:p w14:paraId="4F50241C" w14:textId="77777777" w:rsidR="009D54AF" w:rsidRDefault="00000000" w:rsidP="008F5B74">
      <w:pPr>
        <w:pStyle w:val="BodyText"/>
        <w:spacing w:before="180" w:line="278" w:lineRule="auto"/>
        <w:ind w:left="142"/>
      </w:pPr>
      <w:r>
        <w:t>An</w:t>
      </w:r>
      <w:r>
        <w:rPr>
          <w:spacing w:val="-1"/>
        </w:rPr>
        <w:t xml:space="preserve"> </w:t>
      </w:r>
      <w:r>
        <w:t>extensive</w:t>
      </w:r>
      <w:r>
        <w:rPr>
          <w:spacing w:val="-1"/>
        </w:rPr>
        <w:t xml:space="preserve"> </w:t>
      </w:r>
      <w:r>
        <w:t>analysis</w:t>
      </w:r>
      <w:r>
        <w:rPr>
          <w:spacing w:val="-1"/>
        </w:rPr>
        <w:t xml:space="preserve"> </w:t>
      </w:r>
      <w:r>
        <w:t>of</w:t>
      </w:r>
      <w:r>
        <w:rPr>
          <w:spacing w:val="-1"/>
        </w:rPr>
        <w:t xml:space="preserve"> </w:t>
      </w:r>
      <w:r>
        <w:t>assessment</w:t>
      </w:r>
      <w:r>
        <w:rPr>
          <w:spacing w:val="-1"/>
        </w:rPr>
        <w:t xml:space="preserve"> </w:t>
      </w:r>
      <w:r>
        <w:t>data</w:t>
      </w:r>
      <w:r>
        <w:rPr>
          <w:spacing w:val="-1"/>
        </w:rPr>
        <w:t xml:space="preserve"> </w:t>
      </w:r>
      <w:r>
        <w:t>formed</w:t>
      </w:r>
      <w:r>
        <w:rPr>
          <w:spacing w:val="-1"/>
        </w:rPr>
        <w:t xml:space="preserve"> </w:t>
      </w:r>
      <w:r>
        <w:t>part</w:t>
      </w:r>
      <w:r>
        <w:rPr>
          <w:spacing w:val="-1"/>
        </w:rPr>
        <w:t xml:space="preserve"> </w:t>
      </w:r>
      <w:r>
        <w:t>of</w:t>
      </w:r>
      <w:r>
        <w:rPr>
          <w:spacing w:val="-1"/>
        </w:rPr>
        <w:t xml:space="preserve"> </w:t>
      </w:r>
      <w:r>
        <w:t>the</w:t>
      </w:r>
      <w:r>
        <w:rPr>
          <w:spacing w:val="-1"/>
        </w:rPr>
        <w:t xml:space="preserve"> </w:t>
      </w:r>
      <w:r>
        <w:t>review</w:t>
      </w:r>
      <w:r>
        <w:rPr>
          <w:spacing w:val="-1"/>
        </w:rPr>
        <w:t xml:space="preserve"> </w:t>
      </w:r>
      <w:r>
        <w:t>of</w:t>
      </w:r>
      <w:r>
        <w:rPr>
          <w:spacing w:val="-1"/>
        </w:rPr>
        <w:t xml:space="preserve"> </w:t>
      </w:r>
      <w:r>
        <w:t>the</w:t>
      </w:r>
      <w:r>
        <w:rPr>
          <w:spacing w:val="-1"/>
        </w:rPr>
        <w:t xml:space="preserve"> </w:t>
      </w:r>
      <w:r>
        <w:t>second</w:t>
      </w:r>
      <w:r>
        <w:rPr>
          <w:spacing w:val="-1"/>
        </w:rPr>
        <w:t xml:space="preserve"> </w:t>
      </w:r>
      <w:r>
        <w:t>edition</w:t>
      </w:r>
      <w:r>
        <w:rPr>
          <w:spacing w:val="-1"/>
        </w:rPr>
        <w:t xml:space="preserve"> </w:t>
      </w:r>
      <w:r>
        <w:t>of</w:t>
      </w:r>
      <w:r>
        <w:rPr>
          <w:spacing w:val="-1"/>
        </w:rPr>
        <w:t xml:space="preserve"> </w:t>
      </w:r>
      <w:r>
        <w:t>the</w:t>
      </w:r>
      <w:r>
        <w:rPr>
          <w:spacing w:val="-1"/>
        </w:rPr>
        <w:t xml:space="preserve"> </w:t>
      </w:r>
      <w:r>
        <w:t>NSQHS Standards and development of the third edition.</w:t>
      </w:r>
    </w:p>
    <w:p w14:paraId="508623C2" w14:textId="77777777" w:rsidR="009D54AF" w:rsidRDefault="009D54AF">
      <w:pPr>
        <w:pStyle w:val="BodyText"/>
        <w:spacing w:before="63"/>
      </w:pPr>
    </w:p>
    <w:p w14:paraId="45169E4C" w14:textId="77777777" w:rsidR="009D54AF" w:rsidRDefault="00000000">
      <w:pPr>
        <w:pStyle w:val="Heading7"/>
      </w:pPr>
      <w:r>
        <w:t>Assessor</w:t>
      </w:r>
      <w:r>
        <w:rPr>
          <w:spacing w:val="-5"/>
        </w:rPr>
        <w:t xml:space="preserve"> </w:t>
      </w:r>
      <w:r>
        <w:rPr>
          <w:spacing w:val="-2"/>
        </w:rPr>
        <w:t>training</w:t>
      </w:r>
    </w:p>
    <w:p w14:paraId="0FC394C4" w14:textId="77777777" w:rsidR="009D54AF" w:rsidRDefault="00000000">
      <w:pPr>
        <w:pStyle w:val="BodyText"/>
        <w:spacing w:before="141" w:line="278" w:lineRule="auto"/>
        <w:ind w:left="142" w:right="214"/>
      </w:pPr>
      <w:r>
        <w:t>It is mandatory for assessors to complete foundational training before they participate in assessments. An updated</w:t>
      </w:r>
      <w:r>
        <w:rPr>
          <w:spacing w:val="-1"/>
        </w:rPr>
        <w:t xml:space="preserve"> </w:t>
      </w:r>
      <w:r>
        <w:t>NSQHS</w:t>
      </w:r>
      <w:r>
        <w:rPr>
          <w:spacing w:val="-1"/>
        </w:rPr>
        <w:t xml:space="preserve"> </w:t>
      </w:r>
      <w:r>
        <w:t>Standards</w:t>
      </w:r>
      <w:r>
        <w:rPr>
          <w:spacing w:val="-1"/>
        </w:rPr>
        <w:t xml:space="preserve"> </w:t>
      </w:r>
      <w:r>
        <w:t>orientation</w:t>
      </w:r>
      <w:r>
        <w:rPr>
          <w:spacing w:val="-1"/>
        </w:rPr>
        <w:t xml:space="preserve"> </w:t>
      </w:r>
      <w:r>
        <w:t>course</w:t>
      </w:r>
      <w:r>
        <w:rPr>
          <w:spacing w:val="-1"/>
        </w:rPr>
        <w:t xml:space="preserve"> </w:t>
      </w:r>
      <w:r>
        <w:t>was</w:t>
      </w:r>
      <w:r>
        <w:rPr>
          <w:spacing w:val="-1"/>
        </w:rPr>
        <w:t xml:space="preserve"> </w:t>
      </w:r>
      <w:r>
        <w:t>released</w:t>
      </w:r>
      <w:r>
        <w:rPr>
          <w:spacing w:val="-1"/>
        </w:rPr>
        <w:t xml:space="preserve"> </w:t>
      </w:r>
      <w:r>
        <w:t>in</w:t>
      </w:r>
      <w:r>
        <w:rPr>
          <w:spacing w:val="-1"/>
        </w:rPr>
        <w:t xml:space="preserve"> </w:t>
      </w:r>
      <w:r>
        <w:t>February</w:t>
      </w:r>
      <w:r>
        <w:rPr>
          <w:spacing w:val="-1"/>
        </w:rPr>
        <w:t xml:space="preserve"> </w:t>
      </w:r>
      <w:r>
        <w:t>2026.</w:t>
      </w:r>
      <w:r>
        <w:rPr>
          <w:spacing w:val="-1"/>
        </w:rPr>
        <w:t xml:space="preserve"> </w:t>
      </w:r>
      <w:r>
        <w:t>A</w:t>
      </w:r>
      <w:r>
        <w:rPr>
          <w:spacing w:val="-1"/>
        </w:rPr>
        <w:t xml:space="preserve"> </w:t>
      </w:r>
      <w:r>
        <w:t>total</w:t>
      </w:r>
      <w:r>
        <w:rPr>
          <w:spacing w:val="-1"/>
        </w:rPr>
        <w:t xml:space="preserve"> </w:t>
      </w:r>
      <w:r>
        <w:t>of</w:t>
      </w:r>
      <w:r>
        <w:rPr>
          <w:spacing w:val="-1"/>
        </w:rPr>
        <w:t xml:space="preserve"> </w:t>
      </w:r>
      <w:r>
        <w:t>825</w:t>
      </w:r>
      <w:r>
        <w:rPr>
          <w:spacing w:val="-1"/>
        </w:rPr>
        <w:t xml:space="preserve"> </w:t>
      </w:r>
      <w:r>
        <w:t>people</w:t>
      </w:r>
      <w:r>
        <w:rPr>
          <w:spacing w:val="-1"/>
        </w:rPr>
        <w:t xml:space="preserve"> </w:t>
      </w:r>
      <w:r>
        <w:t>enrolled in the updated course by the end of 2025–26. Of these, 290 people have completed all modules and 64 people have completed the course in order to become an assessor.</w:t>
      </w:r>
    </w:p>
    <w:p w14:paraId="5D2EDDCC" w14:textId="77777777" w:rsidR="009D54AF" w:rsidRDefault="009D54AF">
      <w:pPr>
        <w:pStyle w:val="BodyText"/>
        <w:spacing w:before="63"/>
      </w:pPr>
    </w:p>
    <w:p w14:paraId="69FFB698" w14:textId="77777777" w:rsidR="009D54AF" w:rsidRDefault="00000000">
      <w:pPr>
        <w:pStyle w:val="Heading7"/>
      </w:pPr>
      <w:r>
        <w:t>Post-assessment</w:t>
      </w:r>
      <w:r>
        <w:rPr>
          <w:spacing w:val="-9"/>
        </w:rPr>
        <w:t xml:space="preserve"> </w:t>
      </w:r>
      <w:r>
        <w:rPr>
          <w:spacing w:val="-2"/>
        </w:rPr>
        <w:t>survey</w:t>
      </w:r>
    </w:p>
    <w:p w14:paraId="120CDD1B" w14:textId="77777777" w:rsidR="009D54AF" w:rsidRDefault="00000000">
      <w:pPr>
        <w:pStyle w:val="BodyText"/>
        <w:spacing w:before="141" w:line="278" w:lineRule="auto"/>
        <w:ind w:left="142"/>
      </w:pPr>
      <w:r>
        <w:t>Each health service assessed to any set of standards developed by the Commission is invited to provide feedback</w:t>
      </w:r>
      <w:r>
        <w:rPr>
          <w:spacing w:val="-2"/>
        </w:rPr>
        <w:t xml:space="preserve"> </w:t>
      </w:r>
      <w:r>
        <w:t>on</w:t>
      </w:r>
      <w:r>
        <w:rPr>
          <w:spacing w:val="-2"/>
        </w:rPr>
        <w:t xml:space="preserve"> </w:t>
      </w:r>
      <w:r>
        <w:t>the</w:t>
      </w:r>
      <w:r>
        <w:rPr>
          <w:spacing w:val="-2"/>
        </w:rPr>
        <w:t xml:space="preserve"> </w:t>
      </w:r>
      <w:r>
        <w:t>assessment</w:t>
      </w:r>
      <w:r>
        <w:rPr>
          <w:spacing w:val="-2"/>
        </w:rPr>
        <w:t xml:space="preserve"> </w:t>
      </w:r>
      <w:r>
        <w:t>process</w:t>
      </w:r>
      <w:r>
        <w:rPr>
          <w:spacing w:val="-2"/>
        </w:rPr>
        <w:t xml:space="preserve"> </w:t>
      </w:r>
      <w:r>
        <w:t>and</w:t>
      </w:r>
      <w:r>
        <w:rPr>
          <w:spacing w:val="-2"/>
        </w:rPr>
        <w:t xml:space="preserve"> </w:t>
      </w:r>
      <w:r>
        <w:t>their</w:t>
      </w:r>
      <w:r>
        <w:rPr>
          <w:spacing w:val="-2"/>
        </w:rPr>
        <w:t xml:space="preserve"> </w:t>
      </w:r>
      <w:r>
        <w:t>accrediting</w:t>
      </w:r>
      <w:r>
        <w:rPr>
          <w:spacing w:val="-2"/>
        </w:rPr>
        <w:t xml:space="preserve"> </w:t>
      </w:r>
      <w:r>
        <w:t>agency.</w:t>
      </w:r>
      <w:r>
        <w:rPr>
          <w:spacing w:val="-2"/>
        </w:rPr>
        <w:t xml:space="preserve"> </w:t>
      </w:r>
      <w:r>
        <w:t>This</w:t>
      </w:r>
      <w:r>
        <w:rPr>
          <w:spacing w:val="-2"/>
        </w:rPr>
        <w:t xml:space="preserve"> </w:t>
      </w:r>
      <w:r>
        <w:t>online</w:t>
      </w:r>
      <w:r>
        <w:rPr>
          <w:spacing w:val="-2"/>
        </w:rPr>
        <w:t xml:space="preserve"> </w:t>
      </w:r>
      <w:r>
        <w:t>post-assessment</w:t>
      </w:r>
      <w:r>
        <w:rPr>
          <w:spacing w:val="-2"/>
        </w:rPr>
        <w:t xml:space="preserve"> </w:t>
      </w:r>
      <w:r>
        <w:t>survey</w:t>
      </w:r>
      <w:r>
        <w:rPr>
          <w:spacing w:val="-2"/>
        </w:rPr>
        <w:t xml:space="preserve"> </w:t>
      </w:r>
      <w:r>
        <w:t>is emailed directly to the health service once accreditation is determined.</w:t>
      </w:r>
    </w:p>
    <w:p w14:paraId="128B2044" w14:textId="77777777" w:rsidR="009D54AF" w:rsidRDefault="00000000">
      <w:pPr>
        <w:pStyle w:val="BodyText"/>
        <w:spacing w:before="142"/>
        <w:ind w:left="142"/>
      </w:pPr>
      <w:r>
        <w:t>For</w:t>
      </w:r>
      <w:r>
        <w:rPr>
          <w:spacing w:val="-3"/>
        </w:rPr>
        <w:t xml:space="preserve"> </w:t>
      </w:r>
      <w:r>
        <w:t>the</w:t>
      </w:r>
      <w:r>
        <w:rPr>
          <w:spacing w:val="-1"/>
        </w:rPr>
        <w:t xml:space="preserve"> </w:t>
      </w:r>
      <w:r>
        <w:t>NSQHS</w:t>
      </w:r>
      <w:r>
        <w:rPr>
          <w:spacing w:val="-1"/>
        </w:rPr>
        <w:t xml:space="preserve"> </w:t>
      </w:r>
      <w:r>
        <w:t>Standards,</w:t>
      </w:r>
      <w:r>
        <w:rPr>
          <w:spacing w:val="-1"/>
        </w:rPr>
        <w:t xml:space="preserve"> </w:t>
      </w:r>
      <w:r>
        <w:t>the</w:t>
      </w:r>
      <w:r>
        <w:rPr>
          <w:spacing w:val="-1"/>
        </w:rPr>
        <w:t xml:space="preserve"> </w:t>
      </w:r>
      <w:r>
        <w:t>2025–26</w:t>
      </w:r>
      <w:r>
        <w:rPr>
          <w:spacing w:val="-1"/>
        </w:rPr>
        <w:t xml:space="preserve"> </w:t>
      </w:r>
      <w:r>
        <w:t>response</w:t>
      </w:r>
      <w:r>
        <w:rPr>
          <w:spacing w:val="-1"/>
        </w:rPr>
        <w:t xml:space="preserve"> </w:t>
      </w:r>
      <w:r>
        <w:t>rate</w:t>
      </w:r>
      <w:r>
        <w:rPr>
          <w:spacing w:val="-1"/>
        </w:rPr>
        <w:t xml:space="preserve"> </w:t>
      </w:r>
      <w:r>
        <w:t>was</w:t>
      </w:r>
      <w:r>
        <w:rPr>
          <w:spacing w:val="-1"/>
        </w:rPr>
        <w:t xml:space="preserve"> </w:t>
      </w:r>
      <w:r>
        <w:t>33%</w:t>
      </w:r>
      <w:r>
        <w:rPr>
          <w:spacing w:val="-1"/>
        </w:rPr>
        <w:t xml:space="preserve"> </w:t>
      </w:r>
      <w:r>
        <w:t>(94</w:t>
      </w:r>
      <w:r>
        <w:rPr>
          <w:spacing w:val="-1"/>
        </w:rPr>
        <w:t xml:space="preserve"> </w:t>
      </w:r>
      <w:r>
        <w:t>of</w:t>
      </w:r>
      <w:r>
        <w:rPr>
          <w:spacing w:val="-1"/>
        </w:rPr>
        <w:t xml:space="preserve"> </w:t>
      </w:r>
      <w:r>
        <w:t>283).</w:t>
      </w:r>
      <w:r>
        <w:rPr>
          <w:spacing w:val="-1"/>
        </w:rPr>
        <w:t xml:space="preserve"> </w:t>
      </w:r>
      <w:r>
        <w:t>Notable</w:t>
      </w:r>
      <w:r>
        <w:rPr>
          <w:spacing w:val="-1"/>
        </w:rPr>
        <w:t xml:space="preserve"> </w:t>
      </w:r>
      <w:r>
        <w:t>findings</w:t>
      </w:r>
      <w:r>
        <w:rPr>
          <w:spacing w:val="-1"/>
        </w:rPr>
        <w:t xml:space="preserve"> </w:t>
      </w:r>
      <w:r>
        <w:rPr>
          <w:spacing w:val="-2"/>
        </w:rPr>
        <w:t>included:</w:t>
      </w:r>
    </w:p>
    <w:p w14:paraId="7E6180CE" w14:textId="77777777" w:rsidR="009D54AF" w:rsidRDefault="00000000">
      <w:pPr>
        <w:pStyle w:val="ListParagraph"/>
        <w:numPr>
          <w:ilvl w:val="0"/>
          <w:numId w:val="35"/>
        </w:numPr>
        <w:tabs>
          <w:tab w:val="left" w:pos="424"/>
          <w:tab w:val="left" w:pos="440"/>
        </w:tabs>
        <w:spacing w:line="278" w:lineRule="auto"/>
        <w:ind w:right="244" w:hanging="284"/>
        <w:rPr>
          <w:sz w:val="21"/>
        </w:rPr>
      </w:pPr>
      <w:r>
        <w:rPr>
          <w:sz w:val="21"/>
        </w:rPr>
        <w:t>assessors</w:t>
      </w:r>
      <w:r>
        <w:rPr>
          <w:spacing w:val="-1"/>
          <w:sz w:val="21"/>
        </w:rPr>
        <w:t xml:space="preserve"> </w:t>
      </w:r>
      <w:r>
        <w:rPr>
          <w:sz w:val="21"/>
        </w:rPr>
        <w:t>are</w:t>
      </w:r>
      <w:r>
        <w:rPr>
          <w:spacing w:val="-1"/>
          <w:sz w:val="21"/>
        </w:rPr>
        <w:t xml:space="preserve"> </w:t>
      </w:r>
      <w:r>
        <w:rPr>
          <w:sz w:val="21"/>
        </w:rPr>
        <w:t>professional</w:t>
      </w:r>
      <w:r>
        <w:rPr>
          <w:spacing w:val="-1"/>
          <w:sz w:val="21"/>
        </w:rPr>
        <w:t xml:space="preserve"> </w:t>
      </w:r>
      <w:r>
        <w:rPr>
          <w:sz w:val="21"/>
        </w:rPr>
        <w:t>and</w:t>
      </w:r>
      <w:r>
        <w:rPr>
          <w:spacing w:val="-1"/>
          <w:sz w:val="21"/>
        </w:rPr>
        <w:t xml:space="preserve"> </w:t>
      </w:r>
      <w:r>
        <w:rPr>
          <w:sz w:val="21"/>
        </w:rPr>
        <w:t>knowledgeable,</w:t>
      </w:r>
      <w:r>
        <w:rPr>
          <w:spacing w:val="-1"/>
          <w:sz w:val="21"/>
        </w:rPr>
        <w:t xml:space="preserve"> </w:t>
      </w:r>
      <w:r>
        <w:rPr>
          <w:sz w:val="21"/>
        </w:rPr>
        <w:t>demonstrating</w:t>
      </w:r>
      <w:r>
        <w:rPr>
          <w:spacing w:val="-1"/>
          <w:sz w:val="21"/>
        </w:rPr>
        <w:t xml:space="preserve"> </w:t>
      </w:r>
      <w:r>
        <w:rPr>
          <w:sz w:val="21"/>
        </w:rPr>
        <w:t>clear</w:t>
      </w:r>
      <w:r>
        <w:rPr>
          <w:spacing w:val="-1"/>
          <w:sz w:val="21"/>
        </w:rPr>
        <w:t xml:space="preserve"> </w:t>
      </w:r>
      <w:r>
        <w:rPr>
          <w:sz w:val="21"/>
        </w:rPr>
        <w:t>and</w:t>
      </w:r>
      <w:r>
        <w:rPr>
          <w:spacing w:val="-1"/>
          <w:sz w:val="21"/>
        </w:rPr>
        <w:t xml:space="preserve"> </w:t>
      </w:r>
      <w:r>
        <w:rPr>
          <w:sz w:val="21"/>
        </w:rPr>
        <w:t>open</w:t>
      </w:r>
      <w:r>
        <w:rPr>
          <w:spacing w:val="-1"/>
          <w:sz w:val="21"/>
        </w:rPr>
        <w:t xml:space="preserve"> </w:t>
      </w:r>
      <w:r>
        <w:rPr>
          <w:sz w:val="21"/>
        </w:rPr>
        <w:t>communication</w:t>
      </w:r>
      <w:r>
        <w:rPr>
          <w:spacing w:val="-1"/>
          <w:sz w:val="21"/>
        </w:rPr>
        <w:t xml:space="preserve"> </w:t>
      </w:r>
      <w:r>
        <w:rPr>
          <w:sz w:val="21"/>
        </w:rPr>
        <w:t>throughout the assessment to ensure there were ‘no surprises’ at the closing meeting</w:t>
      </w:r>
    </w:p>
    <w:p w14:paraId="7D975033" w14:textId="77777777" w:rsidR="009D54AF" w:rsidRDefault="00000000">
      <w:pPr>
        <w:pStyle w:val="ListParagraph"/>
        <w:numPr>
          <w:ilvl w:val="0"/>
          <w:numId w:val="35"/>
        </w:numPr>
        <w:tabs>
          <w:tab w:val="left" w:pos="424"/>
          <w:tab w:val="left" w:pos="440"/>
        </w:tabs>
        <w:spacing w:before="56" w:line="278" w:lineRule="auto"/>
        <w:ind w:right="192" w:hanging="284"/>
        <w:rPr>
          <w:sz w:val="21"/>
        </w:rPr>
      </w:pPr>
      <w:r>
        <w:rPr>
          <w:sz w:val="21"/>
        </w:rPr>
        <w:t>assessors</w:t>
      </w:r>
      <w:r>
        <w:rPr>
          <w:spacing w:val="-2"/>
          <w:sz w:val="21"/>
        </w:rPr>
        <w:t xml:space="preserve"> </w:t>
      </w:r>
      <w:r>
        <w:rPr>
          <w:sz w:val="21"/>
        </w:rPr>
        <w:t>understood</w:t>
      </w:r>
      <w:r>
        <w:rPr>
          <w:spacing w:val="-2"/>
          <w:sz w:val="21"/>
        </w:rPr>
        <w:t xml:space="preserve"> </w:t>
      </w:r>
      <w:r>
        <w:rPr>
          <w:sz w:val="21"/>
        </w:rPr>
        <w:t>the</w:t>
      </w:r>
      <w:r>
        <w:rPr>
          <w:spacing w:val="-2"/>
          <w:sz w:val="21"/>
        </w:rPr>
        <w:t xml:space="preserve"> </w:t>
      </w:r>
      <w:r>
        <w:rPr>
          <w:sz w:val="21"/>
        </w:rPr>
        <w:t>context</w:t>
      </w:r>
      <w:r>
        <w:rPr>
          <w:spacing w:val="-2"/>
          <w:sz w:val="21"/>
        </w:rPr>
        <w:t xml:space="preserve"> </w:t>
      </w:r>
      <w:r>
        <w:rPr>
          <w:sz w:val="21"/>
        </w:rPr>
        <w:t>of</w:t>
      </w:r>
      <w:r>
        <w:rPr>
          <w:spacing w:val="-2"/>
          <w:sz w:val="21"/>
        </w:rPr>
        <w:t xml:space="preserve"> </w:t>
      </w:r>
      <w:r>
        <w:rPr>
          <w:sz w:val="21"/>
        </w:rPr>
        <w:t>the</w:t>
      </w:r>
      <w:r>
        <w:rPr>
          <w:spacing w:val="-2"/>
          <w:sz w:val="21"/>
        </w:rPr>
        <w:t xml:space="preserve"> </w:t>
      </w:r>
      <w:proofErr w:type="spellStart"/>
      <w:r>
        <w:rPr>
          <w:sz w:val="21"/>
        </w:rPr>
        <w:t>organisation</w:t>
      </w:r>
      <w:proofErr w:type="spellEnd"/>
      <w:r>
        <w:rPr>
          <w:sz w:val="21"/>
        </w:rPr>
        <w:t>,</w:t>
      </w:r>
      <w:r>
        <w:rPr>
          <w:spacing w:val="-2"/>
          <w:sz w:val="21"/>
        </w:rPr>
        <w:t xml:space="preserve"> </w:t>
      </w:r>
      <w:r>
        <w:rPr>
          <w:sz w:val="21"/>
        </w:rPr>
        <w:t>demonstrating</w:t>
      </w:r>
      <w:r>
        <w:rPr>
          <w:spacing w:val="-2"/>
          <w:sz w:val="21"/>
        </w:rPr>
        <w:t xml:space="preserve"> </w:t>
      </w:r>
      <w:r>
        <w:rPr>
          <w:sz w:val="21"/>
        </w:rPr>
        <w:t>strong</w:t>
      </w:r>
      <w:r>
        <w:rPr>
          <w:spacing w:val="-2"/>
          <w:sz w:val="21"/>
        </w:rPr>
        <w:t xml:space="preserve"> </w:t>
      </w:r>
      <w:r>
        <w:rPr>
          <w:sz w:val="21"/>
        </w:rPr>
        <w:t>knowledge</w:t>
      </w:r>
      <w:r>
        <w:rPr>
          <w:spacing w:val="-2"/>
          <w:sz w:val="21"/>
        </w:rPr>
        <w:t xml:space="preserve"> </w:t>
      </w:r>
      <w:r>
        <w:rPr>
          <w:sz w:val="21"/>
        </w:rPr>
        <w:t>of</w:t>
      </w:r>
      <w:r>
        <w:rPr>
          <w:spacing w:val="-2"/>
          <w:sz w:val="21"/>
        </w:rPr>
        <w:t xml:space="preserve"> </w:t>
      </w:r>
      <w:r>
        <w:rPr>
          <w:sz w:val="21"/>
        </w:rPr>
        <w:t>what</w:t>
      </w:r>
      <w:r>
        <w:rPr>
          <w:spacing w:val="-2"/>
          <w:sz w:val="21"/>
        </w:rPr>
        <w:t xml:space="preserve"> </w:t>
      </w:r>
      <w:r>
        <w:rPr>
          <w:sz w:val="21"/>
        </w:rPr>
        <w:t>safe,</w:t>
      </w:r>
      <w:r>
        <w:rPr>
          <w:spacing w:val="-2"/>
          <w:sz w:val="21"/>
        </w:rPr>
        <w:t xml:space="preserve"> </w:t>
      </w:r>
      <w:r>
        <w:rPr>
          <w:sz w:val="21"/>
        </w:rPr>
        <w:t>high-quality care looks like</w:t>
      </w:r>
    </w:p>
    <w:p w14:paraId="30ECADFD" w14:textId="77777777" w:rsidR="009D54AF" w:rsidRDefault="00000000">
      <w:pPr>
        <w:pStyle w:val="ListParagraph"/>
        <w:numPr>
          <w:ilvl w:val="0"/>
          <w:numId w:val="35"/>
        </w:numPr>
        <w:tabs>
          <w:tab w:val="left" w:pos="424"/>
          <w:tab w:val="left" w:pos="440"/>
        </w:tabs>
        <w:spacing w:before="57" w:line="278" w:lineRule="auto"/>
        <w:ind w:right="252" w:hanging="284"/>
        <w:rPr>
          <w:sz w:val="21"/>
        </w:rPr>
      </w:pPr>
      <w:r>
        <w:rPr>
          <w:sz w:val="21"/>
        </w:rPr>
        <w:t>assessors</w:t>
      </w:r>
      <w:r>
        <w:rPr>
          <w:spacing w:val="-2"/>
          <w:sz w:val="21"/>
        </w:rPr>
        <w:t xml:space="preserve"> </w:t>
      </w:r>
      <w:r>
        <w:rPr>
          <w:sz w:val="21"/>
        </w:rPr>
        <w:t>asked</w:t>
      </w:r>
      <w:r>
        <w:rPr>
          <w:spacing w:val="-2"/>
          <w:sz w:val="21"/>
        </w:rPr>
        <w:t xml:space="preserve"> </w:t>
      </w:r>
      <w:r>
        <w:rPr>
          <w:sz w:val="21"/>
        </w:rPr>
        <w:t>relevant,</w:t>
      </w:r>
      <w:r>
        <w:rPr>
          <w:spacing w:val="-2"/>
          <w:sz w:val="21"/>
        </w:rPr>
        <w:t xml:space="preserve"> </w:t>
      </w:r>
      <w:r>
        <w:rPr>
          <w:sz w:val="21"/>
        </w:rPr>
        <w:t>targeted</w:t>
      </w:r>
      <w:r>
        <w:rPr>
          <w:spacing w:val="-2"/>
          <w:sz w:val="21"/>
        </w:rPr>
        <w:t xml:space="preserve"> </w:t>
      </w:r>
      <w:r>
        <w:rPr>
          <w:sz w:val="21"/>
        </w:rPr>
        <w:t>questions,</w:t>
      </w:r>
      <w:r>
        <w:rPr>
          <w:spacing w:val="-2"/>
          <w:sz w:val="21"/>
        </w:rPr>
        <w:t xml:space="preserve"> </w:t>
      </w:r>
      <w:r>
        <w:rPr>
          <w:sz w:val="21"/>
        </w:rPr>
        <w:t>actively</w:t>
      </w:r>
      <w:r>
        <w:rPr>
          <w:spacing w:val="-2"/>
          <w:sz w:val="21"/>
        </w:rPr>
        <w:t xml:space="preserve"> </w:t>
      </w:r>
      <w:r>
        <w:rPr>
          <w:sz w:val="21"/>
        </w:rPr>
        <w:t>engaged</w:t>
      </w:r>
      <w:r>
        <w:rPr>
          <w:spacing w:val="-2"/>
          <w:sz w:val="21"/>
        </w:rPr>
        <w:t xml:space="preserve"> </w:t>
      </w:r>
      <w:r>
        <w:rPr>
          <w:sz w:val="21"/>
        </w:rPr>
        <w:t>staff</w:t>
      </w:r>
      <w:r>
        <w:rPr>
          <w:spacing w:val="-2"/>
          <w:sz w:val="21"/>
        </w:rPr>
        <w:t xml:space="preserve"> </w:t>
      </w:r>
      <w:r>
        <w:rPr>
          <w:sz w:val="21"/>
        </w:rPr>
        <w:t>during</w:t>
      </w:r>
      <w:r>
        <w:rPr>
          <w:spacing w:val="-2"/>
          <w:sz w:val="21"/>
        </w:rPr>
        <w:t xml:space="preserve"> </w:t>
      </w:r>
      <w:r>
        <w:rPr>
          <w:sz w:val="21"/>
        </w:rPr>
        <w:t>the</w:t>
      </w:r>
      <w:r>
        <w:rPr>
          <w:spacing w:val="-2"/>
          <w:sz w:val="21"/>
        </w:rPr>
        <w:t xml:space="preserve"> </w:t>
      </w:r>
      <w:r>
        <w:rPr>
          <w:sz w:val="21"/>
        </w:rPr>
        <w:t>assessment</w:t>
      </w:r>
      <w:r>
        <w:rPr>
          <w:spacing w:val="-2"/>
          <w:sz w:val="21"/>
        </w:rPr>
        <w:t xml:space="preserve"> </w:t>
      </w:r>
      <w:r>
        <w:rPr>
          <w:sz w:val="21"/>
        </w:rPr>
        <w:t>process,</w:t>
      </w:r>
      <w:r>
        <w:rPr>
          <w:spacing w:val="-2"/>
          <w:sz w:val="21"/>
        </w:rPr>
        <w:t xml:space="preserve"> </w:t>
      </w:r>
      <w:r>
        <w:rPr>
          <w:sz w:val="21"/>
        </w:rPr>
        <w:t>and spent over 60% of their time assessing the delivery of clinical care</w:t>
      </w:r>
    </w:p>
    <w:p w14:paraId="02DB8753" w14:textId="77777777" w:rsidR="009D54AF" w:rsidRDefault="00000000">
      <w:pPr>
        <w:pStyle w:val="ListParagraph"/>
        <w:numPr>
          <w:ilvl w:val="0"/>
          <w:numId w:val="35"/>
        </w:numPr>
        <w:tabs>
          <w:tab w:val="left" w:pos="424"/>
          <w:tab w:val="left" w:pos="440"/>
        </w:tabs>
        <w:spacing w:before="56" w:line="278" w:lineRule="auto"/>
        <w:ind w:right="495" w:hanging="284"/>
        <w:rPr>
          <w:sz w:val="21"/>
        </w:rPr>
      </w:pPr>
      <w:r>
        <w:rPr>
          <w:sz w:val="21"/>
        </w:rPr>
        <w:t>assessments</w:t>
      </w:r>
      <w:r>
        <w:rPr>
          <w:spacing w:val="-4"/>
          <w:sz w:val="21"/>
        </w:rPr>
        <w:t xml:space="preserve"> </w:t>
      </w:r>
      <w:r>
        <w:rPr>
          <w:sz w:val="21"/>
        </w:rPr>
        <w:t>were</w:t>
      </w:r>
      <w:r>
        <w:rPr>
          <w:spacing w:val="-4"/>
          <w:sz w:val="21"/>
        </w:rPr>
        <w:t xml:space="preserve"> </w:t>
      </w:r>
      <w:r>
        <w:rPr>
          <w:sz w:val="21"/>
        </w:rPr>
        <w:t>delivered</w:t>
      </w:r>
      <w:r>
        <w:rPr>
          <w:spacing w:val="-4"/>
          <w:sz w:val="21"/>
        </w:rPr>
        <w:t xml:space="preserve"> </w:t>
      </w:r>
      <w:r>
        <w:rPr>
          <w:sz w:val="21"/>
        </w:rPr>
        <w:t>in</w:t>
      </w:r>
      <w:r>
        <w:rPr>
          <w:spacing w:val="-4"/>
          <w:sz w:val="21"/>
        </w:rPr>
        <w:t xml:space="preserve"> </w:t>
      </w:r>
      <w:r>
        <w:rPr>
          <w:sz w:val="21"/>
        </w:rPr>
        <w:t>a</w:t>
      </w:r>
      <w:r>
        <w:rPr>
          <w:spacing w:val="-4"/>
          <w:sz w:val="21"/>
        </w:rPr>
        <w:t xml:space="preserve"> </w:t>
      </w:r>
      <w:r>
        <w:rPr>
          <w:sz w:val="21"/>
        </w:rPr>
        <w:t>highly</w:t>
      </w:r>
      <w:r>
        <w:rPr>
          <w:spacing w:val="-4"/>
          <w:sz w:val="21"/>
        </w:rPr>
        <w:t xml:space="preserve"> </w:t>
      </w:r>
      <w:r>
        <w:rPr>
          <w:sz w:val="21"/>
        </w:rPr>
        <w:t>constructive</w:t>
      </w:r>
      <w:r>
        <w:rPr>
          <w:spacing w:val="-4"/>
          <w:sz w:val="21"/>
        </w:rPr>
        <w:t xml:space="preserve"> </w:t>
      </w:r>
      <w:r>
        <w:rPr>
          <w:sz w:val="21"/>
        </w:rPr>
        <w:t>manner,</w:t>
      </w:r>
      <w:r>
        <w:rPr>
          <w:spacing w:val="-4"/>
          <w:sz w:val="21"/>
        </w:rPr>
        <w:t xml:space="preserve"> </w:t>
      </w:r>
      <w:r>
        <w:rPr>
          <w:sz w:val="21"/>
        </w:rPr>
        <w:t>providing</w:t>
      </w:r>
      <w:r>
        <w:rPr>
          <w:spacing w:val="-4"/>
          <w:sz w:val="21"/>
        </w:rPr>
        <w:t xml:space="preserve"> </w:t>
      </w:r>
      <w:r>
        <w:rPr>
          <w:sz w:val="21"/>
        </w:rPr>
        <w:t>a</w:t>
      </w:r>
      <w:r>
        <w:rPr>
          <w:spacing w:val="-4"/>
          <w:sz w:val="21"/>
        </w:rPr>
        <w:t xml:space="preserve"> </w:t>
      </w:r>
      <w:r>
        <w:rPr>
          <w:sz w:val="21"/>
        </w:rPr>
        <w:t>clear,</w:t>
      </w:r>
      <w:r>
        <w:rPr>
          <w:spacing w:val="-4"/>
          <w:sz w:val="21"/>
        </w:rPr>
        <w:t xml:space="preserve"> </w:t>
      </w:r>
      <w:r>
        <w:rPr>
          <w:sz w:val="21"/>
        </w:rPr>
        <w:t>actionable</w:t>
      </w:r>
      <w:r>
        <w:rPr>
          <w:spacing w:val="-4"/>
          <w:sz w:val="21"/>
        </w:rPr>
        <w:t xml:space="preserve"> </w:t>
      </w:r>
      <w:r>
        <w:rPr>
          <w:sz w:val="21"/>
        </w:rPr>
        <w:t>road</w:t>
      </w:r>
      <w:r>
        <w:rPr>
          <w:spacing w:val="-4"/>
          <w:sz w:val="21"/>
        </w:rPr>
        <w:t xml:space="preserve"> </w:t>
      </w:r>
      <w:r>
        <w:rPr>
          <w:sz w:val="21"/>
        </w:rPr>
        <w:t>map</w:t>
      </w:r>
      <w:r>
        <w:rPr>
          <w:spacing w:val="-4"/>
          <w:sz w:val="21"/>
        </w:rPr>
        <w:t xml:space="preserve"> </w:t>
      </w:r>
      <w:r>
        <w:rPr>
          <w:sz w:val="21"/>
        </w:rPr>
        <w:t>for continuous improvement, rather than a list of deficiencies</w:t>
      </w:r>
    </w:p>
    <w:p w14:paraId="3AE32869" w14:textId="77777777" w:rsidR="009D54AF" w:rsidRDefault="00000000" w:rsidP="00D13873">
      <w:pPr>
        <w:pStyle w:val="ListParagraph"/>
        <w:numPr>
          <w:ilvl w:val="0"/>
          <w:numId w:val="35"/>
        </w:numPr>
        <w:tabs>
          <w:tab w:val="left" w:pos="424"/>
          <w:tab w:val="left" w:pos="440"/>
        </w:tabs>
        <w:spacing w:before="57" w:after="180" w:line="278" w:lineRule="auto"/>
        <w:ind w:left="443" w:right="181" w:hanging="284"/>
        <w:rPr>
          <w:sz w:val="21"/>
        </w:rPr>
      </w:pPr>
      <w:r>
        <w:rPr>
          <w:sz w:val="21"/>
        </w:rPr>
        <w:lastRenderedPageBreak/>
        <w:t>the introduction of short notice assessment has been well received; however, some services reported issues</w:t>
      </w:r>
      <w:r>
        <w:rPr>
          <w:spacing w:val="-8"/>
          <w:sz w:val="21"/>
        </w:rPr>
        <w:t xml:space="preserve"> </w:t>
      </w:r>
      <w:r>
        <w:rPr>
          <w:sz w:val="21"/>
        </w:rPr>
        <w:t>with</w:t>
      </w:r>
      <w:r>
        <w:rPr>
          <w:spacing w:val="-4"/>
          <w:sz w:val="21"/>
        </w:rPr>
        <w:t xml:space="preserve"> </w:t>
      </w:r>
      <w:r>
        <w:rPr>
          <w:sz w:val="21"/>
        </w:rPr>
        <w:t>information</w:t>
      </w:r>
      <w:r>
        <w:rPr>
          <w:spacing w:val="-4"/>
          <w:sz w:val="21"/>
        </w:rPr>
        <w:t xml:space="preserve"> </w:t>
      </w:r>
      <w:r>
        <w:rPr>
          <w:sz w:val="21"/>
        </w:rPr>
        <w:t>technology</w:t>
      </w:r>
      <w:r>
        <w:rPr>
          <w:spacing w:val="-4"/>
          <w:sz w:val="21"/>
        </w:rPr>
        <w:t xml:space="preserve"> </w:t>
      </w:r>
      <w:r>
        <w:rPr>
          <w:sz w:val="21"/>
        </w:rPr>
        <w:t>systems</w:t>
      </w:r>
      <w:r>
        <w:rPr>
          <w:spacing w:val="-4"/>
          <w:sz w:val="21"/>
        </w:rPr>
        <w:t xml:space="preserve"> </w:t>
      </w:r>
      <w:r>
        <w:rPr>
          <w:sz w:val="21"/>
        </w:rPr>
        <w:t>and</w:t>
      </w:r>
      <w:r>
        <w:rPr>
          <w:spacing w:val="-4"/>
          <w:sz w:val="21"/>
        </w:rPr>
        <w:t xml:space="preserve"> </w:t>
      </w:r>
      <w:r>
        <w:rPr>
          <w:sz w:val="21"/>
        </w:rPr>
        <w:t>requirements</w:t>
      </w:r>
      <w:r>
        <w:rPr>
          <w:spacing w:val="-4"/>
          <w:sz w:val="21"/>
        </w:rPr>
        <w:t xml:space="preserve"> </w:t>
      </w:r>
      <w:r>
        <w:rPr>
          <w:sz w:val="21"/>
        </w:rPr>
        <w:t>to</w:t>
      </w:r>
      <w:r>
        <w:rPr>
          <w:spacing w:val="-4"/>
          <w:sz w:val="21"/>
        </w:rPr>
        <w:t xml:space="preserve"> </w:t>
      </w:r>
      <w:r>
        <w:rPr>
          <w:sz w:val="21"/>
        </w:rPr>
        <w:t>upload</w:t>
      </w:r>
      <w:r>
        <w:rPr>
          <w:spacing w:val="-4"/>
          <w:sz w:val="21"/>
        </w:rPr>
        <w:t xml:space="preserve"> </w:t>
      </w:r>
      <w:r>
        <w:rPr>
          <w:sz w:val="21"/>
        </w:rPr>
        <w:t>evidence</w:t>
      </w:r>
      <w:r>
        <w:rPr>
          <w:spacing w:val="-4"/>
          <w:sz w:val="21"/>
        </w:rPr>
        <w:t xml:space="preserve"> </w:t>
      </w:r>
      <w:r>
        <w:rPr>
          <w:sz w:val="21"/>
        </w:rPr>
        <w:t>that</w:t>
      </w:r>
      <w:r>
        <w:rPr>
          <w:spacing w:val="-4"/>
          <w:sz w:val="21"/>
        </w:rPr>
        <w:t xml:space="preserve"> </w:t>
      </w:r>
      <w:r>
        <w:rPr>
          <w:sz w:val="21"/>
        </w:rPr>
        <w:t>assessor</w:t>
      </w:r>
      <w:r>
        <w:rPr>
          <w:spacing w:val="-4"/>
          <w:sz w:val="21"/>
        </w:rPr>
        <w:t xml:space="preserve"> </w:t>
      </w:r>
      <w:r>
        <w:rPr>
          <w:sz w:val="21"/>
        </w:rPr>
        <w:t>teams</w:t>
      </w:r>
      <w:r>
        <w:rPr>
          <w:spacing w:val="-4"/>
          <w:sz w:val="21"/>
        </w:rPr>
        <w:t xml:space="preserve"> </w:t>
      </w:r>
      <w:r>
        <w:rPr>
          <w:sz w:val="21"/>
        </w:rPr>
        <w:t>can access and navigate independently and after hours.</w:t>
      </w:r>
    </w:p>
    <w:p w14:paraId="79EBC85C" w14:textId="3C539B08" w:rsidR="009D54AF" w:rsidRDefault="009D54AF" w:rsidP="00D13873">
      <w:pPr>
        <w:rPr>
          <w:sz w:val="2"/>
        </w:rPr>
      </w:pPr>
    </w:p>
    <w:tbl>
      <w:tblPr>
        <w:tblW w:w="0" w:type="auto"/>
        <w:tblInd w:w="167" w:type="dxa"/>
        <w:tblBorders>
          <w:top w:val="single" w:sz="18" w:space="0" w:color="007CAE"/>
          <w:left w:val="single" w:sz="18" w:space="0" w:color="007CAE"/>
          <w:bottom w:val="single" w:sz="18" w:space="0" w:color="007CAE"/>
          <w:right w:val="single" w:sz="18" w:space="0" w:color="007CAE"/>
          <w:insideH w:val="single" w:sz="18" w:space="0" w:color="007CAE"/>
          <w:insideV w:val="single" w:sz="18" w:space="0" w:color="007CAE"/>
        </w:tblBorders>
        <w:tblLayout w:type="fixed"/>
        <w:tblCellMar>
          <w:left w:w="0" w:type="dxa"/>
          <w:right w:w="0" w:type="dxa"/>
        </w:tblCellMar>
        <w:tblLook w:val="01E0" w:firstRow="1" w:lastRow="1" w:firstColumn="1" w:lastColumn="1" w:noHBand="0" w:noVBand="0"/>
      </w:tblPr>
      <w:tblGrid>
        <w:gridCol w:w="10205"/>
      </w:tblGrid>
      <w:tr w:rsidR="009D54AF" w14:paraId="707B4FF2" w14:textId="77777777">
        <w:trPr>
          <w:trHeight w:val="913"/>
        </w:trPr>
        <w:tc>
          <w:tcPr>
            <w:tcW w:w="10205" w:type="dxa"/>
            <w:shd w:val="clear" w:color="auto" w:fill="B3E1EA"/>
          </w:tcPr>
          <w:p w14:paraId="65726436" w14:textId="77777777" w:rsidR="009D54AF" w:rsidRDefault="00000000">
            <w:pPr>
              <w:pStyle w:val="TableParagraph"/>
              <w:spacing w:before="154" w:line="242" w:lineRule="auto"/>
              <w:ind w:left="280"/>
              <w:rPr>
                <w:b/>
                <w:sz w:val="24"/>
              </w:rPr>
            </w:pPr>
            <w:r>
              <w:rPr>
                <w:b/>
                <w:sz w:val="24"/>
              </w:rPr>
              <w:t>Case</w:t>
            </w:r>
            <w:r>
              <w:rPr>
                <w:b/>
                <w:spacing w:val="-3"/>
                <w:sz w:val="24"/>
              </w:rPr>
              <w:t xml:space="preserve"> </w:t>
            </w:r>
            <w:r>
              <w:rPr>
                <w:b/>
                <w:sz w:val="24"/>
              </w:rPr>
              <w:t>study:</w:t>
            </w:r>
            <w:r>
              <w:rPr>
                <w:b/>
                <w:spacing w:val="-3"/>
                <w:sz w:val="24"/>
              </w:rPr>
              <w:t xml:space="preserve"> </w:t>
            </w:r>
            <w:r>
              <w:rPr>
                <w:b/>
                <w:sz w:val="24"/>
              </w:rPr>
              <w:t>Updated</w:t>
            </w:r>
            <w:r>
              <w:rPr>
                <w:b/>
                <w:spacing w:val="-3"/>
                <w:sz w:val="24"/>
              </w:rPr>
              <w:t xml:space="preserve"> </w:t>
            </w:r>
            <w:r>
              <w:rPr>
                <w:b/>
                <w:sz w:val="24"/>
              </w:rPr>
              <w:t>National</w:t>
            </w:r>
            <w:r>
              <w:rPr>
                <w:b/>
                <w:spacing w:val="-3"/>
                <w:sz w:val="24"/>
              </w:rPr>
              <w:t xml:space="preserve"> </w:t>
            </w:r>
            <w:r>
              <w:rPr>
                <w:b/>
                <w:sz w:val="24"/>
              </w:rPr>
              <w:t>Safety</w:t>
            </w:r>
            <w:r>
              <w:rPr>
                <w:b/>
                <w:spacing w:val="-3"/>
                <w:sz w:val="24"/>
              </w:rPr>
              <w:t xml:space="preserve"> </w:t>
            </w:r>
            <w:r>
              <w:rPr>
                <w:b/>
                <w:sz w:val="24"/>
              </w:rPr>
              <w:t>and</w:t>
            </w:r>
            <w:r>
              <w:rPr>
                <w:b/>
                <w:spacing w:val="-3"/>
                <w:sz w:val="24"/>
              </w:rPr>
              <w:t xml:space="preserve"> </w:t>
            </w:r>
            <w:r>
              <w:rPr>
                <w:b/>
                <w:sz w:val="24"/>
              </w:rPr>
              <w:t>Quality</w:t>
            </w:r>
            <w:r>
              <w:rPr>
                <w:b/>
                <w:spacing w:val="-3"/>
                <w:sz w:val="24"/>
              </w:rPr>
              <w:t xml:space="preserve"> </w:t>
            </w:r>
            <w:r>
              <w:rPr>
                <w:b/>
                <w:sz w:val="24"/>
              </w:rPr>
              <w:t>Health</w:t>
            </w:r>
            <w:r>
              <w:rPr>
                <w:b/>
                <w:spacing w:val="-3"/>
                <w:sz w:val="24"/>
              </w:rPr>
              <w:t xml:space="preserve"> </w:t>
            </w:r>
            <w:r>
              <w:rPr>
                <w:b/>
                <w:sz w:val="24"/>
              </w:rPr>
              <w:t>Service</w:t>
            </w:r>
            <w:r>
              <w:rPr>
                <w:b/>
                <w:spacing w:val="-3"/>
                <w:sz w:val="24"/>
              </w:rPr>
              <w:t xml:space="preserve"> </w:t>
            </w:r>
            <w:r>
              <w:rPr>
                <w:b/>
                <w:sz w:val="24"/>
              </w:rPr>
              <w:t>(NSQHS)</w:t>
            </w:r>
            <w:r>
              <w:rPr>
                <w:b/>
                <w:spacing w:val="-3"/>
                <w:sz w:val="24"/>
              </w:rPr>
              <w:t xml:space="preserve"> </w:t>
            </w:r>
            <w:r>
              <w:rPr>
                <w:b/>
                <w:sz w:val="24"/>
              </w:rPr>
              <w:t>Standards Assessor Orientation course</w:t>
            </w:r>
          </w:p>
        </w:tc>
      </w:tr>
      <w:tr w:rsidR="009D54AF" w14:paraId="0F8865A2" w14:textId="77777777">
        <w:trPr>
          <w:trHeight w:val="6289"/>
        </w:trPr>
        <w:tc>
          <w:tcPr>
            <w:tcW w:w="10205" w:type="dxa"/>
            <w:shd w:val="clear" w:color="auto" w:fill="ECF7FA"/>
          </w:tcPr>
          <w:p w14:paraId="45B6D912" w14:textId="77777777" w:rsidR="009D54AF" w:rsidRDefault="00000000">
            <w:pPr>
              <w:pStyle w:val="TableParagraph"/>
              <w:spacing w:before="180" w:line="278" w:lineRule="auto"/>
              <w:ind w:left="280" w:right="316"/>
              <w:rPr>
                <w:sz w:val="21"/>
              </w:rPr>
            </w:pPr>
            <w:r>
              <w:rPr>
                <w:sz w:val="21"/>
              </w:rPr>
              <w:t>The Commission provides foundational training relating to National Safety and Quality Health Service Standards. The primary audience for the National Safety and Quality Health Service (NSQHS) Standards</w:t>
            </w:r>
            <w:r>
              <w:rPr>
                <w:spacing w:val="-2"/>
                <w:sz w:val="21"/>
              </w:rPr>
              <w:t xml:space="preserve"> </w:t>
            </w:r>
            <w:r>
              <w:rPr>
                <w:sz w:val="21"/>
              </w:rPr>
              <w:t>Assessor</w:t>
            </w:r>
            <w:r>
              <w:rPr>
                <w:spacing w:val="-2"/>
                <w:sz w:val="21"/>
              </w:rPr>
              <w:t xml:space="preserve"> </w:t>
            </w:r>
            <w:r>
              <w:rPr>
                <w:sz w:val="21"/>
              </w:rPr>
              <w:t>Orientation</w:t>
            </w:r>
            <w:r>
              <w:rPr>
                <w:spacing w:val="-2"/>
                <w:sz w:val="21"/>
              </w:rPr>
              <w:t xml:space="preserve"> </w:t>
            </w:r>
            <w:r>
              <w:rPr>
                <w:sz w:val="21"/>
              </w:rPr>
              <w:t>Course</w:t>
            </w:r>
            <w:r>
              <w:rPr>
                <w:spacing w:val="-2"/>
                <w:sz w:val="21"/>
              </w:rPr>
              <w:t xml:space="preserve"> </w:t>
            </w:r>
            <w:r>
              <w:rPr>
                <w:sz w:val="21"/>
              </w:rPr>
              <w:t>are</w:t>
            </w:r>
            <w:r>
              <w:rPr>
                <w:spacing w:val="-2"/>
                <w:sz w:val="21"/>
              </w:rPr>
              <w:t xml:space="preserve"> </w:t>
            </w:r>
            <w:r>
              <w:rPr>
                <w:sz w:val="21"/>
              </w:rPr>
              <w:t>recruits</w:t>
            </w:r>
            <w:r>
              <w:rPr>
                <w:spacing w:val="-2"/>
                <w:sz w:val="21"/>
              </w:rPr>
              <w:t xml:space="preserve"> </w:t>
            </w:r>
            <w:r>
              <w:rPr>
                <w:sz w:val="21"/>
              </w:rPr>
              <w:t>planning</w:t>
            </w:r>
            <w:r>
              <w:rPr>
                <w:spacing w:val="-2"/>
                <w:sz w:val="21"/>
              </w:rPr>
              <w:t xml:space="preserve"> </w:t>
            </w:r>
            <w:r>
              <w:rPr>
                <w:sz w:val="21"/>
              </w:rPr>
              <w:t>to</w:t>
            </w:r>
            <w:r>
              <w:rPr>
                <w:spacing w:val="-2"/>
                <w:sz w:val="21"/>
              </w:rPr>
              <w:t xml:space="preserve"> </w:t>
            </w:r>
            <w:r>
              <w:rPr>
                <w:sz w:val="21"/>
              </w:rPr>
              <w:t>join</w:t>
            </w:r>
            <w:r>
              <w:rPr>
                <w:spacing w:val="-2"/>
                <w:sz w:val="21"/>
              </w:rPr>
              <w:t xml:space="preserve"> </w:t>
            </w:r>
            <w:r>
              <w:rPr>
                <w:sz w:val="21"/>
              </w:rPr>
              <w:t>an</w:t>
            </w:r>
            <w:r>
              <w:rPr>
                <w:spacing w:val="-2"/>
                <w:sz w:val="21"/>
              </w:rPr>
              <w:t xml:space="preserve"> </w:t>
            </w:r>
            <w:r>
              <w:rPr>
                <w:sz w:val="21"/>
              </w:rPr>
              <w:t>approved</w:t>
            </w:r>
            <w:r>
              <w:rPr>
                <w:spacing w:val="-2"/>
                <w:sz w:val="21"/>
              </w:rPr>
              <w:t xml:space="preserve"> </w:t>
            </w:r>
            <w:r>
              <w:rPr>
                <w:sz w:val="21"/>
              </w:rPr>
              <w:t>accrediting</w:t>
            </w:r>
            <w:r>
              <w:rPr>
                <w:spacing w:val="-2"/>
                <w:sz w:val="21"/>
              </w:rPr>
              <w:t xml:space="preserve"> </w:t>
            </w:r>
            <w:r>
              <w:rPr>
                <w:sz w:val="21"/>
              </w:rPr>
              <w:t>agency</w:t>
            </w:r>
            <w:r>
              <w:rPr>
                <w:spacing w:val="-2"/>
                <w:sz w:val="21"/>
              </w:rPr>
              <w:t xml:space="preserve"> </w:t>
            </w:r>
            <w:r>
              <w:rPr>
                <w:sz w:val="21"/>
              </w:rPr>
              <w:t xml:space="preserve">to undertake assessment using the NSQHS Standards. Other users include health service </w:t>
            </w:r>
            <w:proofErr w:type="spellStart"/>
            <w:r>
              <w:rPr>
                <w:sz w:val="21"/>
              </w:rPr>
              <w:t>organisations’</w:t>
            </w:r>
            <w:proofErr w:type="spellEnd"/>
            <w:r>
              <w:rPr>
                <w:sz w:val="21"/>
              </w:rPr>
              <w:t xml:space="preserve"> safety and quality workforce and managers responsible for implementing the NSQHS Standards, including local coordination of accreditation.</w:t>
            </w:r>
          </w:p>
          <w:p w14:paraId="12B25F95" w14:textId="77777777" w:rsidR="009D54AF" w:rsidRDefault="00000000">
            <w:pPr>
              <w:pStyle w:val="TableParagraph"/>
              <w:spacing w:before="226" w:line="278" w:lineRule="auto"/>
              <w:ind w:left="280" w:right="350"/>
              <w:rPr>
                <w:sz w:val="21"/>
              </w:rPr>
            </w:pPr>
            <w:r>
              <w:rPr>
                <w:sz w:val="21"/>
              </w:rPr>
              <w:t>The NSQHS Standards Assessor Orientation Course released in 2018, included 32 learning modules, 25 quizzes, multiple evaluations, and 5 discussion boards, taking up to 40 hours to complete. The</w:t>
            </w:r>
            <w:r>
              <w:rPr>
                <w:spacing w:val="40"/>
                <w:sz w:val="21"/>
              </w:rPr>
              <w:t xml:space="preserve"> </w:t>
            </w:r>
            <w:r>
              <w:rPr>
                <w:sz w:val="21"/>
              </w:rPr>
              <w:t>2018 course no longer aligned with the sector’s maturity regarding implementation of the NSQHS Standards, or the Australian Health Service Safety and Quality Accreditation (AHSSQA) Scheme rules and resources. Accrediting agencies identified the course’s length and outdated content as barriers to completion and assessor recruitment.</w:t>
            </w:r>
          </w:p>
          <w:p w14:paraId="60099B03" w14:textId="77777777" w:rsidR="009D54AF" w:rsidRDefault="00000000">
            <w:pPr>
              <w:pStyle w:val="TableParagraph"/>
              <w:spacing w:before="226" w:line="278" w:lineRule="auto"/>
              <w:ind w:left="280" w:right="316"/>
              <w:rPr>
                <w:sz w:val="21"/>
              </w:rPr>
            </w:pPr>
            <w:r>
              <w:rPr>
                <w:sz w:val="21"/>
              </w:rPr>
              <w:t>The Commission undertook a review of the course content and developed a refreshed, shorter, contemporary</w:t>
            </w:r>
            <w:r>
              <w:rPr>
                <w:spacing w:val="-2"/>
                <w:sz w:val="21"/>
              </w:rPr>
              <w:t xml:space="preserve"> </w:t>
            </w:r>
            <w:r>
              <w:rPr>
                <w:sz w:val="21"/>
              </w:rPr>
              <w:t>course</w:t>
            </w:r>
            <w:r>
              <w:rPr>
                <w:spacing w:val="-2"/>
                <w:sz w:val="21"/>
              </w:rPr>
              <w:t xml:space="preserve"> </w:t>
            </w:r>
            <w:r>
              <w:rPr>
                <w:sz w:val="21"/>
              </w:rPr>
              <w:t>which</w:t>
            </w:r>
            <w:r>
              <w:rPr>
                <w:spacing w:val="-2"/>
                <w:sz w:val="21"/>
              </w:rPr>
              <w:t xml:space="preserve"> </w:t>
            </w:r>
            <w:r>
              <w:rPr>
                <w:sz w:val="21"/>
              </w:rPr>
              <w:t>was</w:t>
            </w:r>
            <w:r>
              <w:rPr>
                <w:spacing w:val="-2"/>
                <w:sz w:val="21"/>
              </w:rPr>
              <w:t xml:space="preserve"> </w:t>
            </w:r>
            <w:r>
              <w:rPr>
                <w:sz w:val="21"/>
              </w:rPr>
              <w:t>designed</w:t>
            </w:r>
            <w:r>
              <w:rPr>
                <w:spacing w:val="-2"/>
                <w:sz w:val="21"/>
              </w:rPr>
              <w:t xml:space="preserve"> </w:t>
            </w:r>
            <w:r>
              <w:rPr>
                <w:sz w:val="21"/>
              </w:rPr>
              <w:t>to</w:t>
            </w:r>
            <w:r>
              <w:rPr>
                <w:spacing w:val="-2"/>
                <w:sz w:val="21"/>
              </w:rPr>
              <w:t xml:space="preserve"> </w:t>
            </w:r>
            <w:r>
              <w:rPr>
                <w:sz w:val="21"/>
              </w:rPr>
              <w:t>include</w:t>
            </w:r>
            <w:r>
              <w:rPr>
                <w:spacing w:val="-2"/>
                <w:sz w:val="21"/>
              </w:rPr>
              <w:t xml:space="preserve"> </w:t>
            </w:r>
            <w:r>
              <w:rPr>
                <w:sz w:val="21"/>
              </w:rPr>
              <w:t>a</w:t>
            </w:r>
            <w:r>
              <w:rPr>
                <w:spacing w:val="-2"/>
                <w:sz w:val="21"/>
              </w:rPr>
              <w:t xml:space="preserve"> </w:t>
            </w:r>
            <w:r>
              <w:rPr>
                <w:sz w:val="21"/>
              </w:rPr>
              <w:t>range</w:t>
            </w:r>
            <w:r>
              <w:rPr>
                <w:spacing w:val="-2"/>
                <w:sz w:val="21"/>
              </w:rPr>
              <w:t xml:space="preserve"> </w:t>
            </w:r>
            <w:r>
              <w:rPr>
                <w:sz w:val="21"/>
              </w:rPr>
              <w:t>of</w:t>
            </w:r>
            <w:r>
              <w:rPr>
                <w:spacing w:val="-2"/>
                <w:sz w:val="21"/>
              </w:rPr>
              <w:t xml:space="preserve"> </w:t>
            </w:r>
            <w:r>
              <w:rPr>
                <w:sz w:val="21"/>
              </w:rPr>
              <w:t>tools</w:t>
            </w:r>
            <w:r>
              <w:rPr>
                <w:spacing w:val="-2"/>
                <w:sz w:val="21"/>
              </w:rPr>
              <w:t xml:space="preserve"> </w:t>
            </w:r>
            <w:r>
              <w:rPr>
                <w:sz w:val="21"/>
              </w:rPr>
              <w:t>shown</w:t>
            </w:r>
            <w:r>
              <w:rPr>
                <w:spacing w:val="-2"/>
                <w:sz w:val="21"/>
              </w:rPr>
              <w:t xml:space="preserve"> </w:t>
            </w:r>
            <w:r>
              <w:rPr>
                <w:sz w:val="21"/>
              </w:rPr>
              <w:t>to</w:t>
            </w:r>
            <w:r>
              <w:rPr>
                <w:spacing w:val="-2"/>
                <w:sz w:val="21"/>
              </w:rPr>
              <w:t xml:space="preserve"> </w:t>
            </w:r>
            <w:r>
              <w:rPr>
                <w:sz w:val="21"/>
              </w:rPr>
              <w:t>engage</w:t>
            </w:r>
            <w:r>
              <w:rPr>
                <w:spacing w:val="-2"/>
                <w:sz w:val="21"/>
              </w:rPr>
              <w:t xml:space="preserve"> </w:t>
            </w:r>
            <w:r>
              <w:rPr>
                <w:sz w:val="21"/>
              </w:rPr>
              <w:t>and</w:t>
            </w:r>
            <w:r>
              <w:rPr>
                <w:spacing w:val="-2"/>
                <w:sz w:val="21"/>
              </w:rPr>
              <w:t xml:space="preserve"> </w:t>
            </w:r>
            <w:r>
              <w:rPr>
                <w:sz w:val="21"/>
              </w:rPr>
              <w:t>improve user experience, such as videos, pictograms and interactive elements.</w:t>
            </w:r>
          </w:p>
          <w:p w14:paraId="6B8CB1A8" w14:textId="77777777" w:rsidR="009D54AF" w:rsidRDefault="00000000">
            <w:pPr>
              <w:pStyle w:val="TableParagraph"/>
              <w:spacing w:before="113" w:line="278" w:lineRule="auto"/>
              <w:ind w:left="280"/>
              <w:rPr>
                <w:sz w:val="21"/>
              </w:rPr>
            </w:pPr>
            <w:r>
              <w:rPr>
                <w:sz w:val="21"/>
              </w:rPr>
              <w:t>The updated course consists of three modules that provide information on the requirements of the AHSSQA</w:t>
            </w:r>
            <w:r>
              <w:rPr>
                <w:spacing w:val="-1"/>
                <w:sz w:val="21"/>
              </w:rPr>
              <w:t xml:space="preserve"> </w:t>
            </w:r>
            <w:r>
              <w:rPr>
                <w:sz w:val="21"/>
              </w:rPr>
              <w:t>Scheme</w:t>
            </w:r>
            <w:r>
              <w:rPr>
                <w:spacing w:val="-1"/>
                <w:sz w:val="21"/>
              </w:rPr>
              <w:t xml:space="preserve"> </w:t>
            </w:r>
            <w:r>
              <w:rPr>
                <w:sz w:val="21"/>
              </w:rPr>
              <w:t>and</w:t>
            </w:r>
            <w:r>
              <w:rPr>
                <w:spacing w:val="-1"/>
                <w:sz w:val="21"/>
              </w:rPr>
              <w:t xml:space="preserve"> </w:t>
            </w:r>
            <w:r>
              <w:rPr>
                <w:sz w:val="21"/>
              </w:rPr>
              <w:t>demonstrate</w:t>
            </w:r>
            <w:r>
              <w:rPr>
                <w:spacing w:val="-1"/>
                <w:sz w:val="21"/>
              </w:rPr>
              <w:t xml:space="preserve"> </w:t>
            </w:r>
            <w:r>
              <w:rPr>
                <w:sz w:val="21"/>
              </w:rPr>
              <w:t>the</w:t>
            </w:r>
            <w:r>
              <w:rPr>
                <w:spacing w:val="-1"/>
                <w:sz w:val="21"/>
              </w:rPr>
              <w:t xml:space="preserve"> </w:t>
            </w:r>
            <w:r>
              <w:rPr>
                <w:sz w:val="21"/>
              </w:rPr>
              <w:t>assessor</w:t>
            </w:r>
            <w:r>
              <w:rPr>
                <w:spacing w:val="-1"/>
                <w:sz w:val="21"/>
              </w:rPr>
              <w:t xml:space="preserve"> </w:t>
            </w:r>
            <w:r>
              <w:rPr>
                <w:sz w:val="21"/>
              </w:rPr>
              <w:t>responsibilities</w:t>
            </w:r>
            <w:r>
              <w:rPr>
                <w:spacing w:val="-1"/>
                <w:sz w:val="21"/>
              </w:rPr>
              <w:t xml:space="preserve"> </w:t>
            </w:r>
            <w:r>
              <w:rPr>
                <w:sz w:val="21"/>
              </w:rPr>
              <w:t>and</w:t>
            </w:r>
            <w:r>
              <w:rPr>
                <w:spacing w:val="-1"/>
                <w:sz w:val="21"/>
              </w:rPr>
              <w:t xml:space="preserve"> </w:t>
            </w:r>
            <w:r>
              <w:rPr>
                <w:sz w:val="21"/>
              </w:rPr>
              <w:t>functions</w:t>
            </w:r>
            <w:r>
              <w:rPr>
                <w:spacing w:val="-1"/>
                <w:sz w:val="21"/>
              </w:rPr>
              <w:t xml:space="preserve"> </w:t>
            </w:r>
            <w:r>
              <w:rPr>
                <w:sz w:val="21"/>
              </w:rPr>
              <w:t>as</w:t>
            </w:r>
            <w:r>
              <w:rPr>
                <w:spacing w:val="-1"/>
                <w:sz w:val="21"/>
              </w:rPr>
              <w:t xml:space="preserve"> </w:t>
            </w:r>
            <w:r>
              <w:rPr>
                <w:sz w:val="21"/>
              </w:rPr>
              <w:t>they</w:t>
            </w:r>
            <w:r>
              <w:rPr>
                <w:spacing w:val="-1"/>
                <w:sz w:val="21"/>
              </w:rPr>
              <w:t xml:space="preserve"> </w:t>
            </w:r>
            <w:r>
              <w:rPr>
                <w:sz w:val="21"/>
              </w:rPr>
              <w:t>conduct</w:t>
            </w:r>
            <w:r>
              <w:rPr>
                <w:spacing w:val="-1"/>
                <w:sz w:val="21"/>
              </w:rPr>
              <w:t xml:space="preserve"> </w:t>
            </w:r>
            <w:r>
              <w:rPr>
                <w:sz w:val="21"/>
              </w:rPr>
              <w:t xml:space="preserve">an accreditation assessment. The revised program is freely available and takes less than six hours to </w:t>
            </w:r>
            <w:r>
              <w:rPr>
                <w:spacing w:val="-2"/>
                <w:sz w:val="21"/>
              </w:rPr>
              <w:t>complete.</w:t>
            </w:r>
          </w:p>
        </w:tc>
      </w:tr>
    </w:tbl>
    <w:p w14:paraId="7EAFA508" w14:textId="77777777" w:rsidR="009D54AF" w:rsidRDefault="009D54AF">
      <w:pPr>
        <w:pStyle w:val="BodyText"/>
        <w:spacing w:before="6"/>
        <w:rPr>
          <w:sz w:val="30"/>
        </w:rPr>
      </w:pPr>
    </w:p>
    <w:p w14:paraId="335B120D" w14:textId="77777777" w:rsidR="009D54AF" w:rsidRDefault="00000000">
      <w:pPr>
        <w:pStyle w:val="Heading5"/>
        <w:spacing w:line="249" w:lineRule="auto"/>
        <w:ind w:right="285"/>
      </w:pPr>
      <w:r>
        <w:t>Development</w:t>
      </w:r>
      <w:r>
        <w:rPr>
          <w:spacing w:val="-3"/>
        </w:rPr>
        <w:t xml:space="preserve"> </w:t>
      </w:r>
      <w:r>
        <w:t>of</w:t>
      </w:r>
      <w:r>
        <w:rPr>
          <w:spacing w:val="-3"/>
        </w:rPr>
        <w:t xml:space="preserve"> </w:t>
      </w:r>
      <w:r>
        <w:t>the</w:t>
      </w:r>
      <w:r>
        <w:rPr>
          <w:spacing w:val="-3"/>
        </w:rPr>
        <w:t xml:space="preserve"> </w:t>
      </w:r>
      <w:r>
        <w:t>National</w:t>
      </w:r>
      <w:r>
        <w:rPr>
          <w:spacing w:val="-3"/>
        </w:rPr>
        <w:t xml:space="preserve"> </w:t>
      </w:r>
      <w:r>
        <w:t>Safety</w:t>
      </w:r>
      <w:r>
        <w:rPr>
          <w:spacing w:val="-3"/>
        </w:rPr>
        <w:t xml:space="preserve"> </w:t>
      </w:r>
      <w:r>
        <w:t>and</w:t>
      </w:r>
      <w:r>
        <w:rPr>
          <w:spacing w:val="-3"/>
        </w:rPr>
        <w:t xml:space="preserve"> </w:t>
      </w:r>
      <w:r>
        <w:t>Quality</w:t>
      </w:r>
      <w:r>
        <w:rPr>
          <w:spacing w:val="-3"/>
        </w:rPr>
        <w:t xml:space="preserve"> </w:t>
      </w:r>
      <w:r>
        <w:t>Health</w:t>
      </w:r>
      <w:r>
        <w:rPr>
          <w:spacing w:val="-3"/>
        </w:rPr>
        <w:t xml:space="preserve"> </w:t>
      </w:r>
      <w:r>
        <w:t>Service (NSQHS) Standards (third edition)</w:t>
      </w:r>
    </w:p>
    <w:p w14:paraId="47D05729" w14:textId="77777777" w:rsidR="009D54AF" w:rsidRDefault="00000000">
      <w:pPr>
        <w:pStyle w:val="BodyText"/>
        <w:spacing w:before="120" w:line="278" w:lineRule="auto"/>
        <w:ind w:left="142" w:right="192"/>
      </w:pPr>
      <w:r>
        <w:t>The NSQHS Standards set the national benchmarks for safe, high-quality care across Australia’s hospitals and health services. The Commission’s vision for the third edition is to provide high-quality care for all Australians,</w:t>
      </w:r>
      <w:r>
        <w:rPr>
          <w:spacing w:val="-2"/>
        </w:rPr>
        <w:t xml:space="preserve"> </w:t>
      </w:r>
      <w:r>
        <w:t>supported</w:t>
      </w:r>
      <w:r>
        <w:rPr>
          <w:spacing w:val="-2"/>
        </w:rPr>
        <w:t xml:space="preserve"> </w:t>
      </w:r>
      <w:r>
        <w:t>by</w:t>
      </w:r>
      <w:r>
        <w:rPr>
          <w:spacing w:val="-2"/>
        </w:rPr>
        <w:t xml:space="preserve"> </w:t>
      </w:r>
      <w:r>
        <w:t>nationally</w:t>
      </w:r>
      <w:r>
        <w:rPr>
          <w:spacing w:val="-2"/>
        </w:rPr>
        <w:t xml:space="preserve"> </w:t>
      </w:r>
      <w:r>
        <w:t>consistent</w:t>
      </w:r>
      <w:r>
        <w:rPr>
          <w:spacing w:val="-2"/>
        </w:rPr>
        <w:t xml:space="preserve"> </w:t>
      </w:r>
      <w:r>
        <w:t>and</w:t>
      </w:r>
      <w:r>
        <w:rPr>
          <w:spacing w:val="-2"/>
        </w:rPr>
        <w:t xml:space="preserve"> </w:t>
      </w:r>
      <w:r>
        <w:t>effective</w:t>
      </w:r>
      <w:r>
        <w:rPr>
          <w:spacing w:val="-2"/>
        </w:rPr>
        <w:t xml:space="preserve"> </w:t>
      </w:r>
      <w:r>
        <w:t>systems</w:t>
      </w:r>
      <w:r>
        <w:rPr>
          <w:spacing w:val="-2"/>
        </w:rPr>
        <w:t xml:space="preserve"> </w:t>
      </w:r>
      <w:r>
        <w:t>operating</w:t>
      </w:r>
      <w:r>
        <w:rPr>
          <w:spacing w:val="-2"/>
        </w:rPr>
        <w:t xml:space="preserve"> </w:t>
      </w:r>
      <w:r>
        <w:t>across</w:t>
      </w:r>
      <w:r>
        <w:rPr>
          <w:spacing w:val="-2"/>
        </w:rPr>
        <w:t xml:space="preserve"> </w:t>
      </w:r>
      <w:r>
        <w:t>the</w:t>
      </w:r>
      <w:r>
        <w:rPr>
          <w:spacing w:val="-2"/>
        </w:rPr>
        <w:t xml:space="preserve"> </w:t>
      </w:r>
      <w:r>
        <w:t>continuum</w:t>
      </w:r>
      <w:r>
        <w:rPr>
          <w:spacing w:val="-2"/>
        </w:rPr>
        <w:t xml:space="preserve"> </w:t>
      </w:r>
      <w:r>
        <w:t>of</w:t>
      </w:r>
      <w:r>
        <w:rPr>
          <w:spacing w:val="-2"/>
        </w:rPr>
        <w:t xml:space="preserve"> </w:t>
      </w:r>
      <w:r>
        <w:t>care.</w:t>
      </w:r>
    </w:p>
    <w:p w14:paraId="1EACA2F4" w14:textId="77777777" w:rsidR="009D54AF" w:rsidRDefault="00000000">
      <w:pPr>
        <w:pStyle w:val="BodyText"/>
        <w:spacing w:before="142" w:line="278" w:lineRule="auto"/>
        <w:ind w:left="142"/>
      </w:pPr>
      <w:r>
        <w:t>Development</w:t>
      </w:r>
      <w:r>
        <w:rPr>
          <w:spacing w:val="-3"/>
        </w:rPr>
        <w:t xml:space="preserve"> </w:t>
      </w:r>
      <w:r>
        <w:t>of</w:t>
      </w:r>
      <w:r>
        <w:rPr>
          <w:spacing w:val="-3"/>
        </w:rPr>
        <w:t xml:space="preserve"> </w:t>
      </w:r>
      <w:r>
        <w:t>the</w:t>
      </w:r>
      <w:r>
        <w:rPr>
          <w:spacing w:val="-3"/>
        </w:rPr>
        <w:t xml:space="preserve"> </w:t>
      </w:r>
      <w:r>
        <w:t>third</w:t>
      </w:r>
      <w:r>
        <w:rPr>
          <w:spacing w:val="-3"/>
        </w:rPr>
        <w:t xml:space="preserve"> </w:t>
      </w:r>
      <w:r>
        <w:t>edition</w:t>
      </w:r>
      <w:r>
        <w:rPr>
          <w:spacing w:val="-3"/>
        </w:rPr>
        <w:t xml:space="preserve"> </w:t>
      </w:r>
      <w:r>
        <w:t>began</w:t>
      </w:r>
      <w:r>
        <w:rPr>
          <w:spacing w:val="-3"/>
        </w:rPr>
        <w:t xml:space="preserve"> </w:t>
      </w:r>
      <w:r>
        <w:t>in</w:t>
      </w:r>
      <w:r>
        <w:rPr>
          <w:spacing w:val="-3"/>
        </w:rPr>
        <w:t xml:space="preserve"> </w:t>
      </w:r>
      <w:r>
        <w:t>2025-26</w:t>
      </w:r>
      <w:r>
        <w:rPr>
          <w:spacing w:val="-3"/>
        </w:rPr>
        <w:t xml:space="preserve"> </w:t>
      </w:r>
      <w:r>
        <w:t>and</w:t>
      </w:r>
      <w:r>
        <w:rPr>
          <w:spacing w:val="-3"/>
        </w:rPr>
        <w:t xml:space="preserve"> </w:t>
      </w:r>
      <w:r>
        <w:t>is</w:t>
      </w:r>
      <w:r>
        <w:rPr>
          <w:spacing w:val="-3"/>
        </w:rPr>
        <w:t xml:space="preserve"> </w:t>
      </w:r>
      <w:r>
        <w:t>scheduled</w:t>
      </w:r>
      <w:r>
        <w:rPr>
          <w:spacing w:val="-3"/>
        </w:rPr>
        <w:t xml:space="preserve"> </w:t>
      </w:r>
      <w:r>
        <w:t>for</w:t>
      </w:r>
      <w:r>
        <w:rPr>
          <w:spacing w:val="-3"/>
        </w:rPr>
        <w:t xml:space="preserve"> </w:t>
      </w:r>
      <w:r>
        <w:t>completion</w:t>
      </w:r>
      <w:r>
        <w:rPr>
          <w:spacing w:val="-3"/>
        </w:rPr>
        <w:t xml:space="preserve"> </w:t>
      </w:r>
      <w:r>
        <w:t>in</w:t>
      </w:r>
      <w:r>
        <w:rPr>
          <w:spacing w:val="-6"/>
        </w:rPr>
        <w:t xml:space="preserve"> </w:t>
      </w:r>
      <w:r>
        <w:t>2028,</w:t>
      </w:r>
      <w:r>
        <w:rPr>
          <w:spacing w:val="-6"/>
        </w:rPr>
        <w:t xml:space="preserve"> </w:t>
      </w:r>
      <w:r>
        <w:t>with</w:t>
      </w:r>
      <w:r>
        <w:rPr>
          <w:spacing w:val="-6"/>
        </w:rPr>
        <w:t xml:space="preserve"> </w:t>
      </w:r>
      <w:r>
        <w:t>assessment starting in 2030.</w:t>
      </w:r>
    </w:p>
    <w:p w14:paraId="5FF4230F" w14:textId="77777777" w:rsidR="009D54AF" w:rsidRDefault="00000000">
      <w:pPr>
        <w:pStyle w:val="BodyText"/>
        <w:spacing w:before="141"/>
        <w:ind w:left="142"/>
      </w:pPr>
      <w:r>
        <w:t>During</w:t>
      </w:r>
      <w:r>
        <w:rPr>
          <w:spacing w:val="4"/>
        </w:rPr>
        <w:t xml:space="preserve"> </w:t>
      </w:r>
      <w:r>
        <w:t>2025–26,</w:t>
      </w:r>
      <w:r>
        <w:rPr>
          <w:spacing w:val="4"/>
        </w:rPr>
        <w:t xml:space="preserve"> </w:t>
      </w:r>
      <w:r>
        <w:t>the</w:t>
      </w:r>
      <w:r>
        <w:rPr>
          <w:spacing w:val="4"/>
        </w:rPr>
        <w:t xml:space="preserve"> </w:t>
      </w:r>
      <w:r>
        <w:rPr>
          <w:spacing w:val="-2"/>
        </w:rPr>
        <w:t>Commission:</w:t>
      </w:r>
    </w:p>
    <w:p w14:paraId="33F1EE09" w14:textId="77777777" w:rsidR="009D54AF" w:rsidRDefault="00000000">
      <w:pPr>
        <w:pStyle w:val="ListParagraph"/>
        <w:numPr>
          <w:ilvl w:val="0"/>
          <w:numId w:val="35"/>
        </w:numPr>
        <w:tabs>
          <w:tab w:val="left" w:pos="424"/>
          <w:tab w:val="left" w:pos="440"/>
        </w:tabs>
        <w:spacing w:before="96" w:line="278" w:lineRule="auto"/>
        <w:ind w:right="143" w:hanging="284"/>
        <w:rPr>
          <w:sz w:val="21"/>
        </w:rPr>
      </w:pPr>
      <w:r>
        <w:rPr>
          <w:sz w:val="21"/>
        </w:rPr>
        <w:t xml:space="preserve">identified new evidence-based quality practices, emerging evidence and contemporary clinical governance </w:t>
      </w:r>
      <w:r>
        <w:rPr>
          <w:spacing w:val="-2"/>
          <w:sz w:val="21"/>
        </w:rPr>
        <w:t>approaches</w:t>
      </w:r>
    </w:p>
    <w:p w14:paraId="6345A536" w14:textId="77777777" w:rsidR="009D54AF" w:rsidRDefault="00000000">
      <w:pPr>
        <w:pStyle w:val="ListParagraph"/>
        <w:numPr>
          <w:ilvl w:val="0"/>
          <w:numId w:val="35"/>
        </w:numPr>
        <w:tabs>
          <w:tab w:val="left" w:pos="424"/>
        </w:tabs>
        <w:spacing w:before="56"/>
        <w:ind w:left="424" w:hanging="268"/>
        <w:rPr>
          <w:sz w:val="21"/>
        </w:rPr>
      </w:pPr>
      <w:r>
        <w:rPr>
          <w:sz w:val="21"/>
        </w:rPr>
        <w:t>conducted</w:t>
      </w:r>
      <w:r>
        <w:rPr>
          <w:spacing w:val="-3"/>
          <w:sz w:val="21"/>
        </w:rPr>
        <w:t xml:space="preserve"> </w:t>
      </w:r>
      <w:r>
        <w:rPr>
          <w:sz w:val="21"/>
        </w:rPr>
        <w:t>its first public consultation to understand</w:t>
      </w:r>
      <w:r>
        <w:rPr>
          <w:spacing w:val="-1"/>
          <w:sz w:val="21"/>
        </w:rPr>
        <w:t xml:space="preserve"> </w:t>
      </w:r>
      <w:r>
        <w:rPr>
          <w:sz w:val="21"/>
        </w:rPr>
        <w:t xml:space="preserve">the needs across the health </w:t>
      </w:r>
      <w:r>
        <w:rPr>
          <w:spacing w:val="-2"/>
          <w:sz w:val="21"/>
        </w:rPr>
        <w:t>system.</w:t>
      </w:r>
    </w:p>
    <w:p w14:paraId="01DFEF93" w14:textId="77777777" w:rsidR="009D54AF" w:rsidRDefault="00000000">
      <w:pPr>
        <w:pStyle w:val="BodyText"/>
        <w:spacing w:before="209" w:line="278" w:lineRule="auto"/>
        <w:ind w:left="142"/>
      </w:pPr>
      <w:r>
        <w:t>The</w:t>
      </w:r>
      <w:r>
        <w:rPr>
          <w:spacing w:val="-1"/>
        </w:rPr>
        <w:t xml:space="preserve"> </w:t>
      </w:r>
      <w:r>
        <w:t>first</w:t>
      </w:r>
      <w:r>
        <w:rPr>
          <w:spacing w:val="-1"/>
        </w:rPr>
        <w:t xml:space="preserve"> </w:t>
      </w:r>
      <w:r>
        <w:t>public</w:t>
      </w:r>
      <w:r>
        <w:rPr>
          <w:spacing w:val="-1"/>
        </w:rPr>
        <w:t xml:space="preserve"> </w:t>
      </w:r>
      <w:r>
        <w:t>consultation</w:t>
      </w:r>
      <w:r>
        <w:rPr>
          <w:spacing w:val="-1"/>
        </w:rPr>
        <w:t xml:space="preserve"> </w:t>
      </w:r>
      <w:r>
        <w:t>identified</w:t>
      </w:r>
      <w:r>
        <w:rPr>
          <w:spacing w:val="-1"/>
        </w:rPr>
        <w:t xml:space="preserve"> </w:t>
      </w:r>
      <w:r>
        <w:t>that</w:t>
      </w:r>
      <w:r>
        <w:rPr>
          <w:spacing w:val="-1"/>
        </w:rPr>
        <w:t xml:space="preserve"> </w:t>
      </w:r>
      <w:r>
        <w:t>the</w:t>
      </w:r>
      <w:r>
        <w:rPr>
          <w:spacing w:val="-1"/>
        </w:rPr>
        <w:t xml:space="preserve"> </w:t>
      </w:r>
      <w:r>
        <w:t>NSQHS</w:t>
      </w:r>
      <w:r>
        <w:rPr>
          <w:spacing w:val="-1"/>
        </w:rPr>
        <w:t xml:space="preserve"> </w:t>
      </w:r>
      <w:r>
        <w:t>Standards</w:t>
      </w:r>
      <w:r>
        <w:rPr>
          <w:spacing w:val="-1"/>
        </w:rPr>
        <w:t xml:space="preserve"> </w:t>
      </w:r>
      <w:r>
        <w:t>provide</w:t>
      </w:r>
      <w:r>
        <w:rPr>
          <w:spacing w:val="-1"/>
        </w:rPr>
        <w:t xml:space="preserve"> </w:t>
      </w:r>
      <w:r>
        <w:t>a</w:t>
      </w:r>
      <w:r>
        <w:rPr>
          <w:spacing w:val="-1"/>
        </w:rPr>
        <w:t xml:space="preserve"> </w:t>
      </w:r>
      <w:r>
        <w:t>solid</w:t>
      </w:r>
      <w:r>
        <w:rPr>
          <w:spacing w:val="-1"/>
        </w:rPr>
        <w:t xml:space="preserve"> </w:t>
      </w:r>
      <w:r>
        <w:t>and</w:t>
      </w:r>
      <w:r>
        <w:rPr>
          <w:spacing w:val="-1"/>
        </w:rPr>
        <w:t xml:space="preserve"> </w:t>
      </w:r>
      <w:r>
        <w:t>credible</w:t>
      </w:r>
      <w:r>
        <w:rPr>
          <w:spacing w:val="-1"/>
        </w:rPr>
        <w:t xml:space="preserve"> </w:t>
      </w:r>
      <w:r>
        <w:t>foundation</w:t>
      </w:r>
      <w:r>
        <w:rPr>
          <w:spacing w:val="-1"/>
        </w:rPr>
        <w:t xml:space="preserve"> </w:t>
      </w:r>
      <w:r>
        <w:t>for safety and quality in Australian health care. There was broad support for retaining their core intent and role within the safety and quality framework.</w:t>
      </w:r>
    </w:p>
    <w:p w14:paraId="06F67D8C" w14:textId="77777777" w:rsidR="009D54AF" w:rsidRDefault="00000000">
      <w:pPr>
        <w:pStyle w:val="BodyText"/>
        <w:spacing w:before="141" w:line="278" w:lineRule="auto"/>
        <w:ind w:left="142" w:right="652"/>
      </w:pPr>
      <w:r>
        <w:lastRenderedPageBreak/>
        <w:t>Stakeholders identified several areas for consideration in the next edition. Based on the feedback we received,</w:t>
      </w:r>
      <w:r>
        <w:rPr>
          <w:spacing w:val="-1"/>
        </w:rPr>
        <w:t xml:space="preserve"> </w:t>
      </w:r>
      <w:r>
        <w:t>the</w:t>
      </w:r>
      <w:r>
        <w:rPr>
          <w:spacing w:val="-1"/>
        </w:rPr>
        <w:t xml:space="preserve"> </w:t>
      </w:r>
      <w:r>
        <w:t>third</w:t>
      </w:r>
      <w:r>
        <w:rPr>
          <w:spacing w:val="-1"/>
        </w:rPr>
        <w:t xml:space="preserve"> </w:t>
      </w:r>
      <w:r>
        <w:t>edition</w:t>
      </w:r>
      <w:r>
        <w:rPr>
          <w:spacing w:val="-1"/>
        </w:rPr>
        <w:t xml:space="preserve"> </w:t>
      </w:r>
      <w:r>
        <w:t>NSQHS</w:t>
      </w:r>
      <w:r>
        <w:rPr>
          <w:spacing w:val="-1"/>
        </w:rPr>
        <w:t xml:space="preserve"> </w:t>
      </w:r>
      <w:r>
        <w:t>Standards</w:t>
      </w:r>
      <w:r>
        <w:rPr>
          <w:spacing w:val="-1"/>
        </w:rPr>
        <w:t xml:space="preserve"> </w:t>
      </w:r>
      <w:r>
        <w:t>strengthen</w:t>
      </w:r>
      <w:r>
        <w:rPr>
          <w:spacing w:val="-1"/>
        </w:rPr>
        <w:t xml:space="preserve"> </w:t>
      </w:r>
      <w:r>
        <w:t>the</w:t>
      </w:r>
      <w:r>
        <w:rPr>
          <w:spacing w:val="-1"/>
        </w:rPr>
        <w:t xml:space="preserve"> </w:t>
      </w:r>
      <w:r>
        <w:t>link</w:t>
      </w:r>
      <w:r>
        <w:rPr>
          <w:spacing w:val="-1"/>
        </w:rPr>
        <w:t xml:space="preserve"> </w:t>
      </w:r>
      <w:r>
        <w:t>between</w:t>
      </w:r>
      <w:r>
        <w:rPr>
          <w:spacing w:val="-1"/>
        </w:rPr>
        <w:t xml:space="preserve"> </w:t>
      </w:r>
      <w:r>
        <w:t>clinical</w:t>
      </w:r>
      <w:r>
        <w:rPr>
          <w:spacing w:val="-1"/>
        </w:rPr>
        <w:t xml:space="preserve"> </w:t>
      </w:r>
      <w:r>
        <w:t>governance,</w:t>
      </w:r>
      <w:r>
        <w:rPr>
          <w:spacing w:val="-1"/>
        </w:rPr>
        <w:t xml:space="preserve"> </w:t>
      </w:r>
      <w:r>
        <w:t>workforce culture, data-driven decision-making and patient outcomes. They are designed to focus on integrated, system-level safety and quality.</w:t>
      </w:r>
    </w:p>
    <w:p w14:paraId="48BE9914" w14:textId="5ABABA59" w:rsidR="009D54AF" w:rsidRDefault="00000000" w:rsidP="008F5B74">
      <w:pPr>
        <w:pStyle w:val="BodyText"/>
        <w:spacing w:before="141" w:line="278" w:lineRule="auto"/>
        <w:ind w:left="142" w:right="285"/>
      </w:pPr>
      <w:r>
        <w:t xml:space="preserve">The new </w:t>
      </w:r>
      <w:r>
        <w:rPr>
          <w:i/>
        </w:rPr>
        <w:t xml:space="preserve">National Model for Clinical Governance </w:t>
      </w:r>
      <w:r>
        <w:t xml:space="preserve">will form the basis of the Clinical Governance Standard in the third edition. The model </w:t>
      </w:r>
      <w:proofErr w:type="spellStart"/>
      <w:r>
        <w:t>emphasises</w:t>
      </w:r>
      <w:proofErr w:type="spellEnd"/>
      <w:r>
        <w:t xml:space="preserve"> the crucial role of boards and executives in establishing the right culture,</w:t>
      </w:r>
      <w:r>
        <w:rPr>
          <w:spacing w:val="-1"/>
        </w:rPr>
        <w:t xml:space="preserve"> </w:t>
      </w:r>
      <w:r>
        <w:t>systems</w:t>
      </w:r>
      <w:r>
        <w:rPr>
          <w:spacing w:val="-1"/>
        </w:rPr>
        <w:t xml:space="preserve"> </w:t>
      </w:r>
      <w:r>
        <w:t>and</w:t>
      </w:r>
      <w:r>
        <w:rPr>
          <w:spacing w:val="-1"/>
        </w:rPr>
        <w:t xml:space="preserve"> </w:t>
      </w:r>
      <w:r>
        <w:t>structures</w:t>
      </w:r>
      <w:r>
        <w:rPr>
          <w:spacing w:val="-1"/>
        </w:rPr>
        <w:t xml:space="preserve"> </w:t>
      </w:r>
      <w:r>
        <w:t>to</w:t>
      </w:r>
      <w:r>
        <w:rPr>
          <w:spacing w:val="-1"/>
        </w:rPr>
        <w:t xml:space="preserve"> </w:t>
      </w:r>
      <w:r>
        <w:t>support</w:t>
      </w:r>
      <w:r>
        <w:rPr>
          <w:spacing w:val="-1"/>
        </w:rPr>
        <w:t xml:space="preserve"> </w:t>
      </w:r>
      <w:r>
        <w:t>the</w:t>
      </w:r>
      <w:r>
        <w:rPr>
          <w:spacing w:val="-1"/>
        </w:rPr>
        <w:t xml:space="preserve"> </w:t>
      </w:r>
      <w:r>
        <w:t>workforce</w:t>
      </w:r>
      <w:r>
        <w:rPr>
          <w:spacing w:val="-1"/>
        </w:rPr>
        <w:t xml:space="preserve"> </w:t>
      </w:r>
      <w:r>
        <w:t>to</w:t>
      </w:r>
      <w:r>
        <w:rPr>
          <w:spacing w:val="-1"/>
        </w:rPr>
        <w:t xml:space="preserve"> </w:t>
      </w:r>
      <w:r>
        <w:t>deliver</w:t>
      </w:r>
      <w:r>
        <w:rPr>
          <w:spacing w:val="-1"/>
        </w:rPr>
        <w:t xml:space="preserve"> </w:t>
      </w:r>
      <w:r>
        <w:t>the</w:t>
      </w:r>
      <w:r>
        <w:rPr>
          <w:spacing w:val="-1"/>
        </w:rPr>
        <w:t xml:space="preserve"> </w:t>
      </w:r>
      <w:r>
        <w:t>best</w:t>
      </w:r>
      <w:r>
        <w:rPr>
          <w:spacing w:val="-1"/>
        </w:rPr>
        <w:t xml:space="preserve"> </w:t>
      </w:r>
      <w:r>
        <w:t>care</w:t>
      </w:r>
      <w:r>
        <w:rPr>
          <w:spacing w:val="-1"/>
        </w:rPr>
        <w:t xml:space="preserve"> </w:t>
      </w:r>
      <w:r>
        <w:t>possible.</w:t>
      </w:r>
      <w:r>
        <w:rPr>
          <w:spacing w:val="-1"/>
        </w:rPr>
        <w:t xml:space="preserve"> </w:t>
      </w:r>
      <w:r>
        <w:t>It</w:t>
      </w:r>
      <w:r>
        <w:rPr>
          <w:spacing w:val="-1"/>
        </w:rPr>
        <w:t xml:space="preserve"> </w:t>
      </w:r>
      <w:r>
        <w:t>shifts</w:t>
      </w:r>
      <w:r>
        <w:rPr>
          <w:spacing w:val="-1"/>
        </w:rPr>
        <w:t xml:space="preserve"> </w:t>
      </w:r>
      <w:r>
        <w:t>the</w:t>
      </w:r>
      <w:r>
        <w:rPr>
          <w:spacing w:val="-1"/>
        </w:rPr>
        <w:t xml:space="preserve"> </w:t>
      </w:r>
      <w:r>
        <w:t>focus</w:t>
      </w:r>
      <w:r w:rsidR="008F5B74">
        <w:t xml:space="preserve"> </w:t>
      </w:r>
      <w:r>
        <w:t>from</w:t>
      </w:r>
      <w:r>
        <w:rPr>
          <w:spacing w:val="-2"/>
        </w:rPr>
        <w:t xml:space="preserve"> </w:t>
      </w:r>
      <w:r>
        <w:t>complying</w:t>
      </w:r>
      <w:r>
        <w:rPr>
          <w:spacing w:val="-2"/>
        </w:rPr>
        <w:t xml:space="preserve"> </w:t>
      </w:r>
      <w:r>
        <w:t>with</w:t>
      </w:r>
      <w:r>
        <w:rPr>
          <w:spacing w:val="-2"/>
        </w:rPr>
        <w:t xml:space="preserve"> </w:t>
      </w:r>
      <w:r>
        <w:t>accreditation</w:t>
      </w:r>
      <w:r>
        <w:rPr>
          <w:spacing w:val="-2"/>
        </w:rPr>
        <w:t xml:space="preserve"> </w:t>
      </w:r>
      <w:r>
        <w:t>requirements</w:t>
      </w:r>
      <w:r>
        <w:rPr>
          <w:spacing w:val="-2"/>
        </w:rPr>
        <w:t xml:space="preserve"> </w:t>
      </w:r>
      <w:r>
        <w:t>as</w:t>
      </w:r>
      <w:r>
        <w:rPr>
          <w:spacing w:val="-2"/>
        </w:rPr>
        <w:t xml:space="preserve"> </w:t>
      </w:r>
      <w:r>
        <w:t>a</w:t>
      </w:r>
      <w:r>
        <w:rPr>
          <w:spacing w:val="-2"/>
        </w:rPr>
        <w:t xml:space="preserve"> </w:t>
      </w:r>
      <w:r>
        <w:t>means</w:t>
      </w:r>
      <w:r>
        <w:rPr>
          <w:spacing w:val="-2"/>
        </w:rPr>
        <w:t xml:space="preserve"> </w:t>
      </w:r>
      <w:r>
        <w:t>of</w:t>
      </w:r>
      <w:r>
        <w:rPr>
          <w:spacing w:val="-2"/>
        </w:rPr>
        <w:t xml:space="preserve"> </w:t>
      </w:r>
      <w:r>
        <w:t>building</w:t>
      </w:r>
      <w:r>
        <w:rPr>
          <w:spacing w:val="-2"/>
        </w:rPr>
        <w:t xml:space="preserve"> </w:t>
      </w:r>
      <w:r>
        <w:t>the</w:t>
      </w:r>
      <w:r>
        <w:rPr>
          <w:spacing w:val="-2"/>
        </w:rPr>
        <w:t xml:space="preserve"> </w:t>
      </w:r>
      <w:r>
        <w:t>culture</w:t>
      </w:r>
      <w:r>
        <w:rPr>
          <w:spacing w:val="-2"/>
        </w:rPr>
        <w:t xml:space="preserve"> </w:t>
      </w:r>
      <w:r>
        <w:t>of</w:t>
      </w:r>
      <w:r>
        <w:rPr>
          <w:spacing w:val="-2"/>
        </w:rPr>
        <w:t xml:space="preserve"> </w:t>
      </w:r>
      <w:r>
        <w:t>the</w:t>
      </w:r>
      <w:r>
        <w:rPr>
          <w:spacing w:val="-2"/>
        </w:rPr>
        <w:t xml:space="preserve"> </w:t>
      </w:r>
      <w:proofErr w:type="spellStart"/>
      <w:r>
        <w:t>organisation</w:t>
      </w:r>
      <w:proofErr w:type="spellEnd"/>
      <w:r>
        <w:rPr>
          <w:spacing w:val="-2"/>
        </w:rPr>
        <w:t xml:space="preserve"> </w:t>
      </w:r>
      <w:r>
        <w:t>to</w:t>
      </w:r>
      <w:r>
        <w:rPr>
          <w:spacing w:val="-2"/>
        </w:rPr>
        <w:t xml:space="preserve"> </w:t>
      </w:r>
      <w:r>
        <w:t>one in</w:t>
      </w:r>
      <w:r>
        <w:rPr>
          <w:spacing w:val="-1"/>
        </w:rPr>
        <w:t xml:space="preserve"> </w:t>
      </w:r>
      <w:r>
        <w:t>which</w:t>
      </w:r>
      <w:r>
        <w:rPr>
          <w:spacing w:val="-1"/>
        </w:rPr>
        <w:t xml:space="preserve"> </w:t>
      </w:r>
      <w:r>
        <w:t>delivery</w:t>
      </w:r>
      <w:r>
        <w:rPr>
          <w:spacing w:val="-1"/>
        </w:rPr>
        <w:t xml:space="preserve"> </w:t>
      </w:r>
      <w:r>
        <w:t>of</w:t>
      </w:r>
      <w:r>
        <w:rPr>
          <w:spacing w:val="-1"/>
        </w:rPr>
        <w:t xml:space="preserve"> </w:t>
      </w:r>
      <w:r>
        <w:t>high-quality</w:t>
      </w:r>
      <w:r>
        <w:rPr>
          <w:spacing w:val="-1"/>
        </w:rPr>
        <w:t xml:space="preserve"> </w:t>
      </w:r>
      <w:r>
        <w:t>care</w:t>
      </w:r>
      <w:r>
        <w:rPr>
          <w:spacing w:val="-1"/>
        </w:rPr>
        <w:t xml:space="preserve"> </w:t>
      </w:r>
      <w:r>
        <w:t>is</w:t>
      </w:r>
      <w:r>
        <w:rPr>
          <w:spacing w:val="-1"/>
        </w:rPr>
        <w:t xml:space="preserve"> </w:t>
      </w:r>
      <w:r>
        <w:t>the</w:t>
      </w:r>
      <w:r>
        <w:rPr>
          <w:spacing w:val="-1"/>
        </w:rPr>
        <w:t xml:space="preserve"> </w:t>
      </w:r>
      <w:r>
        <w:t>core</w:t>
      </w:r>
      <w:r>
        <w:rPr>
          <w:spacing w:val="-1"/>
        </w:rPr>
        <w:t xml:space="preserve"> </w:t>
      </w:r>
      <w:r>
        <w:t>focus</w:t>
      </w:r>
      <w:r>
        <w:rPr>
          <w:spacing w:val="-1"/>
        </w:rPr>
        <w:t xml:space="preserve"> </w:t>
      </w:r>
      <w:r>
        <w:t>of</w:t>
      </w:r>
      <w:r>
        <w:rPr>
          <w:spacing w:val="-1"/>
        </w:rPr>
        <w:t xml:space="preserve"> </w:t>
      </w:r>
      <w:r>
        <w:t>everyone</w:t>
      </w:r>
      <w:r>
        <w:rPr>
          <w:spacing w:val="-1"/>
        </w:rPr>
        <w:t xml:space="preserve"> </w:t>
      </w:r>
      <w:r>
        <w:t>in</w:t>
      </w:r>
      <w:r>
        <w:rPr>
          <w:spacing w:val="-1"/>
        </w:rPr>
        <w:t xml:space="preserve"> </w:t>
      </w:r>
      <w:r>
        <w:t>a</w:t>
      </w:r>
      <w:r>
        <w:rPr>
          <w:spacing w:val="-1"/>
        </w:rPr>
        <w:t xml:space="preserve"> </w:t>
      </w:r>
      <w:r>
        <w:t>health</w:t>
      </w:r>
      <w:r>
        <w:rPr>
          <w:spacing w:val="-1"/>
        </w:rPr>
        <w:t xml:space="preserve"> </w:t>
      </w:r>
      <w:r>
        <w:t>service,</w:t>
      </w:r>
      <w:r>
        <w:rPr>
          <w:spacing w:val="-1"/>
        </w:rPr>
        <w:t xml:space="preserve"> </w:t>
      </w:r>
      <w:r>
        <w:t>every</w:t>
      </w:r>
      <w:r>
        <w:rPr>
          <w:spacing w:val="-1"/>
        </w:rPr>
        <w:t xml:space="preserve"> </w:t>
      </w:r>
      <w:r>
        <w:t>day.</w:t>
      </w:r>
      <w:r>
        <w:rPr>
          <w:spacing w:val="-1"/>
        </w:rPr>
        <w:t xml:space="preserve"> </w:t>
      </w:r>
      <w:r>
        <w:t>The</w:t>
      </w:r>
      <w:r>
        <w:rPr>
          <w:spacing w:val="-1"/>
        </w:rPr>
        <w:t xml:space="preserve"> </w:t>
      </w:r>
      <w:r>
        <w:t xml:space="preserve">model </w:t>
      </w:r>
      <w:proofErr w:type="spellStart"/>
      <w:r>
        <w:t>emphasises</w:t>
      </w:r>
      <w:proofErr w:type="spellEnd"/>
      <w:r>
        <w:t xml:space="preserve"> the importance of workforce wellbeing, clinician engagement, and the health of Aboriginal and Torres Strait Islander peoples.</w:t>
      </w:r>
    </w:p>
    <w:p w14:paraId="53035F31" w14:textId="77777777" w:rsidR="009D54AF" w:rsidRDefault="00000000">
      <w:pPr>
        <w:pStyle w:val="BodyText"/>
        <w:spacing w:before="141" w:line="278" w:lineRule="auto"/>
        <w:ind w:left="142"/>
      </w:pPr>
      <w:r>
        <w:t>The</w:t>
      </w:r>
      <w:r>
        <w:rPr>
          <w:spacing w:val="-1"/>
        </w:rPr>
        <w:t xml:space="preserve"> </w:t>
      </w:r>
      <w:r>
        <w:t>Commission</w:t>
      </w:r>
      <w:r>
        <w:rPr>
          <w:spacing w:val="-1"/>
        </w:rPr>
        <w:t xml:space="preserve"> </w:t>
      </w:r>
      <w:r>
        <w:t>has</w:t>
      </w:r>
      <w:r>
        <w:rPr>
          <w:spacing w:val="-1"/>
        </w:rPr>
        <w:t xml:space="preserve"> </w:t>
      </w:r>
      <w:r>
        <w:t>worked</w:t>
      </w:r>
      <w:r>
        <w:rPr>
          <w:spacing w:val="-1"/>
        </w:rPr>
        <w:t xml:space="preserve"> </w:t>
      </w:r>
      <w:r>
        <w:t>with</w:t>
      </w:r>
      <w:r>
        <w:rPr>
          <w:spacing w:val="-1"/>
        </w:rPr>
        <w:t xml:space="preserve"> </w:t>
      </w:r>
      <w:r>
        <w:t>experts</w:t>
      </w:r>
      <w:r>
        <w:rPr>
          <w:spacing w:val="-1"/>
        </w:rPr>
        <w:t xml:space="preserve"> </w:t>
      </w:r>
      <w:r>
        <w:t>to</w:t>
      </w:r>
      <w:r>
        <w:rPr>
          <w:spacing w:val="-1"/>
        </w:rPr>
        <w:t xml:space="preserve"> </w:t>
      </w:r>
      <w:r>
        <w:t>refine</w:t>
      </w:r>
      <w:r>
        <w:rPr>
          <w:spacing w:val="-1"/>
        </w:rPr>
        <w:t xml:space="preserve"> </w:t>
      </w:r>
      <w:r>
        <w:t>the</w:t>
      </w:r>
      <w:r>
        <w:rPr>
          <w:spacing w:val="-1"/>
        </w:rPr>
        <w:t xml:space="preserve"> </w:t>
      </w:r>
      <w:r>
        <w:t>initial</w:t>
      </w:r>
      <w:r>
        <w:rPr>
          <w:spacing w:val="-1"/>
        </w:rPr>
        <w:t xml:space="preserve"> </w:t>
      </w:r>
      <w:r>
        <w:t>draft</w:t>
      </w:r>
      <w:r>
        <w:rPr>
          <w:spacing w:val="-1"/>
        </w:rPr>
        <w:t xml:space="preserve"> </w:t>
      </w:r>
      <w:r>
        <w:t>and</w:t>
      </w:r>
      <w:r>
        <w:rPr>
          <w:spacing w:val="-1"/>
        </w:rPr>
        <w:t xml:space="preserve"> </w:t>
      </w:r>
      <w:r>
        <w:t>plans</w:t>
      </w:r>
      <w:r>
        <w:rPr>
          <w:spacing w:val="-1"/>
        </w:rPr>
        <w:t xml:space="preserve"> </w:t>
      </w:r>
      <w:r>
        <w:t>to</w:t>
      </w:r>
      <w:r>
        <w:rPr>
          <w:spacing w:val="-1"/>
        </w:rPr>
        <w:t xml:space="preserve"> </w:t>
      </w:r>
      <w:r>
        <w:t>conduct</w:t>
      </w:r>
      <w:r>
        <w:rPr>
          <w:spacing w:val="-1"/>
        </w:rPr>
        <w:t xml:space="preserve"> </w:t>
      </w:r>
      <w:r>
        <w:t>public</w:t>
      </w:r>
      <w:r>
        <w:rPr>
          <w:spacing w:val="-1"/>
        </w:rPr>
        <w:t xml:space="preserve"> </w:t>
      </w:r>
      <w:r>
        <w:t>consultation</w:t>
      </w:r>
      <w:r>
        <w:rPr>
          <w:spacing w:val="-1"/>
        </w:rPr>
        <w:t xml:space="preserve"> </w:t>
      </w:r>
      <w:r>
        <w:t xml:space="preserve">in </w:t>
      </w:r>
      <w:r>
        <w:rPr>
          <w:spacing w:val="-2"/>
        </w:rPr>
        <w:t>2026–27.</w:t>
      </w:r>
    </w:p>
    <w:p w14:paraId="173221C8" w14:textId="77777777" w:rsidR="009D54AF" w:rsidRDefault="009D54AF">
      <w:pPr>
        <w:pStyle w:val="BodyText"/>
        <w:spacing w:before="134"/>
        <w:rPr>
          <w:sz w:val="20"/>
        </w:rPr>
      </w:pPr>
    </w:p>
    <w:tbl>
      <w:tblPr>
        <w:tblW w:w="0" w:type="auto"/>
        <w:tblInd w:w="167" w:type="dxa"/>
        <w:tblBorders>
          <w:top w:val="single" w:sz="18" w:space="0" w:color="007CAE"/>
          <w:left w:val="single" w:sz="18" w:space="0" w:color="007CAE"/>
          <w:bottom w:val="single" w:sz="18" w:space="0" w:color="007CAE"/>
          <w:right w:val="single" w:sz="18" w:space="0" w:color="007CAE"/>
          <w:insideH w:val="single" w:sz="18" w:space="0" w:color="007CAE"/>
          <w:insideV w:val="single" w:sz="18" w:space="0" w:color="007CAE"/>
        </w:tblBorders>
        <w:tblLayout w:type="fixed"/>
        <w:tblCellMar>
          <w:left w:w="0" w:type="dxa"/>
          <w:right w:w="0" w:type="dxa"/>
        </w:tblCellMar>
        <w:tblLook w:val="01E0" w:firstRow="1" w:lastRow="1" w:firstColumn="1" w:lastColumn="1" w:noHBand="0" w:noVBand="0"/>
      </w:tblPr>
      <w:tblGrid>
        <w:gridCol w:w="10205"/>
      </w:tblGrid>
      <w:tr w:rsidR="009D54AF" w14:paraId="2640C3FD" w14:textId="77777777">
        <w:trPr>
          <w:trHeight w:val="913"/>
        </w:trPr>
        <w:tc>
          <w:tcPr>
            <w:tcW w:w="10205" w:type="dxa"/>
            <w:shd w:val="clear" w:color="auto" w:fill="B3E1EA"/>
          </w:tcPr>
          <w:p w14:paraId="7946A54F" w14:textId="77777777" w:rsidR="009D54AF" w:rsidRDefault="00000000">
            <w:pPr>
              <w:pStyle w:val="TableParagraph"/>
              <w:spacing w:before="154" w:line="242" w:lineRule="auto"/>
              <w:ind w:left="280" w:right="316"/>
              <w:rPr>
                <w:b/>
                <w:sz w:val="24"/>
              </w:rPr>
            </w:pPr>
            <w:r>
              <w:rPr>
                <w:b/>
                <w:sz w:val="24"/>
              </w:rPr>
              <w:t>Case</w:t>
            </w:r>
            <w:r>
              <w:rPr>
                <w:b/>
                <w:spacing w:val="-4"/>
                <w:sz w:val="24"/>
              </w:rPr>
              <w:t xml:space="preserve"> </w:t>
            </w:r>
            <w:r>
              <w:rPr>
                <w:b/>
                <w:sz w:val="24"/>
              </w:rPr>
              <w:t>study:</w:t>
            </w:r>
            <w:r>
              <w:rPr>
                <w:b/>
                <w:spacing w:val="-4"/>
                <w:sz w:val="24"/>
              </w:rPr>
              <w:t xml:space="preserve"> </w:t>
            </w:r>
            <w:r>
              <w:rPr>
                <w:b/>
                <w:sz w:val="24"/>
              </w:rPr>
              <w:t>Engaging</w:t>
            </w:r>
            <w:r>
              <w:rPr>
                <w:b/>
                <w:spacing w:val="-4"/>
                <w:sz w:val="24"/>
              </w:rPr>
              <w:t xml:space="preserve"> </w:t>
            </w:r>
            <w:r>
              <w:rPr>
                <w:b/>
                <w:sz w:val="24"/>
              </w:rPr>
              <w:t>the</w:t>
            </w:r>
            <w:r>
              <w:rPr>
                <w:b/>
                <w:spacing w:val="-4"/>
                <w:sz w:val="24"/>
              </w:rPr>
              <w:t xml:space="preserve"> </w:t>
            </w:r>
            <w:r>
              <w:rPr>
                <w:b/>
                <w:sz w:val="24"/>
              </w:rPr>
              <w:t>system</w:t>
            </w:r>
            <w:r>
              <w:rPr>
                <w:b/>
                <w:spacing w:val="-4"/>
                <w:sz w:val="24"/>
              </w:rPr>
              <w:t xml:space="preserve"> </w:t>
            </w:r>
            <w:r>
              <w:rPr>
                <w:b/>
                <w:sz w:val="24"/>
              </w:rPr>
              <w:t>–</w:t>
            </w:r>
            <w:r>
              <w:rPr>
                <w:b/>
                <w:spacing w:val="-4"/>
                <w:sz w:val="24"/>
              </w:rPr>
              <w:t xml:space="preserve"> </w:t>
            </w:r>
            <w:r>
              <w:rPr>
                <w:b/>
                <w:sz w:val="24"/>
              </w:rPr>
              <w:t>public</w:t>
            </w:r>
            <w:r>
              <w:rPr>
                <w:b/>
                <w:spacing w:val="-4"/>
                <w:sz w:val="24"/>
              </w:rPr>
              <w:t xml:space="preserve"> </w:t>
            </w:r>
            <w:r>
              <w:rPr>
                <w:b/>
                <w:sz w:val="24"/>
              </w:rPr>
              <w:t>consultation</w:t>
            </w:r>
            <w:r>
              <w:rPr>
                <w:b/>
                <w:spacing w:val="-4"/>
                <w:sz w:val="24"/>
              </w:rPr>
              <w:t xml:space="preserve"> </w:t>
            </w:r>
            <w:r>
              <w:rPr>
                <w:b/>
                <w:sz w:val="24"/>
              </w:rPr>
              <w:t>on</w:t>
            </w:r>
            <w:r>
              <w:rPr>
                <w:b/>
                <w:spacing w:val="-4"/>
                <w:sz w:val="24"/>
              </w:rPr>
              <w:t xml:space="preserve"> </w:t>
            </w:r>
            <w:r>
              <w:rPr>
                <w:b/>
                <w:sz w:val="24"/>
              </w:rPr>
              <w:t>the</w:t>
            </w:r>
            <w:r>
              <w:rPr>
                <w:b/>
                <w:spacing w:val="-4"/>
                <w:sz w:val="24"/>
              </w:rPr>
              <w:t xml:space="preserve"> </w:t>
            </w:r>
            <w:r>
              <w:rPr>
                <w:b/>
                <w:sz w:val="24"/>
              </w:rPr>
              <w:t>NSQHS</w:t>
            </w:r>
            <w:r>
              <w:rPr>
                <w:b/>
                <w:spacing w:val="-4"/>
                <w:sz w:val="24"/>
              </w:rPr>
              <w:t xml:space="preserve"> </w:t>
            </w:r>
            <w:r>
              <w:rPr>
                <w:b/>
                <w:sz w:val="24"/>
              </w:rPr>
              <w:t>Standards (third edition)</w:t>
            </w:r>
          </w:p>
        </w:tc>
      </w:tr>
      <w:tr w:rsidR="009D54AF" w14:paraId="5A18D614" w14:textId="77777777">
        <w:trPr>
          <w:trHeight w:val="5732"/>
        </w:trPr>
        <w:tc>
          <w:tcPr>
            <w:tcW w:w="10205" w:type="dxa"/>
            <w:shd w:val="clear" w:color="auto" w:fill="ECF7FA"/>
          </w:tcPr>
          <w:p w14:paraId="1DAB895E" w14:textId="77777777" w:rsidR="009D54AF" w:rsidRDefault="00000000">
            <w:pPr>
              <w:pStyle w:val="TableParagraph"/>
              <w:spacing w:before="180" w:line="278" w:lineRule="auto"/>
              <w:ind w:left="280" w:right="292"/>
              <w:rPr>
                <w:sz w:val="21"/>
              </w:rPr>
            </w:pPr>
            <w:r>
              <w:rPr>
                <w:sz w:val="21"/>
              </w:rPr>
              <w:t>The first public consultation on the third edition demonstrated how a well-planned, multichannel approach can deliver both strong reach and rich, actionable feedback. Between late April and November 2025, the Commission delivered a comprehensive consultation program to identify the</w:t>
            </w:r>
            <w:r>
              <w:rPr>
                <w:spacing w:val="40"/>
                <w:sz w:val="21"/>
              </w:rPr>
              <w:t xml:space="preserve"> </w:t>
            </w:r>
            <w:r>
              <w:rPr>
                <w:sz w:val="21"/>
              </w:rPr>
              <w:t>health</w:t>
            </w:r>
            <w:r>
              <w:rPr>
                <w:spacing w:val="-3"/>
                <w:sz w:val="21"/>
              </w:rPr>
              <w:t xml:space="preserve"> </w:t>
            </w:r>
            <w:r>
              <w:rPr>
                <w:sz w:val="21"/>
              </w:rPr>
              <w:t>system’s</w:t>
            </w:r>
            <w:r>
              <w:rPr>
                <w:spacing w:val="-3"/>
                <w:sz w:val="21"/>
              </w:rPr>
              <w:t xml:space="preserve"> </w:t>
            </w:r>
            <w:r>
              <w:rPr>
                <w:sz w:val="21"/>
              </w:rPr>
              <w:t>needs</w:t>
            </w:r>
            <w:r>
              <w:rPr>
                <w:spacing w:val="-3"/>
                <w:sz w:val="21"/>
              </w:rPr>
              <w:t xml:space="preserve"> </w:t>
            </w:r>
            <w:r>
              <w:rPr>
                <w:sz w:val="21"/>
              </w:rPr>
              <w:t>for</w:t>
            </w:r>
            <w:r>
              <w:rPr>
                <w:spacing w:val="-3"/>
                <w:sz w:val="21"/>
              </w:rPr>
              <w:t xml:space="preserve"> </w:t>
            </w:r>
            <w:r>
              <w:rPr>
                <w:sz w:val="21"/>
              </w:rPr>
              <w:t>the</w:t>
            </w:r>
            <w:r>
              <w:rPr>
                <w:spacing w:val="-3"/>
                <w:sz w:val="21"/>
              </w:rPr>
              <w:t xml:space="preserve"> </w:t>
            </w:r>
            <w:r>
              <w:rPr>
                <w:sz w:val="21"/>
              </w:rPr>
              <w:t>third</w:t>
            </w:r>
            <w:r>
              <w:rPr>
                <w:spacing w:val="-3"/>
                <w:sz w:val="21"/>
              </w:rPr>
              <w:t xml:space="preserve"> </w:t>
            </w:r>
            <w:r>
              <w:rPr>
                <w:sz w:val="21"/>
              </w:rPr>
              <w:t>edition</w:t>
            </w:r>
            <w:r>
              <w:rPr>
                <w:spacing w:val="-3"/>
                <w:sz w:val="21"/>
              </w:rPr>
              <w:t xml:space="preserve"> </w:t>
            </w:r>
            <w:r>
              <w:rPr>
                <w:sz w:val="21"/>
              </w:rPr>
              <w:t>of</w:t>
            </w:r>
            <w:r>
              <w:rPr>
                <w:spacing w:val="-3"/>
                <w:sz w:val="21"/>
              </w:rPr>
              <w:t xml:space="preserve"> </w:t>
            </w:r>
            <w:r>
              <w:rPr>
                <w:sz w:val="21"/>
              </w:rPr>
              <w:t>the</w:t>
            </w:r>
            <w:r>
              <w:rPr>
                <w:spacing w:val="-3"/>
                <w:sz w:val="21"/>
              </w:rPr>
              <w:t xml:space="preserve"> </w:t>
            </w:r>
            <w:r>
              <w:rPr>
                <w:sz w:val="21"/>
              </w:rPr>
              <w:t>NSQHS</w:t>
            </w:r>
            <w:r>
              <w:rPr>
                <w:spacing w:val="-3"/>
                <w:sz w:val="21"/>
              </w:rPr>
              <w:t xml:space="preserve"> </w:t>
            </w:r>
            <w:r>
              <w:rPr>
                <w:sz w:val="21"/>
              </w:rPr>
              <w:t>Standards.</w:t>
            </w:r>
            <w:r>
              <w:rPr>
                <w:spacing w:val="-3"/>
                <w:sz w:val="21"/>
              </w:rPr>
              <w:t xml:space="preserve"> </w:t>
            </w:r>
            <w:r>
              <w:rPr>
                <w:sz w:val="21"/>
              </w:rPr>
              <w:t>The</w:t>
            </w:r>
            <w:r>
              <w:rPr>
                <w:spacing w:val="-3"/>
                <w:sz w:val="21"/>
              </w:rPr>
              <w:t xml:space="preserve"> </w:t>
            </w:r>
            <w:r>
              <w:rPr>
                <w:sz w:val="21"/>
              </w:rPr>
              <w:t>consultation</w:t>
            </w:r>
            <w:r>
              <w:rPr>
                <w:spacing w:val="-3"/>
                <w:sz w:val="21"/>
              </w:rPr>
              <w:t xml:space="preserve"> </w:t>
            </w:r>
            <w:r>
              <w:rPr>
                <w:sz w:val="21"/>
              </w:rPr>
              <w:t>had</w:t>
            </w:r>
            <w:r>
              <w:rPr>
                <w:spacing w:val="-3"/>
                <w:sz w:val="21"/>
              </w:rPr>
              <w:t xml:space="preserve"> </w:t>
            </w:r>
            <w:r>
              <w:rPr>
                <w:sz w:val="21"/>
              </w:rPr>
              <w:t>a</w:t>
            </w:r>
            <w:r>
              <w:rPr>
                <w:spacing w:val="-3"/>
                <w:sz w:val="21"/>
              </w:rPr>
              <w:t xml:space="preserve"> </w:t>
            </w:r>
            <w:r>
              <w:rPr>
                <w:sz w:val="21"/>
              </w:rPr>
              <w:t>clear</w:t>
            </w:r>
            <w:r>
              <w:rPr>
                <w:spacing w:val="-3"/>
                <w:sz w:val="21"/>
              </w:rPr>
              <w:t xml:space="preserve"> </w:t>
            </w:r>
            <w:r>
              <w:rPr>
                <w:sz w:val="21"/>
              </w:rPr>
              <w:t>focus on priority groups, whose voices have historically been under-represented in standards development.</w:t>
            </w:r>
          </w:p>
          <w:p w14:paraId="58C1A76D" w14:textId="77777777" w:rsidR="009D54AF" w:rsidRDefault="00000000">
            <w:pPr>
              <w:pStyle w:val="TableParagraph"/>
              <w:spacing w:before="226" w:line="278" w:lineRule="auto"/>
              <w:ind w:left="280" w:right="316"/>
              <w:rPr>
                <w:sz w:val="21"/>
              </w:rPr>
            </w:pPr>
            <w:r>
              <w:rPr>
                <w:sz w:val="21"/>
              </w:rPr>
              <w:t xml:space="preserve">Peak consumer </w:t>
            </w:r>
            <w:proofErr w:type="spellStart"/>
            <w:r>
              <w:rPr>
                <w:sz w:val="21"/>
              </w:rPr>
              <w:t>organisations</w:t>
            </w:r>
            <w:proofErr w:type="spellEnd"/>
            <w:r>
              <w:rPr>
                <w:sz w:val="21"/>
              </w:rPr>
              <w:t xml:space="preserve"> were contracted to coordinate consumer focus groups</w:t>
            </w:r>
            <w:r>
              <w:rPr>
                <w:spacing w:val="-2"/>
                <w:sz w:val="21"/>
              </w:rPr>
              <w:t xml:space="preserve"> </w:t>
            </w:r>
            <w:r>
              <w:rPr>
                <w:sz w:val="21"/>
              </w:rPr>
              <w:t>and</w:t>
            </w:r>
            <w:r>
              <w:rPr>
                <w:spacing w:val="-2"/>
                <w:sz w:val="21"/>
              </w:rPr>
              <w:t xml:space="preserve"> </w:t>
            </w:r>
            <w:r>
              <w:rPr>
                <w:sz w:val="21"/>
              </w:rPr>
              <w:t>to</w:t>
            </w:r>
            <w:r>
              <w:rPr>
                <w:spacing w:val="-2"/>
                <w:sz w:val="21"/>
              </w:rPr>
              <w:t xml:space="preserve"> </w:t>
            </w:r>
            <w:r>
              <w:rPr>
                <w:sz w:val="21"/>
              </w:rPr>
              <w:t xml:space="preserve">support </w:t>
            </w:r>
            <w:r>
              <w:rPr>
                <w:spacing w:val="-2"/>
                <w:sz w:val="21"/>
              </w:rPr>
              <w:t>participation</w:t>
            </w:r>
            <w:r>
              <w:rPr>
                <w:spacing w:val="-9"/>
                <w:sz w:val="21"/>
              </w:rPr>
              <w:t xml:space="preserve"> </w:t>
            </w:r>
            <w:r>
              <w:rPr>
                <w:spacing w:val="-2"/>
                <w:sz w:val="21"/>
              </w:rPr>
              <w:t>from</w:t>
            </w:r>
            <w:r>
              <w:rPr>
                <w:spacing w:val="-9"/>
                <w:sz w:val="21"/>
              </w:rPr>
              <w:t xml:space="preserve"> </w:t>
            </w:r>
            <w:r>
              <w:rPr>
                <w:spacing w:val="-2"/>
                <w:sz w:val="21"/>
              </w:rPr>
              <w:t>First</w:t>
            </w:r>
            <w:r>
              <w:rPr>
                <w:spacing w:val="-9"/>
                <w:sz w:val="21"/>
              </w:rPr>
              <w:t xml:space="preserve"> </w:t>
            </w:r>
            <w:r>
              <w:rPr>
                <w:spacing w:val="-2"/>
                <w:sz w:val="21"/>
              </w:rPr>
              <w:t>Nations</w:t>
            </w:r>
            <w:r>
              <w:rPr>
                <w:spacing w:val="-9"/>
                <w:sz w:val="21"/>
              </w:rPr>
              <w:t xml:space="preserve"> </w:t>
            </w:r>
            <w:r>
              <w:rPr>
                <w:spacing w:val="-2"/>
                <w:sz w:val="21"/>
              </w:rPr>
              <w:t>people,</w:t>
            </w:r>
            <w:r>
              <w:rPr>
                <w:spacing w:val="-9"/>
                <w:sz w:val="21"/>
              </w:rPr>
              <w:t xml:space="preserve"> </w:t>
            </w:r>
            <w:r>
              <w:rPr>
                <w:spacing w:val="-2"/>
                <w:sz w:val="21"/>
              </w:rPr>
              <w:t>people</w:t>
            </w:r>
            <w:r>
              <w:rPr>
                <w:spacing w:val="-9"/>
                <w:sz w:val="21"/>
              </w:rPr>
              <w:t xml:space="preserve"> </w:t>
            </w:r>
            <w:r>
              <w:rPr>
                <w:spacing w:val="-2"/>
                <w:sz w:val="21"/>
              </w:rPr>
              <w:t>with</w:t>
            </w:r>
            <w:r>
              <w:rPr>
                <w:spacing w:val="-9"/>
                <w:sz w:val="21"/>
              </w:rPr>
              <w:t xml:space="preserve"> </w:t>
            </w:r>
            <w:r>
              <w:rPr>
                <w:spacing w:val="-2"/>
                <w:sz w:val="21"/>
              </w:rPr>
              <w:t>disability,</w:t>
            </w:r>
            <w:r>
              <w:rPr>
                <w:spacing w:val="-9"/>
                <w:sz w:val="21"/>
              </w:rPr>
              <w:t xml:space="preserve"> </w:t>
            </w:r>
            <w:r>
              <w:rPr>
                <w:spacing w:val="-2"/>
                <w:sz w:val="21"/>
              </w:rPr>
              <w:t xml:space="preserve">and people from culturally and linguistically </w:t>
            </w:r>
            <w:r>
              <w:rPr>
                <w:sz w:val="21"/>
              </w:rPr>
              <w:t>diverse communities. Aboriginal and Torres Strait Islander stakeholders were engaged through dedicated forums and the Aboriginal and Torres Strait Islander Health Advisory Group.</w:t>
            </w:r>
          </w:p>
          <w:p w14:paraId="1840D6FE" w14:textId="77777777" w:rsidR="009D54AF" w:rsidRDefault="00000000">
            <w:pPr>
              <w:pStyle w:val="TableParagraph"/>
              <w:spacing w:before="226"/>
              <w:ind w:left="280"/>
              <w:rPr>
                <w:sz w:val="21"/>
              </w:rPr>
            </w:pPr>
            <w:r>
              <w:rPr>
                <w:sz w:val="21"/>
              </w:rPr>
              <w:t>The</w:t>
            </w:r>
            <w:r>
              <w:rPr>
                <w:spacing w:val="-1"/>
                <w:sz w:val="21"/>
              </w:rPr>
              <w:t xml:space="preserve"> </w:t>
            </w:r>
            <w:r>
              <w:rPr>
                <w:sz w:val="21"/>
              </w:rPr>
              <w:t>engagement</w:t>
            </w:r>
            <w:r>
              <w:rPr>
                <w:spacing w:val="-1"/>
                <w:sz w:val="21"/>
              </w:rPr>
              <w:t xml:space="preserve"> </w:t>
            </w:r>
            <w:r>
              <w:rPr>
                <w:sz w:val="21"/>
              </w:rPr>
              <w:t>activities</w:t>
            </w:r>
            <w:r>
              <w:rPr>
                <w:spacing w:val="-1"/>
                <w:sz w:val="21"/>
              </w:rPr>
              <w:t xml:space="preserve"> </w:t>
            </w:r>
            <w:r>
              <w:rPr>
                <w:spacing w:val="-2"/>
                <w:sz w:val="21"/>
              </w:rPr>
              <w:t>included:</w:t>
            </w:r>
          </w:p>
          <w:p w14:paraId="0A849250" w14:textId="77777777" w:rsidR="009D54AF" w:rsidRDefault="00000000">
            <w:pPr>
              <w:pStyle w:val="TableParagraph"/>
              <w:numPr>
                <w:ilvl w:val="0"/>
                <w:numId w:val="34"/>
              </w:numPr>
              <w:tabs>
                <w:tab w:val="left" w:pos="563"/>
              </w:tabs>
              <w:spacing w:before="95"/>
              <w:ind w:left="563" w:hanging="268"/>
              <w:rPr>
                <w:sz w:val="21"/>
              </w:rPr>
            </w:pPr>
            <w:r>
              <w:rPr>
                <w:sz w:val="21"/>
              </w:rPr>
              <w:t>facilitation</w:t>
            </w:r>
            <w:r>
              <w:rPr>
                <w:spacing w:val="-6"/>
                <w:sz w:val="21"/>
              </w:rPr>
              <w:t xml:space="preserve"> </w:t>
            </w:r>
            <w:r>
              <w:rPr>
                <w:sz w:val="21"/>
              </w:rPr>
              <w:t>of</w:t>
            </w:r>
            <w:r>
              <w:rPr>
                <w:spacing w:val="-3"/>
                <w:sz w:val="21"/>
              </w:rPr>
              <w:t xml:space="preserve"> </w:t>
            </w:r>
            <w:r>
              <w:rPr>
                <w:sz w:val="21"/>
              </w:rPr>
              <w:t>87</w:t>
            </w:r>
            <w:r>
              <w:rPr>
                <w:spacing w:val="-3"/>
                <w:sz w:val="21"/>
              </w:rPr>
              <w:t xml:space="preserve"> </w:t>
            </w:r>
            <w:r>
              <w:rPr>
                <w:sz w:val="21"/>
              </w:rPr>
              <w:t>forums</w:t>
            </w:r>
            <w:r>
              <w:rPr>
                <w:spacing w:val="-4"/>
                <w:sz w:val="21"/>
              </w:rPr>
              <w:t xml:space="preserve"> </w:t>
            </w:r>
            <w:r>
              <w:rPr>
                <w:sz w:val="21"/>
              </w:rPr>
              <w:t>(attended</w:t>
            </w:r>
            <w:r>
              <w:rPr>
                <w:spacing w:val="-3"/>
                <w:sz w:val="21"/>
              </w:rPr>
              <w:t xml:space="preserve"> </w:t>
            </w:r>
            <w:r>
              <w:rPr>
                <w:sz w:val="21"/>
              </w:rPr>
              <w:t>by</w:t>
            </w:r>
            <w:r>
              <w:rPr>
                <w:spacing w:val="-3"/>
                <w:sz w:val="21"/>
              </w:rPr>
              <w:t xml:space="preserve"> </w:t>
            </w:r>
            <w:r>
              <w:rPr>
                <w:sz w:val="21"/>
              </w:rPr>
              <w:t>more</w:t>
            </w:r>
            <w:r>
              <w:rPr>
                <w:spacing w:val="-4"/>
                <w:sz w:val="21"/>
              </w:rPr>
              <w:t xml:space="preserve"> </w:t>
            </w:r>
            <w:r>
              <w:rPr>
                <w:sz w:val="21"/>
              </w:rPr>
              <w:t>than</w:t>
            </w:r>
            <w:r>
              <w:rPr>
                <w:spacing w:val="-3"/>
                <w:sz w:val="21"/>
              </w:rPr>
              <w:t xml:space="preserve"> </w:t>
            </w:r>
            <w:r>
              <w:rPr>
                <w:sz w:val="21"/>
              </w:rPr>
              <w:t>1,400</w:t>
            </w:r>
            <w:r>
              <w:rPr>
                <w:spacing w:val="-3"/>
                <w:sz w:val="21"/>
              </w:rPr>
              <w:t xml:space="preserve"> </w:t>
            </w:r>
            <w:r>
              <w:rPr>
                <w:spacing w:val="-2"/>
                <w:sz w:val="21"/>
              </w:rPr>
              <w:t>participants)</w:t>
            </w:r>
          </w:p>
          <w:p w14:paraId="1AEDB7D8" w14:textId="77777777" w:rsidR="009D54AF" w:rsidRDefault="00000000">
            <w:pPr>
              <w:pStyle w:val="TableParagraph"/>
              <w:numPr>
                <w:ilvl w:val="0"/>
                <w:numId w:val="34"/>
              </w:numPr>
              <w:tabs>
                <w:tab w:val="left" w:pos="563"/>
              </w:tabs>
              <w:spacing w:before="96"/>
              <w:ind w:left="563" w:hanging="268"/>
              <w:rPr>
                <w:sz w:val="21"/>
              </w:rPr>
            </w:pPr>
            <w:r>
              <w:rPr>
                <w:sz w:val="21"/>
              </w:rPr>
              <w:t>analysis</w:t>
            </w:r>
            <w:r>
              <w:rPr>
                <w:spacing w:val="-6"/>
                <w:sz w:val="21"/>
              </w:rPr>
              <w:t xml:space="preserve"> </w:t>
            </w:r>
            <w:r>
              <w:rPr>
                <w:sz w:val="21"/>
              </w:rPr>
              <w:t>of</w:t>
            </w:r>
            <w:r>
              <w:rPr>
                <w:spacing w:val="-4"/>
                <w:sz w:val="21"/>
              </w:rPr>
              <w:t xml:space="preserve"> </w:t>
            </w:r>
            <w:r>
              <w:rPr>
                <w:sz w:val="21"/>
              </w:rPr>
              <w:t>1,046</w:t>
            </w:r>
            <w:r>
              <w:rPr>
                <w:spacing w:val="-4"/>
                <w:sz w:val="21"/>
              </w:rPr>
              <w:t xml:space="preserve"> </w:t>
            </w:r>
            <w:r>
              <w:rPr>
                <w:sz w:val="21"/>
              </w:rPr>
              <w:t>surveys</w:t>
            </w:r>
            <w:r>
              <w:rPr>
                <w:spacing w:val="-4"/>
                <w:sz w:val="21"/>
              </w:rPr>
              <w:t xml:space="preserve"> </w:t>
            </w:r>
            <w:r>
              <w:rPr>
                <w:sz w:val="21"/>
              </w:rPr>
              <w:t>responses</w:t>
            </w:r>
            <w:r>
              <w:rPr>
                <w:spacing w:val="-3"/>
                <w:sz w:val="21"/>
              </w:rPr>
              <w:t xml:space="preserve"> </w:t>
            </w:r>
            <w:r>
              <w:rPr>
                <w:sz w:val="21"/>
              </w:rPr>
              <w:t>(with</w:t>
            </w:r>
            <w:r>
              <w:rPr>
                <w:spacing w:val="-4"/>
                <w:sz w:val="21"/>
              </w:rPr>
              <w:t xml:space="preserve"> </w:t>
            </w:r>
            <w:r>
              <w:rPr>
                <w:sz w:val="21"/>
              </w:rPr>
              <w:t>47%</w:t>
            </w:r>
            <w:r>
              <w:rPr>
                <w:spacing w:val="-4"/>
                <w:sz w:val="21"/>
              </w:rPr>
              <w:t xml:space="preserve"> </w:t>
            </w:r>
            <w:r>
              <w:rPr>
                <w:sz w:val="21"/>
              </w:rPr>
              <w:t>received</w:t>
            </w:r>
            <w:r>
              <w:rPr>
                <w:spacing w:val="-4"/>
                <w:sz w:val="21"/>
              </w:rPr>
              <w:t xml:space="preserve"> </w:t>
            </w:r>
            <w:r>
              <w:rPr>
                <w:sz w:val="21"/>
              </w:rPr>
              <w:t>from</w:t>
            </w:r>
            <w:r>
              <w:rPr>
                <w:spacing w:val="-4"/>
                <w:sz w:val="21"/>
              </w:rPr>
              <w:t xml:space="preserve"> </w:t>
            </w:r>
            <w:r>
              <w:rPr>
                <w:sz w:val="21"/>
              </w:rPr>
              <w:t>the</w:t>
            </w:r>
            <w:r>
              <w:rPr>
                <w:spacing w:val="-3"/>
                <w:sz w:val="21"/>
              </w:rPr>
              <w:t xml:space="preserve"> </w:t>
            </w:r>
            <w:r>
              <w:rPr>
                <w:spacing w:val="-2"/>
                <w:sz w:val="21"/>
              </w:rPr>
              <w:t>community)</w:t>
            </w:r>
          </w:p>
          <w:p w14:paraId="2CB29676" w14:textId="77777777" w:rsidR="009D54AF" w:rsidRDefault="00000000">
            <w:pPr>
              <w:pStyle w:val="TableParagraph"/>
              <w:numPr>
                <w:ilvl w:val="0"/>
                <w:numId w:val="34"/>
              </w:numPr>
              <w:tabs>
                <w:tab w:val="left" w:pos="563"/>
              </w:tabs>
              <w:spacing w:before="95"/>
              <w:ind w:left="563" w:hanging="268"/>
              <w:rPr>
                <w:sz w:val="21"/>
              </w:rPr>
            </w:pPr>
            <w:r>
              <w:rPr>
                <w:sz w:val="21"/>
              </w:rPr>
              <w:t>review</w:t>
            </w:r>
            <w:r>
              <w:rPr>
                <w:spacing w:val="-5"/>
                <w:sz w:val="21"/>
              </w:rPr>
              <w:t xml:space="preserve"> </w:t>
            </w:r>
            <w:r>
              <w:rPr>
                <w:sz w:val="21"/>
              </w:rPr>
              <w:t>of</w:t>
            </w:r>
            <w:r>
              <w:rPr>
                <w:spacing w:val="-3"/>
                <w:sz w:val="21"/>
              </w:rPr>
              <w:t xml:space="preserve"> </w:t>
            </w:r>
            <w:r>
              <w:rPr>
                <w:sz w:val="21"/>
              </w:rPr>
              <w:t>7,500</w:t>
            </w:r>
            <w:r>
              <w:rPr>
                <w:spacing w:val="-3"/>
                <w:sz w:val="21"/>
              </w:rPr>
              <w:t xml:space="preserve"> </w:t>
            </w:r>
            <w:r>
              <w:rPr>
                <w:sz w:val="21"/>
              </w:rPr>
              <w:t>pieces</w:t>
            </w:r>
            <w:r>
              <w:rPr>
                <w:spacing w:val="-3"/>
                <w:sz w:val="21"/>
              </w:rPr>
              <w:t xml:space="preserve"> </w:t>
            </w:r>
            <w:r>
              <w:rPr>
                <w:sz w:val="21"/>
              </w:rPr>
              <w:t>of</w:t>
            </w:r>
            <w:r>
              <w:rPr>
                <w:spacing w:val="-3"/>
                <w:sz w:val="21"/>
              </w:rPr>
              <w:t xml:space="preserve"> </w:t>
            </w:r>
            <w:r>
              <w:rPr>
                <w:sz w:val="21"/>
              </w:rPr>
              <w:t>coded</w:t>
            </w:r>
            <w:r>
              <w:rPr>
                <w:spacing w:val="-3"/>
                <w:sz w:val="21"/>
              </w:rPr>
              <w:t xml:space="preserve"> </w:t>
            </w:r>
            <w:r>
              <w:rPr>
                <w:sz w:val="21"/>
              </w:rPr>
              <w:t>feedback</w:t>
            </w:r>
            <w:r>
              <w:rPr>
                <w:spacing w:val="-3"/>
                <w:sz w:val="21"/>
              </w:rPr>
              <w:t xml:space="preserve"> </w:t>
            </w:r>
            <w:r>
              <w:rPr>
                <w:sz w:val="21"/>
              </w:rPr>
              <w:t>(including</w:t>
            </w:r>
            <w:r>
              <w:rPr>
                <w:spacing w:val="-3"/>
                <w:sz w:val="21"/>
              </w:rPr>
              <w:t xml:space="preserve"> </w:t>
            </w:r>
            <w:r>
              <w:rPr>
                <w:sz w:val="21"/>
              </w:rPr>
              <w:t>from</w:t>
            </w:r>
            <w:r>
              <w:rPr>
                <w:spacing w:val="-3"/>
                <w:sz w:val="21"/>
              </w:rPr>
              <w:t xml:space="preserve"> </w:t>
            </w:r>
            <w:r>
              <w:rPr>
                <w:sz w:val="21"/>
              </w:rPr>
              <w:t>193</w:t>
            </w:r>
            <w:r>
              <w:rPr>
                <w:spacing w:val="-3"/>
                <w:sz w:val="21"/>
              </w:rPr>
              <w:t xml:space="preserve"> </w:t>
            </w:r>
            <w:r>
              <w:rPr>
                <w:sz w:val="21"/>
              </w:rPr>
              <w:t>detailed</w:t>
            </w:r>
            <w:r>
              <w:rPr>
                <w:spacing w:val="-3"/>
                <w:sz w:val="21"/>
              </w:rPr>
              <w:t xml:space="preserve"> </w:t>
            </w:r>
            <w:r>
              <w:rPr>
                <w:sz w:val="21"/>
              </w:rPr>
              <w:t>written</w:t>
            </w:r>
            <w:r>
              <w:rPr>
                <w:spacing w:val="-3"/>
                <w:sz w:val="21"/>
              </w:rPr>
              <w:t xml:space="preserve"> </w:t>
            </w:r>
            <w:r>
              <w:rPr>
                <w:spacing w:val="-2"/>
                <w:sz w:val="21"/>
              </w:rPr>
              <w:t>submissions).</w:t>
            </w:r>
          </w:p>
          <w:p w14:paraId="5A430129" w14:textId="77777777" w:rsidR="009D54AF" w:rsidRDefault="009D54AF">
            <w:pPr>
              <w:pStyle w:val="TableParagraph"/>
              <w:spacing w:before="24"/>
              <w:rPr>
                <w:sz w:val="21"/>
              </w:rPr>
            </w:pPr>
          </w:p>
          <w:p w14:paraId="579068FF" w14:textId="77777777" w:rsidR="009D54AF" w:rsidRDefault="00000000">
            <w:pPr>
              <w:pStyle w:val="TableParagraph"/>
              <w:spacing w:line="278" w:lineRule="auto"/>
              <w:ind w:left="280" w:right="316"/>
              <w:rPr>
                <w:sz w:val="21"/>
              </w:rPr>
            </w:pPr>
            <w:r>
              <w:rPr>
                <w:sz w:val="21"/>
              </w:rPr>
              <w:t>This</w:t>
            </w:r>
            <w:r>
              <w:rPr>
                <w:spacing w:val="-3"/>
                <w:sz w:val="21"/>
              </w:rPr>
              <w:t xml:space="preserve"> </w:t>
            </w:r>
            <w:r>
              <w:rPr>
                <w:sz w:val="21"/>
              </w:rPr>
              <w:t>wealth</w:t>
            </w:r>
            <w:r>
              <w:rPr>
                <w:spacing w:val="-3"/>
                <w:sz w:val="21"/>
              </w:rPr>
              <w:t xml:space="preserve"> </w:t>
            </w:r>
            <w:r>
              <w:rPr>
                <w:sz w:val="21"/>
              </w:rPr>
              <w:t>of</w:t>
            </w:r>
            <w:r>
              <w:rPr>
                <w:spacing w:val="-3"/>
                <w:sz w:val="21"/>
              </w:rPr>
              <w:t xml:space="preserve"> </w:t>
            </w:r>
            <w:r>
              <w:rPr>
                <w:sz w:val="21"/>
              </w:rPr>
              <w:t>feedback</w:t>
            </w:r>
            <w:r>
              <w:rPr>
                <w:spacing w:val="-3"/>
                <w:sz w:val="21"/>
              </w:rPr>
              <w:t xml:space="preserve"> </w:t>
            </w:r>
            <w:r>
              <w:rPr>
                <w:sz w:val="21"/>
              </w:rPr>
              <w:t>provided</w:t>
            </w:r>
            <w:r>
              <w:rPr>
                <w:spacing w:val="-3"/>
                <w:sz w:val="21"/>
              </w:rPr>
              <w:t xml:space="preserve"> </w:t>
            </w:r>
            <w:r>
              <w:rPr>
                <w:sz w:val="21"/>
              </w:rPr>
              <w:t>a</w:t>
            </w:r>
            <w:r>
              <w:rPr>
                <w:spacing w:val="-3"/>
                <w:sz w:val="21"/>
              </w:rPr>
              <w:t xml:space="preserve"> </w:t>
            </w:r>
            <w:r>
              <w:rPr>
                <w:sz w:val="21"/>
              </w:rPr>
              <w:t>strong,</w:t>
            </w:r>
            <w:r>
              <w:rPr>
                <w:spacing w:val="-3"/>
                <w:sz w:val="21"/>
              </w:rPr>
              <w:t xml:space="preserve"> </w:t>
            </w:r>
            <w:r>
              <w:rPr>
                <w:sz w:val="21"/>
              </w:rPr>
              <w:t>inclusive</w:t>
            </w:r>
            <w:r>
              <w:rPr>
                <w:spacing w:val="-3"/>
                <w:sz w:val="21"/>
              </w:rPr>
              <w:t xml:space="preserve"> </w:t>
            </w:r>
            <w:r>
              <w:rPr>
                <w:sz w:val="21"/>
              </w:rPr>
              <w:t>evidence</w:t>
            </w:r>
            <w:r>
              <w:rPr>
                <w:spacing w:val="-3"/>
                <w:sz w:val="21"/>
              </w:rPr>
              <w:t xml:space="preserve"> </w:t>
            </w:r>
            <w:r>
              <w:rPr>
                <w:sz w:val="21"/>
              </w:rPr>
              <w:t>base</w:t>
            </w:r>
            <w:r>
              <w:rPr>
                <w:spacing w:val="-3"/>
                <w:sz w:val="21"/>
              </w:rPr>
              <w:t xml:space="preserve"> </w:t>
            </w:r>
            <w:r>
              <w:rPr>
                <w:sz w:val="21"/>
              </w:rPr>
              <w:t>that</w:t>
            </w:r>
            <w:r>
              <w:rPr>
                <w:spacing w:val="-3"/>
                <w:sz w:val="21"/>
              </w:rPr>
              <w:t xml:space="preserve"> </w:t>
            </w:r>
            <w:r>
              <w:rPr>
                <w:sz w:val="21"/>
              </w:rPr>
              <w:t>underpinned</w:t>
            </w:r>
            <w:r>
              <w:rPr>
                <w:spacing w:val="-3"/>
                <w:sz w:val="21"/>
              </w:rPr>
              <w:t xml:space="preserve"> </w:t>
            </w:r>
            <w:r>
              <w:rPr>
                <w:sz w:val="21"/>
              </w:rPr>
              <w:t>the</w:t>
            </w:r>
            <w:r>
              <w:rPr>
                <w:spacing w:val="-3"/>
                <w:sz w:val="21"/>
              </w:rPr>
              <w:t xml:space="preserve"> </w:t>
            </w:r>
            <w:r>
              <w:rPr>
                <w:sz w:val="21"/>
              </w:rPr>
              <w:t>initial</w:t>
            </w:r>
            <w:r>
              <w:rPr>
                <w:spacing w:val="-3"/>
                <w:sz w:val="21"/>
              </w:rPr>
              <w:t xml:space="preserve"> </w:t>
            </w:r>
            <w:r>
              <w:rPr>
                <w:sz w:val="21"/>
              </w:rPr>
              <w:t>drafting of the third edition. The initial draft was released to the Commission’s Board and standing committees in June 2026 for refinement, ahead of the second public consultation phase.</w:t>
            </w:r>
          </w:p>
        </w:tc>
      </w:tr>
    </w:tbl>
    <w:p w14:paraId="05D99622" w14:textId="77777777" w:rsidR="009D54AF" w:rsidRDefault="009D54AF">
      <w:pPr>
        <w:pStyle w:val="BodyText"/>
        <w:spacing w:before="6"/>
        <w:rPr>
          <w:sz w:val="30"/>
        </w:rPr>
      </w:pPr>
    </w:p>
    <w:p w14:paraId="64CCE662" w14:textId="77777777" w:rsidR="00D13873" w:rsidRDefault="00D13873">
      <w:pPr>
        <w:rPr>
          <w:b/>
          <w:bCs/>
          <w:sz w:val="30"/>
          <w:szCs w:val="30"/>
        </w:rPr>
      </w:pPr>
      <w:r>
        <w:br w:type="page"/>
      </w:r>
    </w:p>
    <w:p w14:paraId="07615A2A" w14:textId="73718374" w:rsidR="009D54AF" w:rsidRDefault="00000000">
      <w:pPr>
        <w:pStyle w:val="Heading5"/>
      </w:pPr>
      <w:r>
        <w:lastRenderedPageBreak/>
        <w:t>Digital Mental</w:t>
      </w:r>
      <w:r>
        <w:rPr>
          <w:spacing w:val="1"/>
        </w:rPr>
        <w:t xml:space="preserve"> </w:t>
      </w:r>
      <w:r>
        <w:t>Health</w:t>
      </w:r>
      <w:r>
        <w:rPr>
          <w:spacing w:val="1"/>
        </w:rPr>
        <w:t xml:space="preserve"> </w:t>
      </w:r>
      <w:r>
        <w:rPr>
          <w:spacing w:val="-2"/>
        </w:rPr>
        <w:t>Standards</w:t>
      </w:r>
    </w:p>
    <w:p w14:paraId="3CCCBF7F" w14:textId="77777777" w:rsidR="009D54AF" w:rsidRDefault="00000000">
      <w:pPr>
        <w:pStyle w:val="BodyText"/>
        <w:spacing w:before="133" w:line="278" w:lineRule="auto"/>
        <w:ind w:left="142"/>
      </w:pPr>
      <w:r>
        <w:t>In 2022, the Commission began implementation of the National Safety and Quality Digital Mental Health Standards</w:t>
      </w:r>
      <w:r>
        <w:rPr>
          <w:spacing w:val="-2"/>
        </w:rPr>
        <w:t xml:space="preserve"> </w:t>
      </w:r>
      <w:r>
        <w:t>(Digital</w:t>
      </w:r>
      <w:r>
        <w:rPr>
          <w:spacing w:val="-2"/>
        </w:rPr>
        <w:t xml:space="preserve"> </w:t>
      </w:r>
      <w:r>
        <w:t>Mental</w:t>
      </w:r>
      <w:r>
        <w:rPr>
          <w:spacing w:val="-2"/>
        </w:rPr>
        <w:t xml:space="preserve"> </w:t>
      </w:r>
      <w:r>
        <w:t>Health</w:t>
      </w:r>
      <w:r>
        <w:rPr>
          <w:spacing w:val="-2"/>
        </w:rPr>
        <w:t xml:space="preserve"> </w:t>
      </w:r>
      <w:r>
        <w:t>Standards),</w:t>
      </w:r>
      <w:r>
        <w:rPr>
          <w:spacing w:val="-2"/>
        </w:rPr>
        <w:t xml:space="preserve"> </w:t>
      </w:r>
      <w:r>
        <w:t>which</w:t>
      </w:r>
      <w:r>
        <w:rPr>
          <w:spacing w:val="-2"/>
        </w:rPr>
        <w:t xml:space="preserve"> </w:t>
      </w:r>
      <w:r>
        <w:t>operate</w:t>
      </w:r>
      <w:r>
        <w:rPr>
          <w:spacing w:val="-2"/>
        </w:rPr>
        <w:t xml:space="preserve"> </w:t>
      </w:r>
      <w:r>
        <w:t>under</w:t>
      </w:r>
      <w:r>
        <w:rPr>
          <w:spacing w:val="-2"/>
        </w:rPr>
        <w:t xml:space="preserve"> </w:t>
      </w:r>
      <w:r>
        <w:t>the</w:t>
      </w:r>
      <w:r>
        <w:rPr>
          <w:spacing w:val="-2"/>
        </w:rPr>
        <w:t xml:space="preserve"> </w:t>
      </w:r>
      <w:r>
        <w:t>AHSSQA</w:t>
      </w:r>
      <w:r>
        <w:rPr>
          <w:spacing w:val="-2"/>
        </w:rPr>
        <w:t xml:space="preserve"> </w:t>
      </w:r>
      <w:r>
        <w:t>Scheme.</w:t>
      </w:r>
      <w:r>
        <w:rPr>
          <w:spacing w:val="-2"/>
        </w:rPr>
        <w:t xml:space="preserve"> </w:t>
      </w:r>
      <w:r>
        <w:t>The</w:t>
      </w:r>
      <w:r>
        <w:rPr>
          <w:spacing w:val="-2"/>
        </w:rPr>
        <w:t xml:space="preserve"> </w:t>
      </w:r>
      <w:r>
        <w:t>Digital</w:t>
      </w:r>
      <w:r>
        <w:rPr>
          <w:spacing w:val="-2"/>
        </w:rPr>
        <w:t xml:space="preserve"> </w:t>
      </w:r>
      <w:r>
        <w:t>Mental Health Standards apply to mental health, suicide prevention and alcohol and other related drug services delivered via a digital platform.</w:t>
      </w:r>
    </w:p>
    <w:p w14:paraId="15DB347F" w14:textId="77777777" w:rsidR="009D54AF" w:rsidRDefault="00000000">
      <w:pPr>
        <w:pStyle w:val="BodyText"/>
        <w:spacing w:before="141" w:line="278" w:lineRule="auto"/>
        <w:ind w:left="142" w:right="285"/>
      </w:pPr>
      <w:r>
        <w:t xml:space="preserve">In 2025–26, the Commission published Digital Mental Health Modules to support streamlined assessment processes for community-managed </w:t>
      </w:r>
      <w:proofErr w:type="spellStart"/>
      <w:r>
        <w:t>organisations</w:t>
      </w:r>
      <w:proofErr w:type="spellEnd"/>
      <w:r>
        <w:t xml:space="preserve"> and primary and community healthcare </w:t>
      </w:r>
      <w:proofErr w:type="spellStart"/>
      <w:r>
        <w:t>organisations</w:t>
      </w:r>
      <w:proofErr w:type="spellEnd"/>
      <w:r>
        <w:t xml:space="preserve"> that deliver digital mental health services. The Commission also worked with accrediting agencies to streamline the assessment framework that describes how </w:t>
      </w:r>
      <w:proofErr w:type="spellStart"/>
      <w:r>
        <w:t>organisations</w:t>
      </w:r>
      <w:proofErr w:type="spellEnd"/>
      <w:r>
        <w:t xml:space="preserve"> can achieve accreditation to the Digital Mental Health Standards.</w:t>
      </w:r>
    </w:p>
    <w:p w14:paraId="157998F2" w14:textId="77777777" w:rsidR="009D54AF" w:rsidRDefault="00000000">
      <w:pPr>
        <w:pStyle w:val="BodyText"/>
        <w:spacing w:before="141" w:line="278" w:lineRule="auto"/>
        <w:ind w:left="142" w:right="285"/>
      </w:pPr>
      <w:r>
        <w:t>At 30 June 2026, 80 assessments have been undertaken to the Digital Mental Health Standards. Early adopters of the standards in 2023 are now undergoing their first re-accreditation, which happens on a three-yearly basis to ensure quality improvement processes remain effective for the service users.</w:t>
      </w:r>
    </w:p>
    <w:p w14:paraId="06F679F5" w14:textId="77777777" w:rsidR="00D13873" w:rsidRDefault="00D13873">
      <w:pPr>
        <w:pStyle w:val="BodyText"/>
        <w:spacing w:before="141" w:line="278" w:lineRule="auto"/>
        <w:ind w:left="142" w:right="285"/>
      </w:pPr>
    </w:p>
    <w:p w14:paraId="4DD1F7E0" w14:textId="77777777" w:rsidR="009D54AF" w:rsidRPr="00D13873" w:rsidRDefault="00000000" w:rsidP="00D13873">
      <w:pPr>
        <w:pStyle w:val="Heading5"/>
      </w:pPr>
      <w:r w:rsidRPr="00D13873">
        <w:t xml:space="preserve">Mental Health Standards for Community Managed </w:t>
      </w:r>
      <w:proofErr w:type="spellStart"/>
      <w:r w:rsidRPr="00D13873">
        <w:t>Organisations</w:t>
      </w:r>
      <w:proofErr w:type="spellEnd"/>
    </w:p>
    <w:p w14:paraId="3E54C2AE" w14:textId="70A1AE65" w:rsidR="009D54AF" w:rsidRDefault="00000000" w:rsidP="008F5B74">
      <w:pPr>
        <w:pStyle w:val="BodyText"/>
        <w:spacing w:before="132" w:line="278" w:lineRule="auto"/>
        <w:ind w:left="142" w:right="285"/>
      </w:pPr>
      <w:r>
        <w:t>The Commission began implementing the National Safety and Quality Mental Health Standards for Community</w:t>
      </w:r>
      <w:r>
        <w:rPr>
          <w:spacing w:val="-2"/>
        </w:rPr>
        <w:t xml:space="preserve"> </w:t>
      </w:r>
      <w:r>
        <w:t>Managed</w:t>
      </w:r>
      <w:r>
        <w:rPr>
          <w:spacing w:val="-2"/>
        </w:rPr>
        <w:t xml:space="preserve"> </w:t>
      </w:r>
      <w:proofErr w:type="spellStart"/>
      <w:r>
        <w:t>Organisations</w:t>
      </w:r>
      <w:proofErr w:type="spellEnd"/>
      <w:r>
        <w:rPr>
          <w:spacing w:val="-2"/>
        </w:rPr>
        <w:t xml:space="preserve"> </w:t>
      </w:r>
      <w:r>
        <w:t>(Mental</w:t>
      </w:r>
      <w:r>
        <w:rPr>
          <w:spacing w:val="-2"/>
        </w:rPr>
        <w:t xml:space="preserve"> </w:t>
      </w:r>
      <w:r>
        <w:t>Health</w:t>
      </w:r>
      <w:r>
        <w:rPr>
          <w:spacing w:val="-2"/>
        </w:rPr>
        <w:t xml:space="preserve"> </w:t>
      </w:r>
      <w:r>
        <w:t>Standards)</w:t>
      </w:r>
      <w:r>
        <w:rPr>
          <w:spacing w:val="-2"/>
        </w:rPr>
        <w:t xml:space="preserve"> </w:t>
      </w:r>
      <w:r>
        <w:t>in</w:t>
      </w:r>
      <w:r>
        <w:rPr>
          <w:spacing w:val="-2"/>
        </w:rPr>
        <w:t xml:space="preserve"> </w:t>
      </w:r>
      <w:r>
        <w:t>2024.</w:t>
      </w:r>
      <w:r>
        <w:rPr>
          <w:spacing w:val="-2"/>
        </w:rPr>
        <w:t xml:space="preserve"> </w:t>
      </w:r>
      <w:r>
        <w:t>Operating</w:t>
      </w:r>
      <w:r>
        <w:rPr>
          <w:spacing w:val="-2"/>
        </w:rPr>
        <w:t xml:space="preserve"> </w:t>
      </w:r>
      <w:r>
        <w:t>under</w:t>
      </w:r>
      <w:r>
        <w:rPr>
          <w:spacing w:val="-2"/>
        </w:rPr>
        <w:t xml:space="preserve"> </w:t>
      </w:r>
      <w:r>
        <w:t>the</w:t>
      </w:r>
      <w:r>
        <w:rPr>
          <w:spacing w:val="-2"/>
        </w:rPr>
        <w:t xml:space="preserve"> </w:t>
      </w:r>
      <w:r>
        <w:t>AHSSQA</w:t>
      </w:r>
      <w:r w:rsidR="008F5B74">
        <w:t xml:space="preserve"> </w:t>
      </w:r>
      <w:r>
        <w:t>Scheme,</w:t>
      </w:r>
      <w:r>
        <w:rPr>
          <w:spacing w:val="-2"/>
        </w:rPr>
        <w:t xml:space="preserve"> </w:t>
      </w:r>
      <w:r>
        <w:t>the</w:t>
      </w:r>
      <w:r>
        <w:rPr>
          <w:spacing w:val="-2"/>
        </w:rPr>
        <w:t xml:space="preserve"> </w:t>
      </w:r>
      <w:r>
        <w:t>Mental</w:t>
      </w:r>
      <w:r>
        <w:rPr>
          <w:spacing w:val="-2"/>
        </w:rPr>
        <w:t xml:space="preserve"> </w:t>
      </w:r>
      <w:r>
        <w:t>Health</w:t>
      </w:r>
      <w:r>
        <w:rPr>
          <w:spacing w:val="-2"/>
        </w:rPr>
        <w:t xml:space="preserve"> </w:t>
      </w:r>
      <w:r>
        <w:t>Standards</w:t>
      </w:r>
      <w:r>
        <w:rPr>
          <w:spacing w:val="-2"/>
        </w:rPr>
        <w:t xml:space="preserve"> </w:t>
      </w:r>
      <w:r>
        <w:t>are</w:t>
      </w:r>
      <w:r>
        <w:rPr>
          <w:spacing w:val="-2"/>
        </w:rPr>
        <w:t xml:space="preserve"> </w:t>
      </w:r>
      <w:r>
        <w:t>designed</w:t>
      </w:r>
      <w:r>
        <w:rPr>
          <w:spacing w:val="-2"/>
        </w:rPr>
        <w:t xml:space="preserve"> </w:t>
      </w:r>
      <w:r>
        <w:t>for</w:t>
      </w:r>
      <w:r>
        <w:rPr>
          <w:spacing w:val="-2"/>
        </w:rPr>
        <w:t xml:space="preserve"> </w:t>
      </w:r>
      <w:r>
        <w:t>the</w:t>
      </w:r>
      <w:r>
        <w:rPr>
          <w:spacing w:val="-2"/>
        </w:rPr>
        <w:t xml:space="preserve"> </w:t>
      </w:r>
      <w:r>
        <w:t>community-managed</w:t>
      </w:r>
      <w:r>
        <w:rPr>
          <w:spacing w:val="-2"/>
        </w:rPr>
        <w:t xml:space="preserve"> </w:t>
      </w:r>
      <w:proofErr w:type="spellStart"/>
      <w:r>
        <w:t>organisation</w:t>
      </w:r>
      <w:proofErr w:type="spellEnd"/>
      <w:r>
        <w:rPr>
          <w:spacing w:val="-2"/>
        </w:rPr>
        <w:t xml:space="preserve"> </w:t>
      </w:r>
      <w:r>
        <w:t>sector,</w:t>
      </w:r>
      <w:r>
        <w:rPr>
          <w:spacing w:val="-2"/>
        </w:rPr>
        <w:t xml:space="preserve"> </w:t>
      </w:r>
      <w:r>
        <w:t>and deliver services to people, families and carers who are experiencing or at risk of mental ill health.</w:t>
      </w:r>
    </w:p>
    <w:p w14:paraId="54BD60D4" w14:textId="77777777" w:rsidR="009D54AF" w:rsidRDefault="00000000">
      <w:pPr>
        <w:pStyle w:val="BodyText"/>
        <w:spacing w:before="141" w:line="278" w:lineRule="auto"/>
        <w:ind w:left="142"/>
      </w:pPr>
      <w:r>
        <w:t>In 2025–26, the Commission worked with the Department of Health, Disability and Ageing to transition mental health service providers to the Commission’s Mental Health Standards. This followed an announcement by health ministers to decommission the Department’s National Standards for Mental Health Services (2010).</w:t>
      </w:r>
    </w:p>
    <w:p w14:paraId="00389A22" w14:textId="77777777" w:rsidR="009D54AF" w:rsidRDefault="00000000">
      <w:pPr>
        <w:pStyle w:val="BodyText"/>
        <w:spacing w:before="142"/>
        <w:ind w:left="142"/>
      </w:pPr>
      <w:r>
        <w:t>At</w:t>
      </w:r>
      <w:r>
        <w:rPr>
          <w:spacing w:val="-5"/>
        </w:rPr>
        <w:t xml:space="preserve"> </w:t>
      </w:r>
      <w:r>
        <w:t>30</w:t>
      </w:r>
      <w:r>
        <w:rPr>
          <w:spacing w:val="-2"/>
        </w:rPr>
        <w:t xml:space="preserve"> </w:t>
      </w:r>
      <w:r>
        <w:t>June</w:t>
      </w:r>
      <w:r>
        <w:rPr>
          <w:spacing w:val="-2"/>
        </w:rPr>
        <w:t xml:space="preserve"> </w:t>
      </w:r>
      <w:r>
        <w:t>2026,</w:t>
      </w:r>
      <w:r>
        <w:rPr>
          <w:spacing w:val="-2"/>
        </w:rPr>
        <w:t xml:space="preserve"> </w:t>
      </w:r>
      <w:r>
        <w:t>176</w:t>
      </w:r>
      <w:r>
        <w:rPr>
          <w:spacing w:val="-2"/>
        </w:rPr>
        <w:t xml:space="preserve"> </w:t>
      </w:r>
      <w:r>
        <w:t>assessments</w:t>
      </w:r>
      <w:r>
        <w:rPr>
          <w:spacing w:val="-2"/>
        </w:rPr>
        <w:t xml:space="preserve"> </w:t>
      </w:r>
      <w:r>
        <w:t>have</w:t>
      </w:r>
      <w:r>
        <w:rPr>
          <w:spacing w:val="-3"/>
        </w:rPr>
        <w:t xml:space="preserve"> </w:t>
      </w:r>
      <w:r>
        <w:t>been</w:t>
      </w:r>
      <w:r>
        <w:rPr>
          <w:spacing w:val="-2"/>
        </w:rPr>
        <w:t xml:space="preserve"> </w:t>
      </w:r>
      <w:r>
        <w:t>undertaken</w:t>
      </w:r>
      <w:r>
        <w:rPr>
          <w:spacing w:val="-2"/>
        </w:rPr>
        <w:t xml:space="preserve"> </w:t>
      </w:r>
      <w:r>
        <w:t>to</w:t>
      </w:r>
      <w:r>
        <w:rPr>
          <w:spacing w:val="-2"/>
        </w:rPr>
        <w:t xml:space="preserve"> </w:t>
      </w:r>
      <w:r>
        <w:t>the</w:t>
      </w:r>
      <w:r>
        <w:rPr>
          <w:spacing w:val="-2"/>
        </w:rPr>
        <w:t xml:space="preserve"> </w:t>
      </w:r>
      <w:r>
        <w:t>Mental</w:t>
      </w:r>
      <w:r>
        <w:rPr>
          <w:spacing w:val="-2"/>
        </w:rPr>
        <w:t xml:space="preserve"> </w:t>
      </w:r>
      <w:r>
        <w:t>Health</w:t>
      </w:r>
      <w:r>
        <w:rPr>
          <w:spacing w:val="-2"/>
        </w:rPr>
        <w:t xml:space="preserve"> Standards.</w:t>
      </w:r>
    </w:p>
    <w:p w14:paraId="167DBA29" w14:textId="77777777" w:rsidR="009D54AF" w:rsidRDefault="009D54AF">
      <w:pPr>
        <w:pStyle w:val="BodyText"/>
        <w:spacing w:before="104"/>
      </w:pPr>
    </w:p>
    <w:p w14:paraId="705B6606" w14:textId="77777777" w:rsidR="009D54AF" w:rsidRDefault="00000000">
      <w:pPr>
        <w:pStyle w:val="Heading5"/>
      </w:pPr>
      <w:r>
        <w:t>Primary</w:t>
      </w:r>
      <w:r>
        <w:rPr>
          <w:spacing w:val="-2"/>
        </w:rPr>
        <w:t xml:space="preserve"> </w:t>
      </w:r>
      <w:r>
        <w:t>and</w:t>
      </w:r>
      <w:r>
        <w:rPr>
          <w:spacing w:val="1"/>
        </w:rPr>
        <w:t xml:space="preserve"> </w:t>
      </w:r>
      <w:r>
        <w:t>Community Healthcare</w:t>
      </w:r>
      <w:r>
        <w:rPr>
          <w:spacing w:val="1"/>
        </w:rPr>
        <w:t xml:space="preserve"> </w:t>
      </w:r>
      <w:r>
        <w:rPr>
          <w:spacing w:val="-2"/>
        </w:rPr>
        <w:t>Standards</w:t>
      </w:r>
    </w:p>
    <w:p w14:paraId="7D65E60C" w14:textId="77777777" w:rsidR="009D54AF" w:rsidRDefault="00000000">
      <w:pPr>
        <w:pStyle w:val="BodyText"/>
        <w:spacing w:before="133" w:line="278" w:lineRule="auto"/>
        <w:ind w:left="142" w:right="365"/>
      </w:pPr>
      <w:r>
        <w:t xml:space="preserve">In 2023, the Commission began implementation of the National Safety and Quality Primary and Community Healthcare Standards (Primary and Community Healthcare Standards), which operate under the AHSSQA Scheme. These standards apply to a wide range of primary and community healthcare settings, including single-discipline and multidisciplinary services with a focus on oral health, mental health and health </w:t>
      </w:r>
      <w:r>
        <w:rPr>
          <w:spacing w:val="-2"/>
        </w:rPr>
        <w:t>promotion.</w:t>
      </w:r>
    </w:p>
    <w:p w14:paraId="4937661A" w14:textId="77777777" w:rsidR="009D54AF" w:rsidRDefault="00000000">
      <w:pPr>
        <w:pStyle w:val="BodyText"/>
        <w:spacing w:before="141" w:line="278" w:lineRule="auto"/>
        <w:ind w:left="142" w:right="285"/>
      </w:pPr>
      <w:r>
        <w:t>Depending</w:t>
      </w:r>
      <w:r>
        <w:rPr>
          <w:spacing w:val="-1"/>
        </w:rPr>
        <w:t xml:space="preserve"> </w:t>
      </w:r>
      <w:r>
        <w:t>on</w:t>
      </w:r>
      <w:r>
        <w:rPr>
          <w:spacing w:val="-1"/>
        </w:rPr>
        <w:t xml:space="preserve"> </w:t>
      </w:r>
      <w:r>
        <w:t>the</w:t>
      </w:r>
      <w:r>
        <w:rPr>
          <w:spacing w:val="-1"/>
        </w:rPr>
        <w:t xml:space="preserve"> </w:t>
      </w:r>
      <w:r>
        <w:t>service</w:t>
      </w:r>
      <w:r>
        <w:rPr>
          <w:spacing w:val="-1"/>
        </w:rPr>
        <w:t xml:space="preserve"> </w:t>
      </w:r>
      <w:r>
        <w:t>context</w:t>
      </w:r>
      <w:r>
        <w:rPr>
          <w:spacing w:val="-1"/>
        </w:rPr>
        <w:t xml:space="preserve"> </w:t>
      </w:r>
      <w:r>
        <w:t>and</w:t>
      </w:r>
      <w:r>
        <w:rPr>
          <w:spacing w:val="-1"/>
        </w:rPr>
        <w:t xml:space="preserve"> </w:t>
      </w:r>
      <w:r>
        <w:t>previous</w:t>
      </w:r>
      <w:r>
        <w:rPr>
          <w:spacing w:val="-1"/>
        </w:rPr>
        <w:t xml:space="preserve"> </w:t>
      </w:r>
      <w:r>
        <w:t>accreditation,</w:t>
      </w:r>
      <w:r>
        <w:rPr>
          <w:spacing w:val="-1"/>
        </w:rPr>
        <w:t xml:space="preserve"> </w:t>
      </w:r>
      <w:r>
        <w:t>assessments</w:t>
      </w:r>
      <w:r>
        <w:rPr>
          <w:spacing w:val="-1"/>
        </w:rPr>
        <w:t xml:space="preserve"> </w:t>
      </w:r>
      <w:r>
        <w:t>can</w:t>
      </w:r>
      <w:r>
        <w:rPr>
          <w:spacing w:val="-1"/>
        </w:rPr>
        <w:t xml:space="preserve"> </w:t>
      </w:r>
      <w:r>
        <w:t>be</w:t>
      </w:r>
      <w:r>
        <w:rPr>
          <w:spacing w:val="-1"/>
        </w:rPr>
        <w:t xml:space="preserve"> </w:t>
      </w:r>
      <w:r>
        <w:t>conducted</w:t>
      </w:r>
      <w:r>
        <w:rPr>
          <w:spacing w:val="-1"/>
        </w:rPr>
        <w:t xml:space="preserve"> </w:t>
      </w:r>
      <w:r>
        <w:t>as</w:t>
      </w:r>
      <w:r>
        <w:rPr>
          <w:spacing w:val="-1"/>
        </w:rPr>
        <w:t xml:space="preserve"> </w:t>
      </w:r>
      <w:r>
        <w:t>desktop, virtual or onsite assessments to the Primary and Community Healthcare Standards.</w:t>
      </w:r>
    </w:p>
    <w:p w14:paraId="6D54C424" w14:textId="77777777" w:rsidR="009D54AF" w:rsidRDefault="00000000">
      <w:pPr>
        <w:pStyle w:val="BodyText"/>
        <w:spacing w:before="141" w:line="278" w:lineRule="auto"/>
        <w:ind w:left="142"/>
      </w:pPr>
      <w:r>
        <w:t xml:space="preserve">In 2025–26, the Commission worked with accrediting agencies to streamline the assessment models that describe how </w:t>
      </w:r>
      <w:proofErr w:type="spellStart"/>
      <w:r>
        <w:t>organisations</w:t>
      </w:r>
      <w:proofErr w:type="spellEnd"/>
      <w:r>
        <w:t xml:space="preserve"> can achieve accreditation to the Primary and Community Healthcare Standards.</w:t>
      </w:r>
    </w:p>
    <w:p w14:paraId="67F58AF8" w14:textId="77777777" w:rsidR="009D54AF" w:rsidRDefault="00000000">
      <w:pPr>
        <w:pStyle w:val="BodyText"/>
        <w:spacing w:before="142" w:line="278" w:lineRule="auto"/>
        <w:ind w:left="142"/>
      </w:pPr>
      <w:r>
        <w:t>At</w:t>
      </w:r>
      <w:r>
        <w:rPr>
          <w:spacing w:val="-1"/>
        </w:rPr>
        <w:t xml:space="preserve"> </w:t>
      </w:r>
      <w:r>
        <w:t>30</w:t>
      </w:r>
      <w:r>
        <w:rPr>
          <w:spacing w:val="-1"/>
        </w:rPr>
        <w:t xml:space="preserve"> </w:t>
      </w:r>
      <w:r>
        <w:t>June</w:t>
      </w:r>
      <w:r>
        <w:rPr>
          <w:spacing w:val="-1"/>
        </w:rPr>
        <w:t xml:space="preserve"> </w:t>
      </w:r>
      <w:r>
        <w:t>2026,</w:t>
      </w:r>
      <w:r>
        <w:rPr>
          <w:spacing w:val="-1"/>
        </w:rPr>
        <w:t xml:space="preserve"> </w:t>
      </w:r>
      <w:r>
        <w:t>1,640</w:t>
      </w:r>
      <w:r>
        <w:rPr>
          <w:spacing w:val="-1"/>
        </w:rPr>
        <w:t xml:space="preserve"> </w:t>
      </w:r>
      <w:r>
        <w:t>assessments</w:t>
      </w:r>
      <w:r>
        <w:rPr>
          <w:spacing w:val="-1"/>
        </w:rPr>
        <w:t xml:space="preserve"> </w:t>
      </w:r>
      <w:r>
        <w:t>have</w:t>
      </w:r>
      <w:r>
        <w:rPr>
          <w:spacing w:val="-1"/>
        </w:rPr>
        <w:t xml:space="preserve"> </w:t>
      </w:r>
      <w:r>
        <w:t>been</w:t>
      </w:r>
      <w:r>
        <w:rPr>
          <w:spacing w:val="-1"/>
        </w:rPr>
        <w:t xml:space="preserve"> </w:t>
      </w:r>
      <w:r>
        <w:t>undertaken</w:t>
      </w:r>
      <w:r>
        <w:rPr>
          <w:spacing w:val="-1"/>
        </w:rPr>
        <w:t xml:space="preserve"> </w:t>
      </w:r>
      <w:r>
        <w:t>to</w:t>
      </w:r>
      <w:r>
        <w:rPr>
          <w:spacing w:val="-1"/>
        </w:rPr>
        <w:t xml:space="preserve"> </w:t>
      </w:r>
      <w:r>
        <w:t>the</w:t>
      </w:r>
      <w:r>
        <w:rPr>
          <w:spacing w:val="-1"/>
        </w:rPr>
        <w:t xml:space="preserve"> </w:t>
      </w:r>
      <w:r>
        <w:t>Primary</w:t>
      </w:r>
      <w:r>
        <w:rPr>
          <w:spacing w:val="-1"/>
        </w:rPr>
        <w:t xml:space="preserve"> </w:t>
      </w:r>
      <w:r>
        <w:t>and</w:t>
      </w:r>
      <w:r>
        <w:rPr>
          <w:spacing w:val="-1"/>
        </w:rPr>
        <w:t xml:space="preserve"> </w:t>
      </w:r>
      <w:r>
        <w:t>Community</w:t>
      </w:r>
      <w:r>
        <w:rPr>
          <w:spacing w:val="-1"/>
        </w:rPr>
        <w:t xml:space="preserve"> </w:t>
      </w:r>
      <w:r>
        <w:t xml:space="preserve">Healthcare </w:t>
      </w:r>
      <w:r>
        <w:rPr>
          <w:spacing w:val="-2"/>
        </w:rPr>
        <w:t>Standards.</w:t>
      </w:r>
    </w:p>
    <w:p w14:paraId="51E12987" w14:textId="77777777" w:rsidR="009D54AF" w:rsidRDefault="00000000">
      <w:pPr>
        <w:pStyle w:val="BodyText"/>
        <w:spacing w:before="141" w:line="278" w:lineRule="auto"/>
        <w:ind w:left="142" w:right="613"/>
      </w:pPr>
      <w:r>
        <w:t>Private dental practices have now transitioned their accreditation from the first edition of the NSQHS Standards to the Primary and Community Healthcare Standards. The Commission has worked closely with</w:t>
      </w:r>
      <w:r>
        <w:rPr>
          <w:spacing w:val="-1"/>
        </w:rPr>
        <w:t xml:space="preserve"> </w:t>
      </w:r>
      <w:r>
        <w:t>accrediting</w:t>
      </w:r>
      <w:r>
        <w:rPr>
          <w:spacing w:val="-1"/>
        </w:rPr>
        <w:t xml:space="preserve"> </w:t>
      </w:r>
      <w:r>
        <w:t>agencies</w:t>
      </w:r>
      <w:r>
        <w:rPr>
          <w:spacing w:val="-1"/>
        </w:rPr>
        <w:t xml:space="preserve"> </w:t>
      </w:r>
      <w:r>
        <w:t>and</w:t>
      </w:r>
      <w:r>
        <w:rPr>
          <w:spacing w:val="-1"/>
        </w:rPr>
        <w:t xml:space="preserve"> </w:t>
      </w:r>
      <w:r>
        <w:t>the</w:t>
      </w:r>
      <w:r>
        <w:rPr>
          <w:spacing w:val="-1"/>
        </w:rPr>
        <w:t xml:space="preserve"> </w:t>
      </w:r>
      <w:r>
        <w:t>sector</w:t>
      </w:r>
      <w:r>
        <w:rPr>
          <w:spacing w:val="-1"/>
        </w:rPr>
        <w:t xml:space="preserve"> </w:t>
      </w:r>
      <w:r>
        <w:t>to</w:t>
      </w:r>
      <w:r>
        <w:rPr>
          <w:spacing w:val="-1"/>
        </w:rPr>
        <w:t xml:space="preserve"> </w:t>
      </w:r>
      <w:r>
        <w:t>support</w:t>
      </w:r>
      <w:r>
        <w:rPr>
          <w:spacing w:val="-1"/>
        </w:rPr>
        <w:t xml:space="preserve"> </w:t>
      </w:r>
      <w:r>
        <w:t>this</w:t>
      </w:r>
      <w:r>
        <w:rPr>
          <w:spacing w:val="-1"/>
        </w:rPr>
        <w:t xml:space="preserve"> </w:t>
      </w:r>
      <w:r>
        <w:t>transition</w:t>
      </w:r>
      <w:r>
        <w:rPr>
          <w:spacing w:val="-1"/>
        </w:rPr>
        <w:t xml:space="preserve"> </w:t>
      </w:r>
      <w:r>
        <w:t>and</w:t>
      </w:r>
      <w:r>
        <w:rPr>
          <w:spacing w:val="-1"/>
        </w:rPr>
        <w:t xml:space="preserve"> </w:t>
      </w:r>
      <w:r>
        <w:t>build</w:t>
      </w:r>
      <w:r>
        <w:rPr>
          <w:spacing w:val="-1"/>
        </w:rPr>
        <w:t xml:space="preserve"> </w:t>
      </w:r>
      <w:r>
        <w:t>understanding</w:t>
      </w:r>
      <w:r>
        <w:rPr>
          <w:spacing w:val="-1"/>
        </w:rPr>
        <w:t xml:space="preserve"> </w:t>
      </w:r>
      <w:r>
        <w:t>of</w:t>
      </w:r>
      <w:r>
        <w:rPr>
          <w:spacing w:val="-1"/>
        </w:rPr>
        <w:t xml:space="preserve"> </w:t>
      </w:r>
      <w:r>
        <w:t>the</w:t>
      </w:r>
      <w:r>
        <w:rPr>
          <w:spacing w:val="-1"/>
        </w:rPr>
        <w:t xml:space="preserve"> </w:t>
      </w:r>
      <w:r>
        <w:t>value</w:t>
      </w:r>
      <w:r>
        <w:rPr>
          <w:spacing w:val="-1"/>
        </w:rPr>
        <w:t xml:space="preserve"> </w:t>
      </w:r>
      <w:r>
        <w:t xml:space="preserve">of </w:t>
      </w:r>
      <w:r>
        <w:rPr>
          <w:spacing w:val="-2"/>
        </w:rPr>
        <w:t>accreditation.</w:t>
      </w:r>
    </w:p>
    <w:p w14:paraId="46030D4A" w14:textId="77777777" w:rsidR="009D54AF" w:rsidRDefault="009D54AF">
      <w:pPr>
        <w:pStyle w:val="BodyText"/>
        <w:spacing w:before="66"/>
      </w:pPr>
    </w:p>
    <w:p w14:paraId="083B5CC3" w14:textId="77777777" w:rsidR="00D13873" w:rsidRDefault="00D13873">
      <w:pPr>
        <w:rPr>
          <w:b/>
          <w:bCs/>
          <w:sz w:val="30"/>
          <w:szCs w:val="30"/>
        </w:rPr>
      </w:pPr>
      <w:r>
        <w:br w:type="page"/>
      </w:r>
    </w:p>
    <w:p w14:paraId="7E21A346" w14:textId="38B1634D" w:rsidR="009D54AF" w:rsidRDefault="00000000">
      <w:pPr>
        <w:pStyle w:val="Heading5"/>
      </w:pPr>
      <w:r>
        <w:lastRenderedPageBreak/>
        <w:t xml:space="preserve">Cosmetic Surgery </w:t>
      </w:r>
      <w:r>
        <w:rPr>
          <w:spacing w:val="-2"/>
        </w:rPr>
        <w:t>Standards</w:t>
      </w:r>
    </w:p>
    <w:p w14:paraId="6B81BB00" w14:textId="77777777" w:rsidR="009D54AF" w:rsidRDefault="00000000">
      <w:pPr>
        <w:pStyle w:val="BodyText"/>
        <w:spacing w:before="133" w:line="278" w:lineRule="auto"/>
        <w:ind w:left="142" w:right="448"/>
      </w:pPr>
      <w:r>
        <w:t>In 2024, the Commission began implementation of the National Safety and Quality Cosmetic Surgery Standards (Cosmetic Surgery Standards), which operate under the AHSSQA Scheme. These Standards are</w:t>
      </w:r>
      <w:r>
        <w:rPr>
          <w:spacing w:val="-1"/>
        </w:rPr>
        <w:t xml:space="preserve"> </w:t>
      </w:r>
      <w:r>
        <w:t>part</w:t>
      </w:r>
      <w:r>
        <w:rPr>
          <w:spacing w:val="-1"/>
        </w:rPr>
        <w:t xml:space="preserve"> </w:t>
      </w:r>
      <w:r>
        <w:t>of</w:t>
      </w:r>
      <w:r>
        <w:rPr>
          <w:spacing w:val="-1"/>
        </w:rPr>
        <w:t xml:space="preserve"> </w:t>
      </w:r>
      <w:r>
        <w:t>a</w:t>
      </w:r>
      <w:r>
        <w:rPr>
          <w:spacing w:val="-1"/>
        </w:rPr>
        <w:t xml:space="preserve"> </w:t>
      </w:r>
      <w:r>
        <w:t>suite</w:t>
      </w:r>
      <w:r>
        <w:rPr>
          <w:spacing w:val="-1"/>
        </w:rPr>
        <w:t xml:space="preserve"> </w:t>
      </w:r>
      <w:r>
        <w:t>of</w:t>
      </w:r>
      <w:r>
        <w:rPr>
          <w:spacing w:val="-1"/>
        </w:rPr>
        <w:t xml:space="preserve"> </w:t>
      </w:r>
      <w:r>
        <w:t>reforms</w:t>
      </w:r>
      <w:r>
        <w:rPr>
          <w:spacing w:val="-1"/>
        </w:rPr>
        <w:t xml:space="preserve"> </w:t>
      </w:r>
      <w:r>
        <w:t>to</w:t>
      </w:r>
      <w:r>
        <w:rPr>
          <w:spacing w:val="-1"/>
        </w:rPr>
        <w:t xml:space="preserve"> </w:t>
      </w:r>
      <w:r>
        <w:t>the</w:t>
      </w:r>
      <w:r>
        <w:rPr>
          <w:spacing w:val="-1"/>
        </w:rPr>
        <w:t xml:space="preserve"> </w:t>
      </w:r>
      <w:r>
        <w:t>Australian</w:t>
      </w:r>
      <w:r>
        <w:rPr>
          <w:spacing w:val="-1"/>
        </w:rPr>
        <w:t xml:space="preserve"> </w:t>
      </w:r>
      <w:r>
        <w:t>cosmetic</w:t>
      </w:r>
      <w:r>
        <w:rPr>
          <w:spacing w:val="-1"/>
        </w:rPr>
        <w:t xml:space="preserve"> </w:t>
      </w:r>
      <w:r>
        <w:t>surgery</w:t>
      </w:r>
      <w:r>
        <w:rPr>
          <w:spacing w:val="-1"/>
        </w:rPr>
        <w:t xml:space="preserve"> </w:t>
      </w:r>
      <w:r>
        <w:t>sector</w:t>
      </w:r>
      <w:r>
        <w:rPr>
          <w:spacing w:val="-1"/>
        </w:rPr>
        <w:t xml:space="preserve"> </w:t>
      </w:r>
      <w:r>
        <w:t>that</w:t>
      </w:r>
      <w:r>
        <w:rPr>
          <w:spacing w:val="-1"/>
        </w:rPr>
        <w:t xml:space="preserve"> </w:t>
      </w:r>
      <w:r>
        <w:t>began</w:t>
      </w:r>
      <w:r>
        <w:rPr>
          <w:spacing w:val="-1"/>
        </w:rPr>
        <w:t xml:space="preserve"> </w:t>
      </w:r>
      <w:r>
        <w:t>in</w:t>
      </w:r>
      <w:r>
        <w:rPr>
          <w:spacing w:val="-1"/>
        </w:rPr>
        <w:t xml:space="preserve"> </w:t>
      </w:r>
      <w:r>
        <w:t>September</w:t>
      </w:r>
      <w:r>
        <w:rPr>
          <w:spacing w:val="-1"/>
        </w:rPr>
        <w:t xml:space="preserve"> </w:t>
      </w:r>
      <w:r>
        <w:t>2022.</w:t>
      </w:r>
      <w:r>
        <w:rPr>
          <w:spacing w:val="-1"/>
        </w:rPr>
        <w:t xml:space="preserve"> </w:t>
      </w:r>
      <w:r>
        <w:t>The</w:t>
      </w:r>
    </w:p>
    <w:p w14:paraId="6AEFD187" w14:textId="77777777" w:rsidR="009D54AF" w:rsidRDefault="00000000">
      <w:pPr>
        <w:pStyle w:val="BodyText"/>
        <w:spacing w:line="278" w:lineRule="auto"/>
        <w:ind w:left="142"/>
      </w:pPr>
      <w:r>
        <w:t>Cosmetic Surgery Standards address specific safety and quality risks that are unique to the cosmetic surgery sector, and ensure people undergoing cosmetic surgery receive safe, person-</w:t>
      </w:r>
      <w:proofErr w:type="spellStart"/>
      <w:r>
        <w:t>centred</w:t>
      </w:r>
      <w:proofErr w:type="spellEnd"/>
      <w:r>
        <w:t xml:space="preserve"> care.</w:t>
      </w:r>
    </w:p>
    <w:p w14:paraId="0D4622DB" w14:textId="77777777" w:rsidR="009D54AF" w:rsidRDefault="00000000">
      <w:pPr>
        <w:pStyle w:val="BodyText"/>
        <w:spacing w:before="141" w:line="278" w:lineRule="auto"/>
        <w:ind w:left="142" w:right="278"/>
      </w:pPr>
      <w:r>
        <w:t>The Cosmetic Surgery Module was developed to provide a limited set of actions that services are required</w:t>
      </w:r>
      <w:r>
        <w:rPr>
          <w:spacing w:val="80"/>
        </w:rPr>
        <w:t xml:space="preserve"> </w:t>
      </w:r>
      <w:r>
        <w:t>to</w:t>
      </w:r>
      <w:r>
        <w:rPr>
          <w:spacing w:val="-2"/>
        </w:rPr>
        <w:t xml:space="preserve"> </w:t>
      </w:r>
      <w:r>
        <w:t>implement</w:t>
      </w:r>
      <w:r>
        <w:rPr>
          <w:spacing w:val="-2"/>
        </w:rPr>
        <w:t xml:space="preserve"> </w:t>
      </w:r>
      <w:r>
        <w:t>in</w:t>
      </w:r>
      <w:r>
        <w:rPr>
          <w:spacing w:val="-2"/>
        </w:rPr>
        <w:t xml:space="preserve"> </w:t>
      </w:r>
      <w:r>
        <w:t>addition</w:t>
      </w:r>
      <w:r>
        <w:rPr>
          <w:spacing w:val="-2"/>
        </w:rPr>
        <w:t xml:space="preserve"> </w:t>
      </w:r>
      <w:r>
        <w:t>to</w:t>
      </w:r>
      <w:r>
        <w:rPr>
          <w:spacing w:val="-2"/>
        </w:rPr>
        <w:t xml:space="preserve"> </w:t>
      </w:r>
      <w:r>
        <w:t>the</w:t>
      </w:r>
      <w:r>
        <w:rPr>
          <w:spacing w:val="-2"/>
        </w:rPr>
        <w:t xml:space="preserve"> </w:t>
      </w:r>
      <w:r>
        <w:t>NSQHS</w:t>
      </w:r>
      <w:r>
        <w:rPr>
          <w:spacing w:val="-2"/>
        </w:rPr>
        <w:t xml:space="preserve"> </w:t>
      </w:r>
      <w:r>
        <w:t>Standards,</w:t>
      </w:r>
      <w:r>
        <w:rPr>
          <w:spacing w:val="-2"/>
        </w:rPr>
        <w:t xml:space="preserve"> </w:t>
      </w:r>
      <w:r>
        <w:t>allowing</w:t>
      </w:r>
      <w:r>
        <w:rPr>
          <w:spacing w:val="-2"/>
        </w:rPr>
        <w:t xml:space="preserve"> </w:t>
      </w:r>
      <w:r>
        <w:t>them</w:t>
      </w:r>
      <w:r>
        <w:rPr>
          <w:spacing w:val="-2"/>
        </w:rPr>
        <w:t xml:space="preserve"> </w:t>
      </w:r>
      <w:r>
        <w:t>to</w:t>
      </w:r>
      <w:r>
        <w:rPr>
          <w:spacing w:val="-2"/>
        </w:rPr>
        <w:t xml:space="preserve"> </w:t>
      </w:r>
      <w:r>
        <w:t>comply</w:t>
      </w:r>
      <w:r>
        <w:rPr>
          <w:spacing w:val="-2"/>
        </w:rPr>
        <w:t xml:space="preserve"> </w:t>
      </w:r>
      <w:r>
        <w:t>with</w:t>
      </w:r>
      <w:r>
        <w:rPr>
          <w:spacing w:val="-2"/>
        </w:rPr>
        <w:t xml:space="preserve"> </w:t>
      </w:r>
      <w:r>
        <w:t>both</w:t>
      </w:r>
      <w:r>
        <w:rPr>
          <w:spacing w:val="-2"/>
        </w:rPr>
        <w:t xml:space="preserve"> </w:t>
      </w:r>
      <w:r>
        <w:t>the</w:t>
      </w:r>
      <w:r>
        <w:rPr>
          <w:spacing w:val="-2"/>
        </w:rPr>
        <w:t xml:space="preserve"> </w:t>
      </w:r>
      <w:r>
        <w:t>NSQHS</w:t>
      </w:r>
      <w:r>
        <w:rPr>
          <w:spacing w:val="-2"/>
        </w:rPr>
        <w:t xml:space="preserve"> </w:t>
      </w:r>
      <w:r>
        <w:t>Standards and the Cosmetic Surgery Standards.</w:t>
      </w:r>
    </w:p>
    <w:p w14:paraId="56B3D3F2" w14:textId="77777777" w:rsidR="009D54AF" w:rsidRDefault="00000000">
      <w:pPr>
        <w:pStyle w:val="BodyText"/>
        <w:spacing w:before="141" w:line="278" w:lineRule="auto"/>
        <w:ind w:left="142" w:right="285"/>
      </w:pPr>
      <w:r>
        <w:t>In 2025–26, the Commission developed user guides for the Cosmetic Surgery Standards and Cosmetic Surgery</w:t>
      </w:r>
      <w:r>
        <w:rPr>
          <w:spacing w:val="-1"/>
        </w:rPr>
        <w:t xml:space="preserve"> </w:t>
      </w:r>
      <w:r>
        <w:t>Module.</w:t>
      </w:r>
      <w:r>
        <w:rPr>
          <w:spacing w:val="-1"/>
        </w:rPr>
        <w:t xml:space="preserve"> </w:t>
      </w:r>
      <w:r>
        <w:t>The</w:t>
      </w:r>
      <w:r>
        <w:rPr>
          <w:spacing w:val="-1"/>
        </w:rPr>
        <w:t xml:space="preserve"> </w:t>
      </w:r>
      <w:r>
        <w:t>user</w:t>
      </w:r>
      <w:r>
        <w:rPr>
          <w:spacing w:val="-1"/>
        </w:rPr>
        <w:t xml:space="preserve"> </w:t>
      </w:r>
      <w:r>
        <w:t>guides</w:t>
      </w:r>
      <w:r>
        <w:rPr>
          <w:spacing w:val="-1"/>
        </w:rPr>
        <w:t xml:space="preserve"> </w:t>
      </w:r>
      <w:r>
        <w:t>support</w:t>
      </w:r>
      <w:r>
        <w:rPr>
          <w:spacing w:val="-1"/>
        </w:rPr>
        <w:t xml:space="preserve"> </w:t>
      </w:r>
      <w:r>
        <w:t>cosmetic</w:t>
      </w:r>
      <w:r>
        <w:rPr>
          <w:spacing w:val="-1"/>
        </w:rPr>
        <w:t xml:space="preserve"> </w:t>
      </w:r>
      <w:r>
        <w:t>surgery</w:t>
      </w:r>
      <w:r>
        <w:rPr>
          <w:spacing w:val="-1"/>
        </w:rPr>
        <w:t xml:space="preserve"> </w:t>
      </w:r>
      <w:r>
        <w:t>providers</w:t>
      </w:r>
      <w:r>
        <w:rPr>
          <w:spacing w:val="-1"/>
        </w:rPr>
        <w:t xml:space="preserve"> </w:t>
      </w:r>
      <w:r>
        <w:t>to</w:t>
      </w:r>
      <w:r>
        <w:rPr>
          <w:spacing w:val="-1"/>
        </w:rPr>
        <w:t xml:space="preserve"> </w:t>
      </w:r>
      <w:r>
        <w:t>implement</w:t>
      </w:r>
      <w:r>
        <w:rPr>
          <w:spacing w:val="-1"/>
        </w:rPr>
        <w:t xml:space="preserve"> </w:t>
      </w:r>
      <w:r>
        <w:t>the</w:t>
      </w:r>
      <w:r>
        <w:rPr>
          <w:spacing w:val="-1"/>
        </w:rPr>
        <w:t xml:space="preserve"> </w:t>
      </w:r>
      <w:r>
        <w:t>requirements</w:t>
      </w:r>
      <w:r>
        <w:rPr>
          <w:spacing w:val="-1"/>
        </w:rPr>
        <w:t xml:space="preserve"> </w:t>
      </w:r>
      <w:r>
        <w:t>and ensure consistency through the accreditation process.</w:t>
      </w:r>
    </w:p>
    <w:p w14:paraId="4BD6C115" w14:textId="77777777" w:rsidR="009D54AF" w:rsidRDefault="00000000">
      <w:pPr>
        <w:pStyle w:val="BodyText"/>
        <w:spacing w:before="142"/>
        <w:ind w:left="142"/>
      </w:pPr>
      <w:r>
        <w:t>At</w:t>
      </w:r>
      <w:r>
        <w:rPr>
          <w:spacing w:val="-4"/>
        </w:rPr>
        <w:t xml:space="preserve"> </w:t>
      </w:r>
      <w:r>
        <w:t>30</w:t>
      </w:r>
      <w:r>
        <w:rPr>
          <w:spacing w:val="-1"/>
        </w:rPr>
        <w:t xml:space="preserve"> </w:t>
      </w:r>
      <w:r>
        <w:t>June</w:t>
      </w:r>
      <w:r>
        <w:rPr>
          <w:spacing w:val="-1"/>
        </w:rPr>
        <w:t xml:space="preserve"> </w:t>
      </w:r>
      <w:r>
        <w:t>2026,</w:t>
      </w:r>
      <w:r>
        <w:rPr>
          <w:spacing w:val="-1"/>
        </w:rPr>
        <w:t xml:space="preserve"> </w:t>
      </w:r>
      <w:r>
        <w:t>15</w:t>
      </w:r>
      <w:r>
        <w:rPr>
          <w:spacing w:val="-2"/>
        </w:rPr>
        <w:t xml:space="preserve"> </w:t>
      </w:r>
      <w:r>
        <w:t>assessments</w:t>
      </w:r>
      <w:r>
        <w:rPr>
          <w:spacing w:val="-1"/>
        </w:rPr>
        <w:t xml:space="preserve"> </w:t>
      </w:r>
      <w:r>
        <w:t>have</w:t>
      </w:r>
      <w:r>
        <w:rPr>
          <w:spacing w:val="-1"/>
        </w:rPr>
        <w:t xml:space="preserve"> </w:t>
      </w:r>
      <w:r>
        <w:t>been</w:t>
      </w:r>
      <w:r>
        <w:rPr>
          <w:spacing w:val="-1"/>
        </w:rPr>
        <w:t xml:space="preserve"> </w:t>
      </w:r>
      <w:r>
        <w:t>undertaken</w:t>
      </w:r>
      <w:r>
        <w:rPr>
          <w:spacing w:val="-2"/>
        </w:rPr>
        <w:t xml:space="preserve"> </w:t>
      </w:r>
      <w:r>
        <w:t>to</w:t>
      </w:r>
      <w:r>
        <w:rPr>
          <w:spacing w:val="-1"/>
        </w:rPr>
        <w:t xml:space="preserve"> </w:t>
      </w:r>
      <w:r>
        <w:t>the</w:t>
      </w:r>
      <w:r>
        <w:rPr>
          <w:spacing w:val="-1"/>
        </w:rPr>
        <w:t xml:space="preserve"> </w:t>
      </w:r>
      <w:r>
        <w:t>Cosmetic</w:t>
      </w:r>
      <w:r>
        <w:rPr>
          <w:spacing w:val="-1"/>
        </w:rPr>
        <w:t xml:space="preserve"> </w:t>
      </w:r>
      <w:r>
        <w:t>Surgery</w:t>
      </w:r>
      <w:r>
        <w:rPr>
          <w:spacing w:val="-1"/>
        </w:rPr>
        <w:t xml:space="preserve"> </w:t>
      </w:r>
      <w:r>
        <w:rPr>
          <w:spacing w:val="-2"/>
        </w:rPr>
        <w:t>Standards.</w:t>
      </w:r>
    </w:p>
    <w:p w14:paraId="08BA1820" w14:textId="77777777" w:rsidR="009D54AF" w:rsidRDefault="009D54AF">
      <w:pPr>
        <w:pStyle w:val="BodyText"/>
        <w:spacing w:before="104"/>
      </w:pPr>
    </w:p>
    <w:p w14:paraId="663C40C4" w14:textId="05AC5EBE" w:rsidR="009D54AF" w:rsidRDefault="00000000">
      <w:pPr>
        <w:pStyle w:val="Heading5"/>
      </w:pPr>
      <w:r>
        <w:t>Environmental</w:t>
      </w:r>
      <w:r>
        <w:rPr>
          <w:spacing w:val="-12"/>
        </w:rPr>
        <w:t xml:space="preserve"> </w:t>
      </w:r>
      <w:r>
        <w:t>Sustainability</w:t>
      </w:r>
      <w:r>
        <w:rPr>
          <w:spacing w:val="-9"/>
        </w:rPr>
        <w:t xml:space="preserve"> </w:t>
      </w:r>
      <w:r>
        <w:rPr>
          <w:spacing w:val="-2"/>
        </w:rPr>
        <w:t>Standards</w:t>
      </w:r>
    </w:p>
    <w:p w14:paraId="308D816F" w14:textId="77777777" w:rsidR="009D54AF" w:rsidRDefault="00000000">
      <w:pPr>
        <w:pStyle w:val="BodyText"/>
        <w:spacing w:before="133" w:line="278" w:lineRule="auto"/>
        <w:ind w:left="142"/>
      </w:pPr>
      <w:r>
        <w:t>In 2025, the Commission published the Healthcare Sustainability and Resilience Module to support the integration of environmental sustainability and climate resilience strategies into quality improvement frameworks. The module is made up of five additional actions that represent environmental sustainability standards</w:t>
      </w:r>
      <w:r>
        <w:rPr>
          <w:spacing w:val="-2"/>
        </w:rPr>
        <w:t xml:space="preserve"> </w:t>
      </w:r>
      <w:r>
        <w:t>for</w:t>
      </w:r>
      <w:r>
        <w:rPr>
          <w:spacing w:val="-2"/>
        </w:rPr>
        <w:t xml:space="preserve"> </w:t>
      </w:r>
      <w:proofErr w:type="spellStart"/>
      <w:r>
        <w:t>organisations</w:t>
      </w:r>
      <w:proofErr w:type="spellEnd"/>
      <w:r>
        <w:rPr>
          <w:spacing w:val="-2"/>
        </w:rPr>
        <w:t xml:space="preserve"> </w:t>
      </w:r>
      <w:r>
        <w:t>and</w:t>
      </w:r>
      <w:r>
        <w:rPr>
          <w:spacing w:val="-2"/>
        </w:rPr>
        <w:t xml:space="preserve"> </w:t>
      </w:r>
      <w:r>
        <w:t>service</w:t>
      </w:r>
      <w:r>
        <w:rPr>
          <w:spacing w:val="-2"/>
        </w:rPr>
        <w:t xml:space="preserve"> </w:t>
      </w:r>
      <w:r>
        <w:t>providers</w:t>
      </w:r>
      <w:r>
        <w:rPr>
          <w:spacing w:val="-2"/>
        </w:rPr>
        <w:t xml:space="preserve"> </w:t>
      </w:r>
      <w:r>
        <w:t>who</w:t>
      </w:r>
      <w:r>
        <w:rPr>
          <w:spacing w:val="-2"/>
        </w:rPr>
        <w:t xml:space="preserve"> </w:t>
      </w:r>
      <w:r>
        <w:t>are</w:t>
      </w:r>
      <w:r>
        <w:rPr>
          <w:spacing w:val="-2"/>
        </w:rPr>
        <w:t xml:space="preserve"> </w:t>
      </w:r>
      <w:r>
        <w:t>currently</w:t>
      </w:r>
      <w:r>
        <w:rPr>
          <w:spacing w:val="-2"/>
        </w:rPr>
        <w:t xml:space="preserve"> </w:t>
      </w:r>
      <w:r>
        <w:t>accredited</w:t>
      </w:r>
      <w:r>
        <w:rPr>
          <w:spacing w:val="-2"/>
        </w:rPr>
        <w:t xml:space="preserve"> </w:t>
      </w:r>
      <w:r>
        <w:t>against</w:t>
      </w:r>
      <w:r>
        <w:rPr>
          <w:spacing w:val="-2"/>
        </w:rPr>
        <w:t xml:space="preserve"> </w:t>
      </w:r>
      <w:r>
        <w:t>the</w:t>
      </w:r>
      <w:r>
        <w:rPr>
          <w:spacing w:val="-2"/>
        </w:rPr>
        <w:t xml:space="preserve"> </w:t>
      </w:r>
      <w:r>
        <w:t>Commission’s National Safety and Quality Standards.</w:t>
      </w:r>
    </w:p>
    <w:p w14:paraId="3FAB5E2F" w14:textId="77777777" w:rsidR="009D54AF" w:rsidRDefault="00000000">
      <w:pPr>
        <w:pStyle w:val="BodyText"/>
        <w:spacing w:before="141" w:line="278" w:lineRule="auto"/>
        <w:ind w:left="142" w:right="146"/>
      </w:pPr>
      <w:r>
        <w:t>In 2025–26, the Commission wrote to health ministers to seek endorsement of the module, with most state and</w:t>
      </w:r>
      <w:r>
        <w:rPr>
          <w:spacing w:val="-1"/>
        </w:rPr>
        <w:t xml:space="preserve"> </w:t>
      </w:r>
      <w:r>
        <w:t>territories</w:t>
      </w:r>
      <w:r>
        <w:rPr>
          <w:spacing w:val="-1"/>
        </w:rPr>
        <w:t xml:space="preserve"> </w:t>
      </w:r>
      <w:r>
        <w:t>endorsing.</w:t>
      </w:r>
      <w:r>
        <w:rPr>
          <w:spacing w:val="-1"/>
        </w:rPr>
        <w:t xml:space="preserve"> </w:t>
      </w:r>
      <w:r>
        <w:t>The</w:t>
      </w:r>
      <w:r>
        <w:rPr>
          <w:spacing w:val="-1"/>
        </w:rPr>
        <w:t xml:space="preserve"> </w:t>
      </w:r>
      <w:r>
        <w:t>Commission</w:t>
      </w:r>
      <w:r>
        <w:rPr>
          <w:spacing w:val="-1"/>
        </w:rPr>
        <w:t xml:space="preserve"> </w:t>
      </w:r>
      <w:r>
        <w:t>published</w:t>
      </w:r>
      <w:r>
        <w:rPr>
          <w:spacing w:val="-1"/>
        </w:rPr>
        <w:t xml:space="preserve"> </w:t>
      </w:r>
      <w:r>
        <w:t>a</w:t>
      </w:r>
      <w:r>
        <w:rPr>
          <w:spacing w:val="-1"/>
        </w:rPr>
        <w:t xml:space="preserve"> </w:t>
      </w:r>
      <w:r>
        <w:t>monitoring</w:t>
      </w:r>
      <w:r>
        <w:rPr>
          <w:spacing w:val="-1"/>
        </w:rPr>
        <w:t xml:space="preserve"> </w:t>
      </w:r>
      <w:r>
        <w:t>tool</w:t>
      </w:r>
      <w:r>
        <w:rPr>
          <w:spacing w:val="-1"/>
        </w:rPr>
        <w:t xml:space="preserve"> </w:t>
      </w:r>
      <w:r>
        <w:t>to</w:t>
      </w:r>
      <w:r>
        <w:rPr>
          <w:spacing w:val="-1"/>
        </w:rPr>
        <w:t xml:space="preserve"> </w:t>
      </w:r>
      <w:r>
        <w:t>support</w:t>
      </w:r>
      <w:r>
        <w:rPr>
          <w:spacing w:val="-1"/>
        </w:rPr>
        <w:t xml:space="preserve"> </w:t>
      </w:r>
      <w:r>
        <w:t>those</w:t>
      </w:r>
      <w:r>
        <w:rPr>
          <w:spacing w:val="-1"/>
        </w:rPr>
        <w:t xml:space="preserve"> </w:t>
      </w:r>
      <w:r>
        <w:t>wishing</w:t>
      </w:r>
      <w:r>
        <w:rPr>
          <w:spacing w:val="-1"/>
        </w:rPr>
        <w:t xml:space="preserve"> </w:t>
      </w:r>
      <w:r>
        <w:t>to</w:t>
      </w:r>
      <w:r>
        <w:rPr>
          <w:spacing w:val="-1"/>
        </w:rPr>
        <w:t xml:space="preserve"> </w:t>
      </w:r>
      <w:r>
        <w:t>prepare</w:t>
      </w:r>
      <w:r>
        <w:rPr>
          <w:spacing w:val="-1"/>
        </w:rPr>
        <w:t xml:space="preserve"> </w:t>
      </w:r>
      <w:r>
        <w:t>for an assessment against the module.</w:t>
      </w:r>
    </w:p>
    <w:p w14:paraId="08F54787" w14:textId="77777777" w:rsidR="009D54AF" w:rsidRDefault="00000000" w:rsidP="008F5B74">
      <w:pPr>
        <w:pStyle w:val="BodyText"/>
        <w:spacing w:before="180"/>
        <w:ind w:left="142"/>
      </w:pPr>
      <w:r>
        <w:t>The</w:t>
      </w:r>
      <w:r>
        <w:rPr>
          <w:spacing w:val="-2"/>
        </w:rPr>
        <w:t xml:space="preserve"> </w:t>
      </w:r>
      <w:r>
        <w:t>Commission</w:t>
      </w:r>
      <w:r>
        <w:rPr>
          <w:spacing w:val="-2"/>
        </w:rPr>
        <w:t xml:space="preserve"> </w:t>
      </w:r>
      <w:r>
        <w:t>anticipates</w:t>
      </w:r>
      <w:r>
        <w:rPr>
          <w:spacing w:val="-2"/>
        </w:rPr>
        <w:t xml:space="preserve"> </w:t>
      </w:r>
      <w:r>
        <w:t>assessments</w:t>
      </w:r>
      <w:r>
        <w:rPr>
          <w:spacing w:val="-2"/>
        </w:rPr>
        <w:t xml:space="preserve"> </w:t>
      </w:r>
      <w:r>
        <w:t>to</w:t>
      </w:r>
      <w:r>
        <w:rPr>
          <w:spacing w:val="-2"/>
        </w:rPr>
        <w:t xml:space="preserve"> </w:t>
      </w:r>
      <w:r>
        <w:t>the</w:t>
      </w:r>
      <w:r>
        <w:rPr>
          <w:spacing w:val="-1"/>
        </w:rPr>
        <w:t xml:space="preserve"> </w:t>
      </w:r>
      <w:r>
        <w:t>module</w:t>
      </w:r>
      <w:r>
        <w:rPr>
          <w:spacing w:val="-2"/>
        </w:rPr>
        <w:t xml:space="preserve"> </w:t>
      </w:r>
      <w:r>
        <w:t>to</w:t>
      </w:r>
      <w:r>
        <w:rPr>
          <w:spacing w:val="-2"/>
        </w:rPr>
        <w:t xml:space="preserve"> </w:t>
      </w:r>
      <w:r>
        <w:t>begin</w:t>
      </w:r>
      <w:r>
        <w:rPr>
          <w:spacing w:val="-2"/>
        </w:rPr>
        <w:t xml:space="preserve"> </w:t>
      </w:r>
      <w:r>
        <w:t>in</w:t>
      </w:r>
      <w:r>
        <w:rPr>
          <w:spacing w:val="-2"/>
        </w:rPr>
        <w:t xml:space="preserve"> </w:t>
      </w:r>
      <w:r>
        <w:t>late</w:t>
      </w:r>
      <w:r>
        <w:rPr>
          <w:spacing w:val="-1"/>
        </w:rPr>
        <w:t xml:space="preserve"> </w:t>
      </w:r>
      <w:r>
        <w:rPr>
          <w:spacing w:val="-2"/>
        </w:rPr>
        <w:t>2026.</w:t>
      </w:r>
    </w:p>
    <w:p w14:paraId="44C5C701" w14:textId="77777777" w:rsidR="009D54AF" w:rsidRDefault="009D54AF">
      <w:pPr>
        <w:pStyle w:val="BodyText"/>
        <w:spacing w:before="104"/>
      </w:pPr>
    </w:p>
    <w:p w14:paraId="72705DB5" w14:textId="77777777" w:rsidR="009D54AF" w:rsidRDefault="00000000">
      <w:pPr>
        <w:pStyle w:val="Heading5"/>
      </w:pPr>
      <w:r>
        <w:t>Integrated</w:t>
      </w:r>
      <w:r>
        <w:rPr>
          <w:spacing w:val="-3"/>
        </w:rPr>
        <w:t xml:space="preserve"> </w:t>
      </w:r>
      <w:r>
        <w:t xml:space="preserve">Health and Aged Care Services </w:t>
      </w:r>
      <w:r>
        <w:rPr>
          <w:spacing w:val="-2"/>
        </w:rPr>
        <w:t>Module</w:t>
      </w:r>
    </w:p>
    <w:p w14:paraId="5BC7DB9E" w14:textId="77777777" w:rsidR="009D54AF" w:rsidRDefault="00000000">
      <w:pPr>
        <w:spacing w:before="133" w:line="278" w:lineRule="auto"/>
        <w:ind w:left="142" w:right="285"/>
        <w:rPr>
          <w:sz w:val="21"/>
        </w:rPr>
      </w:pPr>
      <w:r>
        <w:rPr>
          <w:sz w:val="21"/>
        </w:rPr>
        <w:t>As</w:t>
      </w:r>
      <w:r>
        <w:rPr>
          <w:spacing w:val="-1"/>
          <w:sz w:val="21"/>
        </w:rPr>
        <w:t xml:space="preserve"> </w:t>
      </w:r>
      <w:r>
        <w:rPr>
          <w:sz w:val="21"/>
        </w:rPr>
        <w:t>part</w:t>
      </w:r>
      <w:r>
        <w:rPr>
          <w:spacing w:val="-1"/>
          <w:sz w:val="21"/>
        </w:rPr>
        <w:t xml:space="preserve"> </w:t>
      </w:r>
      <w:r>
        <w:rPr>
          <w:sz w:val="21"/>
        </w:rPr>
        <w:t>of</w:t>
      </w:r>
      <w:r>
        <w:rPr>
          <w:spacing w:val="-1"/>
          <w:sz w:val="21"/>
        </w:rPr>
        <w:t xml:space="preserve"> </w:t>
      </w:r>
      <w:r>
        <w:rPr>
          <w:sz w:val="21"/>
        </w:rPr>
        <w:t>the</w:t>
      </w:r>
      <w:r>
        <w:rPr>
          <w:spacing w:val="-1"/>
          <w:sz w:val="21"/>
        </w:rPr>
        <w:t xml:space="preserve"> </w:t>
      </w:r>
      <w:r>
        <w:rPr>
          <w:sz w:val="21"/>
        </w:rPr>
        <w:t>Commission’s</w:t>
      </w:r>
      <w:r>
        <w:rPr>
          <w:spacing w:val="-1"/>
          <w:sz w:val="21"/>
        </w:rPr>
        <w:t xml:space="preserve"> </w:t>
      </w:r>
      <w:r>
        <w:rPr>
          <w:sz w:val="21"/>
        </w:rPr>
        <w:t>work</w:t>
      </w:r>
      <w:r>
        <w:rPr>
          <w:spacing w:val="-1"/>
          <w:sz w:val="21"/>
        </w:rPr>
        <w:t xml:space="preserve"> </w:t>
      </w:r>
      <w:r>
        <w:rPr>
          <w:sz w:val="21"/>
        </w:rPr>
        <w:t>in</w:t>
      </w:r>
      <w:r>
        <w:rPr>
          <w:spacing w:val="-1"/>
          <w:sz w:val="21"/>
        </w:rPr>
        <w:t xml:space="preserve"> </w:t>
      </w:r>
      <w:r>
        <w:rPr>
          <w:sz w:val="21"/>
        </w:rPr>
        <w:t>aged</w:t>
      </w:r>
      <w:r>
        <w:rPr>
          <w:spacing w:val="-1"/>
          <w:sz w:val="21"/>
        </w:rPr>
        <w:t xml:space="preserve"> </w:t>
      </w:r>
      <w:r>
        <w:rPr>
          <w:sz w:val="21"/>
        </w:rPr>
        <w:t>care</w:t>
      </w:r>
      <w:r>
        <w:rPr>
          <w:spacing w:val="-1"/>
          <w:sz w:val="21"/>
        </w:rPr>
        <w:t xml:space="preserve"> </w:t>
      </w:r>
      <w:r>
        <w:rPr>
          <w:sz w:val="21"/>
        </w:rPr>
        <w:t>reforms,</w:t>
      </w:r>
      <w:r>
        <w:rPr>
          <w:spacing w:val="-1"/>
          <w:sz w:val="21"/>
        </w:rPr>
        <w:t xml:space="preserve"> </w:t>
      </w:r>
      <w:r>
        <w:rPr>
          <w:sz w:val="21"/>
        </w:rPr>
        <w:t>after</w:t>
      </w:r>
      <w:r>
        <w:rPr>
          <w:spacing w:val="-1"/>
          <w:sz w:val="21"/>
        </w:rPr>
        <w:t xml:space="preserve"> </w:t>
      </w:r>
      <w:r>
        <w:rPr>
          <w:sz w:val="21"/>
        </w:rPr>
        <w:t>the</w:t>
      </w:r>
      <w:r>
        <w:rPr>
          <w:spacing w:val="-1"/>
          <w:sz w:val="21"/>
        </w:rPr>
        <w:t xml:space="preserve"> </w:t>
      </w:r>
      <w:r>
        <w:rPr>
          <w:sz w:val="21"/>
        </w:rPr>
        <w:t>Royal</w:t>
      </w:r>
      <w:r>
        <w:rPr>
          <w:spacing w:val="-1"/>
          <w:sz w:val="21"/>
        </w:rPr>
        <w:t xml:space="preserve"> </w:t>
      </w:r>
      <w:r>
        <w:rPr>
          <w:sz w:val="21"/>
        </w:rPr>
        <w:t>Commission</w:t>
      </w:r>
      <w:r>
        <w:rPr>
          <w:spacing w:val="-1"/>
          <w:sz w:val="21"/>
        </w:rPr>
        <w:t xml:space="preserve"> </w:t>
      </w:r>
      <w:r>
        <w:rPr>
          <w:sz w:val="21"/>
        </w:rPr>
        <w:t>into</w:t>
      </w:r>
      <w:r>
        <w:rPr>
          <w:spacing w:val="-1"/>
          <w:sz w:val="21"/>
        </w:rPr>
        <w:t xml:space="preserve"> </w:t>
      </w:r>
      <w:r>
        <w:rPr>
          <w:sz w:val="21"/>
        </w:rPr>
        <w:t>Aged</w:t>
      </w:r>
      <w:r>
        <w:rPr>
          <w:spacing w:val="-1"/>
          <w:sz w:val="21"/>
        </w:rPr>
        <w:t xml:space="preserve"> </w:t>
      </w:r>
      <w:r>
        <w:rPr>
          <w:sz w:val="21"/>
        </w:rPr>
        <w:t>Care</w:t>
      </w:r>
      <w:r>
        <w:rPr>
          <w:spacing w:val="-1"/>
          <w:sz w:val="21"/>
        </w:rPr>
        <w:t xml:space="preserve"> </w:t>
      </w:r>
      <w:r>
        <w:rPr>
          <w:sz w:val="21"/>
        </w:rPr>
        <w:t xml:space="preserve">Quality and Safety, the Commission published the </w:t>
      </w:r>
      <w:hyperlink r:id="rId52">
        <w:r>
          <w:rPr>
            <w:i/>
            <w:sz w:val="21"/>
            <w:u w:val="single"/>
          </w:rPr>
          <w:t xml:space="preserve">Integrated Health and Aged Care Services Module and User </w:t>
        </w:r>
      </w:hyperlink>
      <w:r>
        <w:rPr>
          <w:i/>
          <w:sz w:val="21"/>
        </w:rPr>
        <w:t xml:space="preserve"> </w:t>
      </w:r>
      <w:hyperlink r:id="rId53">
        <w:r>
          <w:rPr>
            <w:i/>
            <w:spacing w:val="-2"/>
            <w:sz w:val="21"/>
            <w:u w:val="single"/>
          </w:rPr>
          <w:t>Guide</w:t>
        </w:r>
      </w:hyperlink>
      <w:r>
        <w:rPr>
          <w:spacing w:val="-2"/>
          <w:sz w:val="21"/>
        </w:rPr>
        <w:t>.</w:t>
      </w:r>
    </w:p>
    <w:p w14:paraId="1D4127C6" w14:textId="77777777" w:rsidR="009D54AF" w:rsidRDefault="00000000">
      <w:pPr>
        <w:pStyle w:val="BodyText"/>
        <w:spacing w:before="141" w:line="278" w:lineRule="auto"/>
        <w:ind w:left="142" w:right="145"/>
      </w:pPr>
      <w:r>
        <w:t>The</w:t>
      </w:r>
      <w:r>
        <w:rPr>
          <w:spacing w:val="-1"/>
        </w:rPr>
        <w:t xml:space="preserve"> </w:t>
      </w:r>
      <w:r>
        <w:t>Commission</w:t>
      </w:r>
      <w:r>
        <w:rPr>
          <w:spacing w:val="-1"/>
        </w:rPr>
        <w:t xml:space="preserve"> </w:t>
      </w:r>
      <w:r>
        <w:t>continues</w:t>
      </w:r>
      <w:r>
        <w:rPr>
          <w:spacing w:val="-1"/>
        </w:rPr>
        <w:t xml:space="preserve"> </w:t>
      </w:r>
      <w:r>
        <w:t>to</w:t>
      </w:r>
      <w:r>
        <w:rPr>
          <w:spacing w:val="-1"/>
        </w:rPr>
        <w:t xml:space="preserve"> </w:t>
      </w:r>
      <w:r>
        <w:t>work</w:t>
      </w:r>
      <w:r>
        <w:rPr>
          <w:spacing w:val="-1"/>
        </w:rPr>
        <w:t xml:space="preserve"> </w:t>
      </w:r>
      <w:r>
        <w:t>with</w:t>
      </w:r>
      <w:r>
        <w:rPr>
          <w:spacing w:val="-1"/>
        </w:rPr>
        <w:t xml:space="preserve"> </w:t>
      </w:r>
      <w:r>
        <w:t>the</w:t>
      </w:r>
      <w:r>
        <w:rPr>
          <w:spacing w:val="-1"/>
        </w:rPr>
        <w:t xml:space="preserve"> </w:t>
      </w:r>
      <w:r>
        <w:t>Department</w:t>
      </w:r>
      <w:r>
        <w:rPr>
          <w:spacing w:val="-1"/>
        </w:rPr>
        <w:t xml:space="preserve"> </w:t>
      </w:r>
      <w:r>
        <w:t>of</w:t>
      </w:r>
      <w:r>
        <w:rPr>
          <w:spacing w:val="-1"/>
        </w:rPr>
        <w:t xml:space="preserve"> </w:t>
      </w:r>
      <w:r>
        <w:t>Health,</w:t>
      </w:r>
      <w:r>
        <w:rPr>
          <w:spacing w:val="-1"/>
        </w:rPr>
        <w:t xml:space="preserve"> </w:t>
      </w:r>
      <w:r>
        <w:t>Disability</w:t>
      </w:r>
      <w:r>
        <w:rPr>
          <w:spacing w:val="-1"/>
        </w:rPr>
        <w:t xml:space="preserve"> </w:t>
      </w:r>
      <w:r>
        <w:t>and</w:t>
      </w:r>
      <w:r>
        <w:rPr>
          <w:spacing w:val="-1"/>
        </w:rPr>
        <w:t xml:space="preserve"> </w:t>
      </w:r>
      <w:r>
        <w:t>Ageing</w:t>
      </w:r>
      <w:r>
        <w:rPr>
          <w:spacing w:val="-1"/>
        </w:rPr>
        <w:t xml:space="preserve"> </w:t>
      </w:r>
      <w:r>
        <w:t>to</w:t>
      </w:r>
      <w:r>
        <w:rPr>
          <w:spacing w:val="-1"/>
        </w:rPr>
        <w:t xml:space="preserve"> </w:t>
      </w:r>
      <w:r>
        <w:t>look</w:t>
      </w:r>
      <w:r>
        <w:rPr>
          <w:spacing w:val="-1"/>
        </w:rPr>
        <w:t xml:space="preserve"> </w:t>
      </w:r>
      <w:r>
        <w:t>at</w:t>
      </w:r>
      <w:r>
        <w:rPr>
          <w:spacing w:val="-1"/>
        </w:rPr>
        <w:t xml:space="preserve"> </w:t>
      </w:r>
      <w:r>
        <w:t>a</w:t>
      </w:r>
      <w:r>
        <w:rPr>
          <w:spacing w:val="-1"/>
        </w:rPr>
        <w:t xml:space="preserve"> </w:t>
      </w:r>
      <w:r>
        <w:t xml:space="preserve">potential expansion of the use of the module outside of those providing the Commonwealth-funded </w:t>
      </w:r>
      <w:hyperlink r:id="rId54">
        <w:r>
          <w:rPr>
            <w:u w:val="single"/>
          </w:rPr>
          <w:t xml:space="preserve">Multi-Purpose </w:t>
        </w:r>
      </w:hyperlink>
      <w:r>
        <w:t xml:space="preserve"> </w:t>
      </w:r>
      <w:hyperlink r:id="rId55">
        <w:r>
          <w:rPr>
            <w:u w:val="single"/>
          </w:rPr>
          <w:t>Service Program</w:t>
        </w:r>
      </w:hyperlink>
      <w:r>
        <w:t>.</w:t>
      </w:r>
    </w:p>
    <w:p w14:paraId="679F9591" w14:textId="77777777" w:rsidR="009D54AF" w:rsidRDefault="00000000">
      <w:pPr>
        <w:pStyle w:val="BodyText"/>
        <w:spacing w:before="142" w:line="278" w:lineRule="auto"/>
        <w:ind w:left="142"/>
      </w:pPr>
      <w:r>
        <w:t>At</w:t>
      </w:r>
      <w:r>
        <w:rPr>
          <w:spacing w:val="-2"/>
        </w:rPr>
        <w:t xml:space="preserve"> </w:t>
      </w:r>
      <w:r>
        <w:t>30</w:t>
      </w:r>
      <w:r>
        <w:rPr>
          <w:spacing w:val="-2"/>
        </w:rPr>
        <w:t xml:space="preserve"> </w:t>
      </w:r>
      <w:r>
        <w:t>June</w:t>
      </w:r>
      <w:r>
        <w:rPr>
          <w:spacing w:val="-2"/>
        </w:rPr>
        <w:t xml:space="preserve"> </w:t>
      </w:r>
      <w:r>
        <w:t>2026,</w:t>
      </w:r>
      <w:r>
        <w:rPr>
          <w:spacing w:val="-2"/>
        </w:rPr>
        <w:t xml:space="preserve"> </w:t>
      </w:r>
      <w:r>
        <w:t>21</w:t>
      </w:r>
      <w:r>
        <w:rPr>
          <w:spacing w:val="-2"/>
        </w:rPr>
        <w:t xml:space="preserve"> </w:t>
      </w:r>
      <w:r>
        <w:t>assessments</w:t>
      </w:r>
      <w:r>
        <w:rPr>
          <w:spacing w:val="-2"/>
        </w:rPr>
        <w:t xml:space="preserve"> </w:t>
      </w:r>
      <w:r>
        <w:t>have</w:t>
      </w:r>
      <w:r>
        <w:rPr>
          <w:spacing w:val="-2"/>
        </w:rPr>
        <w:t xml:space="preserve"> </w:t>
      </w:r>
      <w:r>
        <w:t>been</w:t>
      </w:r>
      <w:r>
        <w:rPr>
          <w:spacing w:val="-2"/>
        </w:rPr>
        <w:t xml:space="preserve"> </w:t>
      </w:r>
      <w:r>
        <w:t>undertaken</w:t>
      </w:r>
      <w:r>
        <w:rPr>
          <w:spacing w:val="-2"/>
        </w:rPr>
        <w:t xml:space="preserve"> </w:t>
      </w:r>
      <w:r>
        <w:t>to</w:t>
      </w:r>
      <w:r>
        <w:rPr>
          <w:spacing w:val="-2"/>
        </w:rPr>
        <w:t xml:space="preserve"> </w:t>
      </w:r>
      <w:r>
        <w:t>the</w:t>
      </w:r>
      <w:r>
        <w:rPr>
          <w:spacing w:val="-2"/>
        </w:rPr>
        <w:t xml:space="preserve"> </w:t>
      </w:r>
      <w:r>
        <w:t>Integrated</w:t>
      </w:r>
      <w:r>
        <w:rPr>
          <w:spacing w:val="-2"/>
        </w:rPr>
        <w:t xml:space="preserve"> </w:t>
      </w:r>
      <w:r>
        <w:t>Health</w:t>
      </w:r>
      <w:r>
        <w:rPr>
          <w:spacing w:val="-2"/>
        </w:rPr>
        <w:t xml:space="preserve"> </w:t>
      </w:r>
      <w:r>
        <w:t>and</w:t>
      </w:r>
      <w:r>
        <w:rPr>
          <w:spacing w:val="-2"/>
        </w:rPr>
        <w:t xml:space="preserve"> </w:t>
      </w:r>
      <w:r>
        <w:t>Aged</w:t>
      </w:r>
      <w:r>
        <w:rPr>
          <w:spacing w:val="-2"/>
        </w:rPr>
        <w:t xml:space="preserve"> </w:t>
      </w:r>
      <w:r>
        <w:t>Care</w:t>
      </w:r>
      <w:r>
        <w:rPr>
          <w:spacing w:val="-2"/>
        </w:rPr>
        <w:t xml:space="preserve"> </w:t>
      </w:r>
      <w:r>
        <w:t xml:space="preserve">Services </w:t>
      </w:r>
      <w:r>
        <w:rPr>
          <w:spacing w:val="-2"/>
        </w:rPr>
        <w:t>Module.</w:t>
      </w:r>
    </w:p>
    <w:p w14:paraId="7039D62E" w14:textId="77777777" w:rsidR="009D54AF" w:rsidRDefault="009D54AF">
      <w:pPr>
        <w:pStyle w:val="BodyText"/>
        <w:spacing w:before="65"/>
      </w:pPr>
    </w:p>
    <w:p w14:paraId="75DAA23C" w14:textId="77777777" w:rsidR="009D54AF" w:rsidRDefault="00000000">
      <w:pPr>
        <w:pStyle w:val="Heading5"/>
      </w:pPr>
      <w:r>
        <w:t>Diagnostic</w:t>
      </w:r>
      <w:r>
        <w:rPr>
          <w:spacing w:val="-6"/>
        </w:rPr>
        <w:t xml:space="preserve"> </w:t>
      </w:r>
      <w:r>
        <w:t>Imaging</w:t>
      </w:r>
      <w:r>
        <w:rPr>
          <w:spacing w:val="-6"/>
        </w:rPr>
        <w:t xml:space="preserve"> </w:t>
      </w:r>
      <w:r>
        <w:t>Accreditation</w:t>
      </w:r>
      <w:r>
        <w:rPr>
          <w:spacing w:val="-5"/>
        </w:rPr>
        <w:t xml:space="preserve"> </w:t>
      </w:r>
      <w:r>
        <w:rPr>
          <w:spacing w:val="-2"/>
        </w:rPr>
        <w:t>Scheme</w:t>
      </w:r>
    </w:p>
    <w:p w14:paraId="5F8EDDFE" w14:textId="77777777" w:rsidR="009D54AF" w:rsidRDefault="00000000">
      <w:pPr>
        <w:pStyle w:val="BodyText"/>
        <w:spacing w:before="133" w:line="278" w:lineRule="auto"/>
        <w:ind w:left="142"/>
      </w:pPr>
      <w:r>
        <w:t>The</w:t>
      </w:r>
      <w:r>
        <w:rPr>
          <w:spacing w:val="-2"/>
        </w:rPr>
        <w:t xml:space="preserve"> </w:t>
      </w:r>
      <w:r>
        <w:t>Commission</w:t>
      </w:r>
      <w:r>
        <w:rPr>
          <w:spacing w:val="-2"/>
        </w:rPr>
        <w:t xml:space="preserve"> </w:t>
      </w:r>
      <w:r>
        <w:t>is</w:t>
      </w:r>
      <w:r>
        <w:rPr>
          <w:spacing w:val="-2"/>
        </w:rPr>
        <w:t xml:space="preserve"> </w:t>
      </w:r>
      <w:r>
        <w:t>responsible</w:t>
      </w:r>
      <w:r>
        <w:rPr>
          <w:spacing w:val="-2"/>
        </w:rPr>
        <w:t xml:space="preserve"> </w:t>
      </w:r>
      <w:r>
        <w:t>for</w:t>
      </w:r>
      <w:r>
        <w:rPr>
          <w:spacing w:val="-2"/>
        </w:rPr>
        <w:t xml:space="preserve"> </w:t>
      </w:r>
      <w:r>
        <w:t>reviewing</w:t>
      </w:r>
      <w:r>
        <w:rPr>
          <w:spacing w:val="-2"/>
        </w:rPr>
        <w:t xml:space="preserve"> </w:t>
      </w:r>
      <w:r>
        <w:t>and</w:t>
      </w:r>
      <w:r>
        <w:rPr>
          <w:spacing w:val="-2"/>
        </w:rPr>
        <w:t xml:space="preserve"> </w:t>
      </w:r>
      <w:r>
        <w:t>managing</w:t>
      </w:r>
      <w:r>
        <w:rPr>
          <w:spacing w:val="-2"/>
        </w:rPr>
        <w:t xml:space="preserve"> </w:t>
      </w:r>
      <w:r>
        <w:t>the</w:t>
      </w:r>
      <w:r>
        <w:rPr>
          <w:spacing w:val="-2"/>
        </w:rPr>
        <w:t xml:space="preserve"> </w:t>
      </w:r>
      <w:r>
        <w:t>Diagnostic</w:t>
      </w:r>
      <w:r>
        <w:rPr>
          <w:spacing w:val="-2"/>
        </w:rPr>
        <w:t xml:space="preserve"> </w:t>
      </w:r>
      <w:r>
        <w:t>Imaging</w:t>
      </w:r>
      <w:r>
        <w:rPr>
          <w:spacing w:val="-2"/>
        </w:rPr>
        <w:t xml:space="preserve"> </w:t>
      </w:r>
      <w:r>
        <w:t>Accreditation</w:t>
      </w:r>
      <w:r>
        <w:rPr>
          <w:spacing w:val="-2"/>
        </w:rPr>
        <w:t xml:space="preserve"> </w:t>
      </w:r>
      <w:r>
        <w:t xml:space="preserve">Scheme (DIAS) and its standards. This is an off-work program, funded by the Department of Health, Disability and </w:t>
      </w:r>
      <w:r>
        <w:rPr>
          <w:spacing w:val="-2"/>
        </w:rPr>
        <w:t>Ageing.</w:t>
      </w:r>
    </w:p>
    <w:p w14:paraId="06E73F68" w14:textId="77777777" w:rsidR="009D54AF" w:rsidRDefault="00000000">
      <w:pPr>
        <w:pStyle w:val="BodyText"/>
        <w:spacing w:before="142" w:line="278" w:lineRule="auto"/>
        <w:ind w:left="142" w:right="285"/>
      </w:pPr>
      <w:r>
        <w:t>At 30 June 2026, there were 5,205 imaging practices in the Commission’s database. Almost all (97% or 5,073)</w:t>
      </w:r>
      <w:r>
        <w:rPr>
          <w:spacing w:val="-3"/>
        </w:rPr>
        <w:t xml:space="preserve"> </w:t>
      </w:r>
      <w:r>
        <w:t>were</w:t>
      </w:r>
      <w:r>
        <w:rPr>
          <w:spacing w:val="-3"/>
        </w:rPr>
        <w:t xml:space="preserve"> </w:t>
      </w:r>
      <w:r>
        <w:t>accredited</w:t>
      </w:r>
      <w:r>
        <w:rPr>
          <w:spacing w:val="-3"/>
        </w:rPr>
        <w:t xml:space="preserve"> </w:t>
      </w:r>
      <w:r>
        <w:t>or</w:t>
      </w:r>
      <w:r>
        <w:rPr>
          <w:spacing w:val="-3"/>
        </w:rPr>
        <w:t xml:space="preserve"> </w:t>
      </w:r>
      <w:r>
        <w:t>accredited</w:t>
      </w:r>
      <w:r>
        <w:rPr>
          <w:spacing w:val="-3"/>
        </w:rPr>
        <w:t xml:space="preserve"> </w:t>
      </w:r>
      <w:r>
        <w:t>with</w:t>
      </w:r>
      <w:r>
        <w:rPr>
          <w:spacing w:val="-3"/>
        </w:rPr>
        <w:t xml:space="preserve"> </w:t>
      </w:r>
      <w:r>
        <w:t>conditions.</w:t>
      </w:r>
      <w:r>
        <w:rPr>
          <w:spacing w:val="-3"/>
        </w:rPr>
        <w:t xml:space="preserve"> </w:t>
      </w:r>
      <w:r>
        <w:t>The</w:t>
      </w:r>
      <w:r>
        <w:rPr>
          <w:spacing w:val="-3"/>
        </w:rPr>
        <w:t xml:space="preserve"> </w:t>
      </w:r>
      <w:r>
        <w:t>vast</w:t>
      </w:r>
      <w:r>
        <w:rPr>
          <w:spacing w:val="-3"/>
        </w:rPr>
        <w:t xml:space="preserve"> </w:t>
      </w:r>
      <w:r>
        <w:t>majority</w:t>
      </w:r>
      <w:r>
        <w:rPr>
          <w:spacing w:val="-3"/>
        </w:rPr>
        <w:t xml:space="preserve"> </w:t>
      </w:r>
      <w:r>
        <w:t>(85%</w:t>
      </w:r>
      <w:r>
        <w:rPr>
          <w:spacing w:val="-3"/>
        </w:rPr>
        <w:t xml:space="preserve"> </w:t>
      </w:r>
      <w:r>
        <w:t>or</w:t>
      </w:r>
      <w:r>
        <w:rPr>
          <w:spacing w:val="-3"/>
        </w:rPr>
        <w:t xml:space="preserve"> </w:t>
      </w:r>
      <w:r>
        <w:t>4,287)</w:t>
      </w:r>
      <w:r>
        <w:rPr>
          <w:spacing w:val="-3"/>
        </w:rPr>
        <w:t xml:space="preserve"> </w:t>
      </w:r>
      <w:r>
        <w:t>of</w:t>
      </w:r>
      <w:r>
        <w:rPr>
          <w:spacing w:val="-3"/>
        </w:rPr>
        <w:t xml:space="preserve"> </w:t>
      </w:r>
      <w:r>
        <w:t>accredited</w:t>
      </w:r>
      <w:r>
        <w:rPr>
          <w:spacing w:val="-3"/>
        </w:rPr>
        <w:t xml:space="preserve"> </w:t>
      </w:r>
      <w:r>
        <w:t>imaging practices held full accreditation. The remaining 14% were accredited to subset or entry-level standards.</w:t>
      </w:r>
    </w:p>
    <w:p w14:paraId="70781BFF" w14:textId="77777777" w:rsidR="009D54AF" w:rsidRDefault="00000000">
      <w:pPr>
        <w:pStyle w:val="BodyText"/>
        <w:spacing w:before="141" w:line="278" w:lineRule="auto"/>
        <w:ind w:left="142" w:right="448"/>
      </w:pPr>
      <w:r>
        <w:lastRenderedPageBreak/>
        <w:t>In 2025–26, the Commission progressed its review of DIAS, including by running two public consultations on</w:t>
      </w:r>
      <w:r>
        <w:rPr>
          <w:spacing w:val="-1"/>
        </w:rPr>
        <w:t xml:space="preserve"> </w:t>
      </w:r>
      <w:r>
        <w:t>accreditation</w:t>
      </w:r>
      <w:r>
        <w:rPr>
          <w:spacing w:val="-1"/>
        </w:rPr>
        <w:t xml:space="preserve"> </w:t>
      </w:r>
      <w:r>
        <w:t>methodology.</w:t>
      </w:r>
      <w:r>
        <w:rPr>
          <w:spacing w:val="-1"/>
        </w:rPr>
        <w:t xml:space="preserve"> </w:t>
      </w:r>
      <w:r>
        <w:t>Consultation</w:t>
      </w:r>
      <w:r>
        <w:rPr>
          <w:spacing w:val="-1"/>
        </w:rPr>
        <w:t xml:space="preserve"> </w:t>
      </w:r>
      <w:r>
        <w:t>on</w:t>
      </w:r>
      <w:r>
        <w:rPr>
          <w:spacing w:val="-1"/>
        </w:rPr>
        <w:t xml:space="preserve"> </w:t>
      </w:r>
      <w:r>
        <w:t>the</w:t>
      </w:r>
      <w:r>
        <w:rPr>
          <w:spacing w:val="-1"/>
        </w:rPr>
        <w:t xml:space="preserve"> </w:t>
      </w:r>
      <w:r>
        <w:t>proposed</w:t>
      </w:r>
      <w:r>
        <w:rPr>
          <w:spacing w:val="-1"/>
        </w:rPr>
        <w:t xml:space="preserve"> </w:t>
      </w:r>
      <w:r>
        <w:t>changes</w:t>
      </w:r>
      <w:r>
        <w:rPr>
          <w:spacing w:val="-1"/>
        </w:rPr>
        <w:t xml:space="preserve"> </w:t>
      </w:r>
      <w:r>
        <w:t>to</w:t>
      </w:r>
      <w:r>
        <w:rPr>
          <w:spacing w:val="-1"/>
        </w:rPr>
        <w:t xml:space="preserve"> </w:t>
      </w:r>
      <w:r>
        <w:t>DIAS</w:t>
      </w:r>
      <w:r>
        <w:rPr>
          <w:spacing w:val="-1"/>
        </w:rPr>
        <w:t xml:space="preserve"> </w:t>
      </w:r>
      <w:r>
        <w:t>included</w:t>
      </w:r>
      <w:r>
        <w:rPr>
          <w:spacing w:val="-1"/>
        </w:rPr>
        <w:t xml:space="preserve"> </w:t>
      </w:r>
      <w:r>
        <w:t>a</w:t>
      </w:r>
      <w:r>
        <w:rPr>
          <w:spacing w:val="-1"/>
        </w:rPr>
        <w:t xml:space="preserve"> </w:t>
      </w:r>
      <w:r>
        <w:t>transition</w:t>
      </w:r>
      <w:r>
        <w:rPr>
          <w:spacing w:val="-1"/>
        </w:rPr>
        <w:t xml:space="preserve"> </w:t>
      </w:r>
      <w:r>
        <w:t>from</w:t>
      </w:r>
      <w:r>
        <w:rPr>
          <w:spacing w:val="-1"/>
        </w:rPr>
        <w:t xml:space="preserve"> </w:t>
      </w:r>
      <w:r>
        <w:t>a</w:t>
      </w:r>
    </w:p>
    <w:p w14:paraId="4AD6EDB6" w14:textId="77777777" w:rsidR="009D54AF" w:rsidRDefault="00000000">
      <w:pPr>
        <w:pStyle w:val="BodyText"/>
        <w:spacing w:line="278" w:lineRule="auto"/>
        <w:ind w:left="142"/>
      </w:pPr>
      <w:r>
        <w:t>four-year</w:t>
      </w:r>
      <w:r>
        <w:rPr>
          <w:spacing w:val="-3"/>
        </w:rPr>
        <w:t xml:space="preserve"> </w:t>
      </w:r>
      <w:r>
        <w:t>desktop</w:t>
      </w:r>
      <w:r>
        <w:rPr>
          <w:spacing w:val="-3"/>
        </w:rPr>
        <w:t xml:space="preserve"> </w:t>
      </w:r>
      <w:r>
        <w:t>assessment</w:t>
      </w:r>
      <w:r>
        <w:rPr>
          <w:spacing w:val="-3"/>
        </w:rPr>
        <w:t xml:space="preserve"> </w:t>
      </w:r>
      <w:r>
        <w:t>to</w:t>
      </w:r>
      <w:r>
        <w:rPr>
          <w:spacing w:val="-3"/>
        </w:rPr>
        <w:t xml:space="preserve"> </w:t>
      </w:r>
      <w:r>
        <w:t>a</w:t>
      </w:r>
      <w:r>
        <w:rPr>
          <w:spacing w:val="-3"/>
        </w:rPr>
        <w:t xml:space="preserve"> </w:t>
      </w:r>
      <w:r>
        <w:t>three-year</w:t>
      </w:r>
      <w:r>
        <w:rPr>
          <w:spacing w:val="-3"/>
        </w:rPr>
        <w:t xml:space="preserve"> </w:t>
      </w:r>
      <w:r>
        <w:t>risk-based</w:t>
      </w:r>
      <w:r>
        <w:rPr>
          <w:spacing w:val="-3"/>
        </w:rPr>
        <w:t xml:space="preserve"> </w:t>
      </w:r>
      <w:r>
        <w:t>assessment</w:t>
      </w:r>
      <w:r>
        <w:rPr>
          <w:spacing w:val="-3"/>
        </w:rPr>
        <w:t xml:space="preserve"> </w:t>
      </w:r>
      <w:r>
        <w:t>process,</w:t>
      </w:r>
      <w:r>
        <w:rPr>
          <w:spacing w:val="-3"/>
        </w:rPr>
        <w:t xml:space="preserve"> </w:t>
      </w:r>
      <w:r>
        <w:t>involving</w:t>
      </w:r>
      <w:r>
        <w:rPr>
          <w:spacing w:val="-3"/>
        </w:rPr>
        <w:t xml:space="preserve"> </w:t>
      </w:r>
      <w:r>
        <w:t>virtual,</w:t>
      </w:r>
      <w:r>
        <w:rPr>
          <w:spacing w:val="-3"/>
        </w:rPr>
        <w:t xml:space="preserve"> </w:t>
      </w:r>
      <w:r>
        <w:t>onsite</w:t>
      </w:r>
      <w:r>
        <w:rPr>
          <w:spacing w:val="-3"/>
        </w:rPr>
        <w:t xml:space="preserve"> </w:t>
      </w:r>
      <w:r>
        <w:t>and/or short notice assessments.</w:t>
      </w:r>
    </w:p>
    <w:p w14:paraId="326A447F" w14:textId="77777777" w:rsidR="009D54AF" w:rsidRDefault="00000000">
      <w:pPr>
        <w:pStyle w:val="BodyText"/>
        <w:spacing w:before="141" w:line="278" w:lineRule="auto"/>
        <w:ind w:left="142" w:right="214"/>
      </w:pPr>
      <w:r>
        <w:t>The</w:t>
      </w:r>
      <w:r>
        <w:rPr>
          <w:spacing w:val="-2"/>
        </w:rPr>
        <w:t xml:space="preserve"> </w:t>
      </w:r>
      <w:r>
        <w:t>revised</w:t>
      </w:r>
      <w:r>
        <w:rPr>
          <w:spacing w:val="-2"/>
        </w:rPr>
        <w:t xml:space="preserve"> </w:t>
      </w:r>
      <w:r>
        <w:t>scheme</w:t>
      </w:r>
      <w:r>
        <w:rPr>
          <w:spacing w:val="-2"/>
        </w:rPr>
        <w:t xml:space="preserve"> </w:t>
      </w:r>
      <w:r>
        <w:t>is</w:t>
      </w:r>
      <w:r>
        <w:rPr>
          <w:spacing w:val="-2"/>
        </w:rPr>
        <w:t xml:space="preserve"> </w:t>
      </w:r>
      <w:r>
        <w:t>expected</w:t>
      </w:r>
      <w:r>
        <w:rPr>
          <w:spacing w:val="-2"/>
        </w:rPr>
        <w:t xml:space="preserve"> </w:t>
      </w:r>
      <w:r>
        <w:t>to</w:t>
      </w:r>
      <w:r>
        <w:rPr>
          <w:spacing w:val="-2"/>
        </w:rPr>
        <w:t xml:space="preserve"> </w:t>
      </w:r>
      <w:r>
        <w:t>be</w:t>
      </w:r>
      <w:r>
        <w:rPr>
          <w:spacing w:val="-2"/>
        </w:rPr>
        <w:t xml:space="preserve"> </w:t>
      </w:r>
      <w:r>
        <w:t>renamed</w:t>
      </w:r>
      <w:r>
        <w:rPr>
          <w:spacing w:val="-2"/>
        </w:rPr>
        <w:t xml:space="preserve"> </w:t>
      </w:r>
      <w:r>
        <w:t>the</w:t>
      </w:r>
      <w:r>
        <w:rPr>
          <w:spacing w:val="-2"/>
        </w:rPr>
        <w:t xml:space="preserve"> </w:t>
      </w:r>
      <w:r>
        <w:t>Medical</w:t>
      </w:r>
      <w:r>
        <w:rPr>
          <w:spacing w:val="-2"/>
        </w:rPr>
        <w:t xml:space="preserve"> </w:t>
      </w:r>
      <w:r>
        <w:t>Imaging</w:t>
      </w:r>
      <w:r>
        <w:rPr>
          <w:spacing w:val="-2"/>
        </w:rPr>
        <w:t xml:space="preserve"> </w:t>
      </w:r>
      <w:r>
        <w:t>Accreditation</w:t>
      </w:r>
      <w:r>
        <w:rPr>
          <w:spacing w:val="-2"/>
        </w:rPr>
        <w:t xml:space="preserve"> </w:t>
      </w:r>
      <w:r>
        <w:t>Scheme</w:t>
      </w:r>
      <w:r>
        <w:rPr>
          <w:spacing w:val="-2"/>
        </w:rPr>
        <w:t xml:space="preserve"> </w:t>
      </w:r>
      <w:r>
        <w:t>(MIAS),</w:t>
      </w:r>
      <w:r>
        <w:rPr>
          <w:spacing w:val="-2"/>
        </w:rPr>
        <w:t xml:space="preserve"> </w:t>
      </w:r>
      <w:r>
        <w:t>to</w:t>
      </w:r>
      <w:r>
        <w:rPr>
          <w:spacing w:val="-2"/>
        </w:rPr>
        <w:t xml:space="preserve"> </w:t>
      </w:r>
      <w:r>
        <w:t>reflect the broader role of medical imaging.</w:t>
      </w:r>
    </w:p>
    <w:p w14:paraId="31D28CC3" w14:textId="77777777" w:rsidR="009D54AF" w:rsidRDefault="00000000">
      <w:pPr>
        <w:pStyle w:val="BodyText"/>
        <w:spacing w:before="142" w:line="278" w:lineRule="auto"/>
        <w:ind w:left="142"/>
      </w:pPr>
      <w:r>
        <w:t>In</w:t>
      </w:r>
      <w:r>
        <w:rPr>
          <w:spacing w:val="-1"/>
        </w:rPr>
        <w:t xml:space="preserve"> </w:t>
      </w:r>
      <w:r>
        <w:t>2025,</w:t>
      </w:r>
      <w:r>
        <w:rPr>
          <w:spacing w:val="-1"/>
        </w:rPr>
        <w:t xml:space="preserve"> </w:t>
      </w:r>
      <w:r>
        <w:t>the</w:t>
      </w:r>
      <w:r>
        <w:rPr>
          <w:spacing w:val="-1"/>
        </w:rPr>
        <w:t xml:space="preserve"> </w:t>
      </w:r>
      <w:r>
        <w:t>Commission</w:t>
      </w:r>
      <w:r>
        <w:rPr>
          <w:spacing w:val="-1"/>
        </w:rPr>
        <w:t xml:space="preserve"> </w:t>
      </w:r>
      <w:r>
        <w:t>released</w:t>
      </w:r>
      <w:r>
        <w:rPr>
          <w:spacing w:val="-1"/>
        </w:rPr>
        <w:t xml:space="preserve"> </w:t>
      </w:r>
      <w:r>
        <w:t>the</w:t>
      </w:r>
      <w:r>
        <w:rPr>
          <w:spacing w:val="-1"/>
        </w:rPr>
        <w:t xml:space="preserve"> </w:t>
      </w:r>
      <w:r>
        <w:t>draft</w:t>
      </w:r>
      <w:r>
        <w:rPr>
          <w:spacing w:val="-1"/>
        </w:rPr>
        <w:t xml:space="preserve"> </w:t>
      </w:r>
      <w:r>
        <w:t>Medical</w:t>
      </w:r>
      <w:r>
        <w:rPr>
          <w:spacing w:val="-1"/>
        </w:rPr>
        <w:t xml:space="preserve"> </w:t>
      </w:r>
      <w:r>
        <w:t>Imaging</w:t>
      </w:r>
      <w:r>
        <w:rPr>
          <w:spacing w:val="-1"/>
        </w:rPr>
        <w:t xml:space="preserve"> </w:t>
      </w:r>
      <w:r>
        <w:t>Standards,</w:t>
      </w:r>
      <w:r>
        <w:rPr>
          <w:spacing w:val="-1"/>
        </w:rPr>
        <w:t xml:space="preserve"> </w:t>
      </w:r>
      <w:r>
        <w:t>which</w:t>
      </w:r>
      <w:r>
        <w:rPr>
          <w:spacing w:val="-1"/>
        </w:rPr>
        <w:t xml:space="preserve"> </w:t>
      </w:r>
      <w:r>
        <w:t>will</w:t>
      </w:r>
      <w:r>
        <w:rPr>
          <w:spacing w:val="-1"/>
        </w:rPr>
        <w:t xml:space="preserve"> </w:t>
      </w:r>
      <w:r>
        <w:t>be</w:t>
      </w:r>
      <w:r>
        <w:rPr>
          <w:spacing w:val="-1"/>
        </w:rPr>
        <w:t xml:space="preserve"> </w:t>
      </w:r>
      <w:r>
        <w:t>assessed</w:t>
      </w:r>
      <w:r>
        <w:rPr>
          <w:spacing w:val="-1"/>
        </w:rPr>
        <w:t xml:space="preserve"> </w:t>
      </w:r>
      <w:r>
        <w:t>under</w:t>
      </w:r>
      <w:r>
        <w:rPr>
          <w:spacing w:val="-1"/>
        </w:rPr>
        <w:t xml:space="preserve"> </w:t>
      </w:r>
      <w:r>
        <w:t>MIAS. The Medical Imaging Standards support a safety and quality framework and promote continuous quality improvement for imaging practices. The Commission worked with health economists to assess the costs and benefits of implementation. This analysis will be incorporated into a regulatory impact analysis.</w:t>
      </w:r>
    </w:p>
    <w:p w14:paraId="756ED965" w14:textId="77777777" w:rsidR="009D54AF" w:rsidRDefault="00000000">
      <w:pPr>
        <w:pStyle w:val="BodyText"/>
        <w:spacing w:before="141" w:line="278" w:lineRule="auto"/>
        <w:ind w:left="142"/>
      </w:pPr>
      <w:r>
        <w:t>The</w:t>
      </w:r>
      <w:r>
        <w:rPr>
          <w:spacing w:val="-1"/>
        </w:rPr>
        <w:t xml:space="preserve"> </w:t>
      </w:r>
      <w:r>
        <w:t>Medical</w:t>
      </w:r>
      <w:r>
        <w:rPr>
          <w:spacing w:val="-1"/>
        </w:rPr>
        <w:t xml:space="preserve"> </w:t>
      </w:r>
      <w:r>
        <w:t>Imaging</w:t>
      </w:r>
      <w:r>
        <w:rPr>
          <w:spacing w:val="-1"/>
        </w:rPr>
        <w:t xml:space="preserve"> </w:t>
      </w:r>
      <w:r>
        <w:t>Standards</w:t>
      </w:r>
      <w:r>
        <w:rPr>
          <w:spacing w:val="-1"/>
        </w:rPr>
        <w:t xml:space="preserve"> </w:t>
      </w:r>
      <w:r>
        <w:t>are</w:t>
      </w:r>
      <w:r>
        <w:rPr>
          <w:spacing w:val="-1"/>
        </w:rPr>
        <w:t xml:space="preserve"> </w:t>
      </w:r>
      <w:r>
        <w:t>scheduled</w:t>
      </w:r>
      <w:r>
        <w:rPr>
          <w:spacing w:val="-1"/>
        </w:rPr>
        <w:t xml:space="preserve"> </w:t>
      </w:r>
      <w:r>
        <w:t>for</w:t>
      </w:r>
      <w:r>
        <w:rPr>
          <w:spacing w:val="-1"/>
        </w:rPr>
        <w:t xml:space="preserve"> </w:t>
      </w:r>
      <w:r>
        <w:t>release</w:t>
      </w:r>
      <w:r>
        <w:rPr>
          <w:spacing w:val="-1"/>
        </w:rPr>
        <w:t xml:space="preserve"> </w:t>
      </w:r>
      <w:r>
        <w:t>in</w:t>
      </w:r>
      <w:r>
        <w:rPr>
          <w:spacing w:val="-1"/>
        </w:rPr>
        <w:t xml:space="preserve"> </w:t>
      </w:r>
      <w:r>
        <w:t>late</w:t>
      </w:r>
      <w:r>
        <w:rPr>
          <w:spacing w:val="-1"/>
        </w:rPr>
        <w:t xml:space="preserve"> </w:t>
      </w:r>
      <w:r>
        <w:t>2026,</w:t>
      </w:r>
      <w:r>
        <w:rPr>
          <w:spacing w:val="-1"/>
        </w:rPr>
        <w:t xml:space="preserve"> </w:t>
      </w:r>
      <w:r>
        <w:t>with</w:t>
      </w:r>
      <w:r>
        <w:rPr>
          <w:spacing w:val="-1"/>
        </w:rPr>
        <w:t xml:space="preserve"> </w:t>
      </w:r>
      <w:r>
        <w:t>accreditation</w:t>
      </w:r>
      <w:r>
        <w:rPr>
          <w:spacing w:val="-1"/>
        </w:rPr>
        <w:t xml:space="preserve"> </w:t>
      </w:r>
      <w:r>
        <w:t>under</w:t>
      </w:r>
      <w:r>
        <w:rPr>
          <w:spacing w:val="-1"/>
        </w:rPr>
        <w:t xml:space="preserve"> </w:t>
      </w:r>
      <w:r>
        <w:t>MIAS</w:t>
      </w:r>
      <w:r>
        <w:rPr>
          <w:spacing w:val="-1"/>
        </w:rPr>
        <w:t xml:space="preserve"> </w:t>
      </w:r>
      <w:r>
        <w:t>due</w:t>
      </w:r>
      <w:r>
        <w:rPr>
          <w:spacing w:val="-1"/>
        </w:rPr>
        <w:t xml:space="preserve"> </w:t>
      </w:r>
      <w:r>
        <w:t>to begin in 2028.</w:t>
      </w:r>
    </w:p>
    <w:p w14:paraId="3896FF9D" w14:textId="77777777" w:rsidR="009D54AF" w:rsidRDefault="009D54AF">
      <w:pPr>
        <w:pStyle w:val="BodyText"/>
        <w:spacing w:before="65"/>
      </w:pPr>
    </w:p>
    <w:p w14:paraId="13D8F0B2" w14:textId="77777777" w:rsidR="009D54AF" w:rsidRDefault="00000000">
      <w:pPr>
        <w:pStyle w:val="Heading5"/>
        <w:spacing w:before="1"/>
      </w:pPr>
      <w:r>
        <w:t>National</w:t>
      </w:r>
      <w:r>
        <w:rPr>
          <w:spacing w:val="-6"/>
        </w:rPr>
        <w:t xml:space="preserve"> </w:t>
      </w:r>
      <w:r>
        <w:t>Pathology</w:t>
      </w:r>
      <w:r>
        <w:rPr>
          <w:spacing w:val="-6"/>
        </w:rPr>
        <w:t xml:space="preserve"> </w:t>
      </w:r>
      <w:r>
        <w:t>Accreditation</w:t>
      </w:r>
      <w:r>
        <w:rPr>
          <w:spacing w:val="-6"/>
        </w:rPr>
        <w:t xml:space="preserve"> </w:t>
      </w:r>
      <w:r>
        <w:rPr>
          <w:spacing w:val="-2"/>
        </w:rPr>
        <w:t>Scheme</w:t>
      </w:r>
    </w:p>
    <w:p w14:paraId="04969B29" w14:textId="77777777" w:rsidR="009D54AF" w:rsidRDefault="00000000">
      <w:pPr>
        <w:pStyle w:val="BodyText"/>
        <w:spacing w:before="133" w:line="278" w:lineRule="auto"/>
        <w:ind w:left="142"/>
      </w:pPr>
      <w:r>
        <w:t>The</w:t>
      </w:r>
      <w:r>
        <w:rPr>
          <w:spacing w:val="-2"/>
        </w:rPr>
        <w:t xml:space="preserve"> </w:t>
      </w:r>
      <w:r>
        <w:t>Commission</w:t>
      </w:r>
      <w:r>
        <w:rPr>
          <w:spacing w:val="-2"/>
        </w:rPr>
        <w:t xml:space="preserve"> </w:t>
      </w:r>
      <w:r>
        <w:t>is</w:t>
      </w:r>
      <w:r>
        <w:rPr>
          <w:spacing w:val="-2"/>
        </w:rPr>
        <w:t xml:space="preserve"> </w:t>
      </w:r>
      <w:r>
        <w:t>responsible</w:t>
      </w:r>
      <w:r>
        <w:rPr>
          <w:spacing w:val="-2"/>
        </w:rPr>
        <w:t xml:space="preserve"> </w:t>
      </w:r>
      <w:r>
        <w:t>for</w:t>
      </w:r>
      <w:r>
        <w:rPr>
          <w:spacing w:val="-2"/>
        </w:rPr>
        <w:t xml:space="preserve"> </w:t>
      </w:r>
      <w:r>
        <w:t>managing</w:t>
      </w:r>
      <w:r>
        <w:rPr>
          <w:spacing w:val="-2"/>
        </w:rPr>
        <w:t xml:space="preserve"> </w:t>
      </w:r>
      <w:r>
        <w:t>and</w:t>
      </w:r>
      <w:r>
        <w:rPr>
          <w:spacing w:val="-2"/>
        </w:rPr>
        <w:t xml:space="preserve"> </w:t>
      </w:r>
      <w:r>
        <w:t>maintaining</w:t>
      </w:r>
      <w:r>
        <w:rPr>
          <w:spacing w:val="-2"/>
        </w:rPr>
        <w:t xml:space="preserve"> </w:t>
      </w:r>
      <w:r>
        <w:t>the</w:t>
      </w:r>
      <w:r>
        <w:rPr>
          <w:spacing w:val="-2"/>
        </w:rPr>
        <w:t xml:space="preserve"> </w:t>
      </w:r>
      <w:r>
        <w:t>National</w:t>
      </w:r>
      <w:r>
        <w:rPr>
          <w:spacing w:val="-2"/>
        </w:rPr>
        <w:t xml:space="preserve"> </w:t>
      </w:r>
      <w:r>
        <w:t>Pathology</w:t>
      </w:r>
      <w:r>
        <w:rPr>
          <w:spacing w:val="-2"/>
        </w:rPr>
        <w:t xml:space="preserve"> </w:t>
      </w:r>
      <w:r>
        <w:t>Accreditation</w:t>
      </w:r>
      <w:r>
        <w:rPr>
          <w:spacing w:val="-2"/>
        </w:rPr>
        <w:t xml:space="preserve"> </w:t>
      </w:r>
      <w:r>
        <w:t>Scheme (NPAS) and its standards.</w:t>
      </w:r>
    </w:p>
    <w:p w14:paraId="20CB13BE" w14:textId="77777777" w:rsidR="009D54AF" w:rsidRDefault="00000000">
      <w:pPr>
        <w:pStyle w:val="BodyText"/>
        <w:spacing w:before="141" w:line="278" w:lineRule="auto"/>
        <w:ind w:left="142" w:right="145"/>
      </w:pPr>
      <w:r>
        <w:t>At January 2026, a total of 593 laboratories were accredited against all NPAS standards, a small decrease from</w:t>
      </w:r>
      <w:r>
        <w:rPr>
          <w:spacing w:val="-4"/>
        </w:rPr>
        <w:t xml:space="preserve"> </w:t>
      </w:r>
      <w:r>
        <w:t>624</w:t>
      </w:r>
      <w:r>
        <w:rPr>
          <w:spacing w:val="-4"/>
        </w:rPr>
        <w:t xml:space="preserve"> </w:t>
      </w:r>
      <w:r>
        <w:t>at</w:t>
      </w:r>
      <w:r>
        <w:rPr>
          <w:spacing w:val="-4"/>
        </w:rPr>
        <w:t xml:space="preserve"> </w:t>
      </w:r>
      <w:r>
        <w:t>January</w:t>
      </w:r>
      <w:r>
        <w:rPr>
          <w:spacing w:val="-4"/>
        </w:rPr>
        <w:t xml:space="preserve"> </w:t>
      </w:r>
      <w:r>
        <w:t>2025.</w:t>
      </w:r>
      <w:r>
        <w:rPr>
          <w:spacing w:val="-4"/>
        </w:rPr>
        <w:t xml:space="preserve"> </w:t>
      </w:r>
      <w:r>
        <w:t>Approximately</w:t>
      </w:r>
      <w:r>
        <w:rPr>
          <w:spacing w:val="-4"/>
        </w:rPr>
        <w:t xml:space="preserve"> </w:t>
      </w:r>
      <w:r>
        <w:t>71%</w:t>
      </w:r>
      <w:r>
        <w:rPr>
          <w:spacing w:val="-4"/>
        </w:rPr>
        <w:t xml:space="preserve"> </w:t>
      </w:r>
      <w:r>
        <w:t>of</w:t>
      </w:r>
      <w:r>
        <w:rPr>
          <w:spacing w:val="-4"/>
        </w:rPr>
        <w:t xml:space="preserve"> </w:t>
      </w:r>
      <w:r>
        <w:t>accredited</w:t>
      </w:r>
      <w:r>
        <w:rPr>
          <w:spacing w:val="-4"/>
        </w:rPr>
        <w:t xml:space="preserve"> </w:t>
      </w:r>
      <w:r>
        <w:t>laboratories</w:t>
      </w:r>
      <w:r>
        <w:rPr>
          <w:spacing w:val="-4"/>
        </w:rPr>
        <w:t xml:space="preserve"> </w:t>
      </w:r>
      <w:r>
        <w:t>were</w:t>
      </w:r>
      <w:r>
        <w:rPr>
          <w:spacing w:val="-4"/>
        </w:rPr>
        <w:t xml:space="preserve"> </w:t>
      </w:r>
      <w:r>
        <w:t>in</w:t>
      </w:r>
      <w:r>
        <w:rPr>
          <w:spacing w:val="-4"/>
        </w:rPr>
        <w:t xml:space="preserve"> </w:t>
      </w:r>
      <w:r>
        <w:t>Category</w:t>
      </w:r>
      <w:r>
        <w:rPr>
          <w:spacing w:val="-4"/>
        </w:rPr>
        <w:t xml:space="preserve"> </w:t>
      </w:r>
      <w:r>
        <w:t>B</w:t>
      </w:r>
      <w:r>
        <w:rPr>
          <w:spacing w:val="-4"/>
        </w:rPr>
        <w:t xml:space="preserve"> </w:t>
      </w:r>
      <w:r>
        <w:t>(Branch;</w:t>
      </w:r>
      <w:r>
        <w:rPr>
          <w:spacing w:val="-4"/>
        </w:rPr>
        <w:t xml:space="preserve"> </w:t>
      </w:r>
      <w:r>
        <w:t>53%)</w:t>
      </w:r>
      <w:r>
        <w:rPr>
          <w:spacing w:val="-4"/>
        </w:rPr>
        <w:t xml:space="preserve"> </w:t>
      </w:r>
      <w:r>
        <w:t>or Category B Point of Care (Point of Care; 18%).</w:t>
      </w:r>
    </w:p>
    <w:p w14:paraId="29C11B12" w14:textId="77777777" w:rsidR="009D54AF" w:rsidRDefault="00000000">
      <w:pPr>
        <w:pStyle w:val="BodyText"/>
        <w:spacing w:before="141" w:line="278" w:lineRule="auto"/>
        <w:ind w:left="142"/>
      </w:pPr>
      <w:r>
        <w:t>In 2025–26, the Commission, in collaboration with the National Pathology Accreditation Advisory Council, reviewed 10 national pathology standards.</w:t>
      </w:r>
    </w:p>
    <w:p w14:paraId="70383A1B" w14:textId="77777777" w:rsidR="009D54AF" w:rsidRDefault="00000000">
      <w:pPr>
        <w:pStyle w:val="BodyText"/>
        <w:spacing w:before="142"/>
        <w:ind w:left="142"/>
      </w:pPr>
      <w:r>
        <w:t>Achievements</w:t>
      </w:r>
      <w:r>
        <w:rPr>
          <w:spacing w:val="-2"/>
        </w:rPr>
        <w:t xml:space="preserve"> </w:t>
      </w:r>
      <w:r>
        <w:t>in</w:t>
      </w:r>
      <w:r>
        <w:rPr>
          <w:spacing w:val="-2"/>
        </w:rPr>
        <w:t xml:space="preserve"> </w:t>
      </w:r>
      <w:r>
        <w:t>2025–2026</w:t>
      </w:r>
      <w:r>
        <w:rPr>
          <w:spacing w:val="-2"/>
        </w:rPr>
        <w:t xml:space="preserve"> </w:t>
      </w:r>
      <w:r>
        <w:t>for</w:t>
      </w:r>
      <w:r>
        <w:rPr>
          <w:spacing w:val="-2"/>
        </w:rPr>
        <w:t xml:space="preserve"> </w:t>
      </w:r>
      <w:r>
        <w:t>NPAS</w:t>
      </w:r>
      <w:r>
        <w:rPr>
          <w:spacing w:val="-2"/>
        </w:rPr>
        <w:t xml:space="preserve"> include:</w:t>
      </w:r>
    </w:p>
    <w:p w14:paraId="381A2355" w14:textId="77777777" w:rsidR="009D54AF" w:rsidRDefault="00000000">
      <w:pPr>
        <w:pStyle w:val="ListParagraph"/>
        <w:numPr>
          <w:ilvl w:val="0"/>
          <w:numId w:val="33"/>
        </w:numPr>
        <w:tabs>
          <w:tab w:val="left" w:pos="424"/>
        </w:tabs>
        <w:ind w:left="424" w:hanging="268"/>
        <w:rPr>
          <w:sz w:val="21"/>
        </w:rPr>
      </w:pPr>
      <w:r>
        <w:rPr>
          <w:sz w:val="21"/>
        </w:rPr>
        <w:t>update</w:t>
      </w:r>
      <w:r>
        <w:rPr>
          <w:spacing w:val="-3"/>
          <w:sz w:val="21"/>
        </w:rPr>
        <w:t xml:space="preserve"> </w:t>
      </w:r>
      <w:r>
        <w:rPr>
          <w:sz w:val="21"/>
        </w:rPr>
        <w:t>and</w:t>
      </w:r>
      <w:r>
        <w:rPr>
          <w:spacing w:val="-3"/>
          <w:sz w:val="21"/>
        </w:rPr>
        <w:t xml:space="preserve"> </w:t>
      </w:r>
      <w:r>
        <w:rPr>
          <w:sz w:val="21"/>
        </w:rPr>
        <w:t>release</w:t>
      </w:r>
      <w:r>
        <w:rPr>
          <w:spacing w:val="-3"/>
          <w:sz w:val="21"/>
        </w:rPr>
        <w:t xml:space="preserve"> </w:t>
      </w:r>
      <w:r>
        <w:rPr>
          <w:sz w:val="21"/>
        </w:rPr>
        <w:t>of</w:t>
      </w:r>
      <w:r>
        <w:rPr>
          <w:spacing w:val="-2"/>
          <w:sz w:val="21"/>
        </w:rPr>
        <w:t xml:space="preserve"> </w:t>
      </w:r>
      <w:r>
        <w:rPr>
          <w:spacing w:val="-5"/>
          <w:sz w:val="21"/>
        </w:rPr>
        <w:t>the</w:t>
      </w:r>
    </w:p>
    <w:p w14:paraId="5DCA41BA" w14:textId="77777777" w:rsidR="009D54AF" w:rsidRDefault="00000000">
      <w:pPr>
        <w:pStyle w:val="ListParagraph"/>
        <w:numPr>
          <w:ilvl w:val="0"/>
          <w:numId w:val="32"/>
        </w:numPr>
        <w:tabs>
          <w:tab w:val="left" w:pos="651"/>
        </w:tabs>
        <w:ind w:left="651" w:hanging="226"/>
        <w:rPr>
          <w:i/>
          <w:sz w:val="21"/>
        </w:rPr>
      </w:pPr>
      <w:r>
        <w:rPr>
          <w:i/>
          <w:sz w:val="21"/>
        </w:rPr>
        <w:t>Requirements</w:t>
      </w:r>
      <w:r>
        <w:rPr>
          <w:i/>
          <w:spacing w:val="-4"/>
          <w:sz w:val="21"/>
        </w:rPr>
        <w:t xml:space="preserve"> </w:t>
      </w:r>
      <w:r>
        <w:rPr>
          <w:i/>
          <w:sz w:val="21"/>
        </w:rPr>
        <w:t>for</w:t>
      </w:r>
      <w:r>
        <w:rPr>
          <w:i/>
          <w:spacing w:val="-2"/>
          <w:sz w:val="21"/>
        </w:rPr>
        <w:t xml:space="preserve"> </w:t>
      </w:r>
      <w:r>
        <w:rPr>
          <w:i/>
          <w:sz w:val="21"/>
        </w:rPr>
        <w:t>laboratory</w:t>
      </w:r>
      <w:r>
        <w:rPr>
          <w:i/>
          <w:spacing w:val="-1"/>
          <w:sz w:val="21"/>
        </w:rPr>
        <w:t xml:space="preserve"> </w:t>
      </w:r>
      <w:r>
        <w:rPr>
          <w:i/>
          <w:sz w:val="21"/>
        </w:rPr>
        <w:t>testing</w:t>
      </w:r>
      <w:r>
        <w:rPr>
          <w:i/>
          <w:spacing w:val="-2"/>
          <w:sz w:val="21"/>
        </w:rPr>
        <w:t xml:space="preserve"> </w:t>
      </w:r>
      <w:r>
        <w:rPr>
          <w:i/>
          <w:sz w:val="21"/>
        </w:rPr>
        <w:t>of</w:t>
      </w:r>
      <w:r>
        <w:rPr>
          <w:i/>
          <w:spacing w:val="-1"/>
          <w:sz w:val="21"/>
        </w:rPr>
        <w:t xml:space="preserve"> </w:t>
      </w:r>
      <w:r>
        <w:rPr>
          <w:i/>
          <w:sz w:val="21"/>
        </w:rPr>
        <w:t>human</w:t>
      </w:r>
      <w:r>
        <w:rPr>
          <w:i/>
          <w:spacing w:val="-2"/>
          <w:sz w:val="21"/>
        </w:rPr>
        <w:t xml:space="preserve"> </w:t>
      </w:r>
      <w:r>
        <w:rPr>
          <w:i/>
          <w:sz w:val="21"/>
        </w:rPr>
        <w:t>immunodeficiency</w:t>
      </w:r>
      <w:r>
        <w:rPr>
          <w:i/>
          <w:spacing w:val="-1"/>
          <w:sz w:val="21"/>
        </w:rPr>
        <w:t xml:space="preserve"> </w:t>
      </w:r>
      <w:r>
        <w:rPr>
          <w:i/>
          <w:sz w:val="21"/>
        </w:rPr>
        <w:t>virus</w:t>
      </w:r>
      <w:r>
        <w:rPr>
          <w:i/>
          <w:spacing w:val="-2"/>
          <w:sz w:val="21"/>
        </w:rPr>
        <w:t xml:space="preserve"> </w:t>
      </w:r>
      <w:r>
        <w:rPr>
          <w:i/>
          <w:sz w:val="21"/>
        </w:rPr>
        <w:t>(HIV)</w:t>
      </w:r>
      <w:r>
        <w:rPr>
          <w:i/>
          <w:spacing w:val="-1"/>
          <w:sz w:val="21"/>
        </w:rPr>
        <w:t xml:space="preserve"> </w:t>
      </w:r>
      <w:r>
        <w:rPr>
          <w:i/>
          <w:sz w:val="21"/>
        </w:rPr>
        <w:t>and</w:t>
      </w:r>
      <w:r>
        <w:rPr>
          <w:i/>
          <w:spacing w:val="-2"/>
          <w:sz w:val="21"/>
        </w:rPr>
        <w:t xml:space="preserve"> </w:t>
      </w:r>
      <w:r>
        <w:rPr>
          <w:i/>
          <w:sz w:val="21"/>
        </w:rPr>
        <w:t>hepatitis</w:t>
      </w:r>
      <w:r>
        <w:rPr>
          <w:i/>
          <w:spacing w:val="-1"/>
          <w:sz w:val="21"/>
        </w:rPr>
        <w:t xml:space="preserve"> </w:t>
      </w:r>
      <w:r>
        <w:rPr>
          <w:i/>
          <w:sz w:val="21"/>
        </w:rPr>
        <w:t>C</w:t>
      </w:r>
      <w:r>
        <w:rPr>
          <w:i/>
          <w:spacing w:val="-2"/>
          <w:sz w:val="21"/>
        </w:rPr>
        <w:t xml:space="preserve"> </w:t>
      </w:r>
      <w:r>
        <w:rPr>
          <w:i/>
          <w:sz w:val="21"/>
        </w:rPr>
        <w:t>virus</w:t>
      </w:r>
      <w:r>
        <w:rPr>
          <w:i/>
          <w:spacing w:val="-1"/>
          <w:sz w:val="21"/>
        </w:rPr>
        <w:t xml:space="preserve"> </w:t>
      </w:r>
      <w:r>
        <w:rPr>
          <w:i/>
          <w:spacing w:val="-2"/>
          <w:sz w:val="21"/>
        </w:rPr>
        <w:t>(HCV)</w:t>
      </w:r>
    </w:p>
    <w:p w14:paraId="33487235" w14:textId="77777777" w:rsidR="009D54AF" w:rsidRDefault="00000000">
      <w:pPr>
        <w:pStyle w:val="ListParagraph"/>
        <w:numPr>
          <w:ilvl w:val="0"/>
          <w:numId w:val="32"/>
        </w:numPr>
        <w:tabs>
          <w:tab w:val="left" w:pos="651"/>
        </w:tabs>
        <w:spacing w:before="96"/>
        <w:ind w:left="651" w:hanging="226"/>
        <w:rPr>
          <w:i/>
          <w:sz w:val="21"/>
        </w:rPr>
      </w:pPr>
      <w:r>
        <w:rPr>
          <w:i/>
          <w:sz w:val="21"/>
        </w:rPr>
        <w:t>Requirements</w:t>
      </w:r>
      <w:r>
        <w:rPr>
          <w:i/>
          <w:spacing w:val="-6"/>
          <w:sz w:val="21"/>
        </w:rPr>
        <w:t xml:space="preserve"> </w:t>
      </w:r>
      <w:r>
        <w:rPr>
          <w:i/>
          <w:sz w:val="21"/>
        </w:rPr>
        <w:t>for</w:t>
      </w:r>
      <w:r>
        <w:rPr>
          <w:i/>
          <w:spacing w:val="-4"/>
          <w:sz w:val="21"/>
        </w:rPr>
        <w:t xml:space="preserve"> </w:t>
      </w:r>
      <w:r>
        <w:rPr>
          <w:i/>
          <w:sz w:val="21"/>
        </w:rPr>
        <w:t>medical</w:t>
      </w:r>
      <w:r>
        <w:rPr>
          <w:i/>
          <w:spacing w:val="-4"/>
          <w:sz w:val="21"/>
        </w:rPr>
        <w:t xml:space="preserve"> </w:t>
      </w:r>
      <w:r>
        <w:rPr>
          <w:i/>
          <w:sz w:val="21"/>
        </w:rPr>
        <w:t>testing</w:t>
      </w:r>
      <w:r>
        <w:rPr>
          <w:i/>
          <w:spacing w:val="-3"/>
          <w:sz w:val="21"/>
        </w:rPr>
        <w:t xml:space="preserve"> </w:t>
      </w:r>
      <w:r>
        <w:rPr>
          <w:i/>
          <w:sz w:val="21"/>
        </w:rPr>
        <w:t>for</w:t>
      </w:r>
      <w:r>
        <w:rPr>
          <w:i/>
          <w:spacing w:val="-4"/>
          <w:sz w:val="21"/>
        </w:rPr>
        <w:t xml:space="preserve"> </w:t>
      </w:r>
      <w:r>
        <w:rPr>
          <w:i/>
          <w:sz w:val="21"/>
        </w:rPr>
        <w:t>human</w:t>
      </w:r>
      <w:r>
        <w:rPr>
          <w:i/>
          <w:spacing w:val="-4"/>
          <w:sz w:val="21"/>
        </w:rPr>
        <w:t xml:space="preserve"> </w:t>
      </w:r>
      <w:r>
        <w:rPr>
          <w:i/>
          <w:sz w:val="21"/>
        </w:rPr>
        <w:t>genetic</w:t>
      </w:r>
      <w:r>
        <w:rPr>
          <w:i/>
          <w:spacing w:val="-3"/>
          <w:sz w:val="21"/>
        </w:rPr>
        <w:t xml:space="preserve"> </w:t>
      </w:r>
      <w:r>
        <w:rPr>
          <w:i/>
          <w:spacing w:val="-2"/>
          <w:sz w:val="21"/>
        </w:rPr>
        <w:t>variation</w:t>
      </w:r>
    </w:p>
    <w:p w14:paraId="7D523BD5" w14:textId="77777777" w:rsidR="009D54AF" w:rsidRDefault="00000000">
      <w:pPr>
        <w:pStyle w:val="ListParagraph"/>
        <w:numPr>
          <w:ilvl w:val="0"/>
          <w:numId w:val="32"/>
        </w:numPr>
        <w:tabs>
          <w:tab w:val="left" w:pos="651"/>
        </w:tabs>
        <w:ind w:left="651" w:hanging="226"/>
        <w:rPr>
          <w:i/>
          <w:sz w:val="21"/>
        </w:rPr>
      </w:pPr>
      <w:r>
        <w:rPr>
          <w:i/>
          <w:sz w:val="21"/>
        </w:rPr>
        <w:t>Requirements</w:t>
      </w:r>
      <w:r>
        <w:rPr>
          <w:i/>
          <w:spacing w:val="-4"/>
          <w:sz w:val="21"/>
        </w:rPr>
        <w:t xml:space="preserve"> </w:t>
      </w:r>
      <w:r>
        <w:rPr>
          <w:i/>
          <w:sz w:val="21"/>
        </w:rPr>
        <w:t>for</w:t>
      </w:r>
      <w:r>
        <w:rPr>
          <w:i/>
          <w:spacing w:val="-2"/>
          <w:sz w:val="21"/>
        </w:rPr>
        <w:t xml:space="preserve"> </w:t>
      </w:r>
      <w:r>
        <w:rPr>
          <w:i/>
          <w:sz w:val="21"/>
        </w:rPr>
        <w:t>the</w:t>
      </w:r>
      <w:r>
        <w:rPr>
          <w:i/>
          <w:spacing w:val="-2"/>
          <w:sz w:val="21"/>
        </w:rPr>
        <w:t xml:space="preserve"> </w:t>
      </w:r>
      <w:r>
        <w:rPr>
          <w:i/>
          <w:sz w:val="21"/>
        </w:rPr>
        <w:t>development</w:t>
      </w:r>
      <w:r>
        <w:rPr>
          <w:i/>
          <w:spacing w:val="-2"/>
          <w:sz w:val="21"/>
        </w:rPr>
        <w:t xml:space="preserve"> </w:t>
      </w:r>
      <w:r>
        <w:rPr>
          <w:i/>
          <w:sz w:val="21"/>
        </w:rPr>
        <w:t>and</w:t>
      </w:r>
      <w:r>
        <w:rPr>
          <w:i/>
          <w:spacing w:val="-2"/>
          <w:sz w:val="21"/>
        </w:rPr>
        <w:t xml:space="preserve"> </w:t>
      </w:r>
      <w:r>
        <w:rPr>
          <w:i/>
          <w:sz w:val="21"/>
        </w:rPr>
        <w:t>use</w:t>
      </w:r>
      <w:r>
        <w:rPr>
          <w:i/>
          <w:spacing w:val="-1"/>
          <w:sz w:val="21"/>
        </w:rPr>
        <w:t xml:space="preserve"> </w:t>
      </w:r>
      <w:r>
        <w:rPr>
          <w:i/>
          <w:sz w:val="21"/>
        </w:rPr>
        <w:t>of</w:t>
      </w:r>
      <w:r>
        <w:rPr>
          <w:i/>
          <w:spacing w:val="-2"/>
          <w:sz w:val="21"/>
        </w:rPr>
        <w:t xml:space="preserve"> </w:t>
      </w:r>
      <w:r>
        <w:rPr>
          <w:i/>
          <w:sz w:val="21"/>
        </w:rPr>
        <w:t>in-house</w:t>
      </w:r>
      <w:r>
        <w:rPr>
          <w:i/>
          <w:spacing w:val="-2"/>
          <w:sz w:val="21"/>
        </w:rPr>
        <w:t xml:space="preserve"> </w:t>
      </w:r>
      <w:r>
        <w:rPr>
          <w:i/>
          <w:sz w:val="21"/>
        </w:rPr>
        <w:t>in</w:t>
      </w:r>
      <w:r>
        <w:rPr>
          <w:i/>
          <w:spacing w:val="-2"/>
          <w:sz w:val="21"/>
        </w:rPr>
        <w:t xml:space="preserve"> </w:t>
      </w:r>
      <w:r>
        <w:rPr>
          <w:i/>
          <w:sz w:val="21"/>
        </w:rPr>
        <w:t>vitro</w:t>
      </w:r>
      <w:r>
        <w:rPr>
          <w:i/>
          <w:spacing w:val="-2"/>
          <w:sz w:val="21"/>
        </w:rPr>
        <w:t xml:space="preserve"> </w:t>
      </w:r>
      <w:r>
        <w:rPr>
          <w:i/>
          <w:sz w:val="21"/>
        </w:rPr>
        <w:t>diagnostic</w:t>
      </w:r>
      <w:r>
        <w:rPr>
          <w:i/>
          <w:spacing w:val="-2"/>
          <w:sz w:val="21"/>
        </w:rPr>
        <w:t xml:space="preserve"> </w:t>
      </w:r>
      <w:r>
        <w:rPr>
          <w:i/>
          <w:sz w:val="21"/>
        </w:rPr>
        <w:t>medical</w:t>
      </w:r>
      <w:r>
        <w:rPr>
          <w:i/>
          <w:spacing w:val="-1"/>
          <w:sz w:val="21"/>
        </w:rPr>
        <w:t xml:space="preserve"> </w:t>
      </w:r>
      <w:r>
        <w:rPr>
          <w:i/>
          <w:spacing w:val="-2"/>
          <w:sz w:val="21"/>
        </w:rPr>
        <w:t>devices</w:t>
      </w:r>
    </w:p>
    <w:p w14:paraId="56CE5FC0" w14:textId="77777777" w:rsidR="009D54AF" w:rsidRDefault="00000000">
      <w:pPr>
        <w:pStyle w:val="ListParagraph"/>
        <w:numPr>
          <w:ilvl w:val="0"/>
          <w:numId w:val="33"/>
        </w:numPr>
        <w:tabs>
          <w:tab w:val="left" w:pos="424"/>
        </w:tabs>
        <w:ind w:left="424" w:hanging="268"/>
        <w:rPr>
          <w:sz w:val="21"/>
        </w:rPr>
      </w:pPr>
      <w:r>
        <w:rPr>
          <w:sz w:val="21"/>
        </w:rPr>
        <w:t>consolidation</w:t>
      </w:r>
      <w:r>
        <w:rPr>
          <w:spacing w:val="-4"/>
          <w:sz w:val="21"/>
        </w:rPr>
        <w:t xml:space="preserve"> </w:t>
      </w:r>
      <w:r>
        <w:rPr>
          <w:sz w:val="21"/>
        </w:rPr>
        <w:t>of</w:t>
      </w:r>
      <w:r>
        <w:rPr>
          <w:spacing w:val="-2"/>
          <w:sz w:val="21"/>
        </w:rPr>
        <w:t xml:space="preserve"> </w:t>
      </w:r>
      <w:r>
        <w:rPr>
          <w:sz w:val="21"/>
        </w:rPr>
        <w:t>eight</w:t>
      </w:r>
      <w:r>
        <w:rPr>
          <w:spacing w:val="-2"/>
          <w:sz w:val="21"/>
        </w:rPr>
        <w:t xml:space="preserve"> </w:t>
      </w:r>
      <w:r>
        <w:rPr>
          <w:sz w:val="21"/>
        </w:rPr>
        <w:t>standards</w:t>
      </w:r>
      <w:r>
        <w:rPr>
          <w:spacing w:val="-2"/>
          <w:sz w:val="21"/>
        </w:rPr>
        <w:t xml:space="preserve"> </w:t>
      </w:r>
      <w:r>
        <w:rPr>
          <w:sz w:val="21"/>
        </w:rPr>
        <w:t>into</w:t>
      </w:r>
      <w:r>
        <w:rPr>
          <w:spacing w:val="-2"/>
          <w:sz w:val="21"/>
        </w:rPr>
        <w:t xml:space="preserve"> </w:t>
      </w:r>
      <w:r>
        <w:rPr>
          <w:sz w:val="21"/>
        </w:rPr>
        <w:t>the</w:t>
      </w:r>
      <w:r>
        <w:rPr>
          <w:spacing w:val="-2"/>
          <w:sz w:val="21"/>
        </w:rPr>
        <w:t xml:space="preserve"> </w:t>
      </w:r>
      <w:r>
        <w:rPr>
          <w:sz w:val="21"/>
        </w:rPr>
        <w:t>draft</w:t>
      </w:r>
      <w:r>
        <w:rPr>
          <w:spacing w:val="-2"/>
          <w:sz w:val="21"/>
        </w:rPr>
        <w:t xml:space="preserve"> </w:t>
      </w:r>
      <w:r>
        <w:rPr>
          <w:sz w:val="21"/>
        </w:rPr>
        <w:t>National</w:t>
      </w:r>
      <w:r>
        <w:rPr>
          <w:spacing w:val="-2"/>
          <w:sz w:val="21"/>
        </w:rPr>
        <w:t xml:space="preserve"> </w:t>
      </w:r>
      <w:r>
        <w:rPr>
          <w:sz w:val="21"/>
        </w:rPr>
        <w:t>Pathology</w:t>
      </w:r>
      <w:r>
        <w:rPr>
          <w:spacing w:val="-2"/>
          <w:sz w:val="21"/>
        </w:rPr>
        <w:t xml:space="preserve"> Standards</w:t>
      </w:r>
    </w:p>
    <w:p w14:paraId="0DDF3752" w14:textId="77777777" w:rsidR="009D54AF" w:rsidRDefault="00000000">
      <w:pPr>
        <w:pStyle w:val="ListParagraph"/>
        <w:numPr>
          <w:ilvl w:val="0"/>
          <w:numId w:val="33"/>
        </w:numPr>
        <w:tabs>
          <w:tab w:val="left" w:pos="423"/>
          <w:tab w:val="left" w:pos="425"/>
        </w:tabs>
        <w:spacing w:before="66"/>
        <w:ind w:left="423" w:hanging="268"/>
        <w:rPr>
          <w:sz w:val="21"/>
        </w:rPr>
      </w:pPr>
      <w:r>
        <w:rPr>
          <w:sz w:val="21"/>
        </w:rPr>
        <w:t>review</w:t>
      </w:r>
      <w:r>
        <w:rPr>
          <w:spacing w:val="-3"/>
          <w:sz w:val="21"/>
        </w:rPr>
        <w:t xml:space="preserve"> </w:t>
      </w:r>
      <w:r>
        <w:rPr>
          <w:sz w:val="21"/>
        </w:rPr>
        <w:t>and</w:t>
      </w:r>
      <w:r>
        <w:rPr>
          <w:spacing w:val="-2"/>
          <w:sz w:val="21"/>
        </w:rPr>
        <w:t xml:space="preserve"> </w:t>
      </w:r>
      <w:r>
        <w:rPr>
          <w:sz w:val="21"/>
        </w:rPr>
        <w:t>public</w:t>
      </w:r>
      <w:r>
        <w:rPr>
          <w:spacing w:val="-3"/>
          <w:sz w:val="21"/>
        </w:rPr>
        <w:t xml:space="preserve"> </w:t>
      </w:r>
      <w:r>
        <w:rPr>
          <w:sz w:val="21"/>
        </w:rPr>
        <w:t>consultation</w:t>
      </w:r>
      <w:r>
        <w:rPr>
          <w:spacing w:val="-2"/>
          <w:sz w:val="21"/>
        </w:rPr>
        <w:t xml:space="preserve"> </w:t>
      </w:r>
      <w:r>
        <w:rPr>
          <w:sz w:val="21"/>
        </w:rPr>
        <w:t>on</w:t>
      </w:r>
      <w:r>
        <w:rPr>
          <w:spacing w:val="-2"/>
          <w:sz w:val="21"/>
        </w:rPr>
        <w:t xml:space="preserve"> </w:t>
      </w:r>
      <w:r>
        <w:rPr>
          <w:spacing w:val="-5"/>
          <w:sz w:val="21"/>
        </w:rPr>
        <w:t>the</w:t>
      </w:r>
    </w:p>
    <w:p w14:paraId="475A0680" w14:textId="77777777" w:rsidR="009D54AF" w:rsidRDefault="00000000">
      <w:pPr>
        <w:pStyle w:val="ListParagraph"/>
        <w:numPr>
          <w:ilvl w:val="0"/>
          <w:numId w:val="32"/>
        </w:numPr>
        <w:tabs>
          <w:tab w:val="left" w:pos="651"/>
        </w:tabs>
        <w:ind w:left="651" w:hanging="226"/>
        <w:rPr>
          <w:sz w:val="21"/>
        </w:rPr>
      </w:pPr>
      <w:r>
        <w:rPr>
          <w:sz w:val="21"/>
        </w:rPr>
        <w:t>draft</w:t>
      </w:r>
      <w:r>
        <w:rPr>
          <w:spacing w:val="-1"/>
          <w:sz w:val="21"/>
        </w:rPr>
        <w:t xml:space="preserve"> </w:t>
      </w:r>
      <w:r>
        <w:rPr>
          <w:sz w:val="21"/>
        </w:rPr>
        <w:t>National</w:t>
      </w:r>
      <w:r>
        <w:rPr>
          <w:spacing w:val="-1"/>
          <w:sz w:val="21"/>
        </w:rPr>
        <w:t xml:space="preserve"> </w:t>
      </w:r>
      <w:r>
        <w:rPr>
          <w:sz w:val="21"/>
        </w:rPr>
        <w:t xml:space="preserve">Pathology </w:t>
      </w:r>
      <w:r>
        <w:rPr>
          <w:spacing w:val="-2"/>
          <w:sz w:val="21"/>
        </w:rPr>
        <w:t>Standards</w:t>
      </w:r>
    </w:p>
    <w:p w14:paraId="63B841CD" w14:textId="77777777" w:rsidR="009D54AF" w:rsidRDefault="00000000">
      <w:pPr>
        <w:pStyle w:val="ListParagraph"/>
        <w:numPr>
          <w:ilvl w:val="0"/>
          <w:numId w:val="32"/>
        </w:numPr>
        <w:tabs>
          <w:tab w:val="left" w:pos="651"/>
        </w:tabs>
        <w:ind w:left="651" w:hanging="226"/>
        <w:rPr>
          <w:sz w:val="21"/>
        </w:rPr>
      </w:pPr>
      <w:r>
        <w:rPr>
          <w:sz w:val="21"/>
        </w:rPr>
        <w:t>Point</w:t>
      </w:r>
      <w:r>
        <w:rPr>
          <w:spacing w:val="-6"/>
          <w:sz w:val="21"/>
        </w:rPr>
        <w:t xml:space="preserve"> </w:t>
      </w:r>
      <w:r>
        <w:rPr>
          <w:sz w:val="21"/>
        </w:rPr>
        <w:t>of</w:t>
      </w:r>
      <w:r>
        <w:rPr>
          <w:spacing w:val="-3"/>
          <w:sz w:val="21"/>
        </w:rPr>
        <w:t xml:space="preserve"> </w:t>
      </w:r>
      <w:r>
        <w:rPr>
          <w:sz w:val="21"/>
        </w:rPr>
        <w:t>Care</w:t>
      </w:r>
      <w:r>
        <w:rPr>
          <w:spacing w:val="-4"/>
          <w:sz w:val="21"/>
        </w:rPr>
        <w:t xml:space="preserve"> </w:t>
      </w:r>
      <w:r>
        <w:rPr>
          <w:sz w:val="21"/>
        </w:rPr>
        <w:t>Testing</w:t>
      </w:r>
      <w:r>
        <w:rPr>
          <w:spacing w:val="-3"/>
          <w:sz w:val="21"/>
        </w:rPr>
        <w:t xml:space="preserve"> </w:t>
      </w:r>
      <w:r>
        <w:rPr>
          <w:sz w:val="21"/>
        </w:rPr>
        <w:t>Standard</w:t>
      </w:r>
      <w:r>
        <w:rPr>
          <w:spacing w:val="-3"/>
          <w:sz w:val="21"/>
        </w:rPr>
        <w:t xml:space="preserve"> </w:t>
      </w:r>
      <w:r>
        <w:rPr>
          <w:sz w:val="21"/>
        </w:rPr>
        <w:t>for</w:t>
      </w:r>
      <w:r>
        <w:rPr>
          <w:spacing w:val="-4"/>
          <w:sz w:val="21"/>
        </w:rPr>
        <w:t xml:space="preserve"> </w:t>
      </w:r>
      <w:r>
        <w:rPr>
          <w:sz w:val="21"/>
        </w:rPr>
        <w:t>aged</w:t>
      </w:r>
      <w:r>
        <w:rPr>
          <w:spacing w:val="-3"/>
          <w:sz w:val="21"/>
        </w:rPr>
        <w:t xml:space="preserve"> </w:t>
      </w:r>
      <w:r>
        <w:rPr>
          <w:sz w:val="21"/>
        </w:rPr>
        <w:t>care</w:t>
      </w:r>
      <w:r>
        <w:rPr>
          <w:spacing w:val="-4"/>
          <w:sz w:val="21"/>
        </w:rPr>
        <w:t xml:space="preserve"> </w:t>
      </w:r>
      <w:r>
        <w:rPr>
          <w:sz w:val="21"/>
        </w:rPr>
        <w:t>and</w:t>
      </w:r>
      <w:r>
        <w:rPr>
          <w:spacing w:val="-3"/>
          <w:sz w:val="21"/>
        </w:rPr>
        <w:t xml:space="preserve"> </w:t>
      </w:r>
      <w:r>
        <w:rPr>
          <w:sz w:val="21"/>
        </w:rPr>
        <w:t>health</w:t>
      </w:r>
      <w:r>
        <w:rPr>
          <w:spacing w:val="-3"/>
          <w:sz w:val="21"/>
        </w:rPr>
        <w:t xml:space="preserve"> </w:t>
      </w:r>
      <w:r>
        <w:rPr>
          <w:spacing w:val="-2"/>
          <w:sz w:val="21"/>
        </w:rPr>
        <w:t>services</w:t>
      </w:r>
    </w:p>
    <w:p w14:paraId="2EC1457E" w14:textId="77777777" w:rsidR="009D54AF" w:rsidRDefault="00000000">
      <w:pPr>
        <w:pStyle w:val="ListParagraph"/>
        <w:numPr>
          <w:ilvl w:val="0"/>
          <w:numId w:val="32"/>
        </w:numPr>
        <w:tabs>
          <w:tab w:val="left" w:pos="652"/>
        </w:tabs>
        <w:spacing w:line="278" w:lineRule="auto"/>
        <w:ind w:right="1045"/>
        <w:rPr>
          <w:sz w:val="21"/>
        </w:rPr>
      </w:pPr>
      <w:r>
        <w:rPr>
          <w:i/>
          <w:sz w:val="21"/>
        </w:rPr>
        <w:t>Requirements</w:t>
      </w:r>
      <w:r>
        <w:rPr>
          <w:i/>
          <w:spacing w:val="-2"/>
          <w:sz w:val="21"/>
        </w:rPr>
        <w:t xml:space="preserve"> </w:t>
      </w:r>
      <w:r>
        <w:rPr>
          <w:i/>
          <w:sz w:val="21"/>
        </w:rPr>
        <w:t>for</w:t>
      </w:r>
      <w:r>
        <w:rPr>
          <w:i/>
          <w:spacing w:val="-2"/>
          <w:sz w:val="21"/>
        </w:rPr>
        <w:t xml:space="preserve"> </w:t>
      </w:r>
      <w:r>
        <w:rPr>
          <w:i/>
          <w:sz w:val="21"/>
        </w:rPr>
        <w:t>procedures</w:t>
      </w:r>
      <w:r>
        <w:rPr>
          <w:i/>
          <w:spacing w:val="-2"/>
          <w:sz w:val="21"/>
        </w:rPr>
        <w:t xml:space="preserve"> </w:t>
      </w:r>
      <w:r>
        <w:rPr>
          <w:i/>
          <w:sz w:val="21"/>
        </w:rPr>
        <w:t>related</w:t>
      </w:r>
      <w:r>
        <w:rPr>
          <w:i/>
          <w:spacing w:val="-2"/>
          <w:sz w:val="21"/>
        </w:rPr>
        <w:t xml:space="preserve"> </w:t>
      </w:r>
      <w:r>
        <w:rPr>
          <w:i/>
          <w:sz w:val="21"/>
        </w:rPr>
        <w:t>to</w:t>
      </w:r>
      <w:r>
        <w:rPr>
          <w:i/>
          <w:spacing w:val="-2"/>
          <w:sz w:val="21"/>
        </w:rPr>
        <w:t xml:space="preserve"> </w:t>
      </w:r>
      <w:r>
        <w:rPr>
          <w:i/>
          <w:sz w:val="21"/>
        </w:rPr>
        <w:t>the</w:t>
      </w:r>
      <w:r>
        <w:rPr>
          <w:i/>
          <w:spacing w:val="-2"/>
          <w:sz w:val="21"/>
        </w:rPr>
        <w:t xml:space="preserve"> </w:t>
      </w:r>
      <w:r>
        <w:rPr>
          <w:i/>
          <w:sz w:val="21"/>
        </w:rPr>
        <w:t>collection,</w:t>
      </w:r>
      <w:r>
        <w:rPr>
          <w:i/>
          <w:spacing w:val="-2"/>
          <w:sz w:val="21"/>
        </w:rPr>
        <w:t xml:space="preserve"> </w:t>
      </w:r>
      <w:r>
        <w:rPr>
          <w:i/>
          <w:sz w:val="21"/>
        </w:rPr>
        <w:t>processing,</w:t>
      </w:r>
      <w:r>
        <w:rPr>
          <w:i/>
          <w:spacing w:val="-2"/>
          <w:sz w:val="21"/>
        </w:rPr>
        <w:t xml:space="preserve"> </w:t>
      </w:r>
      <w:r>
        <w:rPr>
          <w:i/>
          <w:sz w:val="21"/>
        </w:rPr>
        <w:t>storage</w:t>
      </w:r>
      <w:r>
        <w:rPr>
          <w:i/>
          <w:spacing w:val="-2"/>
          <w:sz w:val="21"/>
        </w:rPr>
        <w:t xml:space="preserve"> </w:t>
      </w:r>
      <w:r>
        <w:rPr>
          <w:i/>
          <w:sz w:val="21"/>
        </w:rPr>
        <w:t>and</w:t>
      </w:r>
      <w:r>
        <w:rPr>
          <w:i/>
          <w:spacing w:val="-2"/>
          <w:sz w:val="21"/>
        </w:rPr>
        <w:t xml:space="preserve"> </w:t>
      </w:r>
      <w:r>
        <w:rPr>
          <w:i/>
          <w:sz w:val="21"/>
        </w:rPr>
        <w:t>issue</w:t>
      </w:r>
      <w:r>
        <w:rPr>
          <w:i/>
          <w:spacing w:val="-2"/>
          <w:sz w:val="21"/>
        </w:rPr>
        <w:t xml:space="preserve"> </w:t>
      </w:r>
      <w:r>
        <w:rPr>
          <w:i/>
          <w:sz w:val="21"/>
        </w:rPr>
        <w:t>of</w:t>
      </w:r>
      <w:r>
        <w:rPr>
          <w:i/>
          <w:spacing w:val="-2"/>
          <w:sz w:val="21"/>
        </w:rPr>
        <w:t xml:space="preserve"> </w:t>
      </w:r>
      <w:r>
        <w:rPr>
          <w:i/>
          <w:sz w:val="21"/>
        </w:rPr>
        <w:t>human haemopoietic progenitor cells</w:t>
      </w:r>
      <w:r>
        <w:rPr>
          <w:sz w:val="21"/>
        </w:rPr>
        <w:t>.</w:t>
      </w:r>
    </w:p>
    <w:p w14:paraId="4793BB74" w14:textId="77777777" w:rsidR="009D54AF" w:rsidRDefault="009D54AF">
      <w:pPr>
        <w:pStyle w:val="BodyText"/>
        <w:spacing w:before="94"/>
      </w:pPr>
    </w:p>
    <w:p w14:paraId="098B3254" w14:textId="77777777" w:rsidR="009D54AF" w:rsidRDefault="00000000">
      <w:pPr>
        <w:pStyle w:val="Heading5"/>
      </w:pPr>
      <w:r>
        <w:t>National</w:t>
      </w:r>
      <w:r>
        <w:rPr>
          <w:spacing w:val="-6"/>
        </w:rPr>
        <w:t xml:space="preserve"> </w:t>
      </w:r>
      <w:r>
        <w:t>General</w:t>
      </w:r>
      <w:r>
        <w:rPr>
          <w:spacing w:val="-3"/>
        </w:rPr>
        <w:t xml:space="preserve"> </w:t>
      </w:r>
      <w:r>
        <w:t>Practice</w:t>
      </w:r>
      <w:r>
        <w:rPr>
          <w:spacing w:val="-4"/>
        </w:rPr>
        <w:t xml:space="preserve"> </w:t>
      </w:r>
      <w:r>
        <w:t>Accreditation</w:t>
      </w:r>
      <w:r>
        <w:rPr>
          <w:spacing w:val="-3"/>
        </w:rPr>
        <w:t xml:space="preserve"> </w:t>
      </w:r>
      <w:r>
        <w:rPr>
          <w:spacing w:val="-2"/>
        </w:rPr>
        <w:t>Scheme</w:t>
      </w:r>
    </w:p>
    <w:p w14:paraId="3C16642F" w14:textId="77777777" w:rsidR="009D54AF" w:rsidRDefault="00000000">
      <w:pPr>
        <w:pStyle w:val="BodyText"/>
        <w:spacing w:before="133" w:line="278" w:lineRule="auto"/>
        <w:ind w:left="142"/>
      </w:pPr>
      <w:r>
        <w:t>The</w:t>
      </w:r>
      <w:r>
        <w:rPr>
          <w:spacing w:val="-1"/>
        </w:rPr>
        <w:t xml:space="preserve"> </w:t>
      </w:r>
      <w:r>
        <w:t>Department</w:t>
      </w:r>
      <w:r>
        <w:rPr>
          <w:spacing w:val="-1"/>
        </w:rPr>
        <w:t xml:space="preserve"> </w:t>
      </w:r>
      <w:r>
        <w:t>of</w:t>
      </w:r>
      <w:r>
        <w:rPr>
          <w:spacing w:val="-1"/>
        </w:rPr>
        <w:t xml:space="preserve"> </w:t>
      </w:r>
      <w:r>
        <w:t>Health,</w:t>
      </w:r>
      <w:r>
        <w:rPr>
          <w:spacing w:val="-1"/>
        </w:rPr>
        <w:t xml:space="preserve"> </w:t>
      </w:r>
      <w:r>
        <w:t>Disability</w:t>
      </w:r>
      <w:r>
        <w:rPr>
          <w:spacing w:val="-1"/>
        </w:rPr>
        <w:t xml:space="preserve"> </w:t>
      </w:r>
      <w:r>
        <w:t>and</w:t>
      </w:r>
      <w:r>
        <w:rPr>
          <w:spacing w:val="-1"/>
        </w:rPr>
        <w:t xml:space="preserve"> </w:t>
      </w:r>
      <w:r>
        <w:t>Ageing</w:t>
      </w:r>
      <w:r>
        <w:rPr>
          <w:spacing w:val="-1"/>
        </w:rPr>
        <w:t xml:space="preserve"> </w:t>
      </w:r>
      <w:r>
        <w:t>funds</w:t>
      </w:r>
      <w:r>
        <w:rPr>
          <w:spacing w:val="-1"/>
        </w:rPr>
        <w:t xml:space="preserve"> </w:t>
      </w:r>
      <w:r>
        <w:t>the</w:t>
      </w:r>
      <w:r>
        <w:rPr>
          <w:spacing w:val="-1"/>
        </w:rPr>
        <w:t xml:space="preserve"> </w:t>
      </w:r>
      <w:r>
        <w:t>Commission</w:t>
      </w:r>
      <w:r>
        <w:rPr>
          <w:spacing w:val="-1"/>
        </w:rPr>
        <w:t xml:space="preserve"> </w:t>
      </w:r>
      <w:r>
        <w:t>to</w:t>
      </w:r>
      <w:r>
        <w:rPr>
          <w:spacing w:val="-1"/>
        </w:rPr>
        <w:t xml:space="preserve"> </w:t>
      </w:r>
      <w:r>
        <w:t>coordinate</w:t>
      </w:r>
      <w:r>
        <w:rPr>
          <w:spacing w:val="-1"/>
        </w:rPr>
        <w:t xml:space="preserve"> </w:t>
      </w:r>
      <w:r>
        <w:t>the</w:t>
      </w:r>
      <w:r>
        <w:rPr>
          <w:spacing w:val="-1"/>
        </w:rPr>
        <w:t xml:space="preserve"> </w:t>
      </w:r>
      <w:r>
        <w:t>National</w:t>
      </w:r>
      <w:r>
        <w:rPr>
          <w:spacing w:val="-1"/>
        </w:rPr>
        <w:t xml:space="preserve"> </w:t>
      </w:r>
      <w:r>
        <w:t>General Practice Accreditation (NGPA) Scheme, which supports national consistency in accreditation to the Royal Australian College of General Practitioners (RACGP) Standards for general practices.</w:t>
      </w:r>
    </w:p>
    <w:p w14:paraId="420E243C" w14:textId="77777777" w:rsidR="009D54AF" w:rsidRDefault="00000000">
      <w:pPr>
        <w:pStyle w:val="BodyText"/>
        <w:spacing w:before="142" w:line="278" w:lineRule="auto"/>
        <w:ind w:left="142" w:right="306"/>
        <w:jc w:val="both"/>
      </w:pPr>
      <w:r>
        <w:t>Under</w:t>
      </w:r>
      <w:r>
        <w:rPr>
          <w:spacing w:val="-1"/>
        </w:rPr>
        <w:t xml:space="preserve"> </w:t>
      </w:r>
      <w:r>
        <w:t>the</w:t>
      </w:r>
      <w:r>
        <w:rPr>
          <w:spacing w:val="-1"/>
        </w:rPr>
        <w:t xml:space="preserve"> </w:t>
      </w:r>
      <w:r>
        <w:t>NGPA</w:t>
      </w:r>
      <w:r>
        <w:rPr>
          <w:spacing w:val="-1"/>
        </w:rPr>
        <w:t xml:space="preserve"> </w:t>
      </w:r>
      <w:r>
        <w:t>Scheme,</w:t>
      </w:r>
      <w:r>
        <w:rPr>
          <w:spacing w:val="-1"/>
        </w:rPr>
        <w:t xml:space="preserve"> </w:t>
      </w:r>
      <w:r>
        <w:t>the</w:t>
      </w:r>
      <w:r>
        <w:rPr>
          <w:spacing w:val="-1"/>
        </w:rPr>
        <w:t xml:space="preserve"> </w:t>
      </w:r>
      <w:r>
        <w:t>Commission</w:t>
      </w:r>
      <w:r>
        <w:rPr>
          <w:spacing w:val="-1"/>
        </w:rPr>
        <w:t xml:space="preserve"> </w:t>
      </w:r>
      <w:r>
        <w:t>approves</w:t>
      </w:r>
      <w:r>
        <w:rPr>
          <w:spacing w:val="-1"/>
        </w:rPr>
        <w:t xml:space="preserve"> </w:t>
      </w:r>
      <w:r>
        <w:t>and</w:t>
      </w:r>
      <w:r>
        <w:rPr>
          <w:spacing w:val="-1"/>
        </w:rPr>
        <w:t xml:space="preserve"> </w:t>
      </w:r>
      <w:r>
        <w:t>monitors</w:t>
      </w:r>
      <w:r>
        <w:rPr>
          <w:spacing w:val="-1"/>
        </w:rPr>
        <w:t xml:space="preserve"> </w:t>
      </w:r>
      <w:r>
        <w:t>the</w:t>
      </w:r>
      <w:r>
        <w:rPr>
          <w:spacing w:val="-1"/>
        </w:rPr>
        <w:t xml:space="preserve"> </w:t>
      </w:r>
      <w:r>
        <w:t>performance</w:t>
      </w:r>
      <w:r>
        <w:rPr>
          <w:spacing w:val="-1"/>
        </w:rPr>
        <w:t xml:space="preserve"> </w:t>
      </w:r>
      <w:r>
        <w:t>of</w:t>
      </w:r>
      <w:r>
        <w:rPr>
          <w:spacing w:val="-1"/>
        </w:rPr>
        <w:t xml:space="preserve"> </w:t>
      </w:r>
      <w:r>
        <w:t>accrediting</w:t>
      </w:r>
      <w:r>
        <w:rPr>
          <w:spacing w:val="-1"/>
        </w:rPr>
        <w:t xml:space="preserve"> </w:t>
      </w:r>
      <w:r>
        <w:t>agencies and develops a variety of resources and information tools, including advisories and resources for the NGPA Scheme, assessment outcomes data and lessons learned.</w:t>
      </w:r>
    </w:p>
    <w:p w14:paraId="22D12B58" w14:textId="77777777" w:rsidR="00D13873" w:rsidRDefault="00D13873">
      <w:pPr>
        <w:rPr>
          <w:sz w:val="21"/>
          <w:szCs w:val="21"/>
        </w:rPr>
      </w:pPr>
      <w:r>
        <w:br w:type="page"/>
      </w:r>
    </w:p>
    <w:p w14:paraId="3390DE60" w14:textId="68626BDF" w:rsidR="009D54AF" w:rsidRDefault="00000000">
      <w:pPr>
        <w:pStyle w:val="BodyText"/>
        <w:spacing w:before="141" w:line="278" w:lineRule="auto"/>
        <w:ind w:left="142" w:right="714"/>
        <w:jc w:val="both"/>
      </w:pPr>
      <w:r>
        <w:lastRenderedPageBreak/>
        <w:t>In 2025–26, 2,435 general practices were assessed to the RACGP Standards fifth edition. Of assessed practices,</w:t>
      </w:r>
      <w:r>
        <w:rPr>
          <w:spacing w:val="-2"/>
        </w:rPr>
        <w:t xml:space="preserve"> </w:t>
      </w:r>
      <w:r>
        <w:t>99%</w:t>
      </w:r>
      <w:r>
        <w:rPr>
          <w:spacing w:val="-2"/>
        </w:rPr>
        <w:t xml:space="preserve"> </w:t>
      </w:r>
      <w:r>
        <w:t>met</w:t>
      </w:r>
      <w:r>
        <w:rPr>
          <w:spacing w:val="-2"/>
        </w:rPr>
        <w:t xml:space="preserve"> </w:t>
      </w:r>
      <w:r>
        <w:t>the</w:t>
      </w:r>
      <w:r>
        <w:rPr>
          <w:spacing w:val="-2"/>
        </w:rPr>
        <w:t xml:space="preserve"> </w:t>
      </w:r>
      <w:r>
        <w:t>requirements</w:t>
      </w:r>
      <w:r>
        <w:rPr>
          <w:spacing w:val="-2"/>
        </w:rPr>
        <w:t xml:space="preserve"> </w:t>
      </w:r>
      <w:r>
        <w:t>of</w:t>
      </w:r>
      <w:r>
        <w:rPr>
          <w:spacing w:val="-2"/>
        </w:rPr>
        <w:t xml:space="preserve"> </w:t>
      </w:r>
      <w:r>
        <w:t>the</w:t>
      </w:r>
      <w:r>
        <w:rPr>
          <w:spacing w:val="-2"/>
        </w:rPr>
        <w:t xml:space="preserve"> </w:t>
      </w:r>
      <w:r>
        <w:t>standards</w:t>
      </w:r>
      <w:r>
        <w:rPr>
          <w:spacing w:val="-2"/>
        </w:rPr>
        <w:t xml:space="preserve"> </w:t>
      </w:r>
      <w:r>
        <w:t>and</w:t>
      </w:r>
      <w:r>
        <w:rPr>
          <w:spacing w:val="-2"/>
        </w:rPr>
        <w:t xml:space="preserve"> </w:t>
      </w:r>
      <w:r>
        <w:t>were</w:t>
      </w:r>
      <w:r>
        <w:rPr>
          <w:spacing w:val="-2"/>
        </w:rPr>
        <w:t xml:space="preserve"> </w:t>
      </w:r>
      <w:r>
        <w:t>awarded</w:t>
      </w:r>
      <w:r>
        <w:rPr>
          <w:spacing w:val="-2"/>
        </w:rPr>
        <w:t xml:space="preserve"> </w:t>
      </w:r>
      <w:r>
        <w:t>accreditation.</w:t>
      </w:r>
      <w:r>
        <w:rPr>
          <w:spacing w:val="-2"/>
        </w:rPr>
        <w:t xml:space="preserve"> </w:t>
      </w:r>
      <w:r>
        <w:t>Only</w:t>
      </w:r>
      <w:r>
        <w:rPr>
          <w:spacing w:val="-2"/>
        </w:rPr>
        <w:t xml:space="preserve"> </w:t>
      </w:r>
      <w:r>
        <w:t>16</w:t>
      </w:r>
      <w:r>
        <w:rPr>
          <w:spacing w:val="-2"/>
        </w:rPr>
        <w:t xml:space="preserve"> </w:t>
      </w:r>
      <w:r>
        <w:t>general practices were not accredited.</w:t>
      </w:r>
    </w:p>
    <w:p w14:paraId="57AFD4C7" w14:textId="77777777" w:rsidR="009D54AF" w:rsidRDefault="00000000">
      <w:pPr>
        <w:pStyle w:val="BodyText"/>
        <w:spacing w:before="141" w:line="278" w:lineRule="auto"/>
        <w:ind w:left="142" w:right="286"/>
      </w:pPr>
      <w:r>
        <w:t>In 2025–26, the Commission published the public consultation results of a review looking into changes to</w:t>
      </w:r>
      <w:r>
        <w:rPr>
          <w:spacing w:val="40"/>
        </w:rPr>
        <w:t xml:space="preserve"> </w:t>
      </w:r>
      <w:r>
        <w:t>the</w:t>
      </w:r>
      <w:r>
        <w:rPr>
          <w:spacing w:val="-3"/>
        </w:rPr>
        <w:t xml:space="preserve"> </w:t>
      </w:r>
      <w:r>
        <w:t>accreditation</w:t>
      </w:r>
      <w:r>
        <w:rPr>
          <w:spacing w:val="-3"/>
        </w:rPr>
        <w:t xml:space="preserve"> </w:t>
      </w:r>
      <w:r>
        <w:t>cycle</w:t>
      </w:r>
      <w:r>
        <w:rPr>
          <w:spacing w:val="-3"/>
        </w:rPr>
        <w:t xml:space="preserve"> </w:t>
      </w:r>
      <w:r>
        <w:t>under</w:t>
      </w:r>
      <w:r>
        <w:rPr>
          <w:spacing w:val="-3"/>
        </w:rPr>
        <w:t xml:space="preserve"> </w:t>
      </w:r>
      <w:r>
        <w:t>the</w:t>
      </w:r>
      <w:r>
        <w:rPr>
          <w:spacing w:val="-3"/>
        </w:rPr>
        <w:t xml:space="preserve"> </w:t>
      </w:r>
      <w:r>
        <w:t>NGPA</w:t>
      </w:r>
      <w:r>
        <w:rPr>
          <w:spacing w:val="-3"/>
        </w:rPr>
        <w:t xml:space="preserve"> </w:t>
      </w:r>
      <w:r>
        <w:t>Scheme.</w:t>
      </w:r>
      <w:r>
        <w:rPr>
          <w:spacing w:val="-3"/>
        </w:rPr>
        <w:t xml:space="preserve"> </w:t>
      </w:r>
      <w:r>
        <w:t>Feedback</w:t>
      </w:r>
      <w:r>
        <w:rPr>
          <w:spacing w:val="-3"/>
        </w:rPr>
        <w:t xml:space="preserve"> </w:t>
      </w:r>
      <w:r>
        <w:t>highlighted</w:t>
      </w:r>
      <w:r>
        <w:rPr>
          <w:spacing w:val="-3"/>
        </w:rPr>
        <w:t xml:space="preserve"> </w:t>
      </w:r>
      <w:r>
        <w:t>issues</w:t>
      </w:r>
      <w:r>
        <w:rPr>
          <w:spacing w:val="-3"/>
        </w:rPr>
        <w:t xml:space="preserve"> </w:t>
      </w:r>
      <w:r>
        <w:t>within</w:t>
      </w:r>
      <w:r>
        <w:rPr>
          <w:spacing w:val="-3"/>
        </w:rPr>
        <w:t xml:space="preserve"> </w:t>
      </w:r>
      <w:r>
        <w:t>the</w:t>
      </w:r>
      <w:r>
        <w:rPr>
          <w:spacing w:val="-3"/>
        </w:rPr>
        <w:t xml:space="preserve"> </w:t>
      </w:r>
      <w:r>
        <w:t>current</w:t>
      </w:r>
      <w:r>
        <w:rPr>
          <w:spacing w:val="-3"/>
        </w:rPr>
        <w:t xml:space="preserve"> </w:t>
      </w:r>
      <w:r>
        <w:t>system</w:t>
      </w:r>
      <w:r>
        <w:rPr>
          <w:spacing w:val="-3"/>
        </w:rPr>
        <w:t xml:space="preserve"> </w:t>
      </w:r>
      <w:r>
        <w:t>and issues with its openness to reform. A decision was made to work on improvements to ensure the stability of the Scheme while the sector prepares to transition to the sixth edition of the RACGP Standards for general</w:t>
      </w:r>
    </w:p>
    <w:p w14:paraId="0F82B036" w14:textId="77777777" w:rsidR="009D54AF" w:rsidRDefault="00000000">
      <w:pPr>
        <w:pStyle w:val="BodyText"/>
        <w:spacing w:line="278" w:lineRule="auto"/>
        <w:ind w:left="142"/>
      </w:pPr>
      <w:r>
        <w:t>practices.</w:t>
      </w:r>
      <w:r>
        <w:rPr>
          <w:spacing w:val="-1"/>
        </w:rPr>
        <w:t xml:space="preserve"> </w:t>
      </w:r>
      <w:r>
        <w:t>Feedback</w:t>
      </w:r>
      <w:r>
        <w:rPr>
          <w:spacing w:val="-1"/>
        </w:rPr>
        <w:t xml:space="preserve"> </w:t>
      </w:r>
      <w:r>
        <w:t>from</w:t>
      </w:r>
      <w:r>
        <w:rPr>
          <w:spacing w:val="-1"/>
        </w:rPr>
        <w:t xml:space="preserve"> </w:t>
      </w:r>
      <w:r>
        <w:t>the</w:t>
      </w:r>
      <w:r>
        <w:rPr>
          <w:spacing w:val="-1"/>
        </w:rPr>
        <w:t xml:space="preserve"> </w:t>
      </w:r>
      <w:r>
        <w:t>consultation</w:t>
      </w:r>
      <w:r>
        <w:rPr>
          <w:spacing w:val="-1"/>
        </w:rPr>
        <w:t xml:space="preserve"> </w:t>
      </w:r>
      <w:r>
        <w:t>will</w:t>
      </w:r>
      <w:r>
        <w:rPr>
          <w:spacing w:val="-1"/>
        </w:rPr>
        <w:t xml:space="preserve"> </w:t>
      </w:r>
      <w:r>
        <w:t>be</w:t>
      </w:r>
      <w:r>
        <w:rPr>
          <w:spacing w:val="-1"/>
        </w:rPr>
        <w:t xml:space="preserve"> </w:t>
      </w:r>
      <w:r>
        <w:t>embedded</w:t>
      </w:r>
      <w:r>
        <w:rPr>
          <w:spacing w:val="-1"/>
        </w:rPr>
        <w:t xml:space="preserve"> </w:t>
      </w:r>
      <w:r>
        <w:t>in</w:t>
      </w:r>
      <w:r>
        <w:rPr>
          <w:spacing w:val="-1"/>
        </w:rPr>
        <w:t xml:space="preserve"> </w:t>
      </w:r>
      <w:r>
        <w:t>the</w:t>
      </w:r>
      <w:r>
        <w:rPr>
          <w:spacing w:val="-1"/>
        </w:rPr>
        <w:t xml:space="preserve"> </w:t>
      </w:r>
      <w:r>
        <w:t>development</w:t>
      </w:r>
      <w:r>
        <w:rPr>
          <w:spacing w:val="-1"/>
        </w:rPr>
        <w:t xml:space="preserve"> </w:t>
      </w:r>
      <w:r>
        <w:t>of</w:t>
      </w:r>
      <w:r>
        <w:rPr>
          <w:spacing w:val="-1"/>
        </w:rPr>
        <w:t xml:space="preserve"> </w:t>
      </w:r>
      <w:r>
        <w:t>more</w:t>
      </w:r>
      <w:r>
        <w:rPr>
          <w:spacing w:val="-1"/>
        </w:rPr>
        <w:t xml:space="preserve"> </w:t>
      </w:r>
      <w:r>
        <w:t>resources</w:t>
      </w:r>
      <w:r>
        <w:rPr>
          <w:spacing w:val="-1"/>
        </w:rPr>
        <w:t xml:space="preserve"> </w:t>
      </w:r>
      <w:r>
        <w:t>to</w:t>
      </w:r>
      <w:r>
        <w:rPr>
          <w:spacing w:val="-1"/>
        </w:rPr>
        <w:t xml:space="preserve"> </w:t>
      </w:r>
      <w:r>
        <w:t>support general practices.</w:t>
      </w:r>
    </w:p>
    <w:p w14:paraId="23AEB9E5" w14:textId="77777777" w:rsidR="009D54AF" w:rsidRDefault="009D54AF">
      <w:pPr>
        <w:pStyle w:val="BodyText"/>
        <w:spacing w:before="65"/>
      </w:pPr>
    </w:p>
    <w:p w14:paraId="011E5B77" w14:textId="77777777" w:rsidR="009D54AF" w:rsidRDefault="00000000">
      <w:pPr>
        <w:pStyle w:val="Heading5"/>
        <w:spacing w:before="1"/>
        <w:jc w:val="both"/>
      </w:pPr>
      <w:r>
        <w:t>National</w:t>
      </w:r>
      <w:r>
        <w:rPr>
          <w:spacing w:val="-16"/>
        </w:rPr>
        <w:t xml:space="preserve"> </w:t>
      </w:r>
      <w:r>
        <w:t>Clinical</w:t>
      </w:r>
      <w:r>
        <w:rPr>
          <w:spacing w:val="-13"/>
        </w:rPr>
        <w:t xml:space="preserve"> </w:t>
      </w:r>
      <w:r>
        <w:t>Trials</w:t>
      </w:r>
      <w:r>
        <w:rPr>
          <w:spacing w:val="-13"/>
        </w:rPr>
        <w:t xml:space="preserve"> </w:t>
      </w:r>
      <w:r>
        <w:t>Governance</w:t>
      </w:r>
      <w:r>
        <w:rPr>
          <w:spacing w:val="-13"/>
        </w:rPr>
        <w:t xml:space="preserve"> </w:t>
      </w:r>
      <w:r>
        <w:rPr>
          <w:spacing w:val="-2"/>
        </w:rPr>
        <w:t>Framework</w:t>
      </w:r>
    </w:p>
    <w:p w14:paraId="04A78C79" w14:textId="77777777" w:rsidR="009D54AF" w:rsidRDefault="00000000">
      <w:pPr>
        <w:pStyle w:val="BodyText"/>
        <w:spacing w:before="132" w:line="278" w:lineRule="auto"/>
        <w:ind w:left="142" w:right="214"/>
      </w:pPr>
      <w:r>
        <w:t>In 2025–26, the Commission continued to strengthen the implementation and oversight of the National Clinical Trials Governance Framework (NCTGF), building on the momentum established in previous years. The</w:t>
      </w:r>
      <w:r>
        <w:rPr>
          <w:spacing w:val="-2"/>
        </w:rPr>
        <w:t xml:space="preserve"> </w:t>
      </w:r>
      <w:r>
        <w:t>Framework</w:t>
      </w:r>
      <w:r>
        <w:rPr>
          <w:spacing w:val="-2"/>
        </w:rPr>
        <w:t xml:space="preserve"> </w:t>
      </w:r>
      <w:r>
        <w:t>has</w:t>
      </w:r>
      <w:r>
        <w:rPr>
          <w:spacing w:val="-2"/>
        </w:rPr>
        <w:t xml:space="preserve"> </w:t>
      </w:r>
      <w:r>
        <w:t>now</w:t>
      </w:r>
      <w:r>
        <w:rPr>
          <w:spacing w:val="-2"/>
        </w:rPr>
        <w:t xml:space="preserve"> </w:t>
      </w:r>
      <w:r>
        <w:t>become</w:t>
      </w:r>
      <w:r>
        <w:rPr>
          <w:spacing w:val="-2"/>
        </w:rPr>
        <w:t xml:space="preserve"> </w:t>
      </w:r>
      <w:r>
        <w:t>a</w:t>
      </w:r>
      <w:r>
        <w:rPr>
          <w:spacing w:val="-2"/>
        </w:rPr>
        <w:t xml:space="preserve"> </w:t>
      </w:r>
      <w:r>
        <w:t>critical</w:t>
      </w:r>
      <w:r>
        <w:rPr>
          <w:spacing w:val="-2"/>
        </w:rPr>
        <w:t xml:space="preserve"> </w:t>
      </w:r>
      <w:r>
        <w:t>enabler</w:t>
      </w:r>
      <w:r>
        <w:rPr>
          <w:spacing w:val="-2"/>
        </w:rPr>
        <w:t xml:space="preserve"> </w:t>
      </w:r>
      <w:r>
        <w:t>of</w:t>
      </w:r>
      <w:r>
        <w:rPr>
          <w:spacing w:val="-2"/>
        </w:rPr>
        <w:t xml:space="preserve"> </w:t>
      </w:r>
      <w:r>
        <w:t>safer,</w:t>
      </w:r>
      <w:r>
        <w:rPr>
          <w:spacing w:val="-2"/>
        </w:rPr>
        <w:t xml:space="preserve"> </w:t>
      </w:r>
      <w:r>
        <w:t>higher-quality</w:t>
      </w:r>
      <w:r>
        <w:rPr>
          <w:spacing w:val="-2"/>
        </w:rPr>
        <w:t xml:space="preserve"> </w:t>
      </w:r>
      <w:r>
        <w:t>clinical</w:t>
      </w:r>
      <w:r>
        <w:rPr>
          <w:spacing w:val="-2"/>
        </w:rPr>
        <w:t xml:space="preserve"> </w:t>
      </w:r>
      <w:r>
        <w:t>trials</w:t>
      </w:r>
      <w:r>
        <w:rPr>
          <w:spacing w:val="-2"/>
        </w:rPr>
        <w:t xml:space="preserve"> </w:t>
      </w:r>
      <w:r>
        <w:t>across</w:t>
      </w:r>
      <w:r>
        <w:rPr>
          <w:spacing w:val="-2"/>
        </w:rPr>
        <w:t xml:space="preserve"> </w:t>
      </w:r>
      <w:r>
        <w:t>Australia,</w:t>
      </w:r>
      <w:r>
        <w:rPr>
          <w:spacing w:val="-2"/>
        </w:rPr>
        <w:t xml:space="preserve"> </w:t>
      </w:r>
      <w:r>
        <w:t xml:space="preserve">with increasing recognition that clinical trials are core business for health services rather than supplementary </w:t>
      </w:r>
      <w:r>
        <w:rPr>
          <w:spacing w:val="-2"/>
        </w:rPr>
        <w:t>activities.</w:t>
      </w:r>
    </w:p>
    <w:p w14:paraId="2AC49FD4" w14:textId="77777777" w:rsidR="009D54AF" w:rsidRDefault="00000000">
      <w:pPr>
        <w:pStyle w:val="BodyText"/>
        <w:spacing w:before="141" w:line="278" w:lineRule="auto"/>
        <w:ind w:left="142" w:right="145"/>
      </w:pPr>
      <w:r>
        <w:t>Throughout the year, health services demonstrated stronger leadership accountability and governance of clinical</w:t>
      </w:r>
      <w:r>
        <w:rPr>
          <w:spacing w:val="-4"/>
        </w:rPr>
        <w:t xml:space="preserve"> </w:t>
      </w:r>
      <w:r>
        <w:t>trials</w:t>
      </w:r>
      <w:r>
        <w:rPr>
          <w:spacing w:val="-4"/>
        </w:rPr>
        <w:t xml:space="preserve"> </w:t>
      </w:r>
      <w:r>
        <w:t>than</w:t>
      </w:r>
      <w:r>
        <w:rPr>
          <w:spacing w:val="-4"/>
        </w:rPr>
        <w:t xml:space="preserve"> </w:t>
      </w:r>
      <w:r>
        <w:t>in</w:t>
      </w:r>
      <w:r>
        <w:rPr>
          <w:spacing w:val="-4"/>
        </w:rPr>
        <w:t xml:space="preserve"> </w:t>
      </w:r>
      <w:r>
        <w:t>previous</w:t>
      </w:r>
      <w:r>
        <w:rPr>
          <w:spacing w:val="-4"/>
        </w:rPr>
        <w:t xml:space="preserve"> </w:t>
      </w:r>
      <w:r>
        <w:t>years,</w:t>
      </w:r>
      <w:r>
        <w:rPr>
          <w:spacing w:val="-4"/>
        </w:rPr>
        <w:t xml:space="preserve"> </w:t>
      </w:r>
      <w:r>
        <w:t>with</w:t>
      </w:r>
      <w:r>
        <w:rPr>
          <w:spacing w:val="-4"/>
        </w:rPr>
        <w:t xml:space="preserve"> </w:t>
      </w:r>
      <w:r>
        <w:t>clearer</w:t>
      </w:r>
      <w:r>
        <w:rPr>
          <w:spacing w:val="-4"/>
        </w:rPr>
        <w:t xml:space="preserve"> </w:t>
      </w:r>
      <w:r>
        <w:t>executive</w:t>
      </w:r>
      <w:r>
        <w:rPr>
          <w:spacing w:val="-4"/>
        </w:rPr>
        <w:t xml:space="preserve"> </w:t>
      </w:r>
      <w:r>
        <w:t>oversight</w:t>
      </w:r>
      <w:r>
        <w:rPr>
          <w:spacing w:val="-4"/>
        </w:rPr>
        <w:t xml:space="preserve"> </w:t>
      </w:r>
      <w:r>
        <w:t>and</w:t>
      </w:r>
      <w:r>
        <w:rPr>
          <w:spacing w:val="-4"/>
        </w:rPr>
        <w:t xml:space="preserve"> </w:t>
      </w:r>
      <w:r>
        <w:t>improved</w:t>
      </w:r>
      <w:r>
        <w:rPr>
          <w:spacing w:val="-4"/>
        </w:rPr>
        <w:t xml:space="preserve"> </w:t>
      </w:r>
      <w:r>
        <w:t>integration</w:t>
      </w:r>
      <w:r>
        <w:rPr>
          <w:spacing w:val="-4"/>
        </w:rPr>
        <w:t xml:space="preserve"> </w:t>
      </w:r>
      <w:r>
        <w:t>into</w:t>
      </w:r>
      <w:r>
        <w:rPr>
          <w:spacing w:val="-4"/>
        </w:rPr>
        <w:t xml:space="preserve"> </w:t>
      </w:r>
      <w:r>
        <w:t>existing</w:t>
      </w:r>
      <w:r>
        <w:rPr>
          <w:spacing w:val="-4"/>
        </w:rPr>
        <w:t xml:space="preserve"> </w:t>
      </w:r>
      <w:r>
        <w:t xml:space="preserve">risk management, quality assurance and safety systems. These advances have contributed to more consistent, transparent and reliable clinical trial governance nationwide, supporting better outcomes for patients and </w:t>
      </w:r>
      <w:r>
        <w:rPr>
          <w:spacing w:val="-2"/>
        </w:rPr>
        <w:t>communities.</w:t>
      </w:r>
    </w:p>
    <w:p w14:paraId="54344AE2" w14:textId="77777777" w:rsidR="009D54AF" w:rsidRDefault="00000000">
      <w:pPr>
        <w:pStyle w:val="BodyText"/>
        <w:spacing w:before="142" w:line="278" w:lineRule="auto"/>
        <w:ind w:left="142" w:right="314"/>
      </w:pPr>
      <w:r>
        <w:t>The Commission continued its leadership role in the sector, engaging widely with stakeholders and shaping national discussions through key forums and partnerships. This included active participation in the Inter-Governmental</w:t>
      </w:r>
      <w:r>
        <w:rPr>
          <w:spacing w:val="-3"/>
        </w:rPr>
        <w:t xml:space="preserve"> </w:t>
      </w:r>
      <w:r>
        <w:t>Policy</w:t>
      </w:r>
      <w:r>
        <w:rPr>
          <w:spacing w:val="-3"/>
        </w:rPr>
        <w:t xml:space="preserve"> </w:t>
      </w:r>
      <w:r>
        <w:t>Reform</w:t>
      </w:r>
      <w:r>
        <w:rPr>
          <w:spacing w:val="-3"/>
        </w:rPr>
        <w:t xml:space="preserve"> </w:t>
      </w:r>
      <w:r>
        <w:t>Group</w:t>
      </w:r>
      <w:r>
        <w:rPr>
          <w:spacing w:val="-3"/>
        </w:rPr>
        <w:t xml:space="preserve"> </w:t>
      </w:r>
      <w:r>
        <w:t>and</w:t>
      </w:r>
      <w:r>
        <w:rPr>
          <w:spacing w:val="-3"/>
        </w:rPr>
        <w:t xml:space="preserve"> </w:t>
      </w:r>
      <w:r>
        <w:t>presentations</w:t>
      </w:r>
      <w:r>
        <w:rPr>
          <w:spacing w:val="-3"/>
        </w:rPr>
        <w:t xml:space="preserve"> </w:t>
      </w:r>
      <w:r>
        <w:t>at</w:t>
      </w:r>
      <w:r>
        <w:rPr>
          <w:spacing w:val="-3"/>
        </w:rPr>
        <w:t xml:space="preserve"> </w:t>
      </w:r>
      <w:r>
        <w:t>major</w:t>
      </w:r>
      <w:r>
        <w:rPr>
          <w:spacing w:val="-3"/>
        </w:rPr>
        <w:t xml:space="preserve"> </w:t>
      </w:r>
      <w:r>
        <w:t>sector</w:t>
      </w:r>
      <w:r>
        <w:rPr>
          <w:spacing w:val="-3"/>
        </w:rPr>
        <w:t xml:space="preserve"> </w:t>
      </w:r>
      <w:r>
        <w:t>events</w:t>
      </w:r>
      <w:r>
        <w:rPr>
          <w:spacing w:val="-3"/>
        </w:rPr>
        <w:t xml:space="preserve"> </w:t>
      </w:r>
      <w:r>
        <w:t>such</w:t>
      </w:r>
      <w:r>
        <w:rPr>
          <w:spacing w:val="-3"/>
        </w:rPr>
        <w:t xml:space="preserve"> </w:t>
      </w:r>
      <w:r>
        <w:t>as</w:t>
      </w:r>
      <w:r>
        <w:rPr>
          <w:spacing w:val="-3"/>
        </w:rPr>
        <w:t xml:space="preserve"> </w:t>
      </w:r>
      <w:r>
        <w:t>the</w:t>
      </w:r>
      <w:r>
        <w:rPr>
          <w:spacing w:val="-3"/>
        </w:rPr>
        <w:t xml:space="preserve"> </w:t>
      </w:r>
      <w:r>
        <w:t>Australian</w:t>
      </w:r>
      <w:r>
        <w:rPr>
          <w:spacing w:val="-3"/>
        </w:rPr>
        <w:t xml:space="preserve"> </w:t>
      </w:r>
      <w:r>
        <w:t xml:space="preserve">Clinical Trials Education Centre Conference, Australian Clinical Trials Alliance, Association of Regulatory and Clinical Scientists, Society of Clinical Research Sites, and the Queensland Health NCTGF Community of Practice. These engagements have strengthened collaboration and shared learning across the clinical trials </w:t>
      </w:r>
      <w:r>
        <w:rPr>
          <w:spacing w:val="-2"/>
        </w:rPr>
        <w:t>ecosystem.</w:t>
      </w:r>
    </w:p>
    <w:p w14:paraId="7529A9DC" w14:textId="77777777" w:rsidR="009D54AF" w:rsidRDefault="00000000">
      <w:pPr>
        <w:pStyle w:val="BodyText"/>
        <w:spacing w:before="141" w:line="278" w:lineRule="auto"/>
        <w:ind w:left="142" w:right="285"/>
      </w:pPr>
      <w:r>
        <w:t>A significant milestone in 2025–26 was the evolution of the NCTGF assessment approach. The maturity scale</w:t>
      </w:r>
      <w:r>
        <w:rPr>
          <w:spacing w:val="-1"/>
        </w:rPr>
        <w:t xml:space="preserve"> </w:t>
      </w:r>
      <w:r>
        <w:t>rating</w:t>
      </w:r>
      <w:r>
        <w:rPr>
          <w:spacing w:val="-1"/>
        </w:rPr>
        <w:t xml:space="preserve"> </w:t>
      </w:r>
      <w:r>
        <w:t>system</w:t>
      </w:r>
      <w:r>
        <w:rPr>
          <w:spacing w:val="-1"/>
        </w:rPr>
        <w:t xml:space="preserve"> </w:t>
      </w:r>
      <w:r>
        <w:t>was</w:t>
      </w:r>
      <w:r>
        <w:rPr>
          <w:spacing w:val="-1"/>
        </w:rPr>
        <w:t xml:space="preserve"> </w:t>
      </w:r>
      <w:r>
        <w:t>extended</w:t>
      </w:r>
      <w:r>
        <w:rPr>
          <w:spacing w:val="-1"/>
        </w:rPr>
        <w:t xml:space="preserve"> </w:t>
      </w:r>
      <w:r>
        <w:t>through</w:t>
      </w:r>
      <w:r>
        <w:rPr>
          <w:spacing w:val="-1"/>
        </w:rPr>
        <w:t xml:space="preserve"> </w:t>
      </w:r>
      <w:r>
        <w:t>to</w:t>
      </w:r>
      <w:r>
        <w:rPr>
          <w:spacing w:val="-1"/>
        </w:rPr>
        <w:t xml:space="preserve"> </w:t>
      </w:r>
      <w:r>
        <w:t>2030,</w:t>
      </w:r>
      <w:r>
        <w:rPr>
          <w:spacing w:val="-1"/>
        </w:rPr>
        <w:t xml:space="preserve"> </w:t>
      </w:r>
      <w:r>
        <w:t>aligning</w:t>
      </w:r>
      <w:r>
        <w:rPr>
          <w:spacing w:val="-1"/>
        </w:rPr>
        <w:t xml:space="preserve"> </w:t>
      </w:r>
      <w:r>
        <w:t>with</w:t>
      </w:r>
      <w:r>
        <w:rPr>
          <w:spacing w:val="-1"/>
        </w:rPr>
        <w:t xml:space="preserve"> </w:t>
      </w:r>
      <w:r>
        <w:t>the</w:t>
      </w:r>
      <w:r>
        <w:rPr>
          <w:spacing w:val="-1"/>
        </w:rPr>
        <w:t xml:space="preserve"> </w:t>
      </w:r>
      <w:r>
        <w:t>upcoming</w:t>
      </w:r>
      <w:r>
        <w:rPr>
          <w:spacing w:val="-1"/>
        </w:rPr>
        <w:t xml:space="preserve"> </w:t>
      </w:r>
      <w:r>
        <w:t>third</w:t>
      </w:r>
      <w:r>
        <w:rPr>
          <w:spacing w:val="-1"/>
        </w:rPr>
        <w:t xml:space="preserve"> </w:t>
      </w:r>
      <w:r>
        <w:t>edition</w:t>
      </w:r>
      <w:r>
        <w:rPr>
          <w:spacing w:val="-1"/>
        </w:rPr>
        <w:t xml:space="preserve"> </w:t>
      </w:r>
      <w:r>
        <w:t>of</w:t>
      </w:r>
      <w:r>
        <w:rPr>
          <w:spacing w:val="-1"/>
        </w:rPr>
        <w:t xml:space="preserve"> </w:t>
      </w:r>
      <w:r>
        <w:t>the</w:t>
      </w:r>
      <w:r>
        <w:rPr>
          <w:spacing w:val="-1"/>
        </w:rPr>
        <w:t xml:space="preserve"> </w:t>
      </w:r>
      <w:r>
        <w:t>NSQHS Standards.</w:t>
      </w:r>
      <w:r>
        <w:rPr>
          <w:spacing w:val="-1"/>
        </w:rPr>
        <w:t xml:space="preserve"> </w:t>
      </w:r>
      <w:r>
        <w:t>This</w:t>
      </w:r>
      <w:r>
        <w:rPr>
          <w:spacing w:val="-1"/>
        </w:rPr>
        <w:t xml:space="preserve"> </w:t>
      </w:r>
      <w:r>
        <w:t>change</w:t>
      </w:r>
      <w:r>
        <w:rPr>
          <w:spacing w:val="-1"/>
        </w:rPr>
        <w:t xml:space="preserve"> </w:t>
      </w:r>
      <w:r>
        <w:t>provides</w:t>
      </w:r>
      <w:r>
        <w:rPr>
          <w:spacing w:val="-1"/>
        </w:rPr>
        <w:t xml:space="preserve"> </w:t>
      </w:r>
      <w:r>
        <w:t>greater</w:t>
      </w:r>
      <w:r>
        <w:rPr>
          <w:spacing w:val="-1"/>
        </w:rPr>
        <w:t xml:space="preserve"> </w:t>
      </w:r>
      <w:r>
        <w:t>certainty</w:t>
      </w:r>
      <w:r>
        <w:rPr>
          <w:spacing w:val="-1"/>
        </w:rPr>
        <w:t xml:space="preserve"> </w:t>
      </w:r>
      <w:r>
        <w:t>and</w:t>
      </w:r>
      <w:r>
        <w:rPr>
          <w:spacing w:val="-1"/>
        </w:rPr>
        <w:t xml:space="preserve"> </w:t>
      </w:r>
      <w:r>
        <w:t>supports</w:t>
      </w:r>
      <w:r>
        <w:rPr>
          <w:spacing w:val="-1"/>
        </w:rPr>
        <w:t xml:space="preserve"> </w:t>
      </w:r>
      <w:r>
        <w:t>a</w:t>
      </w:r>
      <w:r>
        <w:rPr>
          <w:spacing w:val="-1"/>
        </w:rPr>
        <w:t xml:space="preserve"> </w:t>
      </w:r>
      <w:r>
        <w:t>more</w:t>
      </w:r>
      <w:r>
        <w:rPr>
          <w:spacing w:val="-1"/>
        </w:rPr>
        <w:t xml:space="preserve"> </w:t>
      </w:r>
      <w:r>
        <w:t>realistic,</w:t>
      </w:r>
      <w:r>
        <w:rPr>
          <w:spacing w:val="-1"/>
        </w:rPr>
        <w:t xml:space="preserve"> </w:t>
      </w:r>
      <w:r>
        <w:t>continuous</w:t>
      </w:r>
      <w:r>
        <w:rPr>
          <w:spacing w:val="-1"/>
        </w:rPr>
        <w:t xml:space="preserve"> </w:t>
      </w:r>
      <w:r>
        <w:t>improvement pathway for health services, ensuring they are encouraged as they build capability over time.</w:t>
      </w:r>
    </w:p>
    <w:p w14:paraId="5A6658B4" w14:textId="77777777" w:rsidR="009D54AF" w:rsidRDefault="00000000">
      <w:pPr>
        <w:pStyle w:val="BodyText"/>
        <w:spacing w:before="141" w:line="278" w:lineRule="auto"/>
        <w:ind w:left="142" w:right="285"/>
      </w:pPr>
      <w:r>
        <w:t>To further support implementation, the Commission conducted 20 site visits across Australia, providing valuable insights into real-world application of the NCTGF. Lessons learned have directly informed improvements</w:t>
      </w:r>
      <w:r>
        <w:rPr>
          <w:spacing w:val="-4"/>
        </w:rPr>
        <w:t xml:space="preserve"> </w:t>
      </w:r>
      <w:r>
        <w:t>to</w:t>
      </w:r>
      <w:r>
        <w:rPr>
          <w:spacing w:val="-4"/>
        </w:rPr>
        <w:t xml:space="preserve"> </w:t>
      </w:r>
      <w:r>
        <w:t>guidance</w:t>
      </w:r>
      <w:r>
        <w:rPr>
          <w:spacing w:val="-4"/>
        </w:rPr>
        <w:t xml:space="preserve"> </w:t>
      </w:r>
      <w:r>
        <w:t>materials,</w:t>
      </w:r>
      <w:r>
        <w:rPr>
          <w:spacing w:val="-4"/>
        </w:rPr>
        <w:t xml:space="preserve"> </w:t>
      </w:r>
      <w:r>
        <w:t>including</w:t>
      </w:r>
      <w:r>
        <w:rPr>
          <w:spacing w:val="-4"/>
        </w:rPr>
        <w:t xml:space="preserve"> </w:t>
      </w:r>
      <w:r>
        <w:t>updates</w:t>
      </w:r>
      <w:r>
        <w:rPr>
          <w:spacing w:val="-4"/>
        </w:rPr>
        <w:t xml:space="preserve"> </w:t>
      </w:r>
      <w:r>
        <w:t>to</w:t>
      </w:r>
      <w:r>
        <w:rPr>
          <w:spacing w:val="-4"/>
        </w:rPr>
        <w:t xml:space="preserve"> </w:t>
      </w:r>
      <w:r>
        <w:t>the</w:t>
      </w:r>
      <w:r>
        <w:rPr>
          <w:spacing w:val="-4"/>
        </w:rPr>
        <w:t xml:space="preserve"> </w:t>
      </w:r>
      <w:r>
        <w:t>‘Not</w:t>
      </w:r>
      <w:r>
        <w:rPr>
          <w:spacing w:val="-4"/>
        </w:rPr>
        <w:t xml:space="preserve"> </w:t>
      </w:r>
      <w:r>
        <w:t>Applicable’</w:t>
      </w:r>
      <w:r>
        <w:rPr>
          <w:spacing w:val="-4"/>
        </w:rPr>
        <w:t xml:space="preserve"> </w:t>
      </w:r>
      <w:r>
        <w:t>advisory,</w:t>
      </w:r>
      <w:r>
        <w:rPr>
          <w:spacing w:val="-4"/>
        </w:rPr>
        <w:t xml:space="preserve"> </w:t>
      </w:r>
      <w:r>
        <w:t>ensuring</w:t>
      </w:r>
      <w:r>
        <w:rPr>
          <w:spacing w:val="-4"/>
        </w:rPr>
        <w:t xml:space="preserve"> </w:t>
      </w:r>
      <w:r>
        <w:t>greater clarity and usability for services undergoing assessment.</w:t>
      </w:r>
    </w:p>
    <w:p w14:paraId="1399E374" w14:textId="77777777" w:rsidR="009D54AF" w:rsidRDefault="00000000" w:rsidP="008F5B74">
      <w:pPr>
        <w:pStyle w:val="BodyText"/>
        <w:spacing w:before="180" w:line="278" w:lineRule="auto"/>
        <w:ind w:left="142" w:right="284"/>
      </w:pPr>
      <w:r>
        <w:t>Overall, 2025–26 marked a year of consolidation and advancement, with the NCTGF now firmly embedded as</w:t>
      </w:r>
      <w:r>
        <w:rPr>
          <w:spacing w:val="-1"/>
        </w:rPr>
        <w:t xml:space="preserve"> </w:t>
      </w:r>
      <w:r>
        <w:t>a</w:t>
      </w:r>
      <w:r>
        <w:rPr>
          <w:spacing w:val="-1"/>
        </w:rPr>
        <w:t xml:space="preserve"> </w:t>
      </w:r>
      <w:r>
        <w:t>cornerstone</w:t>
      </w:r>
      <w:r>
        <w:rPr>
          <w:spacing w:val="-1"/>
        </w:rPr>
        <w:t xml:space="preserve"> </w:t>
      </w:r>
      <w:r>
        <w:t>of</w:t>
      </w:r>
      <w:r>
        <w:rPr>
          <w:spacing w:val="-1"/>
        </w:rPr>
        <w:t xml:space="preserve"> </w:t>
      </w:r>
      <w:r>
        <w:t>clinical</w:t>
      </w:r>
      <w:r>
        <w:rPr>
          <w:spacing w:val="-1"/>
        </w:rPr>
        <w:t xml:space="preserve"> </w:t>
      </w:r>
      <w:r>
        <w:t>trial</w:t>
      </w:r>
      <w:r>
        <w:rPr>
          <w:spacing w:val="-1"/>
        </w:rPr>
        <w:t xml:space="preserve"> </w:t>
      </w:r>
      <w:r>
        <w:t>governance</w:t>
      </w:r>
      <w:r>
        <w:rPr>
          <w:spacing w:val="-1"/>
        </w:rPr>
        <w:t xml:space="preserve"> </w:t>
      </w:r>
      <w:r>
        <w:t>in</w:t>
      </w:r>
      <w:r>
        <w:rPr>
          <w:spacing w:val="-1"/>
        </w:rPr>
        <w:t xml:space="preserve"> </w:t>
      </w:r>
      <w:r>
        <w:t>Australia.</w:t>
      </w:r>
      <w:r>
        <w:rPr>
          <w:spacing w:val="-1"/>
        </w:rPr>
        <w:t xml:space="preserve"> </w:t>
      </w:r>
      <w:r>
        <w:t>The</w:t>
      </w:r>
      <w:r>
        <w:rPr>
          <w:spacing w:val="-1"/>
        </w:rPr>
        <w:t xml:space="preserve"> </w:t>
      </w:r>
      <w:r>
        <w:t>progress</w:t>
      </w:r>
      <w:r>
        <w:rPr>
          <w:spacing w:val="-1"/>
        </w:rPr>
        <w:t xml:space="preserve"> </w:t>
      </w:r>
      <w:r>
        <w:t>made</w:t>
      </w:r>
      <w:r>
        <w:rPr>
          <w:spacing w:val="-1"/>
        </w:rPr>
        <w:t xml:space="preserve"> </w:t>
      </w:r>
      <w:r>
        <w:t>positions</w:t>
      </w:r>
      <w:r>
        <w:rPr>
          <w:spacing w:val="-1"/>
        </w:rPr>
        <w:t xml:space="preserve"> </w:t>
      </w:r>
      <w:r>
        <w:t>the</w:t>
      </w:r>
      <w:r>
        <w:rPr>
          <w:spacing w:val="-1"/>
        </w:rPr>
        <w:t xml:space="preserve"> </w:t>
      </w:r>
      <w:r>
        <w:t>sector</w:t>
      </w:r>
      <w:r>
        <w:rPr>
          <w:spacing w:val="-1"/>
        </w:rPr>
        <w:t xml:space="preserve"> </w:t>
      </w:r>
      <w:r>
        <w:t>to</w:t>
      </w:r>
      <w:r>
        <w:rPr>
          <w:spacing w:val="-1"/>
        </w:rPr>
        <w:t xml:space="preserve"> </w:t>
      </w:r>
      <w:r>
        <w:t>continue improving the safety, quality and impact of clinical trials, ultimately benefiting patients, clinicians and the broader health system.</w:t>
      </w:r>
    </w:p>
    <w:p w14:paraId="11B79144" w14:textId="77777777" w:rsidR="009D54AF" w:rsidRDefault="009D54AF">
      <w:pPr>
        <w:pStyle w:val="BodyText"/>
        <w:spacing w:before="65"/>
      </w:pPr>
    </w:p>
    <w:p w14:paraId="28A9021B" w14:textId="77777777" w:rsidR="00D13873" w:rsidRDefault="00D13873">
      <w:pPr>
        <w:rPr>
          <w:b/>
          <w:bCs/>
          <w:sz w:val="30"/>
          <w:szCs w:val="30"/>
        </w:rPr>
      </w:pPr>
      <w:r>
        <w:br w:type="page"/>
      </w:r>
    </w:p>
    <w:p w14:paraId="4A4C930D" w14:textId="4D78A6EF" w:rsidR="009D54AF" w:rsidRDefault="00000000">
      <w:pPr>
        <w:pStyle w:val="Heading5"/>
      </w:pPr>
      <w:r>
        <w:lastRenderedPageBreak/>
        <w:t>Credentialing</w:t>
      </w:r>
      <w:r>
        <w:rPr>
          <w:spacing w:val="-8"/>
        </w:rPr>
        <w:t xml:space="preserve"> </w:t>
      </w:r>
      <w:r>
        <w:t>and</w:t>
      </w:r>
      <w:r>
        <w:rPr>
          <w:spacing w:val="-5"/>
        </w:rPr>
        <w:t xml:space="preserve"> </w:t>
      </w:r>
      <w:r>
        <w:t>defining</w:t>
      </w:r>
      <w:r>
        <w:rPr>
          <w:spacing w:val="-5"/>
        </w:rPr>
        <w:t xml:space="preserve"> </w:t>
      </w:r>
      <w:r>
        <w:t>scope</w:t>
      </w:r>
      <w:r>
        <w:rPr>
          <w:spacing w:val="-5"/>
        </w:rPr>
        <w:t xml:space="preserve"> </w:t>
      </w:r>
      <w:r>
        <w:t>of</w:t>
      </w:r>
      <w:r>
        <w:rPr>
          <w:spacing w:val="-5"/>
        </w:rPr>
        <w:t xml:space="preserve"> </w:t>
      </w:r>
      <w:r>
        <w:t>clinical</w:t>
      </w:r>
      <w:r>
        <w:rPr>
          <w:spacing w:val="-5"/>
        </w:rPr>
        <w:t xml:space="preserve"> </w:t>
      </w:r>
      <w:r>
        <w:rPr>
          <w:spacing w:val="-2"/>
        </w:rPr>
        <w:t>practice</w:t>
      </w:r>
    </w:p>
    <w:p w14:paraId="76B24026" w14:textId="77777777" w:rsidR="009D54AF" w:rsidRDefault="00000000">
      <w:pPr>
        <w:pStyle w:val="BodyText"/>
        <w:spacing w:before="133" w:line="278" w:lineRule="auto"/>
        <w:ind w:left="142" w:right="192"/>
      </w:pPr>
      <w:r>
        <w:t>In May 2026, the Commission published updated guidance for public and private health services and clinicians to strengthen the processes for credentialing, re-credentialing and defining facility-specific scope of clinical</w:t>
      </w:r>
      <w:r>
        <w:rPr>
          <w:spacing w:val="-2"/>
        </w:rPr>
        <w:t xml:space="preserve"> </w:t>
      </w:r>
      <w:r>
        <w:t>practice.</w:t>
      </w:r>
      <w:r>
        <w:rPr>
          <w:spacing w:val="-2"/>
        </w:rPr>
        <w:t xml:space="preserve"> </w:t>
      </w:r>
      <w:r>
        <w:t>The</w:t>
      </w:r>
      <w:r>
        <w:rPr>
          <w:spacing w:val="-2"/>
        </w:rPr>
        <w:t xml:space="preserve"> </w:t>
      </w:r>
      <w:r>
        <w:t>guidance</w:t>
      </w:r>
      <w:r>
        <w:rPr>
          <w:spacing w:val="-2"/>
        </w:rPr>
        <w:t xml:space="preserve"> </w:t>
      </w:r>
      <w:r>
        <w:t>was</w:t>
      </w:r>
      <w:r>
        <w:rPr>
          <w:spacing w:val="-2"/>
        </w:rPr>
        <w:t xml:space="preserve"> </w:t>
      </w:r>
      <w:r>
        <w:t>developed</w:t>
      </w:r>
      <w:r>
        <w:rPr>
          <w:spacing w:val="-2"/>
        </w:rPr>
        <w:t xml:space="preserve"> </w:t>
      </w:r>
      <w:r>
        <w:t>in</w:t>
      </w:r>
      <w:r>
        <w:rPr>
          <w:spacing w:val="-2"/>
        </w:rPr>
        <w:t xml:space="preserve"> </w:t>
      </w:r>
      <w:r>
        <w:t>consultation</w:t>
      </w:r>
      <w:r>
        <w:rPr>
          <w:spacing w:val="-2"/>
        </w:rPr>
        <w:t xml:space="preserve"> </w:t>
      </w:r>
      <w:r>
        <w:t>with</w:t>
      </w:r>
      <w:r>
        <w:rPr>
          <w:spacing w:val="-2"/>
        </w:rPr>
        <w:t xml:space="preserve"> </w:t>
      </w:r>
      <w:r>
        <w:t>states,</w:t>
      </w:r>
      <w:r>
        <w:rPr>
          <w:spacing w:val="-2"/>
        </w:rPr>
        <w:t xml:space="preserve"> </w:t>
      </w:r>
      <w:r>
        <w:t>territories,</w:t>
      </w:r>
      <w:r>
        <w:rPr>
          <w:spacing w:val="-2"/>
        </w:rPr>
        <w:t xml:space="preserve"> </w:t>
      </w:r>
      <w:r>
        <w:t>the</w:t>
      </w:r>
      <w:r>
        <w:rPr>
          <w:spacing w:val="-2"/>
        </w:rPr>
        <w:t xml:space="preserve"> </w:t>
      </w:r>
      <w:r>
        <w:t>private</w:t>
      </w:r>
      <w:r>
        <w:rPr>
          <w:spacing w:val="-2"/>
        </w:rPr>
        <w:t xml:space="preserve"> </w:t>
      </w:r>
      <w:r>
        <w:t>health</w:t>
      </w:r>
      <w:r>
        <w:rPr>
          <w:spacing w:val="-2"/>
        </w:rPr>
        <w:t xml:space="preserve"> </w:t>
      </w:r>
      <w:r>
        <w:t>sector, colleges and specialty societies and the Australian Health Practitioner Regulation Agency (</w:t>
      </w:r>
      <w:proofErr w:type="spellStart"/>
      <w:r>
        <w:t>Ahpra</w:t>
      </w:r>
      <w:proofErr w:type="spellEnd"/>
      <w:r>
        <w:t>).</w:t>
      </w:r>
    </w:p>
    <w:p w14:paraId="2F53D742" w14:textId="6F8EE8FE" w:rsidR="009D54AF" w:rsidRDefault="00000000" w:rsidP="008F5B74">
      <w:pPr>
        <w:pStyle w:val="Heading1"/>
      </w:pPr>
      <w:bookmarkStart w:id="35" w:name="_Strategic_Priority_3:"/>
      <w:bookmarkStart w:id="36" w:name="_Toc243037276"/>
      <w:bookmarkEnd w:id="35"/>
      <w:r>
        <w:t>Strategic</w:t>
      </w:r>
      <w:r>
        <w:rPr>
          <w:spacing w:val="-28"/>
        </w:rPr>
        <w:t xml:space="preserve"> </w:t>
      </w:r>
      <w:r>
        <w:t>Priority</w:t>
      </w:r>
      <w:r>
        <w:rPr>
          <w:spacing w:val="-28"/>
        </w:rPr>
        <w:t xml:space="preserve"> </w:t>
      </w:r>
      <w:r>
        <w:t>3:</w:t>
      </w:r>
      <w:r>
        <w:rPr>
          <w:spacing w:val="-28"/>
        </w:rPr>
        <w:t xml:space="preserve"> </w:t>
      </w:r>
      <w:r w:rsidR="008F5B74">
        <w:rPr>
          <w:spacing w:val="-28"/>
        </w:rPr>
        <w:br/>
      </w:r>
      <w:r>
        <w:t>Empowered</w:t>
      </w:r>
      <w:r>
        <w:rPr>
          <w:spacing w:val="-28"/>
        </w:rPr>
        <w:t xml:space="preserve"> </w:t>
      </w:r>
      <w:r>
        <w:t>patients,</w:t>
      </w:r>
      <w:r>
        <w:rPr>
          <w:spacing w:val="-27"/>
        </w:rPr>
        <w:t xml:space="preserve"> </w:t>
      </w:r>
      <w:r>
        <w:t>carers</w:t>
      </w:r>
      <w:r>
        <w:rPr>
          <w:spacing w:val="-28"/>
        </w:rPr>
        <w:t xml:space="preserve"> </w:t>
      </w:r>
      <w:r>
        <w:t xml:space="preserve">and </w:t>
      </w:r>
      <w:r>
        <w:rPr>
          <w:spacing w:val="-2"/>
        </w:rPr>
        <w:t>communities</w:t>
      </w:r>
      <w:bookmarkEnd w:id="36"/>
    </w:p>
    <w:p w14:paraId="3E75D6B8" w14:textId="77777777" w:rsidR="009D54AF" w:rsidRDefault="00000000">
      <w:pPr>
        <w:pStyle w:val="Heading9"/>
        <w:spacing w:before="172" w:line="268" w:lineRule="auto"/>
      </w:pPr>
      <w:r>
        <w:t>This priority focuses on ensuring patients are informed and empowered to shape their care. It ensures</w:t>
      </w:r>
      <w:r>
        <w:rPr>
          <w:spacing w:val="-11"/>
        </w:rPr>
        <w:t xml:space="preserve"> </w:t>
      </w:r>
      <w:r>
        <w:t>that</w:t>
      </w:r>
      <w:r>
        <w:rPr>
          <w:spacing w:val="-11"/>
        </w:rPr>
        <w:t xml:space="preserve"> </w:t>
      </w:r>
      <w:r>
        <w:t>all</w:t>
      </w:r>
      <w:r>
        <w:rPr>
          <w:spacing w:val="-11"/>
        </w:rPr>
        <w:t xml:space="preserve"> </w:t>
      </w:r>
      <w:proofErr w:type="spellStart"/>
      <w:r>
        <w:t>organisations</w:t>
      </w:r>
      <w:proofErr w:type="spellEnd"/>
      <w:r>
        <w:rPr>
          <w:spacing w:val="-11"/>
        </w:rPr>
        <w:t xml:space="preserve"> </w:t>
      </w:r>
      <w:r>
        <w:t>have</w:t>
      </w:r>
      <w:r>
        <w:rPr>
          <w:spacing w:val="-11"/>
        </w:rPr>
        <w:t xml:space="preserve"> </w:t>
      </w:r>
      <w:r>
        <w:t>the</w:t>
      </w:r>
      <w:r>
        <w:rPr>
          <w:spacing w:val="-11"/>
        </w:rPr>
        <w:t xml:space="preserve"> </w:t>
      </w:r>
      <w:r>
        <w:t>systems</w:t>
      </w:r>
      <w:r>
        <w:rPr>
          <w:spacing w:val="-11"/>
        </w:rPr>
        <w:t xml:space="preserve"> </w:t>
      </w:r>
      <w:r>
        <w:t>and</w:t>
      </w:r>
      <w:r>
        <w:rPr>
          <w:spacing w:val="-11"/>
        </w:rPr>
        <w:t xml:space="preserve"> </w:t>
      </w:r>
      <w:r>
        <w:t>governance</w:t>
      </w:r>
      <w:r>
        <w:rPr>
          <w:spacing w:val="-11"/>
        </w:rPr>
        <w:t xml:space="preserve"> </w:t>
      </w:r>
      <w:r>
        <w:t>in</w:t>
      </w:r>
      <w:r>
        <w:rPr>
          <w:spacing w:val="-11"/>
        </w:rPr>
        <w:t xml:space="preserve"> </w:t>
      </w:r>
      <w:r>
        <w:t>place</w:t>
      </w:r>
      <w:r>
        <w:rPr>
          <w:spacing w:val="-11"/>
        </w:rPr>
        <w:t xml:space="preserve"> </w:t>
      </w:r>
      <w:r>
        <w:t>to</w:t>
      </w:r>
      <w:r>
        <w:rPr>
          <w:spacing w:val="-11"/>
        </w:rPr>
        <w:t xml:space="preserve"> </w:t>
      </w:r>
      <w:r>
        <w:t>integrate</w:t>
      </w:r>
      <w:r>
        <w:rPr>
          <w:spacing w:val="-11"/>
        </w:rPr>
        <w:t xml:space="preserve"> </w:t>
      </w:r>
      <w:r>
        <w:t>the</w:t>
      </w:r>
      <w:r>
        <w:rPr>
          <w:spacing w:val="-11"/>
        </w:rPr>
        <w:t xml:space="preserve"> </w:t>
      </w:r>
      <w:r>
        <w:t>patient, carer, consumer and community voice, at every level of healthcare design and delivery.</w:t>
      </w:r>
    </w:p>
    <w:p w14:paraId="49BB1F38" w14:textId="77777777" w:rsidR="009D54AF" w:rsidRDefault="009D54AF">
      <w:pPr>
        <w:pStyle w:val="BodyText"/>
        <w:spacing w:before="105"/>
        <w:rPr>
          <w:sz w:val="30"/>
        </w:rPr>
      </w:pPr>
    </w:p>
    <w:p w14:paraId="2AA98109" w14:textId="77777777" w:rsidR="009D54AF" w:rsidRDefault="00000000">
      <w:pPr>
        <w:pStyle w:val="Heading5"/>
      </w:pPr>
      <w:r>
        <w:t>National</w:t>
      </w:r>
      <w:r>
        <w:rPr>
          <w:spacing w:val="-2"/>
        </w:rPr>
        <w:t xml:space="preserve"> </w:t>
      </w:r>
      <w:r>
        <w:t>priority: Driving better care</w:t>
      </w:r>
      <w:r>
        <w:rPr>
          <w:spacing w:val="1"/>
        </w:rPr>
        <w:t xml:space="preserve"> </w:t>
      </w:r>
      <w:r>
        <w:rPr>
          <w:spacing w:val="-2"/>
        </w:rPr>
        <w:t>everywhere</w:t>
      </w:r>
    </w:p>
    <w:p w14:paraId="43C7FA01" w14:textId="77777777" w:rsidR="009D54AF" w:rsidRDefault="00000000">
      <w:pPr>
        <w:pStyle w:val="BodyText"/>
        <w:spacing w:before="133" w:line="278" w:lineRule="auto"/>
        <w:ind w:left="142" w:right="285"/>
      </w:pPr>
      <w:r>
        <w:t>In 2025–26, the Commission progressed the Better Care Everywhere initiative as a practical approach to reducing the incidence of low-value care and unwarranted clinical variation across Australia. The initiative brought</w:t>
      </w:r>
      <w:r>
        <w:rPr>
          <w:spacing w:val="-3"/>
        </w:rPr>
        <w:t xml:space="preserve"> </w:t>
      </w:r>
      <w:r>
        <w:t>together</w:t>
      </w:r>
      <w:r>
        <w:rPr>
          <w:spacing w:val="-3"/>
        </w:rPr>
        <w:t xml:space="preserve"> </w:t>
      </w:r>
      <w:r>
        <w:t>guidance,</w:t>
      </w:r>
      <w:r>
        <w:rPr>
          <w:spacing w:val="-3"/>
        </w:rPr>
        <w:t xml:space="preserve"> </w:t>
      </w:r>
      <w:r>
        <w:t>tools</w:t>
      </w:r>
      <w:r>
        <w:rPr>
          <w:spacing w:val="-3"/>
        </w:rPr>
        <w:t xml:space="preserve"> </w:t>
      </w:r>
      <w:r>
        <w:t>and</w:t>
      </w:r>
      <w:r>
        <w:rPr>
          <w:spacing w:val="-3"/>
        </w:rPr>
        <w:t xml:space="preserve"> </w:t>
      </w:r>
      <w:r>
        <w:t>resources</w:t>
      </w:r>
      <w:r>
        <w:rPr>
          <w:spacing w:val="-3"/>
        </w:rPr>
        <w:t xml:space="preserve"> </w:t>
      </w:r>
      <w:r>
        <w:t>developed</w:t>
      </w:r>
      <w:r>
        <w:rPr>
          <w:spacing w:val="-3"/>
        </w:rPr>
        <w:t xml:space="preserve"> </w:t>
      </w:r>
      <w:r>
        <w:t>by</w:t>
      </w:r>
      <w:r>
        <w:rPr>
          <w:spacing w:val="-3"/>
        </w:rPr>
        <w:t xml:space="preserve"> </w:t>
      </w:r>
      <w:r>
        <w:t>the</w:t>
      </w:r>
      <w:r>
        <w:rPr>
          <w:spacing w:val="-3"/>
        </w:rPr>
        <w:t xml:space="preserve"> </w:t>
      </w:r>
      <w:r>
        <w:t>Commission</w:t>
      </w:r>
      <w:r>
        <w:rPr>
          <w:spacing w:val="-3"/>
        </w:rPr>
        <w:t xml:space="preserve"> </w:t>
      </w:r>
      <w:r>
        <w:t>to</w:t>
      </w:r>
      <w:r>
        <w:rPr>
          <w:spacing w:val="-3"/>
        </w:rPr>
        <w:t xml:space="preserve"> </w:t>
      </w:r>
      <w:r>
        <w:t>provide</w:t>
      </w:r>
      <w:r>
        <w:rPr>
          <w:spacing w:val="-3"/>
        </w:rPr>
        <w:t xml:space="preserve"> </w:t>
      </w:r>
      <w:r>
        <w:t>clearer,</w:t>
      </w:r>
      <w:r>
        <w:rPr>
          <w:spacing w:val="-3"/>
        </w:rPr>
        <w:t xml:space="preserve"> </w:t>
      </w:r>
      <w:r>
        <w:t>evidence-based direction on what appropriate care looks like and to support health services and clinicians to take action to improve outcomes for patients and strengthen equity and sustainability in the health system.</w:t>
      </w:r>
    </w:p>
    <w:p w14:paraId="69CED9FE" w14:textId="77777777" w:rsidR="009D54AF" w:rsidRDefault="00000000">
      <w:pPr>
        <w:pStyle w:val="BodyText"/>
        <w:spacing w:before="141" w:line="278" w:lineRule="auto"/>
        <w:ind w:left="142" w:right="285"/>
      </w:pPr>
      <w:r>
        <w:t>The initiative highlighted the impacts of low-value care, including inequity of patient outcomes through potentially</w:t>
      </w:r>
      <w:r>
        <w:rPr>
          <w:spacing w:val="-2"/>
        </w:rPr>
        <w:t xml:space="preserve"> </w:t>
      </w:r>
      <w:r>
        <w:t>harmful</w:t>
      </w:r>
      <w:r>
        <w:rPr>
          <w:spacing w:val="-2"/>
        </w:rPr>
        <w:t xml:space="preserve"> </w:t>
      </w:r>
      <w:r>
        <w:t>care,</w:t>
      </w:r>
      <w:r>
        <w:rPr>
          <w:spacing w:val="-2"/>
        </w:rPr>
        <w:t xml:space="preserve"> </w:t>
      </w:r>
      <w:r>
        <w:t>misuse</w:t>
      </w:r>
      <w:r>
        <w:rPr>
          <w:spacing w:val="-2"/>
        </w:rPr>
        <w:t xml:space="preserve"> </w:t>
      </w:r>
      <w:r>
        <w:t>of</w:t>
      </w:r>
      <w:r>
        <w:rPr>
          <w:spacing w:val="-2"/>
        </w:rPr>
        <w:t xml:space="preserve"> </w:t>
      </w:r>
      <w:r>
        <w:t>limited</w:t>
      </w:r>
      <w:r>
        <w:rPr>
          <w:spacing w:val="-2"/>
        </w:rPr>
        <w:t xml:space="preserve"> </w:t>
      </w:r>
      <w:r>
        <w:t>resources,</w:t>
      </w:r>
      <w:r>
        <w:rPr>
          <w:spacing w:val="-2"/>
        </w:rPr>
        <w:t xml:space="preserve"> </w:t>
      </w:r>
      <w:r>
        <w:t>unnecessary</w:t>
      </w:r>
      <w:r>
        <w:rPr>
          <w:spacing w:val="-2"/>
        </w:rPr>
        <w:t xml:space="preserve"> </w:t>
      </w:r>
      <w:r>
        <w:t>environmental</w:t>
      </w:r>
      <w:r>
        <w:rPr>
          <w:spacing w:val="-2"/>
        </w:rPr>
        <w:t xml:space="preserve"> </w:t>
      </w:r>
      <w:r>
        <w:t>impacts,</w:t>
      </w:r>
      <w:r>
        <w:rPr>
          <w:spacing w:val="-2"/>
        </w:rPr>
        <w:t xml:space="preserve"> </w:t>
      </w:r>
      <w:r>
        <w:t>and</w:t>
      </w:r>
      <w:r>
        <w:rPr>
          <w:spacing w:val="-2"/>
        </w:rPr>
        <w:t xml:space="preserve"> </w:t>
      </w:r>
      <w:r>
        <w:t>increased burden and stress for patients and clinicians.</w:t>
      </w:r>
    </w:p>
    <w:p w14:paraId="3F8DD91D" w14:textId="77777777" w:rsidR="009D54AF" w:rsidRDefault="00000000">
      <w:pPr>
        <w:pStyle w:val="BodyText"/>
        <w:spacing w:before="141" w:line="278" w:lineRule="auto"/>
        <w:ind w:left="142"/>
      </w:pPr>
      <w:r>
        <w:t>A central feature of this work was the Better Care Everywhere Toolkit, which provided six evidence-based strategies, practical tools and resources to help teams identify and reduce unwarranted clinical variation. The Toolkit supported services to strengthen clinical systems, use data to understand where care varied, embed best</w:t>
      </w:r>
      <w:r>
        <w:rPr>
          <w:spacing w:val="-1"/>
        </w:rPr>
        <w:t xml:space="preserve"> </w:t>
      </w:r>
      <w:r>
        <w:t>practice,</w:t>
      </w:r>
      <w:r>
        <w:rPr>
          <w:spacing w:val="-1"/>
        </w:rPr>
        <w:t xml:space="preserve"> </w:t>
      </w:r>
      <w:r>
        <w:t>support</w:t>
      </w:r>
      <w:r>
        <w:rPr>
          <w:spacing w:val="-1"/>
        </w:rPr>
        <w:t xml:space="preserve"> </w:t>
      </w:r>
      <w:r>
        <w:t>shared</w:t>
      </w:r>
      <w:r>
        <w:rPr>
          <w:spacing w:val="-1"/>
        </w:rPr>
        <w:t xml:space="preserve"> </w:t>
      </w:r>
      <w:r>
        <w:t>decision</w:t>
      </w:r>
      <w:r>
        <w:rPr>
          <w:spacing w:val="-1"/>
        </w:rPr>
        <w:t xml:space="preserve"> </w:t>
      </w:r>
      <w:r>
        <w:t>making,</w:t>
      </w:r>
      <w:r>
        <w:rPr>
          <w:spacing w:val="-1"/>
        </w:rPr>
        <w:t xml:space="preserve"> </w:t>
      </w:r>
      <w:r>
        <w:t>measure</w:t>
      </w:r>
      <w:r>
        <w:rPr>
          <w:spacing w:val="-1"/>
        </w:rPr>
        <w:t xml:space="preserve"> </w:t>
      </w:r>
      <w:r>
        <w:t>what</w:t>
      </w:r>
      <w:r>
        <w:rPr>
          <w:spacing w:val="-1"/>
        </w:rPr>
        <w:t xml:space="preserve"> </w:t>
      </w:r>
      <w:r>
        <w:t>mattered</w:t>
      </w:r>
      <w:r>
        <w:rPr>
          <w:spacing w:val="-1"/>
        </w:rPr>
        <w:t xml:space="preserve"> </w:t>
      </w:r>
      <w:r>
        <w:t>and</w:t>
      </w:r>
      <w:r>
        <w:rPr>
          <w:spacing w:val="-1"/>
        </w:rPr>
        <w:t xml:space="preserve"> </w:t>
      </w:r>
      <w:r>
        <w:t>connect</w:t>
      </w:r>
      <w:r>
        <w:rPr>
          <w:spacing w:val="-1"/>
        </w:rPr>
        <w:t xml:space="preserve"> </w:t>
      </w:r>
      <w:r>
        <w:t>with</w:t>
      </w:r>
      <w:r>
        <w:rPr>
          <w:spacing w:val="-1"/>
        </w:rPr>
        <w:t xml:space="preserve"> </w:t>
      </w:r>
      <w:r>
        <w:t>peers</w:t>
      </w:r>
      <w:r>
        <w:rPr>
          <w:spacing w:val="-1"/>
        </w:rPr>
        <w:t xml:space="preserve"> </w:t>
      </w:r>
      <w:r>
        <w:t>to</w:t>
      </w:r>
      <w:r>
        <w:rPr>
          <w:spacing w:val="-1"/>
        </w:rPr>
        <w:t xml:space="preserve"> </w:t>
      </w:r>
      <w:r>
        <w:t>share</w:t>
      </w:r>
      <w:r>
        <w:rPr>
          <w:spacing w:val="-1"/>
        </w:rPr>
        <w:t xml:space="preserve"> </w:t>
      </w:r>
      <w:r>
        <w:t xml:space="preserve">what </w:t>
      </w:r>
      <w:r>
        <w:rPr>
          <w:spacing w:val="-2"/>
        </w:rPr>
        <w:t>worked.</w:t>
      </w:r>
    </w:p>
    <w:p w14:paraId="3FCF0055" w14:textId="77777777" w:rsidR="009D54AF" w:rsidRDefault="00000000">
      <w:pPr>
        <w:pStyle w:val="BodyText"/>
        <w:spacing w:before="142" w:line="278" w:lineRule="auto"/>
        <w:ind w:left="142" w:right="214"/>
      </w:pPr>
      <w:r>
        <w:t>In addition to the Toolkit, Better Care Everywhere website hubs were launched on the Commission’s website in</w:t>
      </w:r>
      <w:r>
        <w:rPr>
          <w:spacing w:val="-2"/>
        </w:rPr>
        <w:t xml:space="preserve"> </w:t>
      </w:r>
      <w:r>
        <w:t>April</w:t>
      </w:r>
      <w:r>
        <w:rPr>
          <w:spacing w:val="-2"/>
        </w:rPr>
        <w:t xml:space="preserve"> </w:t>
      </w:r>
      <w:r>
        <w:t>2026</w:t>
      </w:r>
      <w:r>
        <w:rPr>
          <w:spacing w:val="-2"/>
        </w:rPr>
        <w:t xml:space="preserve"> </w:t>
      </w:r>
      <w:r>
        <w:t>for</w:t>
      </w:r>
      <w:r>
        <w:rPr>
          <w:spacing w:val="-2"/>
        </w:rPr>
        <w:t xml:space="preserve"> </w:t>
      </w:r>
      <w:r>
        <w:rPr>
          <w:u w:val="single"/>
        </w:rPr>
        <w:t>chronic</w:t>
      </w:r>
      <w:r>
        <w:rPr>
          <w:spacing w:val="-2"/>
          <w:u w:val="single"/>
        </w:rPr>
        <w:t xml:space="preserve"> </w:t>
      </w:r>
      <w:r>
        <w:rPr>
          <w:u w:val="single"/>
        </w:rPr>
        <w:t>obstructive</w:t>
      </w:r>
      <w:r>
        <w:rPr>
          <w:spacing w:val="-2"/>
          <w:u w:val="single"/>
        </w:rPr>
        <w:t xml:space="preserve"> </w:t>
      </w:r>
      <w:r>
        <w:rPr>
          <w:u w:val="single"/>
        </w:rPr>
        <w:t>pulmonary</w:t>
      </w:r>
      <w:r>
        <w:rPr>
          <w:spacing w:val="-2"/>
          <w:u w:val="single"/>
        </w:rPr>
        <w:t xml:space="preserve"> </w:t>
      </w:r>
      <w:r>
        <w:rPr>
          <w:u w:val="single"/>
        </w:rPr>
        <w:t>disease</w:t>
      </w:r>
      <w:r>
        <w:rPr>
          <w:spacing w:val="-2"/>
          <w:u w:val="single"/>
        </w:rPr>
        <w:t xml:space="preserve"> </w:t>
      </w:r>
      <w:r>
        <w:rPr>
          <w:u w:val="single"/>
        </w:rPr>
        <w:t>(</w:t>
      </w:r>
      <w:hyperlink r:id="rId56">
        <w:r>
          <w:rPr>
            <w:u w:val="single"/>
          </w:rPr>
          <w:t>COPD</w:t>
        </w:r>
      </w:hyperlink>
      <w:r>
        <w:rPr>
          <w:u w:val="single"/>
        </w:rPr>
        <w:t>)</w:t>
      </w:r>
      <w:r>
        <w:t>,</w:t>
      </w:r>
      <w:r>
        <w:rPr>
          <w:spacing w:val="-2"/>
        </w:rPr>
        <w:t xml:space="preserve"> </w:t>
      </w:r>
      <w:hyperlink r:id="rId57">
        <w:r>
          <w:rPr>
            <w:u w:val="single"/>
          </w:rPr>
          <w:t>heavy</w:t>
        </w:r>
        <w:r>
          <w:rPr>
            <w:spacing w:val="-2"/>
            <w:u w:val="single"/>
          </w:rPr>
          <w:t xml:space="preserve"> </w:t>
        </w:r>
        <w:r>
          <w:rPr>
            <w:u w:val="single"/>
          </w:rPr>
          <w:t>menstrual</w:t>
        </w:r>
        <w:r>
          <w:rPr>
            <w:spacing w:val="-2"/>
            <w:u w:val="single"/>
          </w:rPr>
          <w:t xml:space="preserve"> </w:t>
        </w:r>
        <w:r>
          <w:rPr>
            <w:u w:val="single"/>
          </w:rPr>
          <w:t>bleeding</w:t>
        </w:r>
      </w:hyperlink>
      <w:r>
        <w:t>,</w:t>
      </w:r>
      <w:r>
        <w:rPr>
          <w:spacing w:val="-2"/>
        </w:rPr>
        <w:t xml:space="preserve"> </w:t>
      </w:r>
      <w:hyperlink r:id="rId58">
        <w:r>
          <w:rPr>
            <w:u w:val="single"/>
          </w:rPr>
          <w:t>colonoscopy</w:t>
        </w:r>
      </w:hyperlink>
      <w:r>
        <w:rPr>
          <w:spacing w:val="-2"/>
        </w:rPr>
        <w:t xml:space="preserve"> </w:t>
      </w:r>
      <w:r>
        <w:t xml:space="preserve">and </w:t>
      </w:r>
      <w:hyperlink r:id="rId59">
        <w:r>
          <w:rPr>
            <w:spacing w:val="-2"/>
            <w:u w:val="single"/>
          </w:rPr>
          <w:t>sepsis</w:t>
        </w:r>
      </w:hyperlink>
      <w:r>
        <w:rPr>
          <w:spacing w:val="-2"/>
        </w:rPr>
        <w:t>.</w:t>
      </w:r>
    </w:p>
    <w:p w14:paraId="034C8BB5" w14:textId="77777777" w:rsidR="009D54AF" w:rsidRDefault="00000000">
      <w:pPr>
        <w:pStyle w:val="BodyText"/>
        <w:spacing w:before="141" w:line="278" w:lineRule="auto"/>
        <w:ind w:left="142" w:right="285"/>
      </w:pPr>
      <w:r>
        <w:t>A Better Care Everywhere Advisory Group was established to support the Commission in the strategic planning of initiatives and resources to prevent low-value care and unwarranted healthcare variation. The Advisory</w:t>
      </w:r>
      <w:r>
        <w:rPr>
          <w:spacing w:val="-2"/>
        </w:rPr>
        <w:t xml:space="preserve"> </w:t>
      </w:r>
      <w:r>
        <w:t>Group</w:t>
      </w:r>
      <w:r>
        <w:rPr>
          <w:spacing w:val="-2"/>
        </w:rPr>
        <w:t xml:space="preserve"> </w:t>
      </w:r>
      <w:r>
        <w:t>will</w:t>
      </w:r>
      <w:r>
        <w:rPr>
          <w:spacing w:val="-2"/>
        </w:rPr>
        <w:t xml:space="preserve"> </w:t>
      </w:r>
      <w:r>
        <w:t>provide</w:t>
      </w:r>
      <w:r>
        <w:rPr>
          <w:spacing w:val="-2"/>
        </w:rPr>
        <w:t xml:space="preserve"> </w:t>
      </w:r>
      <w:r>
        <w:t>advice</w:t>
      </w:r>
      <w:r>
        <w:rPr>
          <w:spacing w:val="-2"/>
        </w:rPr>
        <w:t xml:space="preserve"> </w:t>
      </w:r>
      <w:r>
        <w:t>on</w:t>
      </w:r>
      <w:r>
        <w:rPr>
          <w:spacing w:val="-2"/>
        </w:rPr>
        <w:t xml:space="preserve"> </w:t>
      </w:r>
      <w:r>
        <w:t>the</w:t>
      </w:r>
      <w:r>
        <w:rPr>
          <w:spacing w:val="-2"/>
        </w:rPr>
        <w:t xml:space="preserve"> </w:t>
      </w:r>
      <w:r>
        <w:t>activities</w:t>
      </w:r>
      <w:r>
        <w:rPr>
          <w:spacing w:val="-2"/>
        </w:rPr>
        <w:t xml:space="preserve"> </w:t>
      </w:r>
      <w:r>
        <w:t>outlined</w:t>
      </w:r>
      <w:r>
        <w:rPr>
          <w:spacing w:val="-2"/>
        </w:rPr>
        <w:t xml:space="preserve"> </w:t>
      </w:r>
      <w:r>
        <w:t>in</w:t>
      </w:r>
      <w:r>
        <w:rPr>
          <w:spacing w:val="-2"/>
        </w:rPr>
        <w:t xml:space="preserve"> </w:t>
      </w:r>
      <w:r>
        <w:t>the</w:t>
      </w:r>
      <w:r>
        <w:rPr>
          <w:spacing w:val="-2"/>
        </w:rPr>
        <w:t xml:space="preserve"> </w:t>
      </w:r>
      <w:r>
        <w:t>Commission’s</w:t>
      </w:r>
      <w:r>
        <w:rPr>
          <w:spacing w:val="-2"/>
        </w:rPr>
        <w:t xml:space="preserve"> </w:t>
      </w:r>
      <w:r>
        <w:t>three-year</w:t>
      </w:r>
      <w:r>
        <w:rPr>
          <w:spacing w:val="-2"/>
        </w:rPr>
        <w:t xml:space="preserve"> </w:t>
      </w:r>
      <w:r>
        <w:t>Work</w:t>
      </w:r>
      <w:r>
        <w:rPr>
          <w:spacing w:val="-2"/>
        </w:rPr>
        <w:t xml:space="preserve"> </w:t>
      </w:r>
      <w:r>
        <w:t>Plan</w:t>
      </w:r>
      <w:r>
        <w:rPr>
          <w:spacing w:val="-2"/>
        </w:rPr>
        <w:t xml:space="preserve"> </w:t>
      </w:r>
      <w:r>
        <w:t xml:space="preserve">and the </w:t>
      </w:r>
      <w:r>
        <w:rPr>
          <w:i/>
        </w:rPr>
        <w:t>Addendum to the National Health Reform Agreement 2026–2031</w:t>
      </w:r>
      <w:r>
        <w:t>.</w:t>
      </w:r>
    </w:p>
    <w:p w14:paraId="2A985587" w14:textId="77777777" w:rsidR="009D54AF" w:rsidRDefault="009D54AF">
      <w:pPr>
        <w:pStyle w:val="BodyText"/>
        <w:spacing w:before="65"/>
      </w:pPr>
    </w:p>
    <w:p w14:paraId="3115ED6B" w14:textId="77777777" w:rsidR="009D54AF" w:rsidRDefault="00000000">
      <w:pPr>
        <w:pStyle w:val="Heading5"/>
        <w:spacing w:line="249" w:lineRule="auto"/>
      </w:pPr>
      <w:r>
        <w:t>First</w:t>
      </w:r>
      <w:r>
        <w:rPr>
          <w:spacing w:val="-7"/>
        </w:rPr>
        <w:t xml:space="preserve"> </w:t>
      </w:r>
      <w:r>
        <w:t>Nations</w:t>
      </w:r>
      <w:r>
        <w:rPr>
          <w:spacing w:val="-7"/>
        </w:rPr>
        <w:t xml:space="preserve"> </w:t>
      </w:r>
      <w:r>
        <w:t>priorities:</w:t>
      </w:r>
      <w:r>
        <w:rPr>
          <w:spacing w:val="-7"/>
        </w:rPr>
        <w:t xml:space="preserve"> </w:t>
      </w:r>
      <w:r>
        <w:t>Reviewing</w:t>
      </w:r>
      <w:r>
        <w:rPr>
          <w:spacing w:val="-7"/>
        </w:rPr>
        <w:t xml:space="preserve"> </w:t>
      </w:r>
      <w:r>
        <w:t>standards</w:t>
      </w:r>
      <w:r>
        <w:rPr>
          <w:spacing w:val="-7"/>
        </w:rPr>
        <w:t xml:space="preserve"> </w:t>
      </w:r>
      <w:r>
        <w:t>for</w:t>
      </w:r>
      <w:r>
        <w:rPr>
          <w:spacing w:val="-7"/>
        </w:rPr>
        <w:t xml:space="preserve"> </w:t>
      </w:r>
      <w:r>
        <w:t>cultural</w:t>
      </w:r>
      <w:r>
        <w:rPr>
          <w:spacing w:val="-7"/>
        </w:rPr>
        <w:t xml:space="preserve"> </w:t>
      </w:r>
      <w:r>
        <w:t>safety</w:t>
      </w:r>
      <w:r>
        <w:rPr>
          <w:spacing w:val="-7"/>
        </w:rPr>
        <w:t xml:space="preserve"> </w:t>
      </w:r>
      <w:r>
        <w:t xml:space="preserve">in </w:t>
      </w:r>
      <w:r>
        <w:rPr>
          <w:spacing w:val="-2"/>
        </w:rPr>
        <w:t>hospitals</w:t>
      </w:r>
    </w:p>
    <w:p w14:paraId="3141F664" w14:textId="77777777" w:rsidR="009D54AF" w:rsidRDefault="00000000">
      <w:pPr>
        <w:pStyle w:val="BodyText"/>
        <w:spacing w:before="121" w:line="278" w:lineRule="auto"/>
        <w:ind w:left="142" w:right="285"/>
      </w:pPr>
      <w:r>
        <w:t>In 2025–26, the Commission was engaged by the Department of Health, Disability and Ageing to undertake an initial 12-month project to review standards for cultural safety in hospitals and develop options to strengthen cultural safety.</w:t>
      </w:r>
    </w:p>
    <w:p w14:paraId="0B331F01" w14:textId="77777777" w:rsidR="00D6288A" w:rsidRDefault="00D6288A">
      <w:pPr>
        <w:rPr>
          <w:sz w:val="21"/>
          <w:szCs w:val="21"/>
        </w:rPr>
      </w:pPr>
      <w:r>
        <w:br w:type="page"/>
      </w:r>
    </w:p>
    <w:p w14:paraId="4A962FF9" w14:textId="7A7F92E4" w:rsidR="009D54AF" w:rsidRDefault="00000000">
      <w:pPr>
        <w:pStyle w:val="BodyText"/>
        <w:spacing w:before="141" w:line="278" w:lineRule="auto"/>
        <w:ind w:left="142" w:right="285"/>
      </w:pPr>
      <w:r>
        <w:lastRenderedPageBreak/>
        <w:t>In 2025–26, a team of First Nations staff were engaged to support this work. The Commission’s Aboriginal and</w:t>
      </w:r>
      <w:r>
        <w:rPr>
          <w:spacing w:val="-2"/>
        </w:rPr>
        <w:t xml:space="preserve"> </w:t>
      </w:r>
      <w:r>
        <w:t>Torres</w:t>
      </w:r>
      <w:r>
        <w:rPr>
          <w:spacing w:val="-2"/>
        </w:rPr>
        <w:t xml:space="preserve"> </w:t>
      </w:r>
      <w:r>
        <w:t>Strait</w:t>
      </w:r>
      <w:r>
        <w:rPr>
          <w:spacing w:val="-2"/>
        </w:rPr>
        <w:t xml:space="preserve"> </w:t>
      </w:r>
      <w:r>
        <w:t>Islander</w:t>
      </w:r>
      <w:r>
        <w:rPr>
          <w:spacing w:val="-2"/>
        </w:rPr>
        <w:t xml:space="preserve"> </w:t>
      </w:r>
      <w:r>
        <w:t>Advisory</w:t>
      </w:r>
      <w:r>
        <w:rPr>
          <w:spacing w:val="-2"/>
        </w:rPr>
        <w:t xml:space="preserve"> </w:t>
      </w:r>
      <w:r>
        <w:t>Group</w:t>
      </w:r>
      <w:r>
        <w:rPr>
          <w:spacing w:val="-2"/>
        </w:rPr>
        <w:t xml:space="preserve"> </w:t>
      </w:r>
      <w:r>
        <w:t>met</w:t>
      </w:r>
      <w:r>
        <w:rPr>
          <w:spacing w:val="-2"/>
        </w:rPr>
        <w:t xml:space="preserve"> </w:t>
      </w:r>
      <w:r>
        <w:t>three</w:t>
      </w:r>
      <w:r>
        <w:rPr>
          <w:spacing w:val="-2"/>
        </w:rPr>
        <w:t xml:space="preserve"> </w:t>
      </w:r>
      <w:r>
        <w:t>times</w:t>
      </w:r>
      <w:r>
        <w:rPr>
          <w:spacing w:val="-2"/>
        </w:rPr>
        <w:t xml:space="preserve"> </w:t>
      </w:r>
      <w:r>
        <w:t>to</w:t>
      </w:r>
      <w:r>
        <w:rPr>
          <w:spacing w:val="-2"/>
        </w:rPr>
        <w:t xml:space="preserve"> </w:t>
      </w:r>
      <w:r>
        <w:t>provide</w:t>
      </w:r>
      <w:r>
        <w:rPr>
          <w:spacing w:val="-2"/>
        </w:rPr>
        <w:t xml:space="preserve"> </w:t>
      </w:r>
      <w:r>
        <w:t>advice</w:t>
      </w:r>
      <w:r>
        <w:rPr>
          <w:spacing w:val="-2"/>
        </w:rPr>
        <w:t xml:space="preserve"> </w:t>
      </w:r>
      <w:r>
        <w:t>and</w:t>
      </w:r>
      <w:r>
        <w:rPr>
          <w:spacing w:val="-2"/>
        </w:rPr>
        <w:t xml:space="preserve"> </w:t>
      </w:r>
      <w:r>
        <w:t>First</w:t>
      </w:r>
      <w:r>
        <w:rPr>
          <w:spacing w:val="-2"/>
        </w:rPr>
        <w:t xml:space="preserve"> </w:t>
      </w:r>
      <w:r>
        <w:t>Nations</w:t>
      </w:r>
      <w:r>
        <w:rPr>
          <w:spacing w:val="-2"/>
        </w:rPr>
        <w:t xml:space="preserve"> </w:t>
      </w:r>
      <w:r>
        <w:t>leadership</w:t>
      </w:r>
      <w:r>
        <w:rPr>
          <w:spacing w:val="-2"/>
        </w:rPr>
        <w:t xml:space="preserve"> </w:t>
      </w:r>
      <w:r>
        <w:t>to the project. A literature review and environmental scan were undertaken by a First Nations researcher and stakeholder engagement and consultation processes started.</w:t>
      </w:r>
    </w:p>
    <w:p w14:paraId="6DF517C2" w14:textId="77777777" w:rsidR="009D54AF" w:rsidRDefault="00000000" w:rsidP="008F5B74">
      <w:pPr>
        <w:spacing w:before="180" w:line="278" w:lineRule="auto"/>
        <w:ind w:left="142" w:right="215"/>
        <w:rPr>
          <w:sz w:val="21"/>
        </w:rPr>
      </w:pPr>
      <w:bookmarkStart w:id="37" w:name="_bookmark10"/>
      <w:bookmarkEnd w:id="37"/>
      <w:r>
        <w:rPr>
          <w:sz w:val="21"/>
        </w:rPr>
        <w:t>In 2026–27, this work will provide an important foundation to inform the Commission’s responsibilities under Schedule</w:t>
      </w:r>
      <w:r>
        <w:rPr>
          <w:spacing w:val="-3"/>
          <w:sz w:val="21"/>
        </w:rPr>
        <w:t xml:space="preserve"> </w:t>
      </w:r>
      <w:r>
        <w:rPr>
          <w:sz w:val="21"/>
        </w:rPr>
        <w:t>B:</w:t>
      </w:r>
      <w:r>
        <w:rPr>
          <w:spacing w:val="-3"/>
          <w:sz w:val="21"/>
        </w:rPr>
        <w:t xml:space="preserve"> </w:t>
      </w:r>
      <w:r>
        <w:rPr>
          <w:sz w:val="21"/>
        </w:rPr>
        <w:t>‘Better</w:t>
      </w:r>
      <w:r>
        <w:rPr>
          <w:spacing w:val="-3"/>
          <w:sz w:val="21"/>
        </w:rPr>
        <w:t xml:space="preserve"> </w:t>
      </w:r>
      <w:r>
        <w:rPr>
          <w:sz w:val="21"/>
        </w:rPr>
        <w:t>health</w:t>
      </w:r>
      <w:r>
        <w:rPr>
          <w:spacing w:val="-3"/>
          <w:sz w:val="21"/>
        </w:rPr>
        <w:t xml:space="preserve"> </w:t>
      </w:r>
      <w:r>
        <w:rPr>
          <w:sz w:val="21"/>
        </w:rPr>
        <w:t>outcomes</w:t>
      </w:r>
      <w:r>
        <w:rPr>
          <w:spacing w:val="-3"/>
          <w:sz w:val="21"/>
        </w:rPr>
        <w:t xml:space="preserve"> </w:t>
      </w:r>
      <w:r>
        <w:rPr>
          <w:sz w:val="21"/>
        </w:rPr>
        <w:t>for</w:t>
      </w:r>
      <w:r>
        <w:rPr>
          <w:spacing w:val="-3"/>
          <w:sz w:val="21"/>
        </w:rPr>
        <w:t xml:space="preserve"> </w:t>
      </w:r>
      <w:r>
        <w:rPr>
          <w:sz w:val="21"/>
        </w:rPr>
        <w:t>Aboriginal</w:t>
      </w:r>
      <w:r>
        <w:rPr>
          <w:spacing w:val="-3"/>
          <w:sz w:val="21"/>
        </w:rPr>
        <w:t xml:space="preserve"> </w:t>
      </w:r>
      <w:r>
        <w:rPr>
          <w:sz w:val="21"/>
        </w:rPr>
        <w:t>and</w:t>
      </w:r>
      <w:r>
        <w:rPr>
          <w:spacing w:val="-3"/>
          <w:sz w:val="21"/>
        </w:rPr>
        <w:t xml:space="preserve"> </w:t>
      </w:r>
      <w:r>
        <w:rPr>
          <w:sz w:val="21"/>
        </w:rPr>
        <w:t>Torres</w:t>
      </w:r>
      <w:r>
        <w:rPr>
          <w:spacing w:val="-3"/>
          <w:sz w:val="21"/>
        </w:rPr>
        <w:t xml:space="preserve"> </w:t>
      </w:r>
      <w:r>
        <w:rPr>
          <w:sz w:val="21"/>
        </w:rPr>
        <w:t>Strait</w:t>
      </w:r>
      <w:r>
        <w:rPr>
          <w:spacing w:val="-3"/>
          <w:sz w:val="21"/>
        </w:rPr>
        <w:t xml:space="preserve"> </w:t>
      </w:r>
      <w:r>
        <w:rPr>
          <w:sz w:val="21"/>
        </w:rPr>
        <w:t>Islander</w:t>
      </w:r>
      <w:r>
        <w:rPr>
          <w:spacing w:val="-3"/>
          <w:sz w:val="21"/>
        </w:rPr>
        <w:t xml:space="preserve"> </w:t>
      </w:r>
      <w:r>
        <w:rPr>
          <w:sz w:val="21"/>
        </w:rPr>
        <w:t>people’</w:t>
      </w:r>
      <w:r>
        <w:rPr>
          <w:spacing w:val="-3"/>
          <w:sz w:val="21"/>
        </w:rPr>
        <w:t xml:space="preserve"> </w:t>
      </w:r>
      <w:r>
        <w:rPr>
          <w:sz w:val="21"/>
        </w:rPr>
        <w:t>under</w:t>
      </w:r>
      <w:r>
        <w:rPr>
          <w:spacing w:val="-3"/>
          <w:sz w:val="21"/>
        </w:rPr>
        <w:t xml:space="preserve"> </w:t>
      </w:r>
      <w:r>
        <w:rPr>
          <w:sz w:val="21"/>
        </w:rPr>
        <w:t>the</w:t>
      </w:r>
      <w:r>
        <w:rPr>
          <w:spacing w:val="-3"/>
          <w:sz w:val="21"/>
        </w:rPr>
        <w:t xml:space="preserve"> </w:t>
      </w:r>
      <w:r>
        <w:rPr>
          <w:i/>
          <w:sz w:val="21"/>
        </w:rPr>
        <w:t>Addendum</w:t>
      </w:r>
      <w:r>
        <w:rPr>
          <w:i/>
          <w:spacing w:val="-3"/>
          <w:sz w:val="21"/>
        </w:rPr>
        <w:t xml:space="preserve"> </w:t>
      </w:r>
      <w:r>
        <w:rPr>
          <w:i/>
          <w:sz w:val="21"/>
        </w:rPr>
        <w:t>to the</w:t>
      </w:r>
      <w:r>
        <w:rPr>
          <w:i/>
          <w:spacing w:val="40"/>
          <w:sz w:val="21"/>
        </w:rPr>
        <w:t xml:space="preserve"> </w:t>
      </w:r>
      <w:r>
        <w:rPr>
          <w:i/>
          <w:sz w:val="21"/>
        </w:rPr>
        <w:t>National Health Reform Agreement 2026–2031</w:t>
      </w:r>
      <w:r>
        <w:rPr>
          <w:sz w:val="21"/>
        </w:rPr>
        <w:t>.</w:t>
      </w:r>
    </w:p>
    <w:p w14:paraId="6E9D4D28" w14:textId="77777777" w:rsidR="009D54AF" w:rsidRDefault="009D54AF">
      <w:pPr>
        <w:pStyle w:val="BodyText"/>
        <w:spacing w:before="66"/>
      </w:pPr>
    </w:p>
    <w:p w14:paraId="23A5F616" w14:textId="77777777" w:rsidR="009D54AF" w:rsidRDefault="00000000">
      <w:pPr>
        <w:pStyle w:val="Heading5"/>
      </w:pPr>
      <w:r>
        <w:t>Australian</w:t>
      </w:r>
      <w:r>
        <w:rPr>
          <w:spacing w:val="-10"/>
        </w:rPr>
        <w:t xml:space="preserve"> </w:t>
      </w:r>
      <w:r>
        <w:t>Open</w:t>
      </w:r>
      <w:r>
        <w:rPr>
          <w:spacing w:val="-8"/>
        </w:rPr>
        <w:t xml:space="preserve"> </w:t>
      </w:r>
      <w:r>
        <w:t>Disclosure</w:t>
      </w:r>
      <w:r>
        <w:rPr>
          <w:spacing w:val="-7"/>
        </w:rPr>
        <w:t xml:space="preserve"> </w:t>
      </w:r>
      <w:r>
        <w:rPr>
          <w:spacing w:val="-2"/>
        </w:rPr>
        <w:t>Framework</w:t>
      </w:r>
    </w:p>
    <w:p w14:paraId="30DE7BE4" w14:textId="77777777" w:rsidR="009D54AF" w:rsidRDefault="00000000">
      <w:pPr>
        <w:pStyle w:val="BodyText"/>
        <w:spacing w:before="133" w:line="278" w:lineRule="auto"/>
        <w:ind w:left="142" w:right="243"/>
      </w:pPr>
      <w:r>
        <w:t xml:space="preserve">During 2025–26, the Commission led national work to revise the </w:t>
      </w:r>
      <w:r>
        <w:rPr>
          <w:i/>
        </w:rPr>
        <w:t>Australian Open Disclosure Framework</w:t>
      </w:r>
      <w:r>
        <w:rPr>
          <w:i/>
          <w:spacing w:val="80"/>
        </w:rPr>
        <w:t xml:space="preserve"> </w:t>
      </w:r>
      <w:r>
        <w:t>(the</w:t>
      </w:r>
      <w:r>
        <w:rPr>
          <w:spacing w:val="-3"/>
        </w:rPr>
        <w:t xml:space="preserve"> </w:t>
      </w:r>
      <w:r>
        <w:t>Framework),</w:t>
      </w:r>
      <w:r>
        <w:rPr>
          <w:spacing w:val="-3"/>
        </w:rPr>
        <w:t xml:space="preserve"> </w:t>
      </w:r>
      <w:r>
        <w:t>strengthening</w:t>
      </w:r>
      <w:r>
        <w:rPr>
          <w:spacing w:val="-3"/>
        </w:rPr>
        <w:t xml:space="preserve"> </w:t>
      </w:r>
      <w:r>
        <w:t>contemporary</w:t>
      </w:r>
      <w:r>
        <w:rPr>
          <w:spacing w:val="-3"/>
        </w:rPr>
        <w:t xml:space="preserve"> </w:t>
      </w:r>
      <w:r>
        <w:t>guidance</w:t>
      </w:r>
      <w:r>
        <w:rPr>
          <w:spacing w:val="-3"/>
        </w:rPr>
        <w:t xml:space="preserve"> </w:t>
      </w:r>
      <w:r>
        <w:t>on</w:t>
      </w:r>
      <w:r>
        <w:rPr>
          <w:spacing w:val="-3"/>
        </w:rPr>
        <w:t xml:space="preserve"> </w:t>
      </w:r>
      <w:r>
        <w:t>open,</w:t>
      </w:r>
      <w:r>
        <w:rPr>
          <w:spacing w:val="-3"/>
        </w:rPr>
        <w:t xml:space="preserve"> </w:t>
      </w:r>
      <w:r>
        <w:t>honest</w:t>
      </w:r>
      <w:r>
        <w:rPr>
          <w:spacing w:val="-3"/>
        </w:rPr>
        <w:t xml:space="preserve"> </w:t>
      </w:r>
      <w:r>
        <w:t>and</w:t>
      </w:r>
      <w:r>
        <w:rPr>
          <w:spacing w:val="-3"/>
        </w:rPr>
        <w:t xml:space="preserve"> </w:t>
      </w:r>
      <w:r>
        <w:t>compassionate</w:t>
      </w:r>
      <w:r>
        <w:rPr>
          <w:spacing w:val="-3"/>
        </w:rPr>
        <w:t xml:space="preserve"> </w:t>
      </w:r>
      <w:r>
        <w:t>communication following actual or potential harm in health care.</w:t>
      </w:r>
    </w:p>
    <w:p w14:paraId="6243A1C2" w14:textId="77777777" w:rsidR="009D54AF" w:rsidRDefault="00000000">
      <w:pPr>
        <w:pStyle w:val="BodyText"/>
        <w:spacing w:before="141" w:line="278" w:lineRule="auto"/>
        <w:ind w:left="142" w:right="285"/>
      </w:pPr>
      <w:r>
        <w:t>The revision of the Framework was undertaken during 2025–26 and was published in June 2026 and replaces the 2014 edition. The project aimed to provide contemporary, principles-based guidance that supports</w:t>
      </w:r>
      <w:r>
        <w:rPr>
          <w:spacing w:val="-1"/>
        </w:rPr>
        <w:t xml:space="preserve"> </w:t>
      </w:r>
      <w:r>
        <w:t>healthcare</w:t>
      </w:r>
      <w:r>
        <w:rPr>
          <w:spacing w:val="-1"/>
        </w:rPr>
        <w:t xml:space="preserve"> </w:t>
      </w:r>
      <w:r>
        <w:t>professionals</w:t>
      </w:r>
      <w:r>
        <w:rPr>
          <w:spacing w:val="-1"/>
        </w:rPr>
        <w:t xml:space="preserve"> </w:t>
      </w:r>
      <w:r>
        <w:t>and</w:t>
      </w:r>
      <w:r>
        <w:rPr>
          <w:spacing w:val="-1"/>
        </w:rPr>
        <w:t xml:space="preserve"> </w:t>
      </w:r>
      <w:proofErr w:type="spellStart"/>
      <w:r>
        <w:t>organisations</w:t>
      </w:r>
      <w:proofErr w:type="spellEnd"/>
      <w:r>
        <w:rPr>
          <w:spacing w:val="-1"/>
        </w:rPr>
        <w:t xml:space="preserve"> </w:t>
      </w:r>
      <w:r>
        <w:t>to</w:t>
      </w:r>
      <w:r>
        <w:rPr>
          <w:spacing w:val="-1"/>
        </w:rPr>
        <w:t xml:space="preserve"> </w:t>
      </w:r>
      <w:r>
        <w:t>communicate</w:t>
      </w:r>
      <w:r>
        <w:rPr>
          <w:spacing w:val="-1"/>
        </w:rPr>
        <w:t xml:space="preserve"> </w:t>
      </w:r>
      <w:r>
        <w:t>effectively</w:t>
      </w:r>
      <w:r>
        <w:rPr>
          <w:spacing w:val="-1"/>
        </w:rPr>
        <w:t xml:space="preserve"> </w:t>
      </w:r>
      <w:r>
        <w:t>after</w:t>
      </w:r>
      <w:r>
        <w:rPr>
          <w:spacing w:val="-1"/>
        </w:rPr>
        <w:t xml:space="preserve"> </w:t>
      </w:r>
      <w:r>
        <w:t>events</w:t>
      </w:r>
      <w:r>
        <w:rPr>
          <w:spacing w:val="-1"/>
        </w:rPr>
        <w:t xml:space="preserve"> </w:t>
      </w:r>
      <w:r>
        <w:t>causing</w:t>
      </w:r>
      <w:r>
        <w:rPr>
          <w:spacing w:val="-1"/>
        </w:rPr>
        <w:t xml:space="preserve"> </w:t>
      </w:r>
      <w:r>
        <w:t>actual or potential harm.</w:t>
      </w:r>
    </w:p>
    <w:p w14:paraId="57A177B3" w14:textId="77777777" w:rsidR="009D54AF" w:rsidRDefault="00000000">
      <w:pPr>
        <w:pStyle w:val="BodyText"/>
        <w:spacing w:before="141" w:line="278" w:lineRule="auto"/>
        <w:ind w:left="142" w:right="141"/>
      </w:pPr>
      <w:r>
        <w:t>Key activities during the year included a review of existing evidence, policy and practice, alongside extensive internal and external stakeholder consultation with a specialist advisory group convened to assist in the development of the revision. Consumers, clinicians, jurisdictional representatives, professional groups and legal experts provided input to ensure the Framework reflected real-world practice and patient expectations. Emphasis</w:t>
      </w:r>
      <w:r>
        <w:rPr>
          <w:spacing w:val="-2"/>
        </w:rPr>
        <w:t xml:space="preserve"> </w:t>
      </w:r>
      <w:r>
        <w:t>was</w:t>
      </w:r>
      <w:r>
        <w:rPr>
          <w:spacing w:val="-2"/>
        </w:rPr>
        <w:t xml:space="preserve"> </w:t>
      </w:r>
      <w:r>
        <w:t>placed</w:t>
      </w:r>
      <w:r>
        <w:rPr>
          <w:spacing w:val="-2"/>
        </w:rPr>
        <w:t xml:space="preserve"> </w:t>
      </w:r>
      <w:r>
        <w:t>on</w:t>
      </w:r>
      <w:r>
        <w:rPr>
          <w:spacing w:val="-2"/>
        </w:rPr>
        <w:t xml:space="preserve"> </w:t>
      </w:r>
      <w:r>
        <w:t>person-</w:t>
      </w:r>
      <w:proofErr w:type="spellStart"/>
      <w:r>
        <w:t>centred</w:t>
      </w:r>
      <w:proofErr w:type="spellEnd"/>
      <w:r>
        <w:rPr>
          <w:spacing w:val="-2"/>
        </w:rPr>
        <w:t xml:space="preserve"> </w:t>
      </w:r>
      <w:r>
        <w:t>communication,</w:t>
      </w:r>
      <w:r>
        <w:rPr>
          <w:spacing w:val="-2"/>
        </w:rPr>
        <w:t xml:space="preserve"> </w:t>
      </w:r>
      <w:r>
        <w:t>cultural</w:t>
      </w:r>
      <w:r>
        <w:rPr>
          <w:spacing w:val="-2"/>
        </w:rPr>
        <w:t xml:space="preserve"> </w:t>
      </w:r>
      <w:r>
        <w:t>safety,</w:t>
      </w:r>
      <w:r>
        <w:rPr>
          <w:spacing w:val="-2"/>
        </w:rPr>
        <w:t xml:space="preserve"> </w:t>
      </w:r>
      <w:r>
        <w:t>apology</w:t>
      </w:r>
      <w:r>
        <w:rPr>
          <w:spacing w:val="-2"/>
        </w:rPr>
        <w:t xml:space="preserve"> </w:t>
      </w:r>
      <w:r>
        <w:t>and</w:t>
      </w:r>
      <w:r>
        <w:rPr>
          <w:spacing w:val="-2"/>
        </w:rPr>
        <w:t xml:space="preserve"> </w:t>
      </w:r>
      <w:r>
        <w:t>restorative</w:t>
      </w:r>
      <w:r>
        <w:rPr>
          <w:spacing w:val="-2"/>
        </w:rPr>
        <w:t xml:space="preserve"> </w:t>
      </w:r>
      <w:r>
        <w:t>approaches.</w:t>
      </w:r>
    </w:p>
    <w:p w14:paraId="687A0144" w14:textId="77777777" w:rsidR="009D54AF" w:rsidRDefault="00000000">
      <w:pPr>
        <w:pStyle w:val="BodyText"/>
        <w:spacing w:before="141" w:line="278" w:lineRule="auto"/>
        <w:ind w:left="142" w:right="285"/>
      </w:pPr>
      <w:r>
        <w:t>The</w:t>
      </w:r>
      <w:r>
        <w:rPr>
          <w:spacing w:val="-2"/>
        </w:rPr>
        <w:t xml:space="preserve"> </w:t>
      </w:r>
      <w:r>
        <w:t>revised</w:t>
      </w:r>
      <w:r>
        <w:rPr>
          <w:spacing w:val="-2"/>
        </w:rPr>
        <w:t xml:space="preserve"> </w:t>
      </w:r>
      <w:r>
        <w:t>Framework</w:t>
      </w:r>
      <w:r>
        <w:rPr>
          <w:spacing w:val="-2"/>
        </w:rPr>
        <w:t xml:space="preserve"> </w:t>
      </w:r>
      <w:r>
        <w:t>is</w:t>
      </w:r>
      <w:r>
        <w:rPr>
          <w:spacing w:val="-2"/>
        </w:rPr>
        <w:t xml:space="preserve"> </w:t>
      </w:r>
      <w:r>
        <w:t>supported</w:t>
      </w:r>
      <w:r>
        <w:rPr>
          <w:spacing w:val="-2"/>
        </w:rPr>
        <w:t xml:space="preserve"> </w:t>
      </w:r>
      <w:r>
        <w:t>by</w:t>
      </w:r>
      <w:r>
        <w:rPr>
          <w:spacing w:val="-2"/>
        </w:rPr>
        <w:t xml:space="preserve"> </w:t>
      </w:r>
      <w:r>
        <w:t>practical</w:t>
      </w:r>
      <w:r>
        <w:rPr>
          <w:spacing w:val="-2"/>
        </w:rPr>
        <w:t xml:space="preserve"> </w:t>
      </w:r>
      <w:r>
        <w:t>implementation</w:t>
      </w:r>
      <w:r>
        <w:rPr>
          <w:spacing w:val="-2"/>
        </w:rPr>
        <w:t xml:space="preserve"> </w:t>
      </w:r>
      <w:r>
        <w:t>resources</w:t>
      </w:r>
      <w:r>
        <w:rPr>
          <w:spacing w:val="-2"/>
        </w:rPr>
        <w:t xml:space="preserve"> </w:t>
      </w:r>
      <w:r>
        <w:t>including</w:t>
      </w:r>
      <w:r>
        <w:rPr>
          <w:spacing w:val="-2"/>
        </w:rPr>
        <w:t xml:space="preserve"> </w:t>
      </w:r>
      <w:r>
        <w:t>an</w:t>
      </w:r>
      <w:r>
        <w:rPr>
          <w:spacing w:val="-2"/>
        </w:rPr>
        <w:t xml:space="preserve"> </w:t>
      </w:r>
      <w:r>
        <w:t>accompanying</w:t>
      </w:r>
      <w:r>
        <w:rPr>
          <w:spacing w:val="-2"/>
        </w:rPr>
        <w:t xml:space="preserve"> </w:t>
      </w:r>
      <w:r>
        <w:t xml:space="preserve">fact sheet for health service </w:t>
      </w:r>
      <w:proofErr w:type="spellStart"/>
      <w:r>
        <w:t>organisations</w:t>
      </w:r>
      <w:proofErr w:type="spellEnd"/>
      <w:r>
        <w:t xml:space="preserve"> and two short videos featuring a clinician and consumer. Together, these resources aimed to improve accessibility, usability and understanding of open disclosure, supporting health services to embed the principles into everyday practice and </w:t>
      </w:r>
      <w:proofErr w:type="spellStart"/>
      <w:r>
        <w:t>organisational</w:t>
      </w:r>
      <w:proofErr w:type="spellEnd"/>
      <w:r>
        <w:t xml:space="preserve"> systems.</w:t>
      </w:r>
    </w:p>
    <w:p w14:paraId="2B8F757B" w14:textId="77777777" w:rsidR="009D54AF" w:rsidRDefault="009D54AF">
      <w:pPr>
        <w:pStyle w:val="BodyText"/>
        <w:spacing w:before="66"/>
      </w:pPr>
    </w:p>
    <w:p w14:paraId="399AB91D" w14:textId="77777777" w:rsidR="009D54AF" w:rsidRDefault="00000000">
      <w:pPr>
        <w:pStyle w:val="Heading5"/>
        <w:spacing w:line="249" w:lineRule="auto"/>
      </w:pPr>
      <w:r>
        <w:t>National</w:t>
      </w:r>
      <w:r>
        <w:rPr>
          <w:spacing w:val="-6"/>
        </w:rPr>
        <w:t xml:space="preserve"> </w:t>
      </w:r>
      <w:r>
        <w:t>Consensus</w:t>
      </w:r>
      <w:r>
        <w:rPr>
          <w:spacing w:val="-6"/>
        </w:rPr>
        <w:t xml:space="preserve"> </w:t>
      </w:r>
      <w:r>
        <w:t>Statement:</w:t>
      </w:r>
      <w:r>
        <w:rPr>
          <w:spacing w:val="-6"/>
        </w:rPr>
        <w:t xml:space="preserve"> </w:t>
      </w:r>
      <w:r>
        <w:t>Essential</w:t>
      </w:r>
      <w:r>
        <w:rPr>
          <w:spacing w:val="-6"/>
        </w:rPr>
        <w:t xml:space="preserve"> </w:t>
      </w:r>
      <w:r>
        <w:t>elements</w:t>
      </w:r>
      <w:r>
        <w:rPr>
          <w:spacing w:val="-6"/>
        </w:rPr>
        <w:t xml:space="preserve"> </w:t>
      </w:r>
      <w:r>
        <w:t>for</w:t>
      </w:r>
      <w:r>
        <w:rPr>
          <w:spacing w:val="-6"/>
        </w:rPr>
        <w:t xml:space="preserve"> </w:t>
      </w:r>
      <w:r>
        <w:t>safe</w:t>
      </w:r>
      <w:r>
        <w:rPr>
          <w:spacing w:val="-6"/>
        </w:rPr>
        <w:t xml:space="preserve"> </w:t>
      </w:r>
      <w:r>
        <w:t>and</w:t>
      </w:r>
      <w:r>
        <w:rPr>
          <w:spacing w:val="-6"/>
        </w:rPr>
        <w:t xml:space="preserve"> </w:t>
      </w:r>
      <w:r>
        <w:t xml:space="preserve">high-quality </w:t>
      </w:r>
      <w:proofErr w:type="spellStart"/>
      <w:r>
        <w:t>paediatric</w:t>
      </w:r>
      <w:proofErr w:type="spellEnd"/>
      <w:r>
        <w:t xml:space="preserve"> end-of-life care (second edition)</w:t>
      </w:r>
    </w:p>
    <w:p w14:paraId="7FBC67AC" w14:textId="77777777" w:rsidR="009D54AF" w:rsidRDefault="00000000">
      <w:pPr>
        <w:pStyle w:val="BodyText"/>
        <w:spacing w:before="120" w:line="278" w:lineRule="auto"/>
        <w:ind w:left="142" w:right="251"/>
      </w:pPr>
      <w:r>
        <w:t xml:space="preserve">In 2025–26, the Commission continued to strengthen national guidance for safe, high-quality </w:t>
      </w:r>
      <w:proofErr w:type="spellStart"/>
      <w:r>
        <w:t>paediatric</w:t>
      </w:r>
      <w:proofErr w:type="spellEnd"/>
      <w:r>
        <w:t xml:space="preserve"> end-of-life care. This supports children, young people and families to receive compassionate, child and family-</w:t>
      </w:r>
      <w:proofErr w:type="spellStart"/>
      <w:r>
        <w:t>centred</w:t>
      </w:r>
      <w:proofErr w:type="spellEnd"/>
      <w:r>
        <w:rPr>
          <w:spacing w:val="-2"/>
        </w:rPr>
        <w:t xml:space="preserve"> </w:t>
      </w:r>
      <w:r>
        <w:t>care</w:t>
      </w:r>
      <w:r>
        <w:rPr>
          <w:spacing w:val="-2"/>
        </w:rPr>
        <w:t xml:space="preserve"> </w:t>
      </w:r>
      <w:r>
        <w:t>that</w:t>
      </w:r>
      <w:r>
        <w:rPr>
          <w:spacing w:val="-2"/>
        </w:rPr>
        <w:t xml:space="preserve"> </w:t>
      </w:r>
      <w:r>
        <w:t>respects</w:t>
      </w:r>
      <w:r>
        <w:rPr>
          <w:spacing w:val="-2"/>
        </w:rPr>
        <w:t xml:space="preserve"> </w:t>
      </w:r>
      <w:r>
        <w:t>dignity,</w:t>
      </w:r>
      <w:r>
        <w:rPr>
          <w:spacing w:val="-2"/>
        </w:rPr>
        <w:t xml:space="preserve"> </w:t>
      </w:r>
      <w:r>
        <w:t>values</w:t>
      </w:r>
      <w:r>
        <w:rPr>
          <w:spacing w:val="-2"/>
        </w:rPr>
        <w:t xml:space="preserve"> </w:t>
      </w:r>
      <w:r>
        <w:t>and</w:t>
      </w:r>
      <w:r>
        <w:rPr>
          <w:spacing w:val="-2"/>
        </w:rPr>
        <w:t xml:space="preserve"> </w:t>
      </w:r>
      <w:r>
        <w:t>cultural</w:t>
      </w:r>
      <w:r>
        <w:rPr>
          <w:spacing w:val="-2"/>
        </w:rPr>
        <w:t xml:space="preserve"> </w:t>
      </w:r>
      <w:r>
        <w:t>needs.</w:t>
      </w:r>
      <w:r>
        <w:rPr>
          <w:spacing w:val="-2"/>
        </w:rPr>
        <w:t xml:space="preserve"> </w:t>
      </w:r>
      <w:r>
        <w:t>Key</w:t>
      </w:r>
      <w:r>
        <w:rPr>
          <w:spacing w:val="-2"/>
        </w:rPr>
        <w:t xml:space="preserve"> </w:t>
      </w:r>
      <w:r>
        <w:t>priorities</w:t>
      </w:r>
      <w:r>
        <w:rPr>
          <w:spacing w:val="-2"/>
        </w:rPr>
        <w:t xml:space="preserve"> </w:t>
      </w:r>
      <w:r>
        <w:t>included</w:t>
      </w:r>
      <w:r>
        <w:rPr>
          <w:spacing w:val="-2"/>
        </w:rPr>
        <w:t xml:space="preserve"> </w:t>
      </w:r>
      <w:r>
        <w:t>shared</w:t>
      </w:r>
      <w:r>
        <w:rPr>
          <w:spacing w:val="-2"/>
        </w:rPr>
        <w:t xml:space="preserve"> </w:t>
      </w:r>
      <w:r>
        <w:t>decision</w:t>
      </w:r>
      <w:r>
        <w:rPr>
          <w:spacing w:val="-2"/>
        </w:rPr>
        <w:t xml:space="preserve"> </w:t>
      </w:r>
      <w:r>
        <w:t xml:space="preserve">making, coordinated multidisciplinary care and strong </w:t>
      </w:r>
      <w:proofErr w:type="spellStart"/>
      <w:r>
        <w:t>organisational</w:t>
      </w:r>
      <w:proofErr w:type="spellEnd"/>
      <w:r>
        <w:t xml:space="preserve"> systems to support care delivery at the end of </w:t>
      </w:r>
      <w:r>
        <w:rPr>
          <w:spacing w:val="-2"/>
        </w:rPr>
        <w:t>life.</w:t>
      </w:r>
    </w:p>
    <w:p w14:paraId="79E21F07" w14:textId="77777777" w:rsidR="009D54AF" w:rsidRDefault="00000000">
      <w:pPr>
        <w:spacing w:before="141"/>
        <w:ind w:left="142"/>
        <w:jc w:val="both"/>
        <w:rPr>
          <w:i/>
          <w:sz w:val="21"/>
        </w:rPr>
      </w:pPr>
      <w:r>
        <w:rPr>
          <w:sz w:val="21"/>
        </w:rPr>
        <w:t>The</w:t>
      </w:r>
      <w:r>
        <w:rPr>
          <w:spacing w:val="-5"/>
          <w:sz w:val="21"/>
        </w:rPr>
        <w:t xml:space="preserve"> </w:t>
      </w:r>
      <w:r>
        <w:rPr>
          <w:sz w:val="21"/>
        </w:rPr>
        <w:t>revised</w:t>
      </w:r>
      <w:r>
        <w:rPr>
          <w:spacing w:val="-3"/>
          <w:sz w:val="21"/>
        </w:rPr>
        <w:t xml:space="preserve"> </w:t>
      </w:r>
      <w:r>
        <w:rPr>
          <w:i/>
          <w:sz w:val="21"/>
        </w:rPr>
        <w:t>National</w:t>
      </w:r>
      <w:r>
        <w:rPr>
          <w:i/>
          <w:spacing w:val="-2"/>
          <w:sz w:val="21"/>
        </w:rPr>
        <w:t xml:space="preserve"> </w:t>
      </w:r>
      <w:r>
        <w:rPr>
          <w:i/>
          <w:sz w:val="21"/>
        </w:rPr>
        <w:t>Consensus</w:t>
      </w:r>
      <w:r>
        <w:rPr>
          <w:i/>
          <w:spacing w:val="-2"/>
          <w:sz w:val="21"/>
        </w:rPr>
        <w:t xml:space="preserve"> </w:t>
      </w:r>
      <w:r>
        <w:rPr>
          <w:i/>
          <w:sz w:val="21"/>
        </w:rPr>
        <w:t>Statement:</w:t>
      </w:r>
      <w:r>
        <w:rPr>
          <w:i/>
          <w:spacing w:val="-2"/>
          <w:sz w:val="21"/>
        </w:rPr>
        <w:t xml:space="preserve"> </w:t>
      </w:r>
      <w:r>
        <w:rPr>
          <w:i/>
          <w:sz w:val="21"/>
        </w:rPr>
        <w:t>Essential</w:t>
      </w:r>
      <w:r>
        <w:rPr>
          <w:i/>
          <w:spacing w:val="-3"/>
          <w:sz w:val="21"/>
        </w:rPr>
        <w:t xml:space="preserve"> </w:t>
      </w:r>
      <w:r>
        <w:rPr>
          <w:i/>
          <w:sz w:val="21"/>
        </w:rPr>
        <w:t>elements</w:t>
      </w:r>
      <w:r>
        <w:rPr>
          <w:i/>
          <w:spacing w:val="-2"/>
          <w:sz w:val="21"/>
        </w:rPr>
        <w:t xml:space="preserve"> </w:t>
      </w:r>
      <w:r>
        <w:rPr>
          <w:i/>
          <w:sz w:val="21"/>
        </w:rPr>
        <w:t>for</w:t>
      </w:r>
      <w:r>
        <w:rPr>
          <w:i/>
          <w:spacing w:val="-2"/>
          <w:sz w:val="21"/>
        </w:rPr>
        <w:t xml:space="preserve"> </w:t>
      </w:r>
      <w:r>
        <w:rPr>
          <w:i/>
          <w:sz w:val="21"/>
        </w:rPr>
        <w:t>safe</w:t>
      </w:r>
      <w:r>
        <w:rPr>
          <w:i/>
          <w:spacing w:val="-2"/>
          <w:sz w:val="21"/>
        </w:rPr>
        <w:t xml:space="preserve"> </w:t>
      </w:r>
      <w:r>
        <w:rPr>
          <w:i/>
          <w:sz w:val="21"/>
        </w:rPr>
        <w:t>and</w:t>
      </w:r>
      <w:r>
        <w:rPr>
          <w:i/>
          <w:spacing w:val="-2"/>
          <w:sz w:val="21"/>
        </w:rPr>
        <w:t xml:space="preserve"> </w:t>
      </w:r>
      <w:r>
        <w:rPr>
          <w:i/>
          <w:sz w:val="21"/>
        </w:rPr>
        <w:t>high-quality</w:t>
      </w:r>
      <w:r>
        <w:rPr>
          <w:i/>
          <w:spacing w:val="-2"/>
          <w:sz w:val="21"/>
        </w:rPr>
        <w:t xml:space="preserve"> </w:t>
      </w:r>
      <w:proofErr w:type="spellStart"/>
      <w:r>
        <w:rPr>
          <w:i/>
          <w:spacing w:val="-2"/>
          <w:sz w:val="21"/>
        </w:rPr>
        <w:t>paediatric</w:t>
      </w:r>
      <w:proofErr w:type="spellEnd"/>
    </w:p>
    <w:p w14:paraId="72CD3EF5" w14:textId="77777777" w:rsidR="009D54AF" w:rsidRDefault="00000000">
      <w:pPr>
        <w:pStyle w:val="BodyText"/>
        <w:spacing w:before="39" w:line="278" w:lineRule="auto"/>
        <w:ind w:left="142" w:right="362"/>
        <w:jc w:val="both"/>
      </w:pPr>
      <w:r>
        <w:rPr>
          <w:i/>
        </w:rPr>
        <w:t xml:space="preserve">end-of-life care </w:t>
      </w:r>
      <w:r>
        <w:t>(the Statement) was released in June 2026 and builds on the original 2016 publication. The revision</w:t>
      </w:r>
      <w:r>
        <w:rPr>
          <w:spacing w:val="-1"/>
        </w:rPr>
        <w:t xml:space="preserve"> </w:t>
      </w:r>
      <w:r>
        <w:t>incorporates</w:t>
      </w:r>
      <w:r>
        <w:rPr>
          <w:spacing w:val="-1"/>
        </w:rPr>
        <w:t xml:space="preserve"> </w:t>
      </w:r>
      <w:r>
        <w:t>current</w:t>
      </w:r>
      <w:r>
        <w:rPr>
          <w:spacing w:val="-1"/>
        </w:rPr>
        <w:t xml:space="preserve"> </w:t>
      </w:r>
      <w:r>
        <w:t>evidence</w:t>
      </w:r>
      <w:r>
        <w:rPr>
          <w:spacing w:val="-1"/>
        </w:rPr>
        <w:t xml:space="preserve"> </w:t>
      </w:r>
      <w:r>
        <w:t>and</w:t>
      </w:r>
      <w:r>
        <w:rPr>
          <w:spacing w:val="-1"/>
        </w:rPr>
        <w:t xml:space="preserve"> </w:t>
      </w:r>
      <w:r>
        <w:t>contemporary</w:t>
      </w:r>
      <w:r>
        <w:rPr>
          <w:spacing w:val="-1"/>
        </w:rPr>
        <w:t xml:space="preserve"> </w:t>
      </w:r>
      <w:r>
        <w:t>models</w:t>
      </w:r>
      <w:r>
        <w:rPr>
          <w:spacing w:val="-1"/>
        </w:rPr>
        <w:t xml:space="preserve"> </w:t>
      </w:r>
      <w:r>
        <w:t>of</w:t>
      </w:r>
      <w:r>
        <w:rPr>
          <w:spacing w:val="-1"/>
        </w:rPr>
        <w:t xml:space="preserve"> </w:t>
      </w:r>
      <w:proofErr w:type="spellStart"/>
      <w:r>
        <w:t>paediatric</w:t>
      </w:r>
      <w:proofErr w:type="spellEnd"/>
      <w:r>
        <w:rPr>
          <w:spacing w:val="-1"/>
        </w:rPr>
        <w:t xml:space="preserve"> </w:t>
      </w:r>
      <w:r>
        <w:t>palliative</w:t>
      </w:r>
      <w:r>
        <w:rPr>
          <w:spacing w:val="-1"/>
        </w:rPr>
        <w:t xml:space="preserve"> </w:t>
      </w:r>
      <w:r>
        <w:t>care</w:t>
      </w:r>
      <w:r>
        <w:rPr>
          <w:spacing w:val="-1"/>
        </w:rPr>
        <w:t xml:space="preserve"> </w:t>
      </w:r>
      <w:r>
        <w:t>that</w:t>
      </w:r>
      <w:r>
        <w:rPr>
          <w:spacing w:val="-1"/>
        </w:rPr>
        <w:t xml:space="preserve"> </w:t>
      </w:r>
      <w:proofErr w:type="spellStart"/>
      <w:r>
        <w:t>recognise</w:t>
      </w:r>
      <w:proofErr w:type="spellEnd"/>
      <w:r>
        <w:t xml:space="preserve"> the diverse settings in which children receive end-of-life care across Australia.</w:t>
      </w:r>
    </w:p>
    <w:p w14:paraId="46F5411A" w14:textId="77777777" w:rsidR="009D54AF" w:rsidRDefault="00000000">
      <w:pPr>
        <w:pStyle w:val="BodyText"/>
        <w:spacing w:before="141" w:line="278" w:lineRule="auto"/>
        <w:ind w:left="142" w:right="214"/>
      </w:pPr>
      <w:r>
        <w:t xml:space="preserve">Development of the Statement involved extensive consultation with clinicians, </w:t>
      </w:r>
      <w:proofErr w:type="spellStart"/>
      <w:r>
        <w:t>paediatric</w:t>
      </w:r>
      <w:proofErr w:type="spellEnd"/>
      <w:r>
        <w:t xml:space="preserve"> palliative care services, consumers, carers, professional colleges and jurisdictional stakeholders. This engagement</w:t>
      </w:r>
      <w:r>
        <w:rPr>
          <w:spacing w:val="80"/>
        </w:rPr>
        <w:t xml:space="preserve"> </w:t>
      </w:r>
      <w:r>
        <w:t>ensured</w:t>
      </w:r>
      <w:r>
        <w:rPr>
          <w:spacing w:val="-1"/>
        </w:rPr>
        <w:t xml:space="preserve"> </w:t>
      </w:r>
      <w:r>
        <w:t>the</w:t>
      </w:r>
      <w:r>
        <w:rPr>
          <w:spacing w:val="-1"/>
        </w:rPr>
        <w:t xml:space="preserve"> </w:t>
      </w:r>
      <w:r>
        <w:t>Statement</w:t>
      </w:r>
      <w:r>
        <w:rPr>
          <w:spacing w:val="-1"/>
        </w:rPr>
        <w:t xml:space="preserve"> </w:t>
      </w:r>
      <w:r>
        <w:t>was</w:t>
      </w:r>
      <w:r>
        <w:rPr>
          <w:spacing w:val="-1"/>
        </w:rPr>
        <w:t xml:space="preserve"> </w:t>
      </w:r>
      <w:r>
        <w:t>practical,</w:t>
      </w:r>
      <w:r>
        <w:rPr>
          <w:spacing w:val="-1"/>
        </w:rPr>
        <w:t xml:space="preserve"> </w:t>
      </w:r>
      <w:r>
        <w:t>flexible</w:t>
      </w:r>
      <w:r>
        <w:rPr>
          <w:spacing w:val="-1"/>
        </w:rPr>
        <w:t xml:space="preserve"> </w:t>
      </w:r>
      <w:r>
        <w:t>and</w:t>
      </w:r>
      <w:r>
        <w:rPr>
          <w:spacing w:val="-1"/>
        </w:rPr>
        <w:t xml:space="preserve"> </w:t>
      </w:r>
      <w:r>
        <w:t>applicable</w:t>
      </w:r>
      <w:r>
        <w:rPr>
          <w:spacing w:val="-1"/>
        </w:rPr>
        <w:t xml:space="preserve"> </w:t>
      </w:r>
      <w:r>
        <w:t>across</w:t>
      </w:r>
      <w:r>
        <w:rPr>
          <w:spacing w:val="-1"/>
        </w:rPr>
        <w:t xml:space="preserve"> </w:t>
      </w:r>
      <w:r>
        <w:t>a</w:t>
      </w:r>
      <w:r>
        <w:rPr>
          <w:spacing w:val="-1"/>
        </w:rPr>
        <w:t xml:space="preserve"> </w:t>
      </w:r>
      <w:r>
        <w:t>variety</w:t>
      </w:r>
      <w:r>
        <w:rPr>
          <w:spacing w:val="-1"/>
        </w:rPr>
        <w:t xml:space="preserve"> </w:t>
      </w:r>
      <w:r>
        <w:t>of</w:t>
      </w:r>
      <w:r>
        <w:rPr>
          <w:spacing w:val="-1"/>
        </w:rPr>
        <w:t xml:space="preserve"> </w:t>
      </w:r>
      <w:r>
        <w:t>healthcare</w:t>
      </w:r>
      <w:r>
        <w:rPr>
          <w:spacing w:val="-1"/>
        </w:rPr>
        <w:t xml:space="preserve"> </w:t>
      </w:r>
      <w:r>
        <w:t>settings,</w:t>
      </w:r>
      <w:r>
        <w:rPr>
          <w:spacing w:val="-1"/>
        </w:rPr>
        <w:t xml:space="preserve"> </w:t>
      </w:r>
      <w:r>
        <w:t xml:space="preserve">including hospitals, community services and home-based care. The work strengthens national consistency and quality of </w:t>
      </w:r>
      <w:proofErr w:type="spellStart"/>
      <w:r>
        <w:t>paediatric</w:t>
      </w:r>
      <w:proofErr w:type="spellEnd"/>
      <w:r>
        <w:t xml:space="preserve"> end-of-life care.</w:t>
      </w:r>
    </w:p>
    <w:p w14:paraId="49CF6547" w14:textId="77777777" w:rsidR="009D54AF" w:rsidRDefault="009D54AF">
      <w:pPr>
        <w:pStyle w:val="BodyText"/>
        <w:spacing w:before="65"/>
      </w:pPr>
    </w:p>
    <w:p w14:paraId="346D1EAC" w14:textId="77777777" w:rsidR="009D54AF" w:rsidRDefault="00000000">
      <w:pPr>
        <w:pStyle w:val="Heading5"/>
        <w:spacing w:before="1"/>
      </w:pPr>
      <w:r>
        <w:lastRenderedPageBreak/>
        <w:t>Risk</w:t>
      </w:r>
      <w:r>
        <w:rPr>
          <w:spacing w:val="-5"/>
        </w:rPr>
        <w:t xml:space="preserve"> </w:t>
      </w:r>
      <w:r>
        <w:t>screening</w:t>
      </w:r>
      <w:r>
        <w:rPr>
          <w:spacing w:val="-5"/>
        </w:rPr>
        <w:t xml:space="preserve"> </w:t>
      </w:r>
      <w:r>
        <w:t>and</w:t>
      </w:r>
      <w:r>
        <w:rPr>
          <w:spacing w:val="-4"/>
        </w:rPr>
        <w:t xml:space="preserve"> </w:t>
      </w:r>
      <w:r>
        <w:rPr>
          <w:spacing w:val="-2"/>
        </w:rPr>
        <w:t>assessment</w:t>
      </w:r>
    </w:p>
    <w:p w14:paraId="593E8A12" w14:textId="77777777" w:rsidR="009D54AF" w:rsidRDefault="00000000">
      <w:pPr>
        <w:pStyle w:val="BodyText"/>
        <w:spacing w:before="132" w:line="278" w:lineRule="auto"/>
        <w:ind w:left="142"/>
      </w:pPr>
      <w:r>
        <w:t>The</w:t>
      </w:r>
      <w:r>
        <w:rPr>
          <w:spacing w:val="-3"/>
        </w:rPr>
        <w:t xml:space="preserve"> </w:t>
      </w:r>
      <w:r>
        <w:t>Commission</w:t>
      </w:r>
      <w:r>
        <w:rPr>
          <w:spacing w:val="-3"/>
        </w:rPr>
        <w:t xml:space="preserve"> </w:t>
      </w:r>
      <w:r>
        <w:t>developed</w:t>
      </w:r>
      <w:r>
        <w:rPr>
          <w:spacing w:val="-3"/>
        </w:rPr>
        <w:t xml:space="preserve"> </w:t>
      </w:r>
      <w:r>
        <w:t>a</w:t>
      </w:r>
      <w:r>
        <w:rPr>
          <w:spacing w:val="-3"/>
        </w:rPr>
        <w:t xml:space="preserve"> </w:t>
      </w:r>
      <w:r>
        <w:t>fact</w:t>
      </w:r>
      <w:r>
        <w:rPr>
          <w:spacing w:val="-3"/>
        </w:rPr>
        <w:t xml:space="preserve"> </w:t>
      </w:r>
      <w:r>
        <w:t>sheet,</w:t>
      </w:r>
      <w:r>
        <w:rPr>
          <w:spacing w:val="-3"/>
        </w:rPr>
        <w:t xml:space="preserve"> </w:t>
      </w:r>
      <w:r>
        <w:t>‘Risk</w:t>
      </w:r>
      <w:r>
        <w:rPr>
          <w:spacing w:val="-3"/>
        </w:rPr>
        <w:t xml:space="preserve"> </w:t>
      </w:r>
      <w:r>
        <w:t>screening</w:t>
      </w:r>
      <w:r>
        <w:rPr>
          <w:spacing w:val="-3"/>
        </w:rPr>
        <w:t xml:space="preserve"> </w:t>
      </w:r>
      <w:r>
        <w:t>and</w:t>
      </w:r>
      <w:r>
        <w:rPr>
          <w:spacing w:val="-3"/>
        </w:rPr>
        <w:t xml:space="preserve"> </w:t>
      </w:r>
      <w:r>
        <w:t>assessment’,</w:t>
      </w:r>
      <w:r>
        <w:rPr>
          <w:spacing w:val="-3"/>
        </w:rPr>
        <w:t xml:space="preserve"> </w:t>
      </w:r>
      <w:r>
        <w:t>to</w:t>
      </w:r>
      <w:r>
        <w:rPr>
          <w:spacing w:val="-3"/>
        </w:rPr>
        <w:t xml:space="preserve"> </w:t>
      </w:r>
      <w:r>
        <w:t>promote</w:t>
      </w:r>
      <w:r>
        <w:rPr>
          <w:spacing w:val="-3"/>
        </w:rPr>
        <w:t xml:space="preserve"> </w:t>
      </w:r>
      <w:r>
        <w:t>consistent</w:t>
      </w:r>
      <w:r>
        <w:rPr>
          <w:spacing w:val="-3"/>
        </w:rPr>
        <w:t xml:space="preserve"> </w:t>
      </w:r>
      <w:r>
        <w:t>and</w:t>
      </w:r>
      <w:r>
        <w:rPr>
          <w:spacing w:val="-3"/>
        </w:rPr>
        <w:t xml:space="preserve"> </w:t>
      </w:r>
      <w:r>
        <w:t>shared understanding and application of risk screening and assessment processes across healthcare settings.</w:t>
      </w:r>
    </w:p>
    <w:p w14:paraId="4F43A95B" w14:textId="77777777" w:rsidR="009D54AF" w:rsidRDefault="00000000">
      <w:pPr>
        <w:pStyle w:val="BodyText"/>
        <w:spacing w:before="142" w:line="278" w:lineRule="auto"/>
        <w:ind w:left="142" w:right="285"/>
      </w:pPr>
      <w:r>
        <w:t>Aligned</w:t>
      </w:r>
      <w:r>
        <w:rPr>
          <w:spacing w:val="-1"/>
        </w:rPr>
        <w:t xml:space="preserve"> </w:t>
      </w:r>
      <w:r>
        <w:t>with</w:t>
      </w:r>
      <w:r>
        <w:rPr>
          <w:spacing w:val="-1"/>
        </w:rPr>
        <w:t xml:space="preserve"> </w:t>
      </w:r>
      <w:r>
        <w:t>the</w:t>
      </w:r>
      <w:r>
        <w:rPr>
          <w:spacing w:val="-1"/>
        </w:rPr>
        <w:t xml:space="preserve"> </w:t>
      </w:r>
      <w:r>
        <w:t>NSQHS</w:t>
      </w:r>
      <w:r>
        <w:rPr>
          <w:spacing w:val="-1"/>
        </w:rPr>
        <w:t xml:space="preserve"> </w:t>
      </w:r>
      <w:r>
        <w:t>Standards,</w:t>
      </w:r>
      <w:r>
        <w:rPr>
          <w:spacing w:val="-1"/>
        </w:rPr>
        <w:t xml:space="preserve"> </w:t>
      </w:r>
      <w:r>
        <w:t>especially</w:t>
      </w:r>
      <w:r>
        <w:rPr>
          <w:spacing w:val="-1"/>
        </w:rPr>
        <w:t xml:space="preserve"> </w:t>
      </w:r>
      <w:r>
        <w:t>the</w:t>
      </w:r>
      <w:r>
        <w:rPr>
          <w:spacing w:val="-1"/>
        </w:rPr>
        <w:t xml:space="preserve"> </w:t>
      </w:r>
      <w:r>
        <w:t>Comprehensive</w:t>
      </w:r>
      <w:r>
        <w:rPr>
          <w:spacing w:val="-1"/>
        </w:rPr>
        <w:t xml:space="preserve"> </w:t>
      </w:r>
      <w:r>
        <w:t>Care</w:t>
      </w:r>
      <w:r>
        <w:rPr>
          <w:spacing w:val="-1"/>
        </w:rPr>
        <w:t xml:space="preserve"> </w:t>
      </w:r>
      <w:r>
        <w:t>Standard,</w:t>
      </w:r>
      <w:r>
        <w:rPr>
          <w:spacing w:val="-1"/>
        </w:rPr>
        <w:t xml:space="preserve"> </w:t>
      </w:r>
      <w:r>
        <w:t>the</w:t>
      </w:r>
      <w:r>
        <w:rPr>
          <w:spacing w:val="-1"/>
        </w:rPr>
        <w:t xml:space="preserve"> </w:t>
      </w:r>
      <w:r>
        <w:t>fact</w:t>
      </w:r>
      <w:r>
        <w:rPr>
          <w:spacing w:val="-1"/>
        </w:rPr>
        <w:t xml:space="preserve"> </w:t>
      </w:r>
      <w:r>
        <w:t>sheet</w:t>
      </w:r>
      <w:r>
        <w:rPr>
          <w:spacing w:val="-1"/>
        </w:rPr>
        <w:t xml:space="preserve"> </w:t>
      </w:r>
      <w:r>
        <w:t xml:space="preserve">reinforces that screening without action represents low-value care. It provides practical guidance for health services, clinicians and accrediting agencies on what constitutes good practice, including the use of validated tools, timely escalation, assessment, and integration of findings into </w:t>
      </w:r>
      <w:proofErr w:type="spellStart"/>
      <w:r>
        <w:t>individualised</w:t>
      </w:r>
      <w:proofErr w:type="spellEnd"/>
      <w:r>
        <w:t xml:space="preserve"> care planning.</w:t>
      </w:r>
    </w:p>
    <w:p w14:paraId="71C4F992" w14:textId="77777777" w:rsidR="009D54AF" w:rsidRDefault="00000000">
      <w:pPr>
        <w:pStyle w:val="BodyText"/>
        <w:spacing w:before="141" w:line="278" w:lineRule="auto"/>
        <w:ind w:left="142"/>
      </w:pPr>
      <w:r>
        <w:t>Designed for use by health services, clinicians and accrediting agencies, the fact sheet includes clear definitions,</w:t>
      </w:r>
      <w:r>
        <w:rPr>
          <w:spacing w:val="-2"/>
        </w:rPr>
        <w:t xml:space="preserve"> </w:t>
      </w:r>
      <w:r>
        <w:t>key</w:t>
      </w:r>
      <w:r>
        <w:rPr>
          <w:spacing w:val="-2"/>
        </w:rPr>
        <w:t xml:space="preserve"> </w:t>
      </w:r>
      <w:r>
        <w:t>principles</w:t>
      </w:r>
      <w:r>
        <w:rPr>
          <w:spacing w:val="-2"/>
        </w:rPr>
        <w:t xml:space="preserve"> </w:t>
      </w:r>
      <w:r>
        <w:t>and</w:t>
      </w:r>
      <w:r>
        <w:rPr>
          <w:spacing w:val="-2"/>
        </w:rPr>
        <w:t xml:space="preserve"> </w:t>
      </w:r>
      <w:r>
        <w:t>applied</w:t>
      </w:r>
      <w:r>
        <w:rPr>
          <w:spacing w:val="-2"/>
        </w:rPr>
        <w:t xml:space="preserve"> </w:t>
      </w:r>
      <w:r>
        <w:t>examples</w:t>
      </w:r>
      <w:r>
        <w:rPr>
          <w:spacing w:val="-2"/>
        </w:rPr>
        <w:t xml:space="preserve"> </w:t>
      </w:r>
      <w:r>
        <w:t>to</w:t>
      </w:r>
      <w:r>
        <w:rPr>
          <w:spacing w:val="-2"/>
        </w:rPr>
        <w:t xml:space="preserve"> </w:t>
      </w:r>
      <w:r>
        <w:t>support</w:t>
      </w:r>
      <w:r>
        <w:rPr>
          <w:spacing w:val="-2"/>
        </w:rPr>
        <w:t xml:space="preserve"> </w:t>
      </w:r>
      <w:r>
        <w:t>consistent</w:t>
      </w:r>
      <w:r>
        <w:rPr>
          <w:spacing w:val="-2"/>
        </w:rPr>
        <w:t xml:space="preserve"> </w:t>
      </w:r>
      <w:r>
        <w:t>implementation</w:t>
      </w:r>
      <w:r>
        <w:rPr>
          <w:spacing w:val="-2"/>
        </w:rPr>
        <w:t xml:space="preserve"> </w:t>
      </w:r>
      <w:r>
        <w:t>across</w:t>
      </w:r>
      <w:r>
        <w:rPr>
          <w:spacing w:val="-2"/>
        </w:rPr>
        <w:t xml:space="preserve"> </w:t>
      </w:r>
      <w:r>
        <w:t>diverse</w:t>
      </w:r>
      <w:r>
        <w:rPr>
          <w:spacing w:val="-2"/>
        </w:rPr>
        <w:t xml:space="preserve"> </w:t>
      </w:r>
      <w:r>
        <w:t>settings, including acute, community and residential care.</w:t>
      </w:r>
    </w:p>
    <w:p w14:paraId="2BB56E10" w14:textId="77777777" w:rsidR="009D54AF" w:rsidRDefault="00000000" w:rsidP="008F5B74">
      <w:pPr>
        <w:pStyle w:val="BodyText"/>
        <w:spacing w:before="180" w:line="278" w:lineRule="auto"/>
        <w:ind w:left="142" w:right="284"/>
      </w:pPr>
      <w:r>
        <w:t>The</w:t>
      </w:r>
      <w:r>
        <w:rPr>
          <w:spacing w:val="-2"/>
        </w:rPr>
        <w:t xml:space="preserve"> </w:t>
      </w:r>
      <w:r>
        <w:t>resource</w:t>
      </w:r>
      <w:r>
        <w:rPr>
          <w:spacing w:val="-2"/>
        </w:rPr>
        <w:t xml:space="preserve"> </w:t>
      </w:r>
      <w:r>
        <w:t>was</w:t>
      </w:r>
      <w:r>
        <w:rPr>
          <w:spacing w:val="-2"/>
        </w:rPr>
        <w:t xml:space="preserve"> </w:t>
      </w:r>
      <w:r>
        <w:t>informed</w:t>
      </w:r>
      <w:r>
        <w:rPr>
          <w:spacing w:val="-2"/>
        </w:rPr>
        <w:t xml:space="preserve"> </w:t>
      </w:r>
      <w:r>
        <w:t>by</w:t>
      </w:r>
      <w:r>
        <w:rPr>
          <w:spacing w:val="-2"/>
        </w:rPr>
        <w:t xml:space="preserve"> </w:t>
      </w:r>
      <w:r>
        <w:t>internal</w:t>
      </w:r>
      <w:r>
        <w:rPr>
          <w:spacing w:val="-2"/>
        </w:rPr>
        <w:t xml:space="preserve"> </w:t>
      </w:r>
      <w:r>
        <w:t>collaboration</w:t>
      </w:r>
      <w:r>
        <w:rPr>
          <w:spacing w:val="-2"/>
        </w:rPr>
        <w:t xml:space="preserve"> </w:t>
      </w:r>
      <w:r>
        <w:t>and</w:t>
      </w:r>
      <w:r>
        <w:rPr>
          <w:spacing w:val="-2"/>
        </w:rPr>
        <w:t xml:space="preserve"> </w:t>
      </w:r>
      <w:r>
        <w:t>external</w:t>
      </w:r>
      <w:r>
        <w:rPr>
          <w:spacing w:val="-2"/>
        </w:rPr>
        <w:t xml:space="preserve"> </w:t>
      </w:r>
      <w:r>
        <w:t>consultation,</w:t>
      </w:r>
      <w:r>
        <w:rPr>
          <w:spacing w:val="-2"/>
        </w:rPr>
        <w:t xml:space="preserve"> </w:t>
      </w:r>
      <w:r>
        <w:t>ensuring</w:t>
      </w:r>
      <w:r>
        <w:rPr>
          <w:spacing w:val="-2"/>
        </w:rPr>
        <w:t xml:space="preserve"> </w:t>
      </w:r>
      <w:r>
        <w:t>it</w:t>
      </w:r>
      <w:r>
        <w:rPr>
          <w:spacing w:val="-2"/>
        </w:rPr>
        <w:t xml:space="preserve"> </w:t>
      </w:r>
      <w:r>
        <w:t>is</w:t>
      </w:r>
      <w:r>
        <w:rPr>
          <w:spacing w:val="-2"/>
        </w:rPr>
        <w:t xml:space="preserve"> </w:t>
      </w:r>
      <w:r>
        <w:t>practical, accessible and relevant across the health system. The fact sheet was released in June 2026.</w:t>
      </w:r>
    </w:p>
    <w:p w14:paraId="6A4C14E8" w14:textId="77777777" w:rsidR="009D54AF" w:rsidRDefault="009D54AF">
      <w:pPr>
        <w:pStyle w:val="BodyText"/>
        <w:spacing w:before="65"/>
      </w:pPr>
    </w:p>
    <w:p w14:paraId="03CAF1DC" w14:textId="77777777" w:rsidR="009D54AF" w:rsidRDefault="00000000">
      <w:pPr>
        <w:pStyle w:val="Heading5"/>
      </w:pPr>
      <w:r>
        <w:t>Co-design</w:t>
      </w:r>
      <w:r>
        <w:rPr>
          <w:spacing w:val="1"/>
        </w:rPr>
        <w:t xml:space="preserve"> </w:t>
      </w:r>
      <w:r>
        <w:t>resource</w:t>
      </w:r>
      <w:r>
        <w:rPr>
          <w:spacing w:val="2"/>
        </w:rPr>
        <w:t xml:space="preserve"> </w:t>
      </w:r>
      <w:r>
        <w:rPr>
          <w:spacing w:val="-5"/>
        </w:rPr>
        <w:t>hub</w:t>
      </w:r>
    </w:p>
    <w:p w14:paraId="1BAD35C7" w14:textId="77777777" w:rsidR="009D54AF" w:rsidRDefault="00000000">
      <w:pPr>
        <w:pStyle w:val="BodyText"/>
        <w:spacing w:before="133" w:line="278" w:lineRule="auto"/>
        <w:ind w:left="142"/>
      </w:pPr>
      <w:r>
        <w:t xml:space="preserve">In 2025–26, the Commission launched a </w:t>
      </w:r>
      <w:hyperlink r:id="rId60">
        <w:r>
          <w:rPr>
            <w:u w:val="single"/>
          </w:rPr>
          <w:t>co-design resource hub</w:t>
        </w:r>
      </w:hyperlink>
      <w:r>
        <w:t xml:space="preserve"> and an accompanying </w:t>
      </w:r>
      <w:hyperlink r:id="rId61">
        <w:r>
          <w:rPr>
            <w:u w:val="single"/>
          </w:rPr>
          <w:t>fact sheet</w:t>
        </w:r>
      </w:hyperlink>
      <w:r>
        <w:t xml:space="preserve"> to support health service </w:t>
      </w:r>
      <w:proofErr w:type="spellStart"/>
      <w:r>
        <w:t>organisations</w:t>
      </w:r>
      <w:proofErr w:type="spellEnd"/>
      <w:r>
        <w:t xml:space="preserve"> to strengthen consumer partnerships in the design and delivery of care. The resources were developed after a review of existing co-design guidance to identify high-quality, contemporary resources that would be relevant for Australian healthcare services.</w:t>
      </w:r>
    </w:p>
    <w:p w14:paraId="5EF4D740" w14:textId="77777777" w:rsidR="009D54AF" w:rsidRDefault="00000000">
      <w:pPr>
        <w:pStyle w:val="BodyText"/>
        <w:spacing w:before="141" w:line="278" w:lineRule="auto"/>
        <w:ind w:left="142" w:right="629"/>
      </w:pPr>
      <w:r>
        <w:t>The co-design resource hub offers practical tools, templates and case studies to assist health services</w:t>
      </w:r>
      <w:r>
        <w:rPr>
          <w:spacing w:val="80"/>
        </w:rPr>
        <w:t xml:space="preserve"> </w:t>
      </w:r>
      <w:r>
        <w:t>in embedding co-design into their practice. The fact sheet outlines the principles, benefits and conditions</w:t>
      </w:r>
    </w:p>
    <w:p w14:paraId="71F2A8C9" w14:textId="77777777" w:rsidR="009D54AF" w:rsidRDefault="00000000">
      <w:pPr>
        <w:pStyle w:val="BodyText"/>
        <w:spacing w:line="278" w:lineRule="auto"/>
        <w:ind w:left="142"/>
      </w:pPr>
      <w:r>
        <w:t xml:space="preserve">needed for effective co-design. Together, these resources support health services to work in partnership with patients, families and carers to shape models of care and design systems that improve health outcomes and </w:t>
      </w:r>
      <w:r>
        <w:rPr>
          <w:spacing w:val="-2"/>
        </w:rPr>
        <w:t>experiences.</w:t>
      </w:r>
    </w:p>
    <w:p w14:paraId="05420E80" w14:textId="77777777" w:rsidR="009D54AF" w:rsidRDefault="009D54AF">
      <w:pPr>
        <w:pStyle w:val="BodyText"/>
        <w:spacing w:before="66"/>
      </w:pPr>
    </w:p>
    <w:p w14:paraId="5232F221" w14:textId="77777777" w:rsidR="009D54AF" w:rsidRDefault="00000000">
      <w:pPr>
        <w:pStyle w:val="Heading5"/>
      </w:pPr>
      <w:r>
        <w:t>Shared</w:t>
      </w:r>
      <w:r>
        <w:rPr>
          <w:spacing w:val="-5"/>
        </w:rPr>
        <w:t xml:space="preserve"> </w:t>
      </w:r>
      <w:r>
        <w:t>decision</w:t>
      </w:r>
      <w:r>
        <w:rPr>
          <w:spacing w:val="-5"/>
        </w:rPr>
        <w:t xml:space="preserve"> </w:t>
      </w:r>
      <w:r>
        <w:rPr>
          <w:spacing w:val="-2"/>
        </w:rPr>
        <w:t>making</w:t>
      </w:r>
    </w:p>
    <w:p w14:paraId="077FCD95" w14:textId="77777777" w:rsidR="009D54AF" w:rsidRDefault="00000000">
      <w:pPr>
        <w:pStyle w:val="BodyText"/>
        <w:spacing w:before="133" w:line="278" w:lineRule="auto"/>
        <w:ind w:left="142" w:right="285"/>
      </w:pPr>
      <w:r>
        <w:t>Shared</w:t>
      </w:r>
      <w:r>
        <w:rPr>
          <w:spacing w:val="-1"/>
        </w:rPr>
        <w:t xml:space="preserve"> </w:t>
      </w:r>
      <w:r>
        <w:t>decision</w:t>
      </w:r>
      <w:r>
        <w:rPr>
          <w:spacing w:val="-1"/>
        </w:rPr>
        <w:t xml:space="preserve"> </w:t>
      </w:r>
      <w:r>
        <w:t>making</w:t>
      </w:r>
      <w:r>
        <w:rPr>
          <w:spacing w:val="-1"/>
        </w:rPr>
        <w:t xml:space="preserve"> </w:t>
      </w:r>
      <w:r>
        <w:t>and</w:t>
      </w:r>
      <w:r>
        <w:rPr>
          <w:spacing w:val="-1"/>
        </w:rPr>
        <w:t xml:space="preserve"> </w:t>
      </w:r>
      <w:r>
        <w:t>informed</w:t>
      </w:r>
      <w:r>
        <w:rPr>
          <w:spacing w:val="-1"/>
        </w:rPr>
        <w:t xml:space="preserve"> </w:t>
      </w:r>
      <w:r>
        <w:t>consent</w:t>
      </w:r>
      <w:r>
        <w:rPr>
          <w:spacing w:val="-1"/>
        </w:rPr>
        <w:t xml:space="preserve"> </w:t>
      </w:r>
      <w:r>
        <w:t>work</w:t>
      </w:r>
      <w:r>
        <w:rPr>
          <w:spacing w:val="-1"/>
        </w:rPr>
        <w:t xml:space="preserve"> </w:t>
      </w:r>
      <w:r>
        <w:t>best</w:t>
      </w:r>
      <w:r>
        <w:rPr>
          <w:spacing w:val="-1"/>
        </w:rPr>
        <w:t xml:space="preserve"> </w:t>
      </w:r>
      <w:r>
        <w:t>when</w:t>
      </w:r>
      <w:r>
        <w:rPr>
          <w:spacing w:val="-1"/>
        </w:rPr>
        <w:t xml:space="preserve"> </w:t>
      </w:r>
      <w:r>
        <w:t>patients,</w:t>
      </w:r>
      <w:r>
        <w:rPr>
          <w:spacing w:val="-1"/>
        </w:rPr>
        <w:t xml:space="preserve"> </w:t>
      </w:r>
      <w:r>
        <w:t>clinicians,</w:t>
      </w:r>
      <w:r>
        <w:rPr>
          <w:spacing w:val="-1"/>
        </w:rPr>
        <w:t xml:space="preserve"> </w:t>
      </w:r>
      <w:r>
        <w:t>and</w:t>
      </w:r>
      <w:r>
        <w:rPr>
          <w:spacing w:val="-1"/>
        </w:rPr>
        <w:t xml:space="preserve"> </w:t>
      </w:r>
      <w:r>
        <w:t>health</w:t>
      </w:r>
      <w:r>
        <w:rPr>
          <w:spacing w:val="-1"/>
        </w:rPr>
        <w:t xml:space="preserve"> </w:t>
      </w:r>
      <w:r>
        <w:t>services engage in open, timely and effective communication.</w:t>
      </w:r>
    </w:p>
    <w:p w14:paraId="4CFE8EB1" w14:textId="77777777" w:rsidR="009D54AF" w:rsidRDefault="00000000">
      <w:pPr>
        <w:pStyle w:val="BodyText"/>
        <w:spacing w:before="141" w:line="278" w:lineRule="auto"/>
        <w:ind w:left="142" w:right="314"/>
      </w:pPr>
      <w:r>
        <w:t xml:space="preserve">In 2025–26, the Commission adopted the </w:t>
      </w:r>
      <w:hyperlink r:id="rId62">
        <w:r>
          <w:rPr>
            <w:u w:val="single"/>
          </w:rPr>
          <w:t>Ask Share Know</w:t>
        </w:r>
      </w:hyperlink>
      <w:r>
        <w:t xml:space="preserve"> decision-making model as a practical approach to improving conversations between patients and clinicians. The model is designed to support structured, meaningful dialogue between clinicians and patients that enables shared decision making and strengthens</w:t>
      </w:r>
    </w:p>
    <w:p w14:paraId="5CB4F3AA" w14:textId="77777777" w:rsidR="009D54AF" w:rsidRDefault="00000000">
      <w:pPr>
        <w:pStyle w:val="BodyText"/>
        <w:spacing w:line="278" w:lineRule="auto"/>
        <w:ind w:left="142"/>
      </w:pPr>
      <w:r>
        <w:t>the</w:t>
      </w:r>
      <w:r>
        <w:rPr>
          <w:spacing w:val="-2"/>
        </w:rPr>
        <w:t xml:space="preserve"> </w:t>
      </w:r>
      <w:r>
        <w:t>process</w:t>
      </w:r>
      <w:r>
        <w:rPr>
          <w:spacing w:val="-2"/>
        </w:rPr>
        <w:t xml:space="preserve"> </w:t>
      </w:r>
      <w:r>
        <w:t>of</w:t>
      </w:r>
      <w:r>
        <w:rPr>
          <w:spacing w:val="-2"/>
        </w:rPr>
        <w:t xml:space="preserve"> </w:t>
      </w:r>
      <w:r>
        <w:t>informed</w:t>
      </w:r>
      <w:r>
        <w:rPr>
          <w:spacing w:val="-2"/>
        </w:rPr>
        <w:t xml:space="preserve"> </w:t>
      </w:r>
      <w:r>
        <w:t>consent.</w:t>
      </w:r>
      <w:r>
        <w:rPr>
          <w:spacing w:val="-2"/>
        </w:rPr>
        <w:t xml:space="preserve"> </w:t>
      </w:r>
      <w:r>
        <w:t>The</w:t>
      </w:r>
      <w:r>
        <w:rPr>
          <w:spacing w:val="-2"/>
        </w:rPr>
        <w:t xml:space="preserve"> </w:t>
      </w:r>
      <w:r>
        <w:t>model</w:t>
      </w:r>
      <w:r>
        <w:rPr>
          <w:spacing w:val="-2"/>
        </w:rPr>
        <w:t xml:space="preserve"> </w:t>
      </w:r>
      <w:r>
        <w:t>is</w:t>
      </w:r>
      <w:r>
        <w:rPr>
          <w:spacing w:val="-2"/>
        </w:rPr>
        <w:t xml:space="preserve"> </w:t>
      </w:r>
      <w:r>
        <w:t>closely</w:t>
      </w:r>
      <w:r>
        <w:rPr>
          <w:spacing w:val="-2"/>
        </w:rPr>
        <w:t xml:space="preserve"> </w:t>
      </w:r>
      <w:r>
        <w:t>aligned</w:t>
      </w:r>
      <w:r>
        <w:rPr>
          <w:spacing w:val="-2"/>
        </w:rPr>
        <w:t xml:space="preserve"> </w:t>
      </w:r>
      <w:r>
        <w:t>with</w:t>
      </w:r>
      <w:r>
        <w:rPr>
          <w:spacing w:val="-2"/>
        </w:rPr>
        <w:t xml:space="preserve"> </w:t>
      </w:r>
      <w:r>
        <w:t>the</w:t>
      </w:r>
      <w:r>
        <w:rPr>
          <w:spacing w:val="-2"/>
        </w:rPr>
        <w:t xml:space="preserve"> </w:t>
      </w:r>
      <w:r>
        <w:t>Commission’s</w:t>
      </w:r>
      <w:r>
        <w:rPr>
          <w:spacing w:val="-3"/>
        </w:rPr>
        <w:t xml:space="preserve"> </w:t>
      </w:r>
      <w:hyperlink r:id="rId63">
        <w:r>
          <w:rPr>
            <w:u w:val="single"/>
          </w:rPr>
          <w:t>Better</w:t>
        </w:r>
        <w:r>
          <w:rPr>
            <w:spacing w:val="-2"/>
            <w:u w:val="single"/>
          </w:rPr>
          <w:t xml:space="preserve"> </w:t>
        </w:r>
        <w:r>
          <w:rPr>
            <w:u w:val="single"/>
          </w:rPr>
          <w:t>Care</w:t>
        </w:r>
        <w:r>
          <w:rPr>
            <w:spacing w:val="-2"/>
            <w:u w:val="single"/>
          </w:rPr>
          <w:t xml:space="preserve"> </w:t>
        </w:r>
        <w:r>
          <w:rPr>
            <w:u w:val="single"/>
          </w:rPr>
          <w:t>Everywhere</w:t>
        </w:r>
      </w:hyperlink>
      <w:r>
        <w:t xml:space="preserve"> </w:t>
      </w:r>
      <w:hyperlink r:id="rId64">
        <w:r>
          <w:rPr>
            <w:u w:val="single"/>
          </w:rPr>
          <w:t>initiative</w:t>
        </w:r>
      </w:hyperlink>
      <w:r>
        <w:t>, which aims to support better-informed choices to reduce the likelihood of low-value care.</w:t>
      </w:r>
    </w:p>
    <w:p w14:paraId="24F4B905" w14:textId="77777777" w:rsidR="009D54AF" w:rsidRDefault="00000000">
      <w:pPr>
        <w:pStyle w:val="BodyText"/>
        <w:spacing w:before="141" w:line="278" w:lineRule="auto"/>
        <w:ind w:left="142"/>
      </w:pPr>
      <w:r>
        <w:t>At its core, the framework is structured around three guiding questions designed to support critical dialogue between patients and clinicians.</w:t>
      </w:r>
    </w:p>
    <w:p w14:paraId="5B6ABCBF" w14:textId="77777777" w:rsidR="009D54AF" w:rsidRDefault="00000000">
      <w:pPr>
        <w:pStyle w:val="ListParagraph"/>
        <w:numPr>
          <w:ilvl w:val="0"/>
          <w:numId w:val="31"/>
        </w:numPr>
        <w:tabs>
          <w:tab w:val="left" w:pos="424"/>
        </w:tabs>
        <w:spacing w:before="57"/>
        <w:ind w:left="424" w:hanging="268"/>
        <w:rPr>
          <w:sz w:val="21"/>
        </w:rPr>
      </w:pPr>
      <w:r>
        <w:rPr>
          <w:sz w:val="21"/>
        </w:rPr>
        <w:t>What</w:t>
      </w:r>
      <w:r>
        <w:rPr>
          <w:spacing w:val="-5"/>
          <w:sz w:val="21"/>
        </w:rPr>
        <w:t xml:space="preserve"> </w:t>
      </w:r>
      <w:r>
        <w:rPr>
          <w:sz w:val="21"/>
        </w:rPr>
        <w:t>are</w:t>
      </w:r>
      <w:r>
        <w:rPr>
          <w:spacing w:val="-4"/>
          <w:sz w:val="21"/>
        </w:rPr>
        <w:t xml:space="preserve"> </w:t>
      </w:r>
      <w:r>
        <w:rPr>
          <w:sz w:val="21"/>
        </w:rPr>
        <w:t>my</w:t>
      </w:r>
      <w:r>
        <w:rPr>
          <w:spacing w:val="-4"/>
          <w:sz w:val="21"/>
        </w:rPr>
        <w:t xml:space="preserve"> </w:t>
      </w:r>
      <w:r>
        <w:rPr>
          <w:sz w:val="21"/>
        </w:rPr>
        <w:t>options?</w:t>
      </w:r>
      <w:r>
        <w:rPr>
          <w:spacing w:val="-5"/>
          <w:sz w:val="21"/>
        </w:rPr>
        <w:t xml:space="preserve"> </w:t>
      </w:r>
      <w:r>
        <w:rPr>
          <w:sz w:val="21"/>
        </w:rPr>
        <w:t>(Including</w:t>
      </w:r>
      <w:r>
        <w:rPr>
          <w:spacing w:val="-4"/>
          <w:sz w:val="21"/>
        </w:rPr>
        <w:t xml:space="preserve"> </w:t>
      </w:r>
      <w:r>
        <w:rPr>
          <w:sz w:val="21"/>
        </w:rPr>
        <w:t>wait</w:t>
      </w:r>
      <w:r>
        <w:rPr>
          <w:spacing w:val="-4"/>
          <w:sz w:val="21"/>
        </w:rPr>
        <w:t xml:space="preserve"> </w:t>
      </w:r>
      <w:r>
        <w:rPr>
          <w:sz w:val="21"/>
        </w:rPr>
        <w:t>and</w:t>
      </w:r>
      <w:r>
        <w:rPr>
          <w:spacing w:val="-4"/>
          <w:sz w:val="21"/>
        </w:rPr>
        <w:t xml:space="preserve"> </w:t>
      </w:r>
      <w:r>
        <w:rPr>
          <w:spacing w:val="-2"/>
          <w:sz w:val="21"/>
        </w:rPr>
        <w:t>watch.)</w:t>
      </w:r>
    </w:p>
    <w:p w14:paraId="28D7D39D" w14:textId="77777777" w:rsidR="009D54AF" w:rsidRDefault="00000000">
      <w:pPr>
        <w:pStyle w:val="ListParagraph"/>
        <w:numPr>
          <w:ilvl w:val="0"/>
          <w:numId w:val="31"/>
        </w:numPr>
        <w:tabs>
          <w:tab w:val="left" w:pos="424"/>
        </w:tabs>
        <w:ind w:left="424" w:hanging="268"/>
        <w:rPr>
          <w:sz w:val="21"/>
        </w:rPr>
      </w:pPr>
      <w:r>
        <w:rPr>
          <w:sz w:val="21"/>
        </w:rPr>
        <w:t>What</w:t>
      </w:r>
      <w:r>
        <w:rPr>
          <w:spacing w:val="-3"/>
          <w:sz w:val="21"/>
        </w:rPr>
        <w:t xml:space="preserve"> </w:t>
      </w:r>
      <w:r>
        <w:rPr>
          <w:sz w:val="21"/>
        </w:rPr>
        <w:t>are</w:t>
      </w:r>
      <w:r>
        <w:rPr>
          <w:spacing w:val="-1"/>
          <w:sz w:val="21"/>
        </w:rPr>
        <w:t xml:space="preserve"> </w:t>
      </w:r>
      <w:r>
        <w:rPr>
          <w:sz w:val="21"/>
        </w:rPr>
        <w:t>the possible</w:t>
      </w:r>
      <w:r>
        <w:rPr>
          <w:spacing w:val="-1"/>
          <w:sz w:val="21"/>
        </w:rPr>
        <w:t xml:space="preserve"> </w:t>
      </w:r>
      <w:r>
        <w:rPr>
          <w:sz w:val="21"/>
        </w:rPr>
        <w:t>benefits and</w:t>
      </w:r>
      <w:r>
        <w:rPr>
          <w:spacing w:val="-1"/>
          <w:sz w:val="21"/>
        </w:rPr>
        <w:t xml:space="preserve"> </w:t>
      </w:r>
      <w:r>
        <w:rPr>
          <w:sz w:val="21"/>
        </w:rPr>
        <w:t>harms of</w:t>
      </w:r>
      <w:r>
        <w:rPr>
          <w:spacing w:val="-1"/>
          <w:sz w:val="21"/>
        </w:rPr>
        <w:t xml:space="preserve"> </w:t>
      </w:r>
      <w:r>
        <w:rPr>
          <w:sz w:val="21"/>
        </w:rPr>
        <w:t xml:space="preserve">those </w:t>
      </w:r>
      <w:r>
        <w:rPr>
          <w:spacing w:val="-2"/>
          <w:sz w:val="21"/>
        </w:rPr>
        <w:t>options?</w:t>
      </w:r>
    </w:p>
    <w:p w14:paraId="7ADDFAE9" w14:textId="77777777" w:rsidR="009D54AF" w:rsidRDefault="00000000">
      <w:pPr>
        <w:pStyle w:val="ListParagraph"/>
        <w:numPr>
          <w:ilvl w:val="0"/>
          <w:numId w:val="31"/>
        </w:numPr>
        <w:tabs>
          <w:tab w:val="left" w:pos="424"/>
        </w:tabs>
        <w:ind w:left="424" w:hanging="268"/>
        <w:rPr>
          <w:sz w:val="21"/>
        </w:rPr>
      </w:pPr>
      <w:r>
        <w:rPr>
          <w:sz w:val="21"/>
        </w:rPr>
        <w:t>How</w:t>
      </w:r>
      <w:r>
        <w:rPr>
          <w:spacing w:val="-2"/>
          <w:sz w:val="21"/>
        </w:rPr>
        <w:t xml:space="preserve"> </w:t>
      </w:r>
      <w:r>
        <w:rPr>
          <w:sz w:val="21"/>
        </w:rPr>
        <w:t>likely</w:t>
      </w:r>
      <w:r>
        <w:rPr>
          <w:spacing w:val="-1"/>
          <w:sz w:val="21"/>
        </w:rPr>
        <w:t xml:space="preserve"> </w:t>
      </w:r>
      <w:r>
        <w:rPr>
          <w:sz w:val="21"/>
        </w:rPr>
        <w:t>are</w:t>
      </w:r>
      <w:r>
        <w:rPr>
          <w:spacing w:val="-1"/>
          <w:sz w:val="21"/>
        </w:rPr>
        <w:t xml:space="preserve"> </w:t>
      </w:r>
      <w:r>
        <w:rPr>
          <w:sz w:val="21"/>
        </w:rPr>
        <w:t>each</w:t>
      </w:r>
      <w:r>
        <w:rPr>
          <w:spacing w:val="-2"/>
          <w:sz w:val="21"/>
        </w:rPr>
        <w:t xml:space="preserve"> </w:t>
      </w:r>
      <w:r>
        <w:rPr>
          <w:sz w:val="21"/>
        </w:rPr>
        <w:t>of</w:t>
      </w:r>
      <w:r>
        <w:rPr>
          <w:spacing w:val="-1"/>
          <w:sz w:val="21"/>
        </w:rPr>
        <w:t xml:space="preserve"> </w:t>
      </w:r>
      <w:r>
        <w:rPr>
          <w:sz w:val="21"/>
        </w:rPr>
        <w:t>those</w:t>
      </w:r>
      <w:r>
        <w:rPr>
          <w:spacing w:val="-1"/>
          <w:sz w:val="21"/>
        </w:rPr>
        <w:t xml:space="preserve"> </w:t>
      </w:r>
      <w:r>
        <w:rPr>
          <w:sz w:val="21"/>
        </w:rPr>
        <w:t>benefits</w:t>
      </w:r>
      <w:r>
        <w:rPr>
          <w:spacing w:val="-2"/>
          <w:sz w:val="21"/>
        </w:rPr>
        <w:t xml:space="preserve"> </w:t>
      </w:r>
      <w:r>
        <w:rPr>
          <w:sz w:val="21"/>
        </w:rPr>
        <w:t>and</w:t>
      </w:r>
      <w:r>
        <w:rPr>
          <w:spacing w:val="-1"/>
          <w:sz w:val="21"/>
        </w:rPr>
        <w:t xml:space="preserve"> </w:t>
      </w:r>
      <w:r>
        <w:rPr>
          <w:sz w:val="21"/>
        </w:rPr>
        <w:t>harms</w:t>
      </w:r>
      <w:r>
        <w:rPr>
          <w:spacing w:val="-1"/>
          <w:sz w:val="21"/>
        </w:rPr>
        <w:t xml:space="preserve"> </w:t>
      </w:r>
      <w:r>
        <w:rPr>
          <w:sz w:val="21"/>
        </w:rPr>
        <w:t>to</w:t>
      </w:r>
      <w:r>
        <w:rPr>
          <w:spacing w:val="-2"/>
          <w:sz w:val="21"/>
        </w:rPr>
        <w:t xml:space="preserve"> </w:t>
      </w:r>
      <w:r>
        <w:rPr>
          <w:sz w:val="21"/>
        </w:rPr>
        <w:t>happen</w:t>
      </w:r>
      <w:r>
        <w:rPr>
          <w:spacing w:val="-1"/>
          <w:sz w:val="21"/>
        </w:rPr>
        <w:t xml:space="preserve"> </w:t>
      </w:r>
      <w:r>
        <w:rPr>
          <w:sz w:val="21"/>
        </w:rPr>
        <w:t>to</w:t>
      </w:r>
      <w:r>
        <w:rPr>
          <w:spacing w:val="-1"/>
          <w:sz w:val="21"/>
        </w:rPr>
        <w:t xml:space="preserve"> </w:t>
      </w:r>
      <w:r>
        <w:rPr>
          <w:spacing w:val="-5"/>
          <w:sz w:val="21"/>
        </w:rPr>
        <w:t>me?</w:t>
      </w:r>
    </w:p>
    <w:p w14:paraId="30EFA46C" w14:textId="77777777" w:rsidR="009D54AF" w:rsidRDefault="00000000">
      <w:pPr>
        <w:pStyle w:val="BodyText"/>
        <w:spacing w:before="209" w:line="278" w:lineRule="auto"/>
        <w:ind w:left="142" w:right="214"/>
      </w:pPr>
      <w:r>
        <w:t>The</w:t>
      </w:r>
      <w:r>
        <w:rPr>
          <w:spacing w:val="-1"/>
        </w:rPr>
        <w:t xml:space="preserve"> </w:t>
      </w:r>
      <w:r>
        <w:t>Commission</w:t>
      </w:r>
      <w:r>
        <w:rPr>
          <w:spacing w:val="-1"/>
        </w:rPr>
        <w:t xml:space="preserve"> </w:t>
      </w:r>
      <w:r>
        <w:t>has</w:t>
      </w:r>
      <w:r>
        <w:rPr>
          <w:spacing w:val="-1"/>
        </w:rPr>
        <w:t xml:space="preserve"> </w:t>
      </w:r>
      <w:r>
        <w:t>incorporated</w:t>
      </w:r>
      <w:r>
        <w:rPr>
          <w:spacing w:val="-1"/>
        </w:rPr>
        <w:t xml:space="preserve"> </w:t>
      </w:r>
      <w:r>
        <w:t>the</w:t>
      </w:r>
      <w:r>
        <w:rPr>
          <w:spacing w:val="-1"/>
        </w:rPr>
        <w:t xml:space="preserve"> </w:t>
      </w:r>
      <w:r>
        <w:t>Ask,</w:t>
      </w:r>
      <w:r>
        <w:rPr>
          <w:spacing w:val="-1"/>
        </w:rPr>
        <w:t xml:space="preserve"> </w:t>
      </w:r>
      <w:r>
        <w:t>Share,</w:t>
      </w:r>
      <w:r>
        <w:rPr>
          <w:spacing w:val="-1"/>
        </w:rPr>
        <w:t xml:space="preserve"> </w:t>
      </w:r>
      <w:r>
        <w:t>Know</w:t>
      </w:r>
      <w:r>
        <w:rPr>
          <w:spacing w:val="-1"/>
        </w:rPr>
        <w:t xml:space="preserve"> </w:t>
      </w:r>
      <w:r>
        <w:t>model</w:t>
      </w:r>
      <w:r>
        <w:rPr>
          <w:spacing w:val="-1"/>
        </w:rPr>
        <w:t xml:space="preserve"> </w:t>
      </w:r>
      <w:r>
        <w:t>and</w:t>
      </w:r>
      <w:r>
        <w:rPr>
          <w:spacing w:val="-1"/>
        </w:rPr>
        <w:t xml:space="preserve"> </w:t>
      </w:r>
      <w:r>
        <w:t>its</w:t>
      </w:r>
      <w:r>
        <w:rPr>
          <w:spacing w:val="-1"/>
        </w:rPr>
        <w:t xml:space="preserve"> </w:t>
      </w:r>
      <w:r>
        <w:t>associated</w:t>
      </w:r>
      <w:r>
        <w:rPr>
          <w:spacing w:val="-1"/>
        </w:rPr>
        <w:t xml:space="preserve"> </w:t>
      </w:r>
      <w:r>
        <w:t>resources</w:t>
      </w:r>
      <w:r>
        <w:rPr>
          <w:spacing w:val="-1"/>
        </w:rPr>
        <w:t xml:space="preserve"> </w:t>
      </w:r>
      <w:r>
        <w:t>into</w:t>
      </w:r>
      <w:r>
        <w:rPr>
          <w:spacing w:val="-1"/>
        </w:rPr>
        <w:t xml:space="preserve"> </w:t>
      </w:r>
      <w:r>
        <w:t>its</w:t>
      </w:r>
      <w:r>
        <w:rPr>
          <w:spacing w:val="-1"/>
        </w:rPr>
        <w:t xml:space="preserve"> </w:t>
      </w:r>
      <w:r>
        <w:t>website to support use across the sector.</w:t>
      </w:r>
    </w:p>
    <w:p w14:paraId="74838CBC" w14:textId="77777777" w:rsidR="009D54AF" w:rsidRDefault="009D54AF">
      <w:pPr>
        <w:pStyle w:val="BodyText"/>
        <w:spacing w:before="65"/>
      </w:pPr>
    </w:p>
    <w:p w14:paraId="57870BBC" w14:textId="77777777" w:rsidR="008F5B74" w:rsidRDefault="008F5B74">
      <w:pPr>
        <w:rPr>
          <w:b/>
          <w:bCs/>
          <w:sz w:val="30"/>
          <w:szCs w:val="30"/>
        </w:rPr>
      </w:pPr>
      <w:r>
        <w:br w:type="page"/>
      </w:r>
    </w:p>
    <w:p w14:paraId="75BB0FC4" w14:textId="66334265" w:rsidR="009D54AF" w:rsidRDefault="00000000">
      <w:pPr>
        <w:pStyle w:val="Heading5"/>
      </w:pPr>
      <w:r>
        <w:lastRenderedPageBreak/>
        <w:t xml:space="preserve">Informed </w:t>
      </w:r>
      <w:r>
        <w:rPr>
          <w:spacing w:val="-2"/>
        </w:rPr>
        <w:t>consent</w:t>
      </w:r>
    </w:p>
    <w:p w14:paraId="2458BBA1" w14:textId="77777777" w:rsidR="009D54AF" w:rsidRDefault="00000000">
      <w:pPr>
        <w:pStyle w:val="BodyText"/>
        <w:spacing w:before="133" w:line="278" w:lineRule="auto"/>
        <w:ind w:left="142" w:right="285"/>
      </w:pPr>
      <w:r>
        <w:t xml:space="preserve">The Commission has updated and aligned its guidance on informed consent to ensure a shared understanding among clinicians and patients about what consent processes and key conversations should involve. Informed consent is both a process of engagement and an outcome that </w:t>
      </w:r>
      <w:proofErr w:type="spellStart"/>
      <w:r>
        <w:t>recognises</w:t>
      </w:r>
      <w:proofErr w:type="spellEnd"/>
      <w:r>
        <w:t xml:space="preserve"> and respects patients’</w:t>
      </w:r>
      <w:r>
        <w:rPr>
          <w:spacing w:val="-2"/>
        </w:rPr>
        <w:t xml:space="preserve"> </w:t>
      </w:r>
      <w:r>
        <w:t>autonomy</w:t>
      </w:r>
      <w:r>
        <w:rPr>
          <w:spacing w:val="-2"/>
        </w:rPr>
        <w:t xml:space="preserve"> </w:t>
      </w:r>
      <w:r>
        <w:t>and</w:t>
      </w:r>
      <w:r>
        <w:rPr>
          <w:spacing w:val="-2"/>
        </w:rPr>
        <w:t xml:space="preserve"> </w:t>
      </w:r>
      <w:r>
        <w:t>healthcare</w:t>
      </w:r>
      <w:r>
        <w:rPr>
          <w:spacing w:val="-2"/>
        </w:rPr>
        <w:t xml:space="preserve"> </w:t>
      </w:r>
      <w:r>
        <w:t>rights.</w:t>
      </w:r>
      <w:r>
        <w:rPr>
          <w:spacing w:val="-2"/>
        </w:rPr>
        <w:t xml:space="preserve"> </w:t>
      </w:r>
      <w:r>
        <w:t>When</w:t>
      </w:r>
      <w:r>
        <w:rPr>
          <w:spacing w:val="-2"/>
        </w:rPr>
        <w:t xml:space="preserve"> </w:t>
      </w:r>
      <w:r>
        <w:t>done</w:t>
      </w:r>
      <w:r>
        <w:rPr>
          <w:spacing w:val="-2"/>
        </w:rPr>
        <w:t xml:space="preserve"> </w:t>
      </w:r>
      <w:r>
        <w:t>well,</w:t>
      </w:r>
      <w:r>
        <w:rPr>
          <w:spacing w:val="-2"/>
        </w:rPr>
        <w:t xml:space="preserve"> </w:t>
      </w:r>
      <w:r>
        <w:t>it</w:t>
      </w:r>
      <w:r>
        <w:rPr>
          <w:spacing w:val="-2"/>
        </w:rPr>
        <w:t xml:space="preserve"> </w:t>
      </w:r>
      <w:r>
        <w:t>contributes</w:t>
      </w:r>
      <w:r>
        <w:rPr>
          <w:spacing w:val="-2"/>
        </w:rPr>
        <w:t xml:space="preserve"> </w:t>
      </w:r>
      <w:r>
        <w:t>to</w:t>
      </w:r>
      <w:r>
        <w:rPr>
          <w:spacing w:val="-2"/>
        </w:rPr>
        <w:t xml:space="preserve"> </w:t>
      </w:r>
      <w:r>
        <w:t>high-quality</w:t>
      </w:r>
      <w:r>
        <w:rPr>
          <w:spacing w:val="-2"/>
        </w:rPr>
        <w:t xml:space="preserve"> </w:t>
      </w:r>
      <w:r>
        <w:t>care</w:t>
      </w:r>
      <w:r>
        <w:rPr>
          <w:spacing w:val="-2"/>
        </w:rPr>
        <w:t xml:space="preserve"> </w:t>
      </w:r>
      <w:r>
        <w:t>and</w:t>
      </w:r>
      <w:r>
        <w:rPr>
          <w:spacing w:val="-2"/>
        </w:rPr>
        <w:t xml:space="preserve"> </w:t>
      </w:r>
      <w:r>
        <w:t>works</w:t>
      </w:r>
      <w:r>
        <w:rPr>
          <w:spacing w:val="-2"/>
        </w:rPr>
        <w:t xml:space="preserve"> </w:t>
      </w:r>
      <w:r>
        <w:t>best when there is good communication between the patient and their healthcare professional.</w:t>
      </w:r>
    </w:p>
    <w:p w14:paraId="7B22D8D7" w14:textId="77777777" w:rsidR="009D54AF" w:rsidRDefault="00000000">
      <w:pPr>
        <w:pStyle w:val="BodyText"/>
        <w:spacing w:before="141" w:line="278" w:lineRule="auto"/>
        <w:ind w:left="142" w:right="146"/>
      </w:pPr>
      <w:r>
        <w:t>The updated guidance supports clinicians in reducing the incidence of low-value care by ensuring the provision</w:t>
      </w:r>
      <w:r>
        <w:rPr>
          <w:spacing w:val="-3"/>
        </w:rPr>
        <w:t xml:space="preserve"> </w:t>
      </w:r>
      <w:r>
        <w:t>of</w:t>
      </w:r>
      <w:r>
        <w:rPr>
          <w:spacing w:val="-3"/>
        </w:rPr>
        <w:t xml:space="preserve"> </w:t>
      </w:r>
      <w:r>
        <w:t>accessible,</w:t>
      </w:r>
      <w:r>
        <w:rPr>
          <w:spacing w:val="-3"/>
        </w:rPr>
        <w:t xml:space="preserve"> </w:t>
      </w:r>
      <w:r>
        <w:t>accurate</w:t>
      </w:r>
      <w:r>
        <w:rPr>
          <w:spacing w:val="-3"/>
        </w:rPr>
        <w:t xml:space="preserve"> </w:t>
      </w:r>
      <w:r>
        <w:t>and</w:t>
      </w:r>
      <w:r>
        <w:rPr>
          <w:spacing w:val="-3"/>
        </w:rPr>
        <w:t xml:space="preserve"> </w:t>
      </w:r>
      <w:r>
        <w:t>relevant</w:t>
      </w:r>
      <w:r>
        <w:rPr>
          <w:spacing w:val="-3"/>
        </w:rPr>
        <w:t xml:space="preserve"> </w:t>
      </w:r>
      <w:r>
        <w:t>information</w:t>
      </w:r>
      <w:r>
        <w:rPr>
          <w:spacing w:val="-3"/>
        </w:rPr>
        <w:t xml:space="preserve"> </w:t>
      </w:r>
      <w:r>
        <w:t>about</w:t>
      </w:r>
      <w:r>
        <w:rPr>
          <w:spacing w:val="-3"/>
        </w:rPr>
        <w:t xml:space="preserve"> </w:t>
      </w:r>
      <w:r>
        <w:t>the</w:t>
      </w:r>
      <w:r>
        <w:rPr>
          <w:spacing w:val="-3"/>
        </w:rPr>
        <w:t xml:space="preserve"> </w:t>
      </w:r>
      <w:r>
        <w:t>healthcare</w:t>
      </w:r>
      <w:r>
        <w:rPr>
          <w:spacing w:val="-3"/>
        </w:rPr>
        <w:t xml:space="preserve"> </w:t>
      </w:r>
      <w:r>
        <w:t>intervention,</w:t>
      </w:r>
      <w:r>
        <w:rPr>
          <w:spacing w:val="-3"/>
        </w:rPr>
        <w:t xml:space="preserve"> </w:t>
      </w:r>
      <w:r>
        <w:t>and</w:t>
      </w:r>
      <w:r>
        <w:rPr>
          <w:spacing w:val="-3"/>
        </w:rPr>
        <w:t xml:space="preserve"> </w:t>
      </w:r>
      <w:r>
        <w:t>the</w:t>
      </w:r>
      <w:r>
        <w:rPr>
          <w:spacing w:val="-3"/>
        </w:rPr>
        <w:t xml:space="preserve"> </w:t>
      </w:r>
      <w:r>
        <w:t>expected outcomes, benefits, risks and alternative options, relevant to that person, including doing nothing, watching and waiting, and/or lifestyle intervention.</w:t>
      </w:r>
    </w:p>
    <w:p w14:paraId="02E5A9A5" w14:textId="77777777" w:rsidR="009D54AF" w:rsidRDefault="00000000">
      <w:pPr>
        <w:pStyle w:val="BodyText"/>
        <w:spacing w:before="142" w:line="278" w:lineRule="auto"/>
        <w:ind w:left="142"/>
      </w:pPr>
      <w:r>
        <w:t>Patients,</w:t>
      </w:r>
      <w:r>
        <w:rPr>
          <w:spacing w:val="-1"/>
        </w:rPr>
        <w:t xml:space="preserve"> </w:t>
      </w:r>
      <w:r>
        <w:t>their</w:t>
      </w:r>
      <w:r>
        <w:rPr>
          <w:spacing w:val="-1"/>
        </w:rPr>
        <w:t xml:space="preserve"> </w:t>
      </w:r>
      <w:r>
        <w:t>families</w:t>
      </w:r>
      <w:r>
        <w:rPr>
          <w:spacing w:val="-1"/>
        </w:rPr>
        <w:t xml:space="preserve"> </w:t>
      </w:r>
      <w:r>
        <w:t>and</w:t>
      </w:r>
      <w:r>
        <w:rPr>
          <w:spacing w:val="-1"/>
        </w:rPr>
        <w:t xml:space="preserve"> </w:t>
      </w:r>
      <w:r>
        <w:t>carers</w:t>
      </w:r>
      <w:r>
        <w:rPr>
          <w:spacing w:val="-1"/>
        </w:rPr>
        <w:t xml:space="preserve"> </w:t>
      </w:r>
      <w:r>
        <w:t>are</w:t>
      </w:r>
      <w:r>
        <w:rPr>
          <w:spacing w:val="-1"/>
        </w:rPr>
        <w:t xml:space="preserve"> </w:t>
      </w:r>
      <w:r>
        <w:t>also</w:t>
      </w:r>
      <w:r>
        <w:rPr>
          <w:spacing w:val="-1"/>
        </w:rPr>
        <w:t xml:space="preserve"> </w:t>
      </w:r>
      <w:r>
        <w:t>supported</w:t>
      </w:r>
      <w:r>
        <w:rPr>
          <w:spacing w:val="-1"/>
        </w:rPr>
        <w:t xml:space="preserve"> </w:t>
      </w:r>
      <w:r>
        <w:t>to</w:t>
      </w:r>
      <w:r>
        <w:rPr>
          <w:spacing w:val="-1"/>
        </w:rPr>
        <w:t xml:space="preserve"> </w:t>
      </w:r>
      <w:r>
        <w:t>better</w:t>
      </w:r>
      <w:r>
        <w:rPr>
          <w:spacing w:val="-1"/>
        </w:rPr>
        <w:t xml:space="preserve"> </w:t>
      </w:r>
      <w:r>
        <w:t>understand</w:t>
      </w:r>
      <w:r>
        <w:rPr>
          <w:spacing w:val="-1"/>
        </w:rPr>
        <w:t xml:space="preserve"> </w:t>
      </w:r>
      <w:r>
        <w:t>healthcare</w:t>
      </w:r>
      <w:r>
        <w:rPr>
          <w:spacing w:val="-1"/>
        </w:rPr>
        <w:t xml:space="preserve"> </w:t>
      </w:r>
      <w:r>
        <w:t>consent,</w:t>
      </w:r>
      <w:r>
        <w:rPr>
          <w:spacing w:val="-1"/>
        </w:rPr>
        <w:t xml:space="preserve"> </w:t>
      </w:r>
      <w:r>
        <w:t>build</w:t>
      </w:r>
      <w:r>
        <w:rPr>
          <w:spacing w:val="-1"/>
        </w:rPr>
        <w:t xml:space="preserve"> </w:t>
      </w:r>
      <w:r>
        <w:t xml:space="preserve">their confidence to make decisions about their own health care, and effectively engage in informed consent </w:t>
      </w:r>
      <w:r>
        <w:rPr>
          <w:spacing w:val="-2"/>
        </w:rPr>
        <w:t>processes.</w:t>
      </w:r>
    </w:p>
    <w:p w14:paraId="3FA9C408" w14:textId="77777777" w:rsidR="009D54AF" w:rsidRDefault="00000000">
      <w:pPr>
        <w:pStyle w:val="BodyText"/>
        <w:spacing w:before="141" w:line="278" w:lineRule="auto"/>
        <w:ind w:left="142"/>
      </w:pPr>
      <w:r>
        <w:t>Three</w:t>
      </w:r>
      <w:r>
        <w:rPr>
          <w:spacing w:val="-3"/>
        </w:rPr>
        <w:t xml:space="preserve"> </w:t>
      </w:r>
      <w:r>
        <w:t>new</w:t>
      </w:r>
      <w:r>
        <w:rPr>
          <w:spacing w:val="-3"/>
        </w:rPr>
        <w:t xml:space="preserve"> </w:t>
      </w:r>
      <w:r>
        <w:t>fact</w:t>
      </w:r>
      <w:r>
        <w:rPr>
          <w:spacing w:val="-3"/>
        </w:rPr>
        <w:t xml:space="preserve"> </w:t>
      </w:r>
      <w:r>
        <w:t>sheets</w:t>
      </w:r>
      <w:r>
        <w:rPr>
          <w:spacing w:val="-3"/>
        </w:rPr>
        <w:t xml:space="preserve"> </w:t>
      </w:r>
      <w:r>
        <w:t>for</w:t>
      </w:r>
      <w:r>
        <w:rPr>
          <w:spacing w:val="-4"/>
        </w:rPr>
        <w:t xml:space="preserve"> </w:t>
      </w:r>
      <w:hyperlink r:id="rId65">
        <w:r>
          <w:rPr>
            <w:u w:val="single"/>
          </w:rPr>
          <w:t>clinicians</w:t>
        </w:r>
      </w:hyperlink>
      <w:r>
        <w:t>,</w:t>
      </w:r>
      <w:r>
        <w:rPr>
          <w:spacing w:val="-3"/>
        </w:rPr>
        <w:t xml:space="preserve"> </w:t>
      </w:r>
      <w:hyperlink r:id="rId66">
        <w:r>
          <w:rPr>
            <w:u w:val="single"/>
          </w:rPr>
          <w:t>patients</w:t>
        </w:r>
      </w:hyperlink>
      <w:r>
        <w:rPr>
          <w:spacing w:val="-3"/>
        </w:rPr>
        <w:t xml:space="preserve"> </w:t>
      </w:r>
      <w:r>
        <w:t>and</w:t>
      </w:r>
      <w:r>
        <w:rPr>
          <w:spacing w:val="-4"/>
        </w:rPr>
        <w:t xml:space="preserve"> </w:t>
      </w:r>
      <w:hyperlink r:id="rId67">
        <w:r>
          <w:rPr>
            <w:u w:val="single"/>
          </w:rPr>
          <w:t>substitute</w:t>
        </w:r>
        <w:r>
          <w:rPr>
            <w:spacing w:val="-3"/>
            <w:u w:val="single"/>
          </w:rPr>
          <w:t xml:space="preserve"> </w:t>
        </w:r>
        <w:r>
          <w:rPr>
            <w:u w:val="single"/>
          </w:rPr>
          <w:t>decision</w:t>
        </w:r>
        <w:r>
          <w:rPr>
            <w:spacing w:val="-3"/>
            <w:u w:val="single"/>
          </w:rPr>
          <w:t xml:space="preserve"> </w:t>
        </w:r>
        <w:r>
          <w:rPr>
            <w:u w:val="single"/>
          </w:rPr>
          <w:t>makers</w:t>
        </w:r>
      </w:hyperlink>
      <w:r>
        <w:rPr>
          <w:spacing w:val="-3"/>
        </w:rPr>
        <w:t xml:space="preserve"> </w:t>
      </w:r>
      <w:r>
        <w:t>describe</w:t>
      </w:r>
      <w:r>
        <w:rPr>
          <w:spacing w:val="-3"/>
        </w:rPr>
        <w:t xml:space="preserve"> </w:t>
      </w:r>
      <w:r>
        <w:t>the</w:t>
      </w:r>
      <w:r>
        <w:rPr>
          <w:spacing w:val="-3"/>
        </w:rPr>
        <w:t xml:space="preserve"> </w:t>
      </w:r>
      <w:r>
        <w:t>key</w:t>
      </w:r>
      <w:r>
        <w:rPr>
          <w:spacing w:val="-3"/>
        </w:rPr>
        <w:t xml:space="preserve"> </w:t>
      </w:r>
      <w:r>
        <w:t>elements</w:t>
      </w:r>
      <w:r>
        <w:rPr>
          <w:spacing w:val="-3"/>
        </w:rPr>
        <w:t xml:space="preserve"> </w:t>
      </w:r>
      <w:r>
        <w:t>of informed consent, what supports should be provided and what to expect as part of the process.</w:t>
      </w:r>
    </w:p>
    <w:p w14:paraId="6ED23D60" w14:textId="77777777" w:rsidR="009D54AF" w:rsidRDefault="009D54AF">
      <w:pPr>
        <w:pStyle w:val="BodyText"/>
        <w:spacing w:before="66"/>
      </w:pPr>
    </w:p>
    <w:p w14:paraId="12896DE2" w14:textId="77777777" w:rsidR="009D54AF" w:rsidRDefault="00000000">
      <w:pPr>
        <w:pStyle w:val="Heading5"/>
      </w:pPr>
      <w:r>
        <w:t>Person-</w:t>
      </w:r>
      <w:proofErr w:type="spellStart"/>
      <w:r>
        <w:t>centred</w:t>
      </w:r>
      <w:proofErr w:type="spellEnd"/>
      <w:r>
        <w:rPr>
          <w:spacing w:val="2"/>
        </w:rPr>
        <w:t xml:space="preserve"> </w:t>
      </w:r>
      <w:r>
        <w:rPr>
          <w:spacing w:val="-4"/>
        </w:rPr>
        <w:t>care</w:t>
      </w:r>
    </w:p>
    <w:p w14:paraId="3E519AA4" w14:textId="77777777" w:rsidR="009D54AF" w:rsidRDefault="00000000" w:rsidP="008F5B74">
      <w:pPr>
        <w:pStyle w:val="BodyText"/>
        <w:spacing w:before="133" w:line="278" w:lineRule="auto"/>
        <w:ind w:left="142"/>
      </w:pPr>
      <w:r>
        <w:t>Person-</w:t>
      </w:r>
      <w:proofErr w:type="spellStart"/>
      <w:r>
        <w:t>centred</w:t>
      </w:r>
      <w:proofErr w:type="spellEnd"/>
      <w:r>
        <w:t xml:space="preserve"> care is health care that respects the patient, their family and carers and responds to the person’s preferences, needs and values. It involves seeking out and understanding what is important to the patient,</w:t>
      </w:r>
      <w:r>
        <w:rPr>
          <w:spacing w:val="-2"/>
        </w:rPr>
        <w:t xml:space="preserve"> </w:t>
      </w:r>
      <w:r>
        <w:t>their</w:t>
      </w:r>
      <w:r>
        <w:rPr>
          <w:spacing w:val="-2"/>
        </w:rPr>
        <w:t xml:space="preserve"> </w:t>
      </w:r>
      <w:r>
        <w:t>family,</w:t>
      </w:r>
      <w:r>
        <w:rPr>
          <w:spacing w:val="-2"/>
        </w:rPr>
        <w:t xml:space="preserve"> </w:t>
      </w:r>
      <w:r>
        <w:t>carers</w:t>
      </w:r>
      <w:r>
        <w:rPr>
          <w:spacing w:val="-2"/>
        </w:rPr>
        <w:t xml:space="preserve"> </w:t>
      </w:r>
      <w:r>
        <w:t>and</w:t>
      </w:r>
      <w:r>
        <w:rPr>
          <w:spacing w:val="-2"/>
        </w:rPr>
        <w:t xml:space="preserve"> </w:t>
      </w:r>
      <w:r>
        <w:t>support</w:t>
      </w:r>
      <w:r>
        <w:rPr>
          <w:spacing w:val="-2"/>
        </w:rPr>
        <w:t xml:space="preserve"> </w:t>
      </w:r>
      <w:r>
        <w:t>people,</w:t>
      </w:r>
      <w:r>
        <w:rPr>
          <w:spacing w:val="-2"/>
        </w:rPr>
        <w:t xml:space="preserve"> </w:t>
      </w:r>
      <w:r>
        <w:t>fostering</w:t>
      </w:r>
      <w:r>
        <w:rPr>
          <w:spacing w:val="-2"/>
        </w:rPr>
        <w:t xml:space="preserve"> </w:t>
      </w:r>
      <w:r>
        <w:t>trust</w:t>
      </w:r>
      <w:r>
        <w:rPr>
          <w:spacing w:val="-2"/>
        </w:rPr>
        <w:t xml:space="preserve"> </w:t>
      </w:r>
      <w:r>
        <w:t>and</w:t>
      </w:r>
      <w:r>
        <w:rPr>
          <w:spacing w:val="-2"/>
        </w:rPr>
        <w:t xml:space="preserve"> </w:t>
      </w:r>
      <w:r>
        <w:t>establishing</w:t>
      </w:r>
      <w:r>
        <w:rPr>
          <w:spacing w:val="-2"/>
        </w:rPr>
        <w:t xml:space="preserve"> </w:t>
      </w:r>
      <w:r>
        <w:t>mutual</w:t>
      </w:r>
      <w:r>
        <w:rPr>
          <w:spacing w:val="-2"/>
        </w:rPr>
        <w:t xml:space="preserve"> </w:t>
      </w:r>
      <w:r>
        <w:t>respect.</w:t>
      </w:r>
      <w:r>
        <w:rPr>
          <w:spacing w:val="-2"/>
        </w:rPr>
        <w:t xml:space="preserve"> </w:t>
      </w:r>
      <w:r>
        <w:t>It</w:t>
      </w:r>
      <w:r>
        <w:rPr>
          <w:spacing w:val="-2"/>
        </w:rPr>
        <w:t xml:space="preserve"> </w:t>
      </w:r>
      <w:r>
        <w:t>also</w:t>
      </w:r>
      <w:r>
        <w:rPr>
          <w:spacing w:val="-2"/>
        </w:rPr>
        <w:t xml:space="preserve"> </w:t>
      </w:r>
      <w:r>
        <w:t>means working together to make decisions and determine goals of care.</w:t>
      </w:r>
    </w:p>
    <w:p w14:paraId="5BA65646" w14:textId="77777777" w:rsidR="009D54AF" w:rsidRDefault="00000000">
      <w:pPr>
        <w:pStyle w:val="BodyText"/>
        <w:spacing w:before="141" w:line="278" w:lineRule="auto"/>
        <w:ind w:left="142" w:right="214"/>
      </w:pPr>
      <w:r>
        <w:t>A webinar was held on International Day for People with Disability 2025, titled ‘Inclusive health care for people with intellectual disability’ as part of the person-</w:t>
      </w:r>
      <w:proofErr w:type="spellStart"/>
      <w:r>
        <w:t>centred</w:t>
      </w:r>
      <w:proofErr w:type="spellEnd"/>
      <w:r>
        <w:t xml:space="preserve"> care in practice series. The webinar explored how </w:t>
      </w:r>
      <w:proofErr w:type="spellStart"/>
      <w:r>
        <w:t>personalised</w:t>
      </w:r>
      <w:proofErr w:type="spellEnd"/>
      <w:r>
        <w:t xml:space="preserve"> adjustments can support safe, high-quality, person-</w:t>
      </w:r>
      <w:proofErr w:type="spellStart"/>
      <w:r>
        <w:t>centred</w:t>
      </w:r>
      <w:proofErr w:type="spellEnd"/>
      <w:r>
        <w:t xml:space="preserve"> care for people with intellectual disability. It included presentations from the Queensland Centre of Excellence in Intellectual Disability and Autism Health and the Southern Adelaide Local Health Network.</w:t>
      </w:r>
    </w:p>
    <w:p w14:paraId="1748AD53" w14:textId="77777777" w:rsidR="009D54AF" w:rsidRDefault="00000000">
      <w:pPr>
        <w:pStyle w:val="BodyText"/>
        <w:spacing w:before="141" w:line="278" w:lineRule="auto"/>
        <w:ind w:left="142" w:right="285"/>
      </w:pPr>
      <w:r>
        <w:t xml:space="preserve">In addition, two issues of the </w:t>
      </w:r>
      <w:hyperlink r:id="rId68">
        <w:r>
          <w:rPr>
            <w:u w:val="single"/>
          </w:rPr>
          <w:t>Person-</w:t>
        </w:r>
        <w:proofErr w:type="spellStart"/>
        <w:r>
          <w:rPr>
            <w:u w:val="single"/>
          </w:rPr>
          <w:t>centred</w:t>
        </w:r>
        <w:proofErr w:type="spellEnd"/>
        <w:r>
          <w:rPr>
            <w:u w:val="single"/>
          </w:rPr>
          <w:t xml:space="preserve"> care insights</w:t>
        </w:r>
      </w:hyperlink>
      <w:r>
        <w:t xml:space="preserve"> newsletter were released in 2025–26. These newsletters</w:t>
      </w:r>
      <w:r>
        <w:rPr>
          <w:spacing w:val="-1"/>
        </w:rPr>
        <w:t xml:space="preserve"> </w:t>
      </w:r>
      <w:r>
        <w:t>highlight</w:t>
      </w:r>
      <w:r>
        <w:rPr>
          <w:spacing w:val="-1"/>
        </w:rPr>
        <w:t xml:space="preserve"> </w:t>
      </w:r>
      <w:r>
        <w:t>resources,</w:t>
      </w:r>
      <w:r>
        <w:rPr>
          <w:spacing w:val="-1"/>
        </w:rPr>
        <w:t xml:space="preserve"> </w:t>
      </w:r>
      <w:r>
        <w:t>events,</w:t>
      </w:r>
      <w:r>
        <w:rPr>
          <w:spacing w:val="-1"/>
        </w:rPr>
        <w:t xml:space="preserve"> </w:t>
      </w:r>
      <w:r>
        <w:t>training</w:t>
      </w:r>
      <w:r>
        <w:rPr>
          <w:spacing w:val="-1"/>
        </w:rPr>
        <w:t xml:space="preserve"> </w:t>
      </w:r>
      <w:r>
        <w:t>opportunities</w:t>
      </w:r>
      <w:r>
        <w:rPr>
          <w:spacing w:val="-1"/>
        </w:rPr>
        <w:t xml:space="preserve"> </w:t>
      </w:r>
      <w:r>
        <w:t>and</w:t>
      </w:r>
      <w:r>
        <w:rPr>
          <w:spacing w:val="-1"/>
        </w:rPr>
        <w:t xml:space="preserve"> </w:t>
      </w:r>
      <w:r>
        <w:t>new</w:t>
      </w:r>
      <w:r>
        <w:rPr>
          <w:spacing w:val="-1"/>
        </w:rPr>
        <w:t xml:space="preserve"> </w:t>
      </w:r>
      <w:r>
        <w:t>initiatives</w:t>
      </w:r>
      <w:r>
        <w:rPr>
          <w:spacing w:val="-1"/>
        </w:rPr>
        <w:t xml:space="preserve"> </w:t>
      </w:r>
      <w:r>
        <w:t>in</w:t>
      </w:r>
      <w:r>
        <w:rPr>
          <w:spacing w:val="-1"/>
        </w:rPr>
        <w:t xml:space="preserve"> </w:t>
      </w:r>
      <w:r>
        <w:t>person-</w:t>
      </w:r>
      <w:proofErr w:type="spellStart"/>
      <w:r>
        <w:t>centred</w:t>
      </w:r>
      <w:proofErr w:type="spellEnd"/>
      <w:r>
        <w:rPr>
          <w:spacing w:val="-1"/>
        </w:rPr>
        <w:t xml:space="preserve"> </w:t>
      </w:r>
      <w:r>
        <w:t>care</w:t>
      </w:r>
      <w:r>
        <w:rPr>
          <w:spacing w:val="-1"/>
        </w:rPr>
        <w:t xml:space="preserve"> </w:t>
      </w:r>
      <w:r>
        <w:t>and are shared to a network of more than 6,000 members. The newsletters support healthcare professionals to build person-</w:t>
      </w:r>
      <w:proofErr w:type="spellStart"/>
      <w:r>
        <w:t>centred</w:t>
      </w:r>
      <w:proofErr w:type="spellEnd"/>
      <w:r>
        <w:t xml:space="preserve"> cultures within their </w:t>
      </w:r>
      <w:proofErr w:type="spellStart"/>
      <w:r>
        <w:t>organisations</w:t>
      </w:r>
      <w:proofErr w:type="spellEnd"/>
      <w:r>
        <w:t xml:space="preserve"> and enable cross-collaboration, including sharing innovative approaches to care.</w:t>
      </w:r>
    </w:p>
    <w:p w14:paraId="5A2E0039" w14:textId="77777777" w:rsidR="009D54AF" w:rsidRDefault="009D54AF">
      <w:pPr>
        <w:pStyle w:val="BodyText"/>
        <w:spacing w:before="63"/>
      </w:pPr>
    </w:p>
    <w:p w14:paraId="31CB77F4" w14:textId="77777777" w:rsidR="009D54AF" w:rsidRDefault="00000000">
      <w:pPr>
        <w:pStyle w:val="Heading7"/>
      </w:pPr>
      <w:r>
        <w:t>Easy</w:t>
      </w:r>
      <w:r>
        <w:rPr>
          <w:spacing w:val="-3"/>
        </w:rPr>
        <w:t xml:space="preserve"> </w:t>
      </w:r>
      <w:r>
        <w:t>Read</w:t>
      </w:r>
      <w:r>
        <w:rPr>
          <w:spacing w:val="-2"/>
        </w:rPr>
        <w:t xml:space="preserve"> </w:t>
      </w:r>
      <w:r>
        <w:t>fact</w:t>
      </w:r>
      <w:r>
        <w:rPr>
          <w:spacing w:val="-2"/>
        </w:rPr>
        <w:t xml:space="preserve"> sheets</w:t>
      </w:r>
    </w:p>
    <w:p w14:paraId="65C59F09" w14:textId="77777777" w:rsidR="009D54AF" w:rsidRDefault="00000000">
      <w:pPr>
        <w:pStyle w:val="BodyText"/>
        <w:spacing w:before="141" w:line="278" w:lineRule="auto"/>
        <w:ind w:left="142" w:right="448"/>
      </w:pPr>
      <w:r>
        <w:t>Easy</w:t>
      </w:r>
      <w:r>
        <w:rPr>
          <w:spacing w:val="-3"/>
        </w:rPr>
        <w:t xml:space="preserve"> </w:t>
      </w:r>
      <w:r>
        <w:t>Read</w:t>
      </w:r>
      <w:r>
        <w:rPr>
          <w:spacing w:val="-3"/>
        </w:rPr>
        <w:t xml:space="preserve"> </w:t>
      </w:r>
      <w:r>
        <w:t>is</w:t>
      </w:r>
      <w:r>
        <w:rPr>
          <w:spacing w:val="-3"/>
        </w:rPr>
        <w:t xml:space="preserve"> </w:t>
      </w:r>
      <w:r>
        <w:t>an</w:t>
      </w:r>
      <w:r>
        <w:rPr>
          <w:spacing w:val="-3"/>
        </w:rPr>
        <w:t xml:space="preserve"> </w:t>
      </w:r>
      <w:r>
        <w:t>accessible</w:t>
      </w:r>
      <w:r>
        <w:rPr>
          <w:spacing w:val="-3"/>
        </w:rPr>
        <w:t xml:space="preserve"> </w:t>
      </w:r>
      <w:r>
        <w:t>way</w:t>
      </w:r>
      <w:r>
        <w:rPr>
          <w:spacing w:val="-3"/>
        </w:rPr>
        <w:t xml:space="preserve"> </w:t>
      </w:r>
      <w:r>
        <w:t>of</w:t>
      </w:r>
      <w:r>
        <w:rPr>
          <w:spacing w:val="-3"/>
        </w:rPr>
        <w:t xml:space="preserve"> </w:t>
      </w:r>
      <w:r>
        <w:t>providing</w:t>
      </w:r>
      <w:r>
        <w:rPr>
          <w:spacing w:val="-3"/>
        </w:rPr>
        <w:t xml:space="preserve"> </w:t>
      </w:r>
      <w:r>
        <w:t>information</w:t>
      </w:r>
      <w:r>
        <w:rPr>
          <w:spacing w:val="-3"/>
        </w:rPr>
        <w:t xml:space="preserve"> </w:t>
      </w:r>
      <w:r>
        <w:t>using</w:t>
      </w:r>
      <w:r>
        <w:rPr>
          <w:spacing w:val="-3"/>
        </w:rPr>
        <w:t xml:space="preserve"> </w:t>
      </w:r>
      <w:r>
        <w:t>a</w:t>
      </w:r>
      <w:r>
        <w:rPr>
          <w:spacing w:val="-3"/>
        </w:rPr>
        <w:t xml:space="preserve"> </w:t>
      </w:r>
      <w:r>
        <w:t>simple</w:t>
      </w:r>
      <w:r>
        <w:rPr>
          <w:spacing w:val="-3"/>
        </w:rPr>
        <w:t xml:space="preserve"> </w:t>
      </w:r>
      <w:r>
        <w:t>layout</w:t>
      </w:r>
      <w:r>
        <w:rPr>
          <w:spacing w:val="-3"/>
        </w:rPr>
        <w:t xml:space="preserve"> </w:t>
      </w:r>
      <w:r>
        <w:t>with</w:t>
      </w:r>
      <w:r>
        <w:rPr>
          <w:spacing w:val="-3"/>
        </w:rPr>
        <w:t xml:space="preserve"> </w:t>
      </w:r>
      <w:r>
        <w:t>text</w:t>
      </w:r>
      <w:r>
        <w:rPr>
          <w:spacing w:val="-3"/>
        </w:rPr>
        <w:t xml:space="preserve"> </w:t>
      </w:r>
      <w:r>
        <w:t>and</w:t>
      </w:r>
      <w:r>
        <w:rPr>
          <w:spacing w:val="-3"/>
        </w:rPr>
        <w:t xml:space="preserve"> </w:t>
      </w:r>
      <w:r>
        <w:t>images.</w:t>
      </w:r>
      <w:r>
        <w:rPr>
          <w:spacing w:val="-3"/>
        </w:rPr>
        <w:t xml:space="preserve"> </w:t>
      </w:r>
      <w:r>
        <w:t xml:space="preserve">Easy Read can assist in providing information to people with intellectual disability and is also useful for people with English as a second language, older Australians, people with low literacy, and people with learning </w:t>
      </w:r>
      <w:r>
        <w:rPr>
          <w:spacing w:val="-2"/>
        </w:rPr>
        <w:t>disabilities.</w:t>
      </w:r>
    </w:p>
    <w:p w14:paraId="6972FC7A" w14:textId="77777777" w:rsidR="009D54AF" w:rsidRDefault="00000000">
      <w:pPr>
        <w:spacing w:before="141" w:line="278" w:lineRule="auto"/>
        <w:ind w:left="142" w:right="214"/>
        <w:rPr>
          <w:sz w:val="21"/>
        </w:rPr>
      </w:pPr>
      <w:r>
        <w:rPr>
          <w:sz w:val="21"/>
        </w:rPr>
        <w:t>In</w:t>
      </w:r>
      <w:r>
        <w:rPr>
          <w:spacing w:val="-1"/>
          <w:sz w:val="21"/>
        </w:rPr>
        <w:t xml:space="preserve"> </w:t>
      </w:r>
      <w:r>
        <w:rPr>
          <w:sz w:val="21"/>
        </w:rPr>
        <w:t>2025–26,</w:t>
      </w:r>
      <w:r>
        <w:rPr>
          <w:spacing w:val="-1"/>
          <w:sz w:val="21"/>
        </w:rPr>
        <w:t xml:space="preserve"> </w:t>
      </w:r>
      <w:r>
        <w:rPr>
          <w:sz w:val="21"/>
        </w:rPr>
        <w:t>three</w:t>
      </w:r>
      <w:r>
        <w:rPr>
          <w:spacing w:val="-1"/>
          <w:sz w:val="21"/>
        </w:rPr>
        <w:t xml:space="preserve"> </w:t>
      </w:r>
      <w:r>
        <w:rPr>
          <w:sz w:val="21"/>
        </w:rPr>
        <w:t>new</w:t>
      </w:r>
      <w:r>
        <w:rPr>
          <w:spacing w:val="-1"/>
          <w:sz w:val="21"/>
        </w:rPr>
        <w:t xml:space="preserve"> </w:t>
      </w:r>
      <w:r>
        <w:rPr>
          <w:sz w:val="21"/>
        </w:rPr>
        <w:t>Easy</w:t>
      </w:r>
      <w:r>
        <w:rPr>
          <w:spacing w:val="-1"/>
          <w:sz w:val="21"/>
        </w:rPr>
        <w:t xml:space="preserve"> </w:t>
      </w:r>
      <w:r>
        <w:rPr>
          <w:sz w:val="21"/>
        </w:rPr>
        <w:t>Read</w:t>
      </w:r>
      <w:r>
        <w:rPr>
          <w:spacing w:val="-1"/>
          <w:sz w:val="21"/>
        </w:rPr>
        <w:t xml:space="preserve"> </w:t>
      </w:r>
      <w:r>
        <w:rPr>
          <w:sz w:val="21"/>
        </w:rPr>
        <w:t>documents</w:t>
      </w:r>
      <w:r>
        <w:rPr>
          <w:spacing w:val="-1"/>
          <w:sz w:val="21"/>
        </w:rPr>
        <w:t xml:space="preserve"> </w:t>
      </w:r>
      <w:r>
        <w:rPr>
          <w:sz w:val="21"/>
        </w:rPr>
        <w:t>were</w:t>
      </w:r>
      <w:r>
        <w:rPr>
          <w:spacing w:val="-1"/>
          <w:sz w:val="21"/>
        </w:rPr>
        <w:t xml:space="preserve"> </w:t>
      </w:r>
      <w:r>
        <w:rPr>
          <w:sz w:val="21"/>
        </w:rPr>
        <w:t>developed</w:t>
      </w:r>
      <w:r>
        <w:rPr>
          <w:spacing w:val="-1"/>
          <w:sz w:val="21"/>
        </w:rPr>
        <w:t xml:space="preserve"> </w:t>
      </w:r>
      <w:r>
        <w:rPr>
          <w:sz w:val="21"/>
        </w:rPr>
        <w:t>to</w:t>
      </w:r>
      <w:r>
        <w:rPr>
          <w:spacing w:val="-1"/>
          <w:sz w:val="21"/>
        </w:rPr>
        <w:t xml:space="preserve"> </w:t>
      </w:r>
      <w:r>
        <w:rPr>
          <w:sz w:val="21"/>
        </w:rPr>
        <w:t>be</w:t>
      </w:r>
      <w:r>
        <w:rPr>
          <w:spacing w:val="-1"/>
          <w:sz w:val="21"/>
        </w:rPr>
        <w:t xml:space="preserve"> </w:t>
      </w:r>
      <w:r>
        <w:rPr>
          <w:sz w:val="21"/>
        </w:rPr>
        <w:t>used</w:t>
      </w:r>
      <w:r>
        <w:rPr>
          <w:spacing w:val="-1"/>
          <w:sz w:val="21"/>
        </w:rPr>
        <w:t xml:space="preserve"> </w:t>
      </w:r>
      <w:r>
        <w:rPr>
          <w:sz w:val="21"/>
        </w:rPr>
        <w:t>in</w:t>
      </w:r>
      <w:r>
        <w:rPr>
          <w:spacing w:val="-1"/>
          <w:sz w:val="21"/>
        </w:rPr>
        <w:t xml:space="preserve"> </w:t>
      </w:r>
      <w:r>
        <w:rPr>
          <w:sz w:val="21"/>
        </w:rPr>
        <w:t>conjunction</w:t>
      </w:r>
      <w:r>
        <w:rPr>
          <w:spacing w:val="-1"/>
          <w:sz w:val="21"/>
        </w:rPr>
        <w:t xml:space="preserve"> </w:t>
      </w:r>
      <w:r>
        <w:rPr>
          <w:sz w:val="21"/>
        </w:rPr>
        <w:t>with</w:t>
      </w:r>
      <w:r>
        <w:rPr>
          <w:spacing w:val="-1"/>
          <w:sz w:val="21"/>
        </w:rPr>
        <w:t xml:space="preserve"> </w:t>
      </w:r>
      <w:r>
        <w:rPr>
          <w:sz w:val="21"/>
        </w:rPr>
        <w:t>the</w:t>
      </w:r>
      <w:r>
        <w:rPr>
          <w:spacing w:val="-2"/>
          <w:sz w:val="21"/>
        </w:rPr>
        <w:t xml:space="preserve"> </w:t>
      </w:r>
      <w:hyperlink r:id="rId69">
        <w:r>
          <w:rPr>
            <w:i/>
            <w:sz w:val="21"/>
            <w:u w:val="single"/>
          </w:rPr>
          <w:t>User</w:t>
        </w:r>
        <w:r>
          <w:rPr>
            <w:i/>
            <w:spacing w:val="-1"/>
            <w:sz w:val="21"/>
            <w:u w:val="single"/>
          </w:rPr>
          <w:t xml:space="preserve"> </w:t>
        </w:r>
        <w:r>
          <w:rPr>
            <w:i/>
            <w:sz w:val="21"/>
            <w:u w:val="single"/>
          </w:rPr>
          <w:t>Guide</w:t>
        </w:r>
        <w:r>
          <w:rPr>
            <w:i/>
            <w:spacing w:val="-1"/>
            <w:sz w:val="21"/>
            <w:u w:val="single"/>
          </w:rPr>
          <w:t xml:space="preserve"> </w:t>
        </w:r>
      </w:hyperlink>
      <w:r>
        <w:rPr>
          <w:i/>
          <w:spacing w:val="-1"/>
          <w:sz w:val="21"/>
        </w:rPr>
        <w:t xml:space="preserve"> </w:t>
      </w:r>
      <w:hyperlink r:id="rId70">
        <w:r>
          <w:rPr>
            <w:i/>
            <w:sz w:val="21"/>
            <w:u w:val="single"/>
          </w:rPr>
          <w:t>for the Health Care of People with Intellectual Disability</w:t>
        </w:r>
      </w:hyperlink>
      <w:r>
        <w:rPr>
          <w:sz w:val="21"/>
        </w:rPr>
        <w:t xml:space="preserve">, to explain the topics of </w:t>
      </w:r>
      <w:hyperlink r:id="rId71">
        <w:r>
          <w:rPr>
            <w:sz w:val="21"/>
            <w:u w:val="single"/>
          </w:rPr>
          <w:t>polypharmacy</w:t>
        </w:r>
      </w:hyperlink>
      <w:r>
        <w:rPr>
          <w:sz w:val="21"/>
        </w:rPr>
        <w:t xml:space="preserve">, </w:t>
      </w:r>
      <w:hyperlink r:id="rId72">
        <w:r>
          <w:rPr>
            <w:sz w:val="21"/>
            <w:u w:val="single"/>
          </w:rPr>
          <w:t xml:space="preserve">transitions of </w:t>
        </w:r>
      </w:hyperlink>
      <w:r>
        <w:rPr>
          <w:sz w:val="21"/>
        </w:rPr>
        <w:t xml:space="preserve"> </w:t>
      </w:r>
      <w:hyperlink r:id="rId73">
        <w:r>
          <w:rPr>
            <w:sz w:val="21"/>
            <w:u w:val="single"/>
          </w:rPr>
          <w:t>care</w:t>
        </w:r>
      </w:hyperlink>
      <w:r>
        <w:rPr>
          <w:sz w:val="21"/>
        </w:rPr>
        <w:t xml:space="preserve"> and </w:t>
      </w:r>
      <w:hyperlink r:id="rId74">
        <w:r>
          <w:rPr>
            <w:sz w:val="21"/>
            <w:u w:val="single"/>
          </w:rPr>
          <w:t xml:space="preserve">good communication and positive </w:t>
        </w:r>
        <w:proofErr w:type="spellStart"/>
        <w:r>
          <w:rPr>
            <w:sz w:val="21"/>
            <w:u w:val="single"/>
          </w:rPr>
          <w:t>behaviour</w:t>
        </w:r>
        <w:proofErr w:type="spellEnd"/>
        <w:r>
          <w:rPr>
            <w:sz w:val="21"/>
            <w:u w:val="single"/>
          </w:rPr>
          <w:t xml:space="preserve"> support</w:t>
        </w:r>
      </w:hyperlink>
      <w:r>
        <w:rPr>
          <w:sz w:val="21"/>
        </w:rPr>
        <w:t>.</w:t>
      </w:r>
    </w:p>
    <w:p w14:paraId="7B4CB6D9" w14:textId="77777777" w:rsidR="009D54AF" w:rsidRDefault="00000000">
      <w:pPr>
        <w:pStyle w:val="BodyText"/>
        <w:spacing w:before="142" w:line="278" w:lineRule="auto"/>
        <w:ind w:left="142"/>
      </w:pPr>
      <w:r>
        <w:t>An</w:t>
      </w:r>
      <w:r>
        <w:rPr>
          <w:spacing w:val="-2"/>
        </w:rPr>
        <w:t xml:space="preserve"> </w:t>
      </w:r>
      <w:r>
        <w:t>Easy</w:t>
      </w:r>
      <w:r>
        <w:rPr>
          <w:spacing w:val="-2"/>
        </w:rPr>
        <w:t xml:space="preserve"> </w:t>
      </w:r>
      <w:r>
        <w:t>Read</w:t>
      </w:r>
      <w:r>
        <w:rPr>
          <w:spacing w:val="-2"/>
        </w:rPr>
        <w:t xml:space="preserve"> </w:t>
      </w:r>
      <w:r>
        <w:t>resource</w:t>
      </w:r>
      <w:r>
        <w:rPr>
          <w:spacing w:val="-2"/>
        </w:rPr>
        <w:t xml:space="preserve"> </w:t>
      </w:r>
      <w:r>
        <w:t>–</w:t>
      </w:r>
      <w:r>
        <w:rPr>
          <w:spacing w:val="-2"/>
        </w:rPr>
        <w:t xml:space="preserve"> </w:t>
      </w:r>
      <w:hyperlink r:id="rId75">
        <w:r>
          <w:rPr>
            <w:u w:val="single"/>
          </w:rPr>
          <w:t>Could</w:t>
        </w:r>
        <w:r>
          <w:rPr>
            <w:spacing w:val="-2"/>
            <w:u w:val="single"/>
          </w:rPr>
          <w:t xml:space="preserve"> </w:t>
        </w:r>
        <w:r>
          <w:rPr>
            <w:u w:val="single"/>
          </w:rPr>
          <w:t>it</w:t>
        </w:r>
        <w:r>
          <w:rPr>
            <w:spacing w:val="-2"/>
            <w:u w:val="single"/>
          </w:rPr>
          <w:t xml:space="preserve"> </w:t>
        </w:r>
        <w:r>
          <w:rPr>
            <w:u w:val="single"/>
          </w:rPr>
          <w:t>be</w:t>
        </w:r>
        <w:r>
          <w:rPr>
            <w:spacing w:val="-2"/>
            <w:u w:val="single"/>
          </w:rPr>
          <w:t xml:space="preserve"> </w:t>
        </w:r>
        <w:r>
          <w:rPr>
            <w:u w:val="single"/>
          </w:rPr>
          <w:t>sepsis?</w:t>
        </w:r>
      </w:hyperlink>
      <w:r>
        <w:rPr>
          <w:spacing w:val="-2"/>
        </w:rPr>
        <w:t xml:space="preserve"> </w:t>
      </w:r>
      <w:r>
        <w:t>–</w:t>
      </w:r>
      <w:r>
        <w:rPr>
          <w:spacing w:val="-2"/>
        </w:rPr>
        <w:t xml:space="preserve"> </w:t>
      </w:r>
      <w:r>
        <w:t>was</w:t>
      </w:r>
      <w:r>
        <w:rPr>
          <w:spacing w:val="-2"/>
        </w:rPr>
        <w:t xml:space="preserve"> </w:t>
      </w:r>
      <w:r>
        <w:t>also</w:t>
      </w:r>
      <w:r>
        <w:rPr>
          <w:spacing w:val="-2"/>
        </w:rPr>
        <w:t xml:space="preserve"> </w:t>
      </w:r>
      <w:r>
        <w:t>developed</w:t>
      </w:r>
      <w:r>
        <w:rPr>
          <w:spacing w:val="-2"/>
        </w:rPr>
        <w:t xml:space="preserve"> </w:t>
      </w:r>
      <w:r>
        <w:t>to</w:t>
      </w:r>
      <w:r>
        <w:rPr>
          <w:spacing w:val="-2"/>
        </w:rPr>
        <w:t xml:space="preserve"> </w:t>
      </w:r>
      <w:r>
        <w:t>help</w:t>
      </w:r>
      <w:r>
        <w:rPr>
          <w:spacing w:val="-2"/>
        </w:rPr>
        <w:t xml:space="preserve"> </w:t>
      </w:r>
      <w:r>
        <w:t>people</w:t>
      </w:r>
      <w:r>
        <w:rPr>
          <w:spacing w:val="-2"/>
        </w:rPr>
        <w:t xml:space="preserve"> </w:t>
      </w:r>
      <w:r>
        <w:t>understand</w:t>
      </w:r>
      <w:r>
        <w:rPr>
          <w:spacing w:val="-2"/>
        </w:rPr>
        <w:t xml:space="preserve"> </w:t>
      </w:r>
      <w:r>
        <w:t>the</w:t>
      </w:r>
      <w:r>
        <w:rPr>
          <w:spacing w:val="-2"/>
        </w:rPr>
        <w:t xml:space="preserve"> </w:t>
      </w:r>
      <w:r>
        <w:t>signs</w:t>
      </w:r>
      <w:r>
        <w:rPr>
          <w:spacing w:val="-2"/>
        </w:rPr>
        <w:t xml:space="preserve"> </w:t>
      </w:r>
      <w:r>
        <w:t>and symptoms of sepsis and what to do if they are worried about sepsis.</w:t>
      </w:r>
    </w:p>
    <w:p w14:paraId="288DCB55" w14:textId="77777777" w:rsidR="008F5B74" w:rsidRDefault="008F5B74">
      <w:pPr>
        <w:rPr>
          <w:b/>
          <w:bCs/>
          <w:sz w:val="26"/>
          <w:szCs w:val="26"/>
        </w:rPr>
      </w:pPr>
      <w:r>
        <w:br w:type="page"/>
      </w:r>
    </w:p>
    <w:p w14:paraId="771C8B87" w14:textId="7A0EE5AB" w:rsidR="009D54AF" w:rsidRDefault="00000000">
      <w:pPr>
        <w:pStyle w:val="Heading7"/>
      </w:pPr>
      <w:r>
        <w:lastRenderedPageBreak/>
        <w:t>Patient-reported</w:t>
      </w:r>
      <w:r>
        <w:rPr>
          <w:spacing w:val="-1"/>
        </w:rPr>
        <w:t xml:space="preserve"> </w:t>
      </w:r>
      <w:r>
        <w:t>experience</w:t>
      </w:r>
      <w:r>
        <w:rPr>
          <w:spacing w:val="2"/>
        </w:rPr>
        <w:t xml:space="preserve"> </w:t>
      </w:r>
      <w:r>
        <w:t>and</w:t>
      </w:r>
      <w:r>
        <w:rPr>
          <w:spacing w:val="1"/>
        </w:rPr>
        <w:t xml:space="preserve"> </w:t>
      </w:r>
      <w:r>
        <w:t>outcome</w:t>
      </w:r>
      <w:r>
        <w:rPr>
          <w:spacing w:val="2"/>
        </w:rPr>
        <w:t xml:space="preserve"> </w:t>
      </w:r>
      <w:r>
        <w:rPr>
          <w:spacing w:val="-2"/>
        </w:rPr>
        <w:t>measures</w:t>
      </w:r>
    </w:p>
    <w:p w14:paraId="1D21C1AA" w14:textId="77777777" w:rsidR="009D54AF" w:rsidRDefault="00000000">
      <w:pPr>
        <w:pStyle w:val="BodyText"/>
        <w:spacing w:before="141" w:line="278" w:lineRule="auto"/>
        <w:ind w:left="142" w:right="214"/>
      </w:pPr>
      <w:r>
        <w:t>In 2025–26 the Commission has continued to support the development and use of patient-reported experience</w:t>
      </w:r>
      <w:r>
        <w:rPr>
          <w:spacing w:val="-4"/>
        </w:rPr>
        <w:t xml:space="preserve"> </w:t>
      </w:r>
      <w:r>
        <w:t>and</w:t>
      </w:r>
      <w:r>
        <w:rPr>
          <w:spacing w:val="-4"/>
        </w:rPr>
        <w:t xml:space="preserve"> </w:t>
      </w:r>
      <w:r>
        <w:t>outcome</w:t>
      </w:r>
      <w:r>
        <w:rPr>
          <w:spacing w:val="-4"/>
        </w:rPr>
        <w:t xml:space="preserve"> </w:t>
      </w:r>
      <w:r>
        <w:t>measures</w:t>
      </w:r>
      <w:r>
        <w:rPr>
          <w:spacing w:val="-4"/>
        </w:rPr>
        <w:t xml:space="preserve"> </w:t>
      </w:r>
      <w:r>
        <w:t>(PREMs</w:t>
      </w:r>
      <w:r>
        <w:rPr>
          <w:spacing w:val="-4"/>
        </w:rPr>
        <w:t xml:space="preserve"> </w:t>
      </w:r>
      <w:r>
        <w:t>and</w:t>
      </w:r>
      <w:r>
        <w:rPr>
          <w:spacing w:val="-4"/>
        </w:rPr>
        <w:t xml:space="preserve"> </w:t>
      </w:r>
      <w:r>
        <w:t>PROMs).</w:t>
      </w:r>
      <w:r>
        <w:rPr>
          <w:spacing w:val="-4"/>
        </w:rPr>
        <w:t xml:space="preserve"> </w:t>
      </w:r>
      <w:r>
        <w:t>These</w:t>
      </w:r>
      <w:r>
        <w:rPr>
          <w:spacing w:val="-4"/>
        </w:rPr>
        <w:t xml:space="preserve"> </w:t>
      </w:r>
      <w:r>
        <w:t>tools</w:t>
      </w:r>
      <w:r>
        <w:rPr>
          <w:spacing w:val="-4"/>
        </w:rPr>
        <w:t xml:space="preserve"> </w:t>
      </w:r>
      <w:r>
        <w:t>integrate</w:t>
      </w:r>
      <w:r>
        <w:rPr>
          <w:spacing w:val="-4"/>
        </w:rPr>
        <w:t xml:space="preserve"> </w:t>
      </w:r>
      <w:r>
        <w:t>the</w:t>
      </w:r>
      <w:r>
        <w:rPr>
          <w:spacing w:val="-4"/>
        </w:rPr>
        <w:t xml:space="preserve"> </w:t>
      </w:r>
      <w:r>
        <w:t>patient</w:t>
      </w:r>
      <w:r>
        <w:rPr>
          <w:spacing w:val="-4"/>
        </w:rPr>
        <w:t xml:space="preserve"> </w:t>
      </w:r>
      <w:r>
        <w:t>voice</w:t>
      </w:r>
      <w:r>
        <w:rPr>
          <w:spacing w:val="-4"/>
        </w:rPr>
        <w:t xml:space="preserve"> </w:t>
      </w:r>
      <w:r>
        <w:t>into</w:t>
      </w:r>
      <w:r>
        <w:rPr>
          <w:spacing w:val="-4"/>
        </w:rPr>
        <w:t xml:space="preserve"> </w:t>
      </w:r>
      <w:r>
        <w:t>quality assessment and capture information on outcomes that only patients can report.</w:t>
      </w:r>
    </w:p>
    <w:p w14:paraId="330F67E8" w14:textId="77777777" w:rsidR="009D54AF" w:rsidRDefault="00000000">
      <w:pPr>
        <w:pStyle w:val="BodyText"/>
        <w:spacing w:before="142" w:line="278" w:lineRule="auto"/>
        <w:ind w:left="142"/>
      </w:pPr>
      <w:r>
        <w:t>In 2025–26, the Commission supported the development of new Australia-specific tools through partnerships with research institutions, including work to develop:</w:t>
      </w:r>
    </w:p>
    <w:p w14:paraId="7111FE41" w14:textId="77777777" w:rsidR="009D54AF" w:rsidRDefault="00000000">
      <w:pPr>
        <w:pStyle w:val="ListParagraph"/>
        <w:numPr>
          <w:ilvl w:val="0"/>
          <w:numId w:val="31"/>
        </w:numPr>
        <w:tabs>
          <w:tab w:val="left" w:pos="424"/>
        </w:tabs>
        <w:spacing w:before="56"/>
        <w:ind w:left="424" w:hanging="268"/>
        <w:rPr>
          <w:sz w:val="21"/>
        </w:rPr>
      </w:pPr>
      <w:r>
        <w:rPr>
          <w:sz w:val="21"/>
        </w:rPr>
        <w:t>a</w:t>
      </w:r>
      <w:r>
        <w:rPr>
          <w:spacing w:val="-2"/>
          <w:sz w:val="21"/>
        </w:rPr>
        <w:t xml:space="preserve"> </w:t>
      </w:r>
      <w:r>
        <w:rPr>
          <w:sz w:val="21"/>
        </w:rPr>
        <w:t>combined</w:t>
      </w:r>
      <w:r>
        <w:rPr>
          <w:spacing w:val="-1"/>
          <w:sz w:val="21"/>
        </w:rPr>
        <w:t xml:space="preserve"> </w:t>
      </w:r>
      <w:r>
        <w:rPr>
          <w:sz w:val="21"/>
        </w:rPr>
        <w:t>PROM</w:t>
      </w:r>
      <w:r>
        <w:rPr>
          <w:spacing w:val="-1"/>
          <w:sz w:val="21"/>
        </w:rPr>
        <w:t xml:space="preserve"> </w:t>
      </w:r>
      <w:r>
        <w:rPr>
          <w:sz w:val="21"/>
        </w:rPr>
        <w:t>and</w:t>
      </w:r>
      <w:r>
        <w:rPr>
          <w:spacing w:val="-1"/>
          <w:sz w:val="21"/>
        </w:rPr>
        <w:t xml:space="preserve"> </w:t>
      </w:r>
      <w:r>
        <w:rPr>
          <w:sz w:val="21"/>
        </w:rPr>
        <w:t>PREM</w:t>
      </w:r>
      <w:r>
        <w:rPr>
          <w:spacing w:val="-1"/>
          <w:sz w:val="21"/>
        </w:rPr>
        <w:t xml:space="preserve"> </w:t>
      </w:r>
      <w:r>
        <w:rPr>
          <w:sz w:val="21"/>
        </w:rPr>
        <w:t>in</w:t>
      </w:r>
      <w:r>
        <w:rPr>
          <w:spacing w:val="-1"/>
          <w:sz w:val="21"/>
        </w:rPr>
        <w:t xml:space="preserve"> </w:t>
      </w:r>
      <w:r>
        <w:rPr>
          <w:sz w:val="21"/>
        </w:rPr>
        <w:t>maternity</w:t>
      </w:r>
      <w:r>
        <w:rPr>
          <w:spacing w:val="-1"/>
          <w:sz w:val="21"/>
        </w:rPr>
        <w:t xml:space="preserve"> </w:t>
      </w:r>
      <w:r>
        <w:rPr>
          <w:spacing w:val="-4"/>
          <w:sz w:val="21"/>
        </w:rPr>
        <w:t>care</w:t>
      </w:r>
    </w:p>
    <w:p w14:paraId="5A53EEAF" w14:textId="77777777" w:rsidR="009D54AF" w:rsidRDefault="00000000">
      <w:pPr>
        <w:pStyle w:val="ListParagraph"/>
        <w:numPr>
          <w:ilvl w:val="0"/>
          <w:numId w:val="31"/>
        </w:numPr>
        <w:tabs>
          <w:tab w:val="left" w:pos="424"/>
        </w:tabs>
        <w:ind w:left="424" w:hanging="268"/>
        <w:rPr>
          <w:sz w:val="21"/>
        </w:rPr>
      </w:pPr>
      <w:r>
        <w:rPr>
          <w:sz w:val="21"/>
        </w:rPr>
        <w:t>a</w:t>
      </w:r>
      <w:r>
        <w:rPr>
          <w:spacing w:val="-1"/>
          <w:sz w:val="21"/>
        </w:rPr>
        <w:t xml:space="preserve"> </w:t>
      </w:r>
      <w:r>
        <w:rPr>
          <w:sz w:val="21"/>
        </w:rPr>
        <w:t>PREM for</w:t>
      </w:r>
      <w:r>
        <w:rPr>
          <w:spacing w:val="-1"/>
          <w:sz w:val="21"/>
        </w:rPr>
        <w:t xml:space="preserve"> </w:t>
      </w:r>
      <w:r>
        <w:rPr>
          <w:sz w:val="21"/>
        </w:rPr>
        <w:t>use in</w:t>
      </w:r>
      <w:r>
        <w:rPr>
          <w:spacing w:val="-1"/>
          <w:sz w:val="21"/>
        </w:rPr>
        <w:t xml:space="preserve"> </w:t>
      </w:r>
      <w:r>
        <w:rPr>
          <w:sz w:val="21"/>
        </w:rPr>
        <w:t>Indigenous primary</w:t>
      </w:r>
      <w:r>
        <w:rPr>
          <w:spacing w:val="-1"/>
          <w:sz w:val="21"/>
        </w:rPr>
        <w:t xml:space="preserve"> </w:t>
      </w:r>
      <w:r>
        <w:rPr>
          <w:sz w:val="21"/>
        </w:rPr>
        <w:t xml:space="preserve">healthcare </w:t>
      </w:r>
      <w:r>
        <w:rPr>
          <w:spacing w:val="-2"/>
          <w:sz w:val="21"/>
        </w:rPr>
        <w:t>services</w:t>
      </w:r>
    </w:p>
    <w:p w14:paraId="60F89F24" w14:textId="77777777" w:rsidR="009D54AF" w:rsidRDefault="00000000">
      <w:pPr>
        <w:pStyle w:val="ListParagraph"/>
        <w:numPr>
          <w:ilvl w:val="0"/>
          <w:numId w:val="31"/>
        </w:numPr>
        <w:tabs>
          <w:tab w:val="left" w:pos="424"/>
        </w:tabs>
        <w:spacing w:before="96"/>
        <w:ind w:left="424" w:hanging="268"/>
        <w:rPr>
          <w:sz w:val="21"/>
        </w:rPr>
      </w:pPr>
      <w:r>
        <w:rPr>
          <w:sz w:val="21"/>
        </w:rPr>
        <w:t>a</w:t>
      </w:r>
      <w:r>
        <w:rPr>
          <w:spacing w:val="-4"/>
          <w:sz w:val="21"/>
        </w:rPr>
        <w:t xml:space="preserve"> </w:t>
      </w:r>
      <w:r>
        <w:rPr>
          <w:sz w:val="21"/>
        </w:rPr>
        <w:t>PREM</w:t>
      </w:r>
      <w:r>
        <w:rPr>
          <w:spacing w:val="-1"/>
          <w:sz w:val="21"/>
        </w:rPr>
        <w:t xml:space="preserve"> </w:t>
      </w:r>
      <w:r>
        <w:rPr>
          <w:sz w:val="21"/>
        </w:rPr>
        <w:t>for</w:t>
      </w:r>
      <w:r>
        <w:rPr>
          <w:spacing w:val="-1"/>
          <w:sz w:val="21"/>
        </w:rPr>
        <w:t xml:space="preserve"> </w:t>
      </w:r>
      <w:r>
        <w:rPr>
          <w:sz w:val="21"/>
        </w:rPr>
        <w:t>use</w:t>
      </w:r>
      <w:r>
        <w:rPr>
          <w:spacing w:val="-1"/>
          <w:sz w:val="21"/>
        </w:rPr>
        <w:t xml:space="preserve"> </w:t>
      </w:r>
      <w:r>
        <w:rPr>
          <w:sz w:val="21"/>
        </w:rPr>
        <w:t>in</w:t>
      </w:r>
      <w:r>
        <w:rPr>
          <w:spacing w:val="-1"/>
          <w:sz w:val="21"/>
        </w:rPr>
        <w:t xml:space="preserve"> </w:t>
      </w:r>
      <w:r>
        <w:rPr>
          <w:sz w:val="21"/>
        </w:rPr>
        <w:t>young</w:t>
      </w:r>
      <w:r>
        <w:rPr>
          <w:spacing w:val="-2"/>
          <w:sz w:val="21"/>
        </w:rPr>
        <w:t xml:space="preserve"> </w:t>
      </w:r>
      <w:r>
        <w:rPr>
          <w:sz w:val="21"/>
        </w:rPr>
        <w:t>children</w:t>
      </w:r>
      <w:r>
        <w:rPr>
          <w:spacing w:val="-1"/>
          <w:sz w:val="21"/>
        </w:rPr>
        <w:t xml:space="preserve"> </w:t>
      </w:r>
      <w:r>
        <w:rPr>
          <w:sz w:val="21"/>
        </w:rPr>
        <w:t>receiving</w:t>
      </w:r>
      <w:r>
        <w:rPr>
          <w:spacing w:val="-1"/>
          <w:sz w:val="21"/>
        </w:rPr>
        <w:t xml:space="preserve"> </w:t>
      </w:r>
      <w:r>
        <w:rPr>
          <w:sz w:val="21"/>
        </w:rPr>
        <w:t>care</w:t>
      </w:r>
      <w:r>
        <w:rPr>
          <w:spacing w:val="-1"/>
          <w:sz w:val="21"/>
        </w:rPr>
        <w:t xml:space="preserve"> </w:t>
      </w:r>
      <w:r>
        <w:rPr>
          <w:sz w:val="21"/>
        </w:rPr>
        <w:t>in</w:t>
      </w:r>
      <w:r>
        <w:rPr>
          <w:spacing w:val="-1"/>
          <w:sz w:val="21"/>
        </w:rPr>
        <w:t xml:space="preserve"> </w:t>
      </w:r>
      <w:r>
        <w:rPr>
          <w:spacing w:val="-2"/>
          <w:sz w:val="21"/>
        </w:rPr>
        <w:t>hospital.</w:t>
      </w:r>
    </w:p>
    <w:p w14:paraId="3CFE13AD" w14:textId="77777777" w:rsidR="009D54AF" w:rsidRDefault="00000000">
      <w:pPr>
        <w:pStyle w:val="BodyText"/>
        <w:spacing w:before="208" w:line="278" w:lineRule="auto"/>
        <w:ind w:left="142"/>
      </w:pPr>
      <w:r>
        <w:t>The</w:t>
      </w:r>
      <w:r>
        <w:rPr>
          <w:spacing w:val="-2"/>
        </w:rPr>
        <w:t xml:space="preserve"> </w:t>
      </w:r>
      <w:r>
        <w:t>Commission</w:t>
      </w:r>
      <w:r>
        <w:rPr>
          <w:spacing w:val="-2"/>
        </w:rPr>
        <w:t xml:space="preserve"> </w:t>
      </w:r>
      <w:r>
        <w:t>published</w:t>
      </w:r>
      <w:r>
        <w:rPr>
          <w:spacing w:val="-2"/>
        </w:rPr>
        <w:t xml:space="preserve"> </w:t>
      </w:r>
      <w:r>
        <w:t>the</w:t>
      </w:r>
      <w:r>
        <w:rPr>
          <w:spacing w:val="-2"/>
        </w:rPr>
        <w:t xml:space="preserve"> </w:t>
      </w:r>
      <w:r>
        <w:t>outcome</w:t>
      </w:r>
      <w:r>
        <w:rPr>
          <w:spacing w:val="-2"/>
        </w:rPr>
        <w:t xml:space="preserve"> </w:t>
      </w:r>
      <w:r>
        <w:t>of</w:t>
      </w:r>
      <w:r>
        <w:rPr>
          <w:spacing w:val="-2"/>
        </w:rPr>
        <w:t xml:space="preserve"> </w:t>
      </w:r>
      <w:r>
        <w:t>a</w:t>
      </w:r>
      <w:r>
        <w:rPr>
          <w:spacing w:val="-2"/>
        </w:rPr>
        <w:t xml:space="preserve"> </w:t>
      </w:r>
      <w:r>
        <w:t>research</w:t>
      </w:r>
      <w:r>
        <w:rPr>
          <w:spacing w:val="-2"/>
        </w:rPr>
        <w:t xml:space="preserve"> </w:t>
      </w:r>
      <w:r>
        <w:t>collaboration</w:t>
      </w:r>
      <w:r>
        <w:rPr>
          <w:spacing w:val="-2"/>
        </w:rPr>
        <w:t xml:space="preserve"> </w:t>
      </w:r>
      <w:r>
        <w:t>with</w:t>
      </w:r>
      <w:r>
        <w:rPr>
          <w:spacing w:val="-2"/>
        </w:rPr>
        <w:t xml:space="preserve"> </w:t>
      </w:r>
      <w:r>
        <w:t>the</w:t>
      </w:r>
      <w:r>
        <w:rPr>
          <w:spacing w:val="-2"/>
        </w:rPr>
        <w:t xml:space="preserve"> </w:t>
      </w:r>
      <w:r>
        <w:t>Western</w:t>
      </w:r>
      <w:r>
        <w:rPr>
          <w:spacing w:val="-2"/>
        </w:rPr>
        <w:t xml:space="preserve"> </w:t>
      </w:r>
      <w:r>
        <w:t>Australian</w:t>
      </w:r>
      <w:r>
        <w:rPr>
          <w:spacing w:val="-2"/>
        </w:rPr>
        <w:t xml:space="preserve"> </w:t>
      </w:r>
      <w:r>
        <w:t>Child</w:t>
      </w:r>
      <w:r>
        <w:rPr>
          <w:spacing w:val="-2"/>
        </w:rPr>
        <w:t xml:space="preserve"> </w:t>
      </w:r>
      <w:r>
        <w:t xml:space="preserve">and Adolescent Health Service – an adaptation of the Australian Hospital Patient Experience Question Set for </w:t>
      </w:r>
      <w:r>
        <w:rPr>
          <w:spacing w:val="-2"/>
        </w:rPr>
        <w:t>adolescents.</w:t>
      </w:r>
    </w:p>
    <w:p w14:paraId="7A45A764" w14:textId="2722727D" w:rsidR="009D54AF" w:rsidRDefault="00000000" w:rsidP="008F5B74">
      <w:pPr>
        <w:pStyle w:val="Heading1"/>
      </w:pPr>
      <w:bookmarkStart w:id="38" w:name="_Strategic_Priority_4:"/>
      <w:bookmarkStart w:id="39" w:name="_Toc243037277"/>
      <w:bookmarkEnd w:id="38"/>
      <w:r>
        <w:t>Strategic</w:t>
      </w:r>
      <w:r>
        <w:rPr>
          <w:spacing w:val="-16"/>
        </w:rPr>
        <w:t xml:space="preserve"> </w:t>
      </w:r>
      <w:r>
        <w:t>Priority</w:t>
      </w:r>
      <w:r>
        <w:rPr>
          <w:spacing w:val="-16"/>
        </w:rPr>
        <w:t xml:space="preserve"> </w:t>
      </w:r>
      <w:r>
        <w:t>4:</w:t>
      </w:r>
      <w:r>
        <w:rPr>
          <w:spacing w:val="-16"/>
        </w:rPr>
        <w:t xml:space="preserve"> </w:t>
      </w:r>
      <w:r w:rsidR="008F5B74">
        <w:rPr>
          <w:spacing w:val="-16"/>
        </w:rPr>
        <w:br/>
      </w:r>
      <w:r>
        <w:t>An</w:t>
      </w:r>
      <w:r>
        <w:rPr>
          <w:spacing w:val="-16"/>
        </w:rPr>
        <w:t xml:space="preserve"> </w:t>
      </w:r>
      <w:r>
        <w:t>improvement-driven</w:t>
      </w:r>
      <w:r>
        <w:rPr>
          <w:spacing w:val="-16"/>
        </w:rPr>
        <w:t xml:space="preserve"> </w:t>
      </w:r>
      <w:r>
        <w:t>workforce culture</w:t>
      </w:r>
      <w:bookmarkEnd w:id="39"/>
    </w:p>
    <w:p w14:paraId="5D339579" w14:textId="77777777" w:rsidR="009D54AF" w:rsidRDefault="00000000">
      <w:pPr>
        <w:pStyle w:val="Heading9"/>
        <w:spacing w:before="172" w:line="268" w:lineRule="auto"/>
        <w:ind w:right="868"/>
        <w:jc w:val="both"/>
      </w:pPr>
      <w:r>
        <w:t>This</w:t>
      </w:r>
      <w:r>
        <w:rPr>
          <w:spacing w:val="-11"/>
        </w:rPr>
        <w:t xml:space="preserve"> </w:t>
      </w:r>
      <w:r>
        <w:t>priority</w:t>
      </w:r>
      <w:r>
        <w:rPr>
          <w:spacing w:val="-11"/>
        </w:rPr>
        <w:t xml:space="preserve"> </w:t>
      </w:r>
      <w:r>
        <w:t>focuses</w:t>
      </w:r>
      <w:r>
        <w:rPr>
          <w:spacing w:val="-11"/>
        </w:rPr>
        <w:t xml:space="preserve"> </w:t>
      </w:r>
      <w:r>
        <w:t>on</w:t>
      </w:r>
      <w:r>
        <w:rPr>
          <w:spacing w:val="-11"/>
        </w:rPr>
        <w:t xml:space="preserve"> </w:t>
      </w:r>
      <w:r>
        <w:t>embedding</w:t>
      </w:r>
      <w:r>
        <w:rPr>
          <w:spacing w:val="-11"/>
        </w:rPr>
        <w:t xml:space="preserve"> </w:t>
      </w:r>
      <w:r>
        <w:t>improvement</w:t>
      </w:r>
      <w:r>
        <w:rPr>
          <w:spacing w:val="-11"/>
        </w:rPr>
        <w:t xml:space="preserve"> </w:t>
      </w:r>
      <w:r>
        <w:t>into</w:t>
      </w:r>
      <w:r>
        <w:rPr>
          <w:spacing w:val="-11"/>
        </w:rPr>
        <w:t xml:space="preserve"> </w:t>
      </w:r>
      <w:proofErr w:type="spellStart"/>
      <w:r>
        <w:t>organisational</w:t>
      </w:r>
      <w:proofErr w:type="spellEnd"/>
      <w:r>
        <w:rPr>
          <w:spacing w:val="-11"/>
        </w:rPr>
        <w:t xml:space="preserve"> </w:t>
      </w:r>
      <w:r>
        <w:t>workforce</w:t>
      </w:r>
      <w:r>
        <w:rPr>
          <w:spacing w:val="-11"/>
        </w:rPr>
        <w:t xml:space="preserve"> </w:t>
      </w:r>
      <w:r>
        <w:t>culture</w:t>
      </w:r>
      <w:r>
        <w:rPr>
          <w:spacing w:val="-11"/>
        </w:rPr>
        <w:t xml:space="preserve"> </w:t>
      </w:r>
      <w:r>
        <w:t>and healthcare</w:t>
      </w:r>
      <w:r>
        <w:rPr>
          <w:spacing w:val="-15"/>
        </w:rPr>
        <w:t xml:space="preserve"> </w:t>
      </w:r>
      <w:r>
        <w:t>delivery.</w:t>
      </w:r>
      <w:r>
        <w:rPr>
          <w:spacing w:val="-15"/>
        </w:rPr>
        <w:t xml:space="preserve"> </w:t>
      </w:r>
      <w:r>
        <w:t>This</w:t>
      </w:r>
      <w:r>
        <w:rPr>
          <w:spacing w:val="-15"/>
        </w:rPr>
        <w:t xml:space="preserve"> </w:t>
      </w:r>
      <w:r>
        <w:t>includes</w:t>
      </w:r>
      <w:r>
        <w:rPr>
          <w:spacing w:val="-15"/>
        </w:rPr>
        <w:t xml:space="preserve"> </w:t>
      </w:r>
      <w:r>
        <w:t>fostering</w:t>
      </w:r>
      <w:r>
        <w:rPr>
          <w:spacing w:val="-15"/>
        </w:rPr>
        <w:t xml:space="preserve"> </w:t>
      </w:r>
      <w:r>
        <w:t>accountability,</w:t>
      </w:r>
      <w:r>
        <w:rPr>
          <w:spacing w:val="-15"/>
        </w:rPr>
        <w:t xml:space="preserve"> </w:t>
      </w:r>
      <w:r>
        <w:t>continuous</w:t>
      </w:r>
      <w:r>
        <w:rPr>
          <w:spacing w:val="-15"/>
        </w:rPr>
        <w:t xml:space="preserve"> </w:t>
      </w:r>
      <w:r>
        <w:t>learning</w:t>
      </w:r>
      <w:r>
        <w:rPr>
          <w:spacing w:val="-15"/>
        </w:rPr>
        <w:t xml:space="preserve"> </w:t>
      </w:r>
      <w:r>
        <w:t>and</w:t>
      </w:r>
      <w:r>
        <w:rPr>
          <w:spacing w:val="-15"/>
        </w:rPr>
        <w:t xml:space="preserve"> </w:t>
      </w:r>
      <w:r>
        <w:t>cultural safety, and encouraging a readiness to speak up, act and improve.</w:t>
      </w:r>
    </w:p>
    <w:p w14:paraId="1EFA1D66" w14:textId="77777777" w:rsidR="009D54AF" w:rsidRDefault="009D54AF">
      <w:pPr>
        <w:pStyle w:val="BodyText"/>
        <w:spacing w:before="174"/>
        <w:rPr>
          <w:sz w:val="24"/>
        </w:rPr>
      </w:pPr>
    </w:p>
    <w:p w14:paraId="7C468EBE" w14:textId="77777777" w:rsidR="009D54AF" w:rsidRDefault="00000000">
      <w:pPr>
        <w:pStyle w:val="Heading5"/>
      </w:pPr>
      <w:r>
        <w:t>Defining</w:t>
      </w:r>
      <w:r>
        <w:rPr>
          <w:spacing w:val="-2"/>
        </w:rPr>
        <w:t xml:space="preserve"> </w:t>
      </w:r>
      <w:r>
        <w:t>Quality</w:t>
      </w:r>
      <w:r>
        <w:rPr>
          <w:spacing w:val="-1"/>
        </w:rPr>
        <w:t xml:space="preserve"> </w:t>
      </w:r>
      <w:r>
        <w:t>in</w:t>
      </w:r>
      <w:r>
        <w:rPr>
          <w:spacing w:val="-2"/>
        </w:rPr>
        <w:t xml:space="preserve"> </w:t>
      </w:r>
      <w:r>
        <w:t>health</w:t>
      </w:r>
      <w:r>
        <w:rPr>
          <w:spacing w:val="-1"/>
        </w:rPr>
        <w:t xml:space="preserve"> </w:t>
      </w:r>
      <w:r>
        <w:rPr>
          <w:spacing w:val="-4"/>
        </w:rPr>
        <w:t>care</w:t>
      </w:r>
    </w:p>
    <w:p w14:paraId="3E15AD48" w14:textId="77777777" w:rsidR="009D54AF" w:rsidRDefault="00000000" w:rsidP="008F5B74">
      <w:pPr>
        <w:pStyle w:val="BodyText"/>
        <w:spacing w:before="133" w:line="278" w:lineRule="auto"/>
        <w:ind w:left="142" w:right="425"/>
      </w:pPr>
      <w:r>
        <w:t>This year, the Commission developed an explicit definition of Quality to guide the assessment of health care across Australia. This definition establishes a clear, shared understanding of what quality means in the</w:t>
      </w:r>
      <w:r>
        <w:rPr>
          <w:spacing w:val="-2"/>
        </w:rPr>
        <w:t xml:space="preserve"> </w:t>
      </w:r>
      <w:r>
        <w:t>Australian</w:t>
      </w:r>
      <w:r>
        <w:rPr>
          <w:spacing w:val="-2"/>
        </w:rPr>
        <w:t xml:space="preserve"> </w:t>
      </w:r>
      <w:r>
        <w:t>health</w:t>
      </w:r>
      <w:r>
        <w:rPr>
          <w:spacing w:val="-2"/>
        </w:rPr>
        <w:t xml:space="preserve"> </w:t>
      </w:r>
      <w:r>
        <w:t>care</w:t>
      </w:r>
      <w:r>
        <w:rPr>
          <w:spacing w:val="-2"/>
        </w:rPr>
        <w:t xml:space="preserve"> </w:t>
      </w:r>
      <w:r>
        <w:t>context,</w:t>
      </w:r>
      <w:r>
        <w:rPr>
          <w:spacing w:val="-2"/>
        </w:rPr>
        <w:t xml:space="preserve"> </w:t>
      </w:r>
      <w:r>
        <w:t>and</w:t>
      </w:r>
      <w:r>
        <w:rPr>
          <w:spacing w:val="-2"/>
        </w:rPr>
        <w:t xml:space="preserve"> </w:t>
      </w:r>
      <w:r>
        <w:t>will</w:t>
      </w:r>
      <w:r>
        <w:rPr>
          <w:spacing w:val="-2"/>
        </w:rPr>
        <w:t xml:space="preserve"> </w:t>
      </w:r>
      <w:r>
        <w:t>underpin</w:t>
      </w:r>
      <w:r>
        <w:rPr>
          <w:spacing w:val="-2"/>
        </w:rPr>
        <w:t xml:space="preserve"> </w:t>
      </w:r>
      <w:r>
        <w:t>the</w:t>
      </w:r>
      <w:r>
        <w:rPr>
          <w:spacing w:val="-2"/>
        </w:rPr>
        <w:t xml:space="preserve"> </w:t>
      </w:r>
      <w:r>
        <w:t>Commission’s</w:t>
      </w:r>
      <w:r>
        <w:rPr>
          <w:spacing w:val="-2"/>
        </w:rPr>
        <w:t xml:space="preserve"> </w:t>
      </w:r>
      <w:r>
        <w:t>new</w:t>
      </w:r>
      <w:r>
        <w:rPr>
          <w:spacing w:val="-2"/>
        </w:rPr>
        <w:t xml:space="preserve"> </w:t>
      </w:r>
      <w:r>
        <w:t>quality</w:t>
      </w:r>
      <w:r>
        <w:rPr>
          <w:spacing w:val="-2"/>
        </w:rPr>
        <w:t xml:space="preserve"> </w:t>
      </w:r>
      <w:r>
        <w:t>assessment</w:t>
      </w:r>
      <w:r>
        <w:rPr>
          <w:spacing w:val="-2"/>
        </w:rPr>
        <w:t xml:space="preserve"> </w:t>
      </w:r>
      <w:r>
        <w:t>framework,</w:t>
      </w:r>
    </w:p>
    <w:p w14:paraId="60A58011" w14:textId="77777777" w:rsidR="009D54AF" w:rsidRDefault="00000000">
      <w:pPr>
        <w:spacing w:line="278" w:lineRule="auto"/>
        <w:ind w:left="142" w:right="285"/>
        <w:rPr>
          <w:sz w:val="21"/>
        </w:rPr>
      </w:pPr>
      <w:r>
        <w:rPr>
          <w:sz w:val="21"/>
        </w:rPr>
        <w:t>including</w:t>
      </w:r>
      <w:r>
        <w:rPr>
          <w:spacing w:val="-2"/>
          <w:sz w:val="21"/>
        </w:rPr>
        <w:t xml:space="preserve"> </w:t>
      </w:r>
      <w:r>
        <w:rPr>
          <w:sz w:val="21"/>
        </w:rPr>
        <w:t>the</w:t>
      </w:r>
      <w:r>
        <w:rPr>
          <w:spacing w:val="-2"/>
          <w:sz w:val="21"/>
        </w:rPr>
        <w:t xml:space="preserve"> </w:t>
      </w:r>
      <w:r>
        <w:rPr>
          <w:sz w:val="21"/>
        </w:rPr>
        <w:t>future</w:t>
      </w:r>
      <w:r>
        <w:rPr>
          <w:spacing w:val="-2"/>
          <w:sz w:val="21"/>
        </w:rPr>
        <w:t xml:space="preserve"> </w:t>
      </w:r>
      <w:r>
        <w:rPr>
          <w:sz w:val="21"/>
        </w:rPr>
        <w:t>development</w:t>
      </w:r>
      <w:r>
        <w:rPr>
          <w:spacing w:val="-2"/>
          <w:sz w:val="21"/>
        </w:rPr>
        <w:t xml:space="preserve"> </w:t>
      </w:r>
      <w:r>
        <w:rPr>
          <w:sz w:val="21"/>
        </w:rPr>
        <w:t>of</w:t>
      </w:r>
      <w:r>
        <w:rPr>
          <w:spacing w:val="-2"/>
          <w:sz w:val="21"/>
        </w:rPr>
        <w:t xml:space="preserve"> </w:t>
      </w:r>
      <w:r>
        <w:rPr>
          <w:sz w:val="21"/>
        </w:rPr>
        <w:t>associated</w:t>
      </w:r>
      <w:r>
        <w:rPr>
          <w:spacing w:val="-2"/>
          <w:sz w:val="21"/>
        </w:rPr>
        <w:t xml:space="preserve"> </w:t>
      </w:r>
      <w:r>
        <w:rPr>
          <w:sz w:val="21"/>
        </w:rPr>
        <w:t>measures</w:t>
      </w:r>
      <w:r>
        <w:rPr>
          <w:spacing w:val="-2"/>
          <w:sz w:val="21"/>
        </w:rPr>
        <w:t xml:space="preserve"> </w:t>
      </w:r>
      <w:r>
        <w:rPr>
          <w:sz w:val="21"/>
        </w:rPr>
        <w:t>and</w:t>
      </w:r>
      <w:r>
        <w:rPr>
          <w:spacing w:val="-2"/>
          <w:sz w:val="21"/>
        </w:rPr>
        <w:t xml:space="preserve"> </w:t>
      </w:r>
      <w:r>
        <w:rPr>
          <w:sz w:val="21"/>
        </w:rPr>
        <w:t>indicators.</w:t>
      </w:r>
      <w:r>
        <w:rPr>
          <w:spacing w:val="-2"/>
          <w:sz w:val="21"/>
        </w:rPr>
        <w:t xml:space="preserve"> </w:t>
      </w:r>
      <w:r>
        <w:rPr>
          <w:sz w:val="21"/>
        </w:rPr>
        <w:t>It</w:t>
      </w:r>
      <w:r>
        <w:rPr>
          <w:spacing w:val="-2"/>
          <w:sz w:val="21"/>
        </w:rPr>
        <w:t xml:space="preserve"> </w:t>
      </w:r>
      <w:r>
        <w:rPr>
          <w:sz w:val="21"/>
        </w:rPr>
        <w:t>also</w:t>
      </w:r>
      <w:r>
        <w:rPr>
          <w:spacing w:val="-2"/>
          <w:sz w:val="21"/>
        </w:rPr>
        <w:t xml:space="preserve"> </w:t>
      </w:r>
      <w:r>
        <w:rPr>
          <w:sz w:val="21"/>
        </w:rPr>
        <w:t>provides</w:t>
      </w:r>
      <w:r>
        <w:rPr>
          <w:spacing w:val="-2"/>
          <w:sz w:val="21"/>
        </w:rPr>
        <w:t xml:space="preserve"> </w:t>
      </w:r>
      <w:r>
        <w:rPr>
          <w:sz w:val="21"/>
        </w:rPr>
        <w:t>a</w:t>
      </w:r>
      <w:r>
        <w:rPr>
          <w:spacing w:val="-2"/>
          <w:sz w:val="21"/>
        </w:rPr>
        <w:t xml:space="preserve"> </w:t>
      </w:r>
      <w:r>
        <w:rPr>
          <w:sz w:val="21"/>
        </w:rPr>
        <w:t>concise</w:t>
      </w:r>
      <w:r>
        <w:rPr>
          <w:spacing w:val="-2"/>
          <w:sz w:val="21"/>
        </w:rPr>
        <w:t xml:space="preserve"> </w:t>
      </w:r>
      <w:r>
        <w:rPr>
          <w:sz w:val="21"/>
        </w:rPr>
        <w:t xml:space="preserve">definition to support the </w:t>
      </w:r>
      <w:r>
        <w:rPr>
          <w:i/>
          <w:sz w:val="21"/>
        </w:rPr>
        <w:t>National Model for Clinical Governance</w:t>
      </w:r>
      <w:r>
        <w:rPr>
          <w:sz w:val="21"/>
        </w:rPr>
        <w:t>, released in June 2026.</w:t>
      </w:r>
    </w:p>
    <w:p w14:paraId="482EEF02" w14:textId="77777777" w:rsidR="009D54AF" w:rsidRDefault="00000000">
      <w:pPr>
        <w:pStyle w:val="BodyText"/>
        <w:spacing w:before="141" w:line="278" w:lineRule="auto"/>
        <w:ind w:left="142"/>
      </w:pPr>
      <w:r>
        <w:t>In</w:t>
      </w:r>
      <w:r>
        <w:rPr>
          <w:spacing w:val="-2"/>
        </w:rPr>
        <w:t xml:space="preserve"> </w:t>
      </w:r>
      <w:r>
        <w:t>parallel,</w:t>
      </w:r>
      <w:r>
        <w:rPr>
          <w:spacing w:val="-2"/>
        </w:rPr>
        <w:t xml:space="preserve"> </w:t>
      </w:r>
      <w:r>
        <w:t>the</w:t>
      </w:r>
      <w:r>
        <w:rPr>
          <w:spacing w:val="-2"/>
        </w:rPr>
        <w:t xml:space="preserve"> </w:t>
      </w:r>
      <w:r>
        <w:t>Commission</w:t>
      </w:r>
      <w:r>
        <w:rPr>
          <w:spacing w:val="-2"/>
        </w:rPr>
        <w:t xml:space="preserve"> </w:t>
      </w:r>
      <w:r>
        <w:t>worked</w:t>
      </w:r>
      <w:r>
        <w:rPr>
          <w:spacing w:val="-2"/>
        </w:rPr>
        <w:t xml:space="preserve"> </w:t>
      </w:r>
      <w:r>
        <w:t>closely</w:t>
      </w:r>
      <w:r>
        <w:rPr>
          <w:spacing w:val="-2"/>
        </w:rPr>
        <w:t xml:space="preserve"> </w:t>
      </w:r>
      <w:r>
        <w:t>with</w:t>
      </w:r>
      <w:r>
        <w:rPr>
          <w:spacing w:val="-2"/>
        </w:rPr>
        <w:t xml:space="preserve"> </w:t>
      </w:r>
      <w:r>
        <w:t>the</w:t>
      </w:r>
      <w:r>
        <w:rPr>
          <w:spacing w:val="-2"/>
        </w:rPr>
        <w:t xml:space="preserve"> </w:t>
      </w:r>
      <w:r>
        <w:t>Australian</w:t>
      </w:r>
      <w:r>
        <w:rPr>
          <w:spacing w:val="-2"/>
        </w:rPr>
        <w:t xml:space="preserve"> </w:t>
      </w:r>
      <w:r>
        <w:t>Institute</w:t>
      </w:r>
      <w:r>
        <w:rPr>
          <w:spacing w:val="-2"/>
        </w:rPr>
        <w:t xml:space="preserve"> </w:t>
      </w:r>
      <w:r>
        <w:t>of</w:t>
      </w:r>
      <w:r>
        <w:rPr>
          <w:spacing w:val="-2"/>
        </w:rPr>
        <w:t xml:space="preserve"> </w:t>
      </w:r>
      <w:r>
        <w:t>Health</w:t>
      </w:r>
      <w:r>
        <w:rPr>
          <w:spacing w:val="-2"/>
        </w:rPr>
        <w:t xml:space="preserve"> </w:t>
      </w:r>
      <w:r>
        <w:t>and</w:t>
      </w:r>
      <w:r>
        <w:rPr>
          <w:spacing w:val="-2"/>
        </w:rPr>
        <w:t xml:space="preserve"> </w:t>
      </w:r>
      <w:r>
        <w:t>Welfare</w:t>
      </w:r>
      <w:r>
        <w:rPr>
          <w:spacing w:val="-2"/>
        </w:rPr>
        <w:t xml:space="preserve"> </w:t>
      </w:r>
      <w:r>
        <w:t>to</w:t>
      </w:r>
      <w:r>
        <w:rPr>
          <w:spacing w:val="-2"/>
        </w:rPr>
        <w:t xml:space="preserve"> </w:t>
      </w:r>
      <w:r>
        <w:t>embed</w:t>
      </w:r>
      <w:r>
        <w:rPr>
          <w:spacing w:val="-2"/>
        </w:rPr>
        <w:t xml:space="preserve"> </w:t>
      </w:r>
      <w:r>
        <w:t>this definition of Quality into the new Australian Health System Performance Assessment Framework (SPA), ensuring consistency in how Quality is understood and assessed nationally.</w:t>
      </w:r>
    </w:p>
    <w:p w14:paraId="4B93E99B" w14:textId="77777777" w:rsidR="009D54AF" w:rsidRDefault="00000000">
      <w:pPr>
        <w:pStyle w:val="BodyText"/>
        <w:spacing w:before="141" w:line="278" w:lineRule="auto"/>
        <w:ind w:left="142" w:right="502"/>
      </w:pPr>
      <w:r>
        <w:t>The Commission will use the definition to develop measures and indicators to collect information to help answer questions about the quality and safety of the health care system. The measures and indicators</w:t>
      </w:r>
      <w:r>
        <w:rPr>
          <w:spacing w:val="80"/>
        </w:rPr>
        <w:t xml:space="preserve"> </w:t>
      </w:r>
      <w:r>
        <w:t>will include those that the Commission has already developed (hospital-acquired complications, avoidable hospital</w:t>
      </w:r>
      <w:r>
        <w:rPr>
          <w:spacing w:val="-3"/>
        </w:rPr>
        <w:t xml:space="preserve"> </w:t>
      </w:r>
      <w:r>
        <w:t>readmissions</w:t>
      </w:r>
      <w:r>
        <w:rPr>
          <w:spacing w:val="-3"/>
        </w:rPr>
        <w:t xml:space="preserve"> </w:t>
      </w:r>
      <w:r>
        <w:t>and</w:t>
      </w:r>
      <w:r>
        <w:rPr>
          <w:spacing w:val="-3"/>
        </w:rPr>
        <w:t xml:space="preserve"> </w:t>
      </w:r>
      <w:r>
        <w:t>sentinel</w:t>
      </w:r>
      <w:r>
        <w:rPr>
          <w:spacing w:val="-3"/>
        </w:rPr>
        <w:t xml:space="preserve"> </w:t>
      </w:r>
      <w:r>
        <w:t>events)</w:t>
      </w:r>
      <w:r>
        <w:rPr>
          <w:spacing w:val="-3"/>
        </w:rPr>
        <w:t xml:space="preserve"> </w:t>
      </w:r>
      <w:r>
        <w:t>as</w:t>
      </w:r>
      <w:r>
        <w:rPr>
          <w:spacing w:val="-3"/>
        </w:rPr>
        <w:t xml:space="preserve"> </w:t>
      </w:r>
      <w:r>
        <w:t>well</w:t>
      </w:r>
      <w:r>
        <w:rPr>
          <w:spacing w:val="-3"/>
        </w:rPr>
        <w:t xml:space="preserve"> </w:t>
      </w:r>
      <w:r>
        <w:t>as</w:t>
      </w:r>
      <w:r>
        <w:rPr>
          <w:spacing w:val="-3"/>
        </w:rPr>
        <w:t xml:space="preserve"> </w:t>
      </w:r>
      <w:r>
        <w:t>indicators</w:t>
      </w:r>
      <w:r>
        <w:rPr>
          <w:spacing w:val="-3"/>
        </w:rPr>
        <w:t xml:space="preserve"> </w:t>
      </w:r>
      <w:r>
        <w:t>such</w:t>
      </w:r>
      <w:r>
        <w:rPr>
          <w:spacing w:val="-3"/>
        </w:rPr>
        <w:t xml:space="preserve"> </w:t>
      </w:r>
      <w:r>
        <w:t>as</w:t>
      </w:r>
      <w:r>
        <w:rPr>
          <w:spacing w:val="-3"/>
        </w:rPr>
        <w:t xml:space="preserve"> </w:t>
      </w:r>
      <w:r>
        <w:t>patient</w:t>
      </w:r>
      <w:r>
        <w:rPr>
          <w:spacing w:val="-3"/>
        </w:rPr>
        <w:t xml:space="preserve"> </w:t>
      </w:r>
      <w:r>
        <w:t>reported</w:t>
      </w:r>
      <w:r>
        <w:rPr>
          <w:spacing w:val="-3"/>
        </w:rPr>
        <w:t xml:space="preserve"> </w:t>
      </w:r>
      <w:r>
        <w:t>measures</w:t>
      </w:r>
      <w:r>
        <w:rPr>
          <w:spacing w:val="-3"/>
        </w:rPr>
        <w:t xml:space="preserve"> </w:t>
      </w:r>
      <w:r>
        <w:t>(which ensure the voices of patients are heard), and measures that capture the perspectives of hospital staff on patient safety culture.</w:t>
      </w:r>
    </w:p>
    <w:p w14:paraId="0475BCE6" w14:textId="77777777" w:rsidR="009D54AF" w:rsidRDefault="009D54AF">
      <w:pPr>
        <w:pStyle w:val="BodyText"/>
        <w:spacing w:before="65"/>
      </w:pPr>
    </w:p>
    <w:p w14:paraId="33DC7203" w14:textId="77777777" w:rsidR="009D54AF" w:rsidRDefault="00000000">
      <w:pPr>
        <w:pStyle w:val="Heading5"/>
      </w:pPr>
      <w:r>
        <w:t>Investigating</w:t>
      </w:r>
      <w:r>
        <w:rPr>
          <w:spacing w:val="-8"/>
        </w:rPr>
        <w:t xml:space="preserve"> </w:t>
      </w:r>
      <w:r>
        <w:t>healthcare</w:t>
      </w:r>
      <w:r>
        <w:rPr>
          <w:spacing w:val="-7"/>
        </w:rPr>
        <w:t xml:space="preserve"> </w:t>
      </w:r>
      <w:r>
        <w:rPr>
          <w:spacing w:val="-2"/>
        </w:rPr>
        <w:t>variation</w:t>
      </w:r>
    </w:p>
    <w:p w14:paraId="2B0EA83F" w14:textId="77777777" w:rsidR="009D54AF" w:rsidRDefault="00000000">
      <w:pPr>
        <w:pStyle w:val="BodyText"/>
        <w:spacing w:before="133" w:line="278" w:lineRule="auto"/>
        <w:ind w:left="142" w:right="214"/>
      </w:pPr>
      <w:r>
        <w:t>The Commission’s Atlas Focus Reports show how healthcare use differs across the country and raise important</w:t>
      </w:r>
      <w:r>
        <w:rPr>
          <w:spacing w:val="-2"/>
        </w:rPr>
        <w:t xml:space="preserve"> </w:t>
      </w:r>
      <w:r>
        <w:t>questions</w:t>
      </w:r>
      <w:r>
        <w:rPr>
          <w:spacing w:val="-2"/>
        </w:rPr>
        <w:t xml:space="preserve"> </w:t>
      </w:r>
      <w:r>
        <w:t>about</w:t>
      </w:r>
      <w:r>
        <w:rPr>
          <w:spacing w:val="-2"/>
        </w:rPr>
        <w:t xml:space="preserve"> </w:t>
      </w:r>
      <w:r>
        <w:t>why</w:t>
      </w:r>
      <w:r>
        <w:rPr>
          <w:spacing w:val="-2"/>
        </w:rPr>
        <w:t xml:space="preserve"> </w:t>
      </w:r>
      <w:r>
        <w:t>this</w:t>
      </w:r>
      <w:r>
        <w:rPr>
          <w:spacing w:val="-2"/>
        </w:rPr>
        <w:t xml:space="preserve"> </w:t>
      </w:r>
      <w:r>
        <w:t>variation</w:t>
      </w:r>
      <w:r>
        <w:rPr>
          <w:spacing w:val="-2"/>
        </w:rPr>
        <w:t xml:space="preserve"> </w:t>
      </w:r>
      <w:r>
        <w:t>might</w:t>
      </w:r>
      <w:r>
        <w:rPr>
          <w:spacing w:val="-2"/>
        </w:rPr>
        <w:t xml:space="preserve"> </w:t>
      </w:r>
      <w:r>
        <w:t>be</w:t>
      </w:r>
      <w:r>
        <w:rPr>
          <w:spacing w:val="-2"/>
        </w:rPr>
        <w:t xml:space="preserve"> </w:t>
      </w:r>
      <w:r>
        <w:t>occurring.</w:t>
      </w:r>
      <w:r>
        <w:rPr>
          <w:spacing w:val="-2"/>
        </w:rPr>
        <w:t xml:space="preserve"> </w:t>
      </w:r>
      <w:r>
        <w:t>The</w:t>
      </w:r>
      <w:r>
        <w:rPr>
          <w:spacing w:val="-2"/>
        </w:rPr>
        <w:t xml:space="preserve"> </w:t>
      </w:r>
      <w:r>
        <w:t>next</w:t>
      </w:r>
      <w:r>
        <w:rPr>
          <w:spacing w:val="-2"/>
        </w:rPr>
        <w:t xml:space="preserve"> </w:t>
      </w:r>
      <w:r>
        <w:t>step</w:t>
      </w:r>
      <w:r>
        <w:rPr>
          <w:spacing w:val="-2"/>
        </w:rPr>
        <w:t xml:space="preserve"> </w:t>
      </w:r>
      <w:r>
        <w:t>–</w:t>
      </w:r>
      <w:r>
        <w:rPr>
          <w:spacing w:val="-2"/>
        </w:rPr>
        <w:t xml:space="preserve"> </w:t>
      </w:r>
      <w:r>
        <w:t>investigating</w:t>
      </w:r>
      <w:r>
        <w:rPr>
          <w:spacing w:val="-2"/>
        </w:rPr>
        <w:t xml:space="preserve"> </w:t>
      </w:r>
      <w:r>
        <w:t>the</w:t>
      </w:r>
      <w:r>
        <w:rPr>
          <w:spacing w:val="-2"/>
        </w:rPr>
        <w:t xml:space="preserve"> </w:t>
      </w:r>
      <w:r>
        <w:t>reasons</w:t>
      </w:r>
      <w:r>
        <w:rPr>
          <w:spacing w:val="-2"/>
        </w:rPr>
        <w:t xml:space="preserve"> </w:t>
      </w:r>
      <w:r>
        <w:t>for variation – is vital for understanding whether it is warranted and whether action is required.</w:t>
      </w:r>
    </w:p>
    <w:p w14:paraId="034D5C2D" w14:textId="77777777" w:rsidR="00D6288A" w:rsidRDefault="00D6288A">
      <w:pPr>
        <w:rPr>
          <w:sz w:val="21"/>
          <w:szCs w:val="21"/>
        </w:rPr>
      </w:pPr>
      <w:r>
        <w:br w:type="page"/>
      </w:r>
    </w:p>
    <w:p w14:paraId="6C59337A" w14:textId="43392BAD" w:rsidR="009D54AF" w:rsidRDefault="00000000">
      <w:pPr>
        <w:pStyle w:val="BodyText"/>
        <w:spacing w:before="142" w:line="278" w:lineRule="auto"/>
        <w:ind w:left="142" w:right="285"/>
      </w:pPr>
      <w:r>
        <w:lastRenderedPageBreak/>
        <w:t>Warranted</w:t>
      </w:r>
      <w:r>
        <w:rPr>
          <w:spacing w:val="-1"/>
        </w:rPr>
        <w:t xml:space="preserve"> </w:t>
      </w:r>
      <w:r>
        <w:t>healthcare</w:t>
      </w:r>
      <w:r>
        <w:rPr>
          <w:spacing w:val="-1"/>
        </w:rPr>
        <w:t xml:space="preserve"> </w:t>
      </w:r>
      <w:r>
        <w:t>variation</w:t>
      </w:r>
      <w:r>
        <w:rPr>
          <w:spacing w:val="-1"/>
        </w:rPr>
        <w:t xml:space="preserve"> </w:t>
      </w:r>
      <w:r>
        <w:t>is</w:t>
      </w:r>
      <w:r>
        <w:rPr>
          <w:spacing w:val="-1"/>
        </w:rPr>
        <w:t xml:space="preserve"> </w:t>
      </w:r>
      <w:r>
        <w:t>due</w:t>
      </w:r>
      <w:r>
        <w:rPr>
          <w:spacing w:val="-1"/>
        </w:rPr>
        <w:t xml:space="preserve"> </w:t>
      </w:r>
      <w:r>
        <w:t>to</w:t>
      </w:r>
      <w:r>
        <w:rPr>
          <w:spacing w:val="-1"/>
        </w:rPr>
        <w:t xml:space="preserve"> </w:t>
      </w:r>
      <w:r>
        <w:t>differences</w:t>
      </w:r>
      <w:r>
        <w:rPr>
          <w:spacing w:val="-1"/>
        </w:rPr>
        <w:t xml:space="preserve"> </w:t>
      </w:r>
      <w:r>
        <w:t>in</w:t>
      </w:r>
      <w:r>
        <w:rPr>
          <w:spacing w:val="-1"/>
        </w:rPr>
        <w:t xml:space="preserve"> </w:t>
      </w:r>
      <w:r>
        <w:t>patients’</w:t>
      </w:r>
      <w:r>
        <w:rPr>
          <w:spacing w:val="-1"/>
        </w:rPr>
        <w:t xml:space="preserve"> </w:t>
      </w:r>
      <w:r>
        <w:t>needs</w:t>
      </w:r>
      <w:r>
        <w:rPr>
          <w:spacing w:val="-1"/>
        </w:rPr>
        <w:t xml:space="preserve"> </w:t>
      </w:r>
      <w:r>
        <w:t>or</w:t>
      </w:r>
      <w:r>
        <w:rPr>
          <w:spacing w:val="-1"/>
        </w:rPr>
        <w:t xml:space="preserve"> </w:t>
      </w:r>
      <w:r>
        <w:t>preferences.</w:t>
      </w:r>
      <w:r>
        <w:rPr>
          <w:spacing w:val="-1"/>
        </w:rPr>
        <w:t xml:space="preserve"> </w:t>
      </w:r>
      <w:r>
        <w:t>When</w:t>
      </w:r>
      <w:r>
        <w:rPr>
          <w:spacing w:val="-1"/>
        </w:rPr>
        <w:t xml:space="preserve"> </w:t>
      </w:r>
      <w:r>
        <w:t>a</w:t>
      </w:r>
      <w:r>
        <w:rPr>
          <w:spacing w:val="-1"/>
        </w:rPr>
        <w:t xml:space="preserve"> </w:t>
      </w:r>
      <w:r>
        <w:t>difference</w:t>
      </w:r>
      <w:r>
        <w:rPr>
          <w:spacing w:val="-1"/>
        </w:rPr>
        <w:t xml:space="preserve"> </w:t>
      </w:r>
      <w:r>
        <w:t>in use of health care does not reflect these factors, it is unwarranted healthcare variation. Understanding the reasons for unwarranted healthcare variation helps guide actions such as increasing access to treatment options that produce better outcomes for patients and avoiding treatment that has little benefit.</w:t>
      </w:r>
    </w:p>
    <w:p w14:paraId="3518D12C" w14:textId="77777777" w:rsidR="009D54AF" w:rsidRDefault="009D54AF">
      <w:pPr>
        <w:pStyle w:val="BodyText"/>
        <w:spacing w:before="65"/>
      </w:pPr>
    </w:p>
    <w:p w14:paraId="141D5696" w14:textId="77777777" w:rsidR="009D54AF" w:rsidRDefault="00000000">
      <w:pPr>
        <w:pStyle w:val="Heading5"/>
      </w:pPr>
      <w:r>
        <w:t>Atlas</w:t>
      </w:r>
      <w:r>
        <w:rPr>
          <w:spacing w:val="-5"/>
        </w:rPr>
        <w:t xml:space="preserve"> </w:t>
      </w:r>
      <w:r>
        <w:t>Focus</w:t>
      </w:r>
      <w:r>
        <w:rPr>
          <w:spacing w:val="-4"/>
        </w:rPr>
        <w:t xml:space="preserve"> </w:t>
      </w:r>
      <w:r>
        <w:t>Report:</w:t>
      </w:r>
      <w:r>
        <w:rPr>
          <w:spacing w:val="-4"/>
        </w:rPr>
        <w:t xml:space="preserve"> </w:t>
      </w:r>
      <w:r>
        <w:rPr>
          <w:spacing w:val="-2"/>
        </w:rPr>
        <w:t>Colonoscopy</w:t>
      </w:r>
    </w:p>
    <w:p w14:paraId="448F648D" w14:textId="77777777" w:rsidR="009D54AF" w:rsidRDefault="00000000">
      <w:pPr>
        <w:pStyle w:val="BodyText"/>
        <w:spacing w:before="133" w:line="278" w:lineRule="auto"/>
        <w:ind w:left="142" w:right="562"/>
      </w:pPr>
      <w:r>
        <w:t xml:space="preserve">The Commission launched the </w:t>
      </w:r>
      <w:hyperlink r:id="rId76">
        <w:r>
          <w:rPr>
            <w:i/>
            <w:u w:val="single"/>
          </w:rPr>
          <w:t>Atlas Focus Report: Colonoscopy</w:t>
        </w:r>
      </w:hyperlink>
      <w:r>
        <w:rPr>
          <w:i/>
        </w:rPr>
        <w:t xml:space="preserve"> </w:t>
      </w:r>
      <w:r>
        <w:t xml:space="preserve">with the revised </w:t>
      </w:r>
      <w:hyperlink r:id="rId77">
        <w:r>
          <w:rPr>
            <w:u w:val="single"/>
          </w:rPr>
          <w:t xml:space="preserve">Colonoscopy Clinical </w:t>
        </w:r>
      </w:hyperlink>
      <w:r>
        <w:t xml:space="preserve"> </w:t>
      </w:r>
      <w:hyperlink r:id="rId78">
        <w:r>
          <w:rPr>
            <w:u w:val="single"/>
          </w:rPr>
          <w:t>Care Standard</w:t>
        </w:r>
      </w:hyperlink>
      <w:r>
        <w:t xml:space="preserve"> at the World Congress of Gastroenterology in September 2025. The </w:t>
      </w:r>
      <w:r>
        <w:rPr>
          <w:i/>
        </w:rPr>
        <w:t>Atlas Focus Report: Colonoscopy</w:t>
      </w:r>
      <w:r>
        <w:rPr>
          <w:i/>
          <w:spacing w:val="-1"/>
        </w:rPr>
        <w:t xml:space="preserve"> </w:t>
      </w:r>
      <w:r>
        <w:t>examines trends in the rates of Medicare Benefits Schedule–</w:t>
      </w:r>
      <w:proofErr w:type="spellStart"/>
      <w:r>
        <w:t>subsidised</w:t>
      </w:r>
      <w:proofErr w:type="spellEnd"/>
      <w:r>
        <w:t xml:space="preserve"> colonoscopies and repeat colonoscopies (within 2 years and 10 months) between 2013–14 and 2023–24.</w:t>
      </w:r>
    </w:p>
    <w:p w14:paraId="4C114792" w14:textId="77777777" w:rsidR="009D54AF" w:rsidRDefault="00000000">
      <w:pPr>
        <w:pStyle w:val="BodyText"/>
        <w:spacing w:before="141" w:line="278" w:lineRule="auto"/>
        <w:ind w:left="142" w:right="285"/>
      </w:pPr>
      <w:r>
        <w:t>Only a small proportion of people (those at higher risk) need a repeat colonoscopy within three years. Variation</w:t>
      </w:r>
      <w:r>
        <w:rPr>
          <w:spacing w:val="-3"/>
        </w:rPr>
        <w:t xml:space="preserve"> </w:t>
      </w:r>
      <w:r>
        <w:t>in</w:t>
      </w:r>
      <w:r>
        <w:rPr>
          <w:spacing w:val="-3"/>
        </w:rPr>
        <w:t xml:space="preserve"> </w:t>
      </w:r>
      <w:r>
        <w:t>rates</w:t>
      </w:r>
      <w:r>
        <w:rPr>
          <w:spacing w:val="-3"/>
        </w:rPr>
        <w:t xml:space="preserve"> </w:t>
      </w:r>
      <w:r>
        <w:t>of</w:t>
      </w:r>
      <w:r>
        <w:rPr>
          <w:spacing w:val="-3"/>
        </w:rPr>
        <w:t xml:space="preserve"> </w:t>
      </w:r>
      <w:r>
        <w:t>repeat</w:t>
      </w:r>
      <w:r>
        <w:rPr>
          <w:spacing w:val="-3"/>
        </w:rPr>
        <w:t xml:space="preserve"> </w:t>
      </w:r>
      <w:r>
        <w:t>colonoscopy</w:t>
      </w:r>
      <w:r>
        <w:rPr>
          <w:spacing w:val="-3"/>
        </w:rPr>
        <w:t xml:space="preserve"> </w:t>
      </w:r>
      <w:r>
        <w:t>within</w:t>
      </w:r>
      <w:r>
        <w:rPr>
          <w:spacing w:val="-3"/>
        </w:rPr>
        <w:t xml:space="preserve"> </w:t>
      </w:r>
      <w:r>
        <w:t>three</w:t>
      </w:r>
      <w:r>
        <w:rPr>
          <w:spacing w:val="-3"/>
        </w:rPr>
        <w:t xml:space="preserve"> </w:t>
      </w:r>
      <w:r>
        <w:t>years</w:t>
      </w:r>
      <w:r>
        <w:rPr>
          <w:spacing w:val="-3"/>
        </w:rPr>
        <w:t xml:space="preserve"> </w:t>
      </w:r>
      <w:r>
        <w:t>can</w:t>
      </w:r>
      <w:r>
        <w:rPr>
          <w:spacing w:val="-3"/>
        </w:rPr>
        <w:t xml:space="preserve"> </w:t>
      </w:r>
      <w:r>
        <w:t>indicate</w:t>
      </w:r>
      <w:r>
        <w:rPr>
          <w:spacing w:val="-3"/>
        </w:rPr>
        <w:t xml:space="preserve"> </w:t>
      </w:r>
      <w:r>
        <w:t>a</w:t>
      </w:r>
      <w:r>
        <w:rPr>
          <w:spacing w:val="-3"/>
        </w:rPr>
        <w:t xml:space="preserve"> </w:t>
      </w:r>
      <w:r>
        <w:t>need</w:t>
      </w:r>
      <w:r>
        <w:rPr>
          <w:spacing w:val="-3"/>
        </w:rPr>
        <w:t xml:space="preserve"> </w:t>
      </w:r>
      <w:r>
        <w:t>to</w:t>
      </w:r>
      <w:r>
        <w:rPr>
          <w:spacing w:val="-3"/>
        </w:rPr>
        <w:t xml:space="preserve"> </w:t>
      </w:r>
      <w:r>
        <w:t>improve</w:t>
      </w:r>
      <w:r>
        <w:rPr>
          <w:spacing w:val="-3"/>
        </w:rPr>
        <w:t xml:space="preserve"> </w:t>
      </w:r>
      <w:r>
        <w:t>care,</w:t>
      </w:r>
      <w:r>
        <w:rPr>
          <w:spacing w:val="-3"/>
        </w:rPr>
        <w:t xml:space="preserve"> </w:t>
      </w:r>
      <w:r>
        <w:t>because:</w:t>
      </w:r>
    </w:p>
    <w:p w14:paraId="4DF3776B" w14:textId="77777777" w:rsidR="009D54AF" w:rsidRDefault="00000000">
      <w:pPr>
        <w:pStyle w:val="ListParagraph"/>
        <w:numPr>
          <w:ilvl w:val="0"/>
          <w:numId w:val="31"/>
        </w:numPr>
        <w:tabs>
          <w:tab w:val="left" w:pos="424"/>
        </w:tabs>
        <w:spacing w:before="57"/>
        <w:ind w:left="424" w:hanging="268"/>
        <w:rPr>
          <w:sz w:val="21"/>
        </w:rPr>
      </w:pPr>
      <w:r>
        <w:rPr>
          <w:sz w:val="21"/>
        </w:rPr>
        <w:t>high</w:t>
      </w:r>
      <w:r>
        <w:rPr>
          <w:spacing w:val="-4"/>
          <w:sz w:val="21"/>
        </w:rPr>
        <w:t xml:space="preserve"> </w:t>
      </w:r>
      <w:r>
        <w:rPr>
          <w:sz w:val="21"/>
        </w:rPr>
        <w:t>rates</w:t>
      </w:r>
      <w:r>
        <w:rPr>
          <w:spacing w:val="-2"/>
          <w:sz w:val="21"/>
        </w:rPr>
        <w:t xml:space="preserve"> </w:t>
      </w:r>
      <w:r>
        <w:rPr>
          <w:sz w:val="21"/>
        </w:rPr>
        <w:t>may</w:t>
      </w:r>
      <w:r>
        <w:rPr>
          <w:spacing w:val="-2"/>
          <w:sz w:val="21"/>
        </w:rPr>
        <w:t xml:space="preserve"> </w:t>
      </w:r>
      <w:r>
        <w:rPr>
          <w:sz w:val="21"/>
        </w:rPr>
        <w:t>reflect</w:t>
      </w:r>
      <w:r>
        <w:rPr>
          <w:spacing w:val="-2"/>
          <w:sz w:val="21"/>
        </w:rPr>
        <w:t xml:space="preserve"> </w:t>
      </w:r>
      <w:r>
        <w:rPr>
          <w:sz w:val="21"/>
        </w:rPr>
        <w:t>repeats</w:t>
      </w:r>
      <w:r>
        <w:rPr>
          <w:spacing w:val="-2"/>
          <w:sz w:val="21"/>
        </w:rPr>
        <w:t xml:space="preserve"> </w:t>
      </w:r>
      <w:r>
        <w:rPr>
          <w:sz w:val="21"/>
        </w:rPr>
        <w:t>that</w:t>
      </w:r>
      <w:r>
        <w:rPr>
          <w:spacing w:val="-2"/>
          <w:sz w:val="21"/>
        </w:rPr>
        <w:t xml:space="preserve"> </w:t>
      </w:r>
      <w:r>
        <w:rPr>
          <w:sz w:val="21"/>
        </w:rPr>
        <w:t>are</w:t>
      </w:r>
      <w:r>
        <w:rPr>
          <w:spacing w:val="-2"/>
          <w:sz w:val="21"/>
        </w:rPr>
        <w:t xml:space="preserve"> </w:t>
      </w:r>
      <w:r>
        <w:rPr>
          <w:sz w:val="21"/>
        </w:rPr>
        <w:t>not</w:t>
      </w:r>
      <w:r>
        <w:rPr>
          <w:spacing w:val="-2"/>
          <w:sz w:val="21"/>
        </w:rPr>
        <w:t xml:space="preserve"> </w:t>
      </w:r>
      <w:r>
        <w:rPr>
          <w:sz w:val="21"/>
        </w:rPr>
        <w:t>clinically</w:t>
      </w:r>
      <w:r>
        <w:rPr>
          <w:spacing w:val="-1"/>
          <w:sz w:val="21"/>
        </w:rPr>
        <w:t xml:space="preserve"> </w:t>
      </w:r>
      <w:r>
        <w:rPr>
          <w:spacing w:val="-2"/>
          <w:sz w:val="21"/>
        </w:rPr>
        <w:t>necessary</w:t>
      </w:r>
    </w:p>
    <w:p w14:paraId="10391360" w14:textId="77777777" w:rsidR="009D54AF" w:rsidRDefault="00000000">
      <w:pPr>
        <w:pStyle w:val="ListParagraph"/>
        <w:numPr>
          <w:ilvl w:val="0"/>
          <w:numId w:val="31"/>
        </w:numPr>
        <w:tabs>
          <w:tab w:val="left" w:pos="424"/>
          <w:tab w:val="left" w:pos="440"/>
        </w:tabs>
        <w:spacing w:line="278" w:lineRule="auto"/>
        <w:ind w:right="438" w:hanging="284"/>
        <w:rPr>
          <w:sz w:val="21"/>
        </w:rPr>
      </w:pPr>
      <w:r>
        <w:rPr>
          <w:sz w:val="21"/>
        </w:rPr>
        <w:t>low</w:t>
      </w:r>
      <w:r>
        <w:rPr>
          <w:spacing w:val="-3"/>
          <w:sz w:val="21"/>
        </w:rPr>
        <w:t xml:space="preserve"> </w:t>
      </w:r>
      <w:r>
        <w:rPr>
          <w:sz w:val="21"/>
        </w:rPr>
        <w:t>rates</w:t>
      </w:r>
      <w:r>
        <w:rPr>
          <w:spacing w:val="-3"/>
          <w:sz w:val="21"/>
        </w:rPr>
        <w:t xml:space="preserve"> </w:t>
      </w:r>
      <w:r>
        <w:rPr>
          <w:sz w:val="21"/>
        </w:rPr>
        <w:t>may</w:t>
      </w:r>
      <w:r>
        <w:rPr>
          <w:spacing w:val="-3"/>
          <w:sz w:val="21"/>
        </w:rPr>
        <w:t xml:space="preserve"> </w:t>
      </w:r>
      <w:r>
        <w:rPr>
          <w:sz w:val="21"/>
        </w:rPr>
        <w:t>reflect</w:t>
      </w:r>
      <w:r>
        <w:rPr>
          <w:spacing w:val="-3"/>
          <w:sz w:val="21"/>
        </w:rPr>
        <w:t xml:space="preserve"> </w:t>
      </w:r>
      <w:r>
        <w:rPr>
          <w:sz w:val="21"/>
        </w:rPr>
        <w:t>a</w:t>
      </w:r>
      <w:r>
        <w:rPr>
          <w:spacing w:val="-3"/>
          <w:sz w:val="21"/>
        </w:rPr>
        <w:t xml:space="preserve"> </w:t>
      </w:r>
      <w:r>
        <w:rPr>
          <w:sz w:val="21"/>
        </w:rPr>
        <w:t>lack</w:t>
      </w:r>
      <w:r>
        <w:rPr>
          <w:spacing w:val="-3"/>
          <w:sz w:val="21"/>
        </w:rPr>
        <w:t xml:space="preserve"> </w:t>
      </w:r>
      <w:r>
        <w:rPr>
          <w:sz w:val="21"/>
        </w:rPr>
        <w:t>of</w:t>
      </w:r>
      <w:r>
        <w:rPr>
          <w:spacing w:val="-3"/>
          <w:sz w:val="21"/>
        </w:rPr>
        <w:t xml:space="preserve"> </w:t>
      </w:r>
      <w:r>
        <w:rPr>
          <w:sz w:val="21"/>
        </w:rPr>
        <w:t>access,</w:t>
      </w:r>
      <w:r>
        <w:rPr>
          <w:spacing w:val="-3"/>
          <w:sz w:val="21"/>
        </w:rPr>
        <w:t xml:space="preserve"> </w:t>
      </w:r>
      <w:r>
        <w:rPr>
          <w:sz w:val="21"/>
        </w:rPr>
        <w:t>which</w:t>
      </w:r>
      <w:r>
        <w:rPr>
          <w:spacing w:val="-3"/>
          <w:sz w:val="21"/>
        </w:rPr>
        <w:t xml:space="preserve"> </w:t>
      </w:r>
      <w:r>
        <w:rPr>
          <w:sz w:val="21"/>
        </w:rPr>
        <w:t>may</w:t>
      </w:r>
      <w:r>
        <w:rPr>
          <w:spacing w:val="-3"/>
          <w:sz w:val="21"/>
        </w:rPr>
        <w:t xml:space="preserve"> </w:t>
      </w:r>
      <w:r>
        <w:rPr>
          <w:sz w:val="21"/>
        </w:rPr>
        <w:t>lead</w:t>
      </w:r>
      <w:r>
        <w:rPr>
          <w:spacing w:val="-3"/>
          <w:sz w:val="21"/>
        </w:rPr>
        <w:t xml:space="preserve"> </w:t>
      </w:r>
      <w:r>
        <w:rPr>
          <w:sz w:val="21"/>
        </w:rPr>
        <w:t>to</w:t>
      </w:r>
      <w:r>
        <w:rPr>
          <w:spacing w:val="-3"/>
          <w:sz w:val="21"/>
        </w:rPr>
        <w:t xml:space="preserve"> </w:t>
      </w:r>
      <w:r>
        <w:rPr>
          <w:sz w:val="21"/>
        </w:rPr>
        <w:t>under-diagnosis</w:t>
      </w:r>
      <w:r>
        <w:rPr>
          <w:spacing w:val="-3"/>
          <w:sz w:val="21"/>
        </w:rPr>
        <w:t xml:space="preserve"> </w:t>
      </w:r>
      <w:r>
        <w:rPr>
          <w:sz w:val="21"/>
        </w:rPr>
        <w:t>and</w:t>
      </w:r>
      <w:r>
        <w:rPr>
          <w:spacing w:val="-3"/>
          <w:sz w:val="21"/>
        </w:rPr>
        <w:t xml:space="preserve"> </w:t>
      </w:r>
      <w:r>
        <w:rPr>
          <w:sz w:val="21"/>
        </w:rPr>
        <w:t>under-treatment</w:t>
      </w:r>
      <w:r>
        <w:rPr>
          <w:spacing w:val="-3"/>
          <w:sz w:val="21"/>
        </w:rPr>
        <w:t xml:space="preserve"> </w:t>
      </w:r>
      <w:r>
        <w:rPr>
          <w:sz w:val="21"/>
        </w:rPr>
        <w:t>of</w:t>
      </w:r>
      <w:r>
        <w:rPr>
          <w:spacing w:val="-3"/>
          <w:sz w:val="21"/>
        </w:rPr>
        <w:t xml:space="preserve"> </w:t>
      </w:r>
      <w:r>
        <w:rPr>
          <w:sz w:val="21"/>
        </w:rPr>
        <w:t xml:space="preserve">bowel </w:t>
      </w:r>
      <w:r>
        <w:rPr>
          <w:spacing w:val="-2"/>
          <w:sz w:val="21"/>
        </w:rPr>
        <w:t>cancer.</w:t>
      </w:r>
    </w:p>
    <w:p w14:paraId="78A8F2A2" w14:textId="77777777" w:rsidR="009D54AF" w:rsidRDefault="00000000">
      <w:pPr>
        <w:pStyle w:val="BodyText"/>
        <w:spacing w:before="170" w:line="278" w:lineRule="auto"/>
        <w:ind w:left="142" w:right="285"/>
      </w:pPr>
      <w:r>
        <w:t>Over the past decade, national rates of repeat colonoscopy performed within 2 years and 10 months decreased by 8%. This may reflect greater adherence to recommended surveillance intervals in some local areas.</w:t>
      </w:r>
      <w:r>
        <w:rPr>
          <w:spacing w:val="-2"/>
        </w:rPr>
        <w:t xml:space="preserve"> </w:t>
      </w:r>
      <w:r>
        <w:t>At</w:t>
      </w:r>
      <w:r>
        <w:rPr>
          <w:spacing w:val="-2"/>
        </w:rPr>
        <w:t xml:space="preserve"> </w:t>
      </w:r>
      <w:r>
        <w:t>the</w:t>
      </w:r>
      <w:r>
        <w:rPr>
          <w:spacing w:val="-2"/>
        </w:rPr>
        <w:t xml:space="preserve"> </w:t>
      </w:r>
      <w:r>
        <w:t>same</w:t>
      </w:r>
      <w:r>
        <w:rPr>
          <w:spacing w:val="-2"/>
        </w:rPr>
        <w:t xml:space="preserve"> </w:t>
      </w:r>
      <w:r>
        <w:t>time,</w:t>
      </w:r>
      <w:r>
        <w:rPr>
          <w:spacing w:val="-2"/>
        </w:rPr>
        <w:t xml:space="preserve"> </w:t>
      </w:r>
      <w:r>
        <w:t>there</w:t>
      </w:r>
      <w:r>
        <w:rPr>
          <w:spacing w:val="-2"/>
        </w:rPr>
        <w:t xml:space="preserve"> </w:t>
      </w:r>
      <w:r>
        <w:t>was</w:t>
      </w:r>
      <w:r>
        <w:rPr>
          <w:spacing w:val="-2"/>
        </w:rPr>
        <w:t xml:space="preserve"> </w:t>
      </w:r>
      <w:r>
        <w:t>growing</w:t>
      </w:r>
      <w:r>
        <w:rPr>
          <w:spacing w:val="-2"/>
        </w:rPr>
        <w:t xml:space="preserve"> </w:t>
      </w:r>
      <w:r>
        <w:t>disparity</w:t>
      </w:r>
      <w:r>
        <w:rPr>
          <w:spacing w:val="-2"/>
        </w:rPr>
        <w:t xml:space="preserve"> </w:t>
      </w:r>
      <w:r>
        <w:t>between</w:t>
      </w:r>
      <w:r>
        <w:rPr>
          <w:spacing w:val="-2"/>
        </w:rPr>
        <w:t xml:space="preserve"> </w:t>
      </w:r>
      <w:r>
        <w:t>regions</w:t>
      </w:r>
      <w:r>
        <w:rPr>
          <w:spacing w:val="-2"/>
        </w:rPr>
        <w:t xml:space="preserve"> </w:t>
      </w:r>
      <w:r>
        <w:t>–</w:t>
      </w:r>
      <w:r>
        <w:rPr>
          <w:spacing w:val="-2"/>
        </w:rPr>
        <w:t xml:space="preserve"> </w:t>
      </w:r>
      <w:r>
        <w:t>the</w:t>
      </w:r>
      <w:r>
        <w:rPr>
          <w:spacing w:val="-2"/>
        </w:rPr>
        <w:t xml:space="preserve"> </w:t>
      </w:r>
      <w:r>
        <w:t>falls</w:t>
      </w:r>
      <w:r>
        <w:rPr>
          <w:spacing w:val="-2"/>
        </w:rPr>
        <w:t xml:space="preserve"> </w:t>
      </w:r>
      <w:r>
        <w:t>in</w:t>
      </w:r>
      <w:r>
        <w:rPr>
          <w:spacing w:val="-2"/>
        </w:rPr>
        <w:t xml:space="preserve"> </w:t>
      </w:r>
      <w:r>
        <w:t>repeat</w:t>
      </w:r>
      <w:r>
        <w:rPr>
          <w:spacing w:val="-2"/>
        </w:rPr>
        <w:t xml:space="preserve"> </w:t>
      </w:r>
      <w:r>
        <w:t>colonoscopy</w:t>
      </w:r>
      <w:r>
        <w:rPr>
          <w:spacing w:val="-2"/>
        </w:rPr>
        <w:t xml:space="preserve"> </w:t>
      </w:r>
      <w:r>
        <w:t>were much greater in remote areas and socioeconomically disadvantaged areas. Lack of access to colonoscopy services may be contributing to the low rates in these areas. The report highlighted potential strategies for improving equity of access, including:</w:t>
      </w:r>
    </w:p>
    <w:p w14:paraId="047129DD" w14:textId="77777777" w:rsidR="009D54AF" w:rsidRDefault="00000000">
      <w:pPr>
        <w:pStyle w:val="ListParagraph"/>
        <w:numPr>
          <w:ilvl w:val="0"/>
          <w:numId w:val="31"/>
        </w:numPr>
        <w:tabs>
          <w:tab w:val="left" w:pos="424"/>
        </w:tabs>
        <w:spacing w:before="56"/>
        <w:ind w:left="424" w:hanging="268"/>
        <w:rPr>
          <w:sz w:val="21"/>
        </w:rPr>
      </w:pPr>
      <w:r>
        <w:rPr>
          <w:sz w:val="21"/>
        </w:rPr>
        <w:t>consumer</w:t>
      </w:r>
      <w:r>
        <w:rPr>
          <w:spacing w:val="-3"/>
          <w:sz w:val="21"/>
        </w:rPr>
        <w:t xml:space="preserve"> </w:t>
      </w:r>
      <w:r>
        <w:rPr>
          <w:sz w:val="21"/>
        </w:rPr>
        <w:t xml:space="preserve">education programs on bowel cancer screening in underserved </w:t>
      </w:r>
      <w:r>
        <w:rPr>
          <w:spacing w:val="-2"/>
          <w:sz w:val="21"/>
        </w:rPr>
        <w:t>areas</w:t>
      </w:r>
    </w:p>
    <w:p w14:paraId="045FC441" w14:textId="77777777" w:rsidR="009D54AF" w:rsidRDefault="00000000">
      <w:pPr>
        <w:pStyle w:val="ListParagraph"/>
        <w:numPr>
          <w:ilvl w:val="0"/>
          <w:numId w:val="31"/>
        </w:numPr>
        <w:tabs>
          <w:tab w:val="left" w:pos="424"/>
        </w:tabs>
        <w:ind w:left="424" w:hanging="268"/>
        <w:rPr>
          <w:sz w:val="21"/>
        </w:rPr>
      </w:pPr>
      <w:r>
        <w:rPr>
          <w:sz w:val="21"/>
        </w:rPr>
        <w:t>increased</w:t>
      </w:r>
      <w:r>
        <w:rPr>
          <w:spacing w:val="-2"/>
          <w:sz w:val="21"/>
        </w:rPr>
        <w:t xml:space="preserve"> </w:t>
      </w:r>
      <w:r>
        <w:rPr>
          <w:sz w:val="21"/>
        </w:rPr>
        <w:t>access</w:t>
      </w:r>
      <w:r>
        <w:rPr>
          <w:spacing w:val="1"/>
          <w:sz w:val="21"/>
        </w:rPr>
        <w:t xml:space="preserve"> </w:t>
      </w:r>
      <w:r>
        <w:rPr>
          <w:sz w:val="21"/>
        </w:rPr>
        <w:t>to Aboriginal</w:t>
      </w:r>
      <w:r>
        <w:rPr>
          <w:spacing w:val="1"/>
          <w:sz w:val="21"/>
        </w:rPr>
        <w:t xml:space="preserve"> </w:t>
      </w:r>
      <w:r>
        <w:rPr>
          <w:sz w:val="21"/>
        </w:rPr>
        <w:t>Community Controlled</w:t>
      </w:r>
      <w:r>
        <w:rPr>
          <w:spacing w:val="1"/>
          <w:sz w:val="21"/>
        </w:rPr>
        <w:t xml:space="preserve"> </w:t>
      </w:r>
      <w:r>
        <w:rPr>
          <w:sz w:val="21"/>
        </w:rPr>
        <w:t>Health</w:t>
      </w:r>
      <w:r>
        <w:rPr>
          <w:spacing w:val="1"/>
          <w:sz w:val="21"/>
        </w:rPr>
        <w:t xml:space="preserve"> </w:t>
      </w:r>
      <w:r>
        <w:rPr>
          <w:spacing w:val="-2"/>
          <w:sz w:val="21"/>
        </w:rPr>
        <w:t>Services</w:t>
      </w:r>
    </w:p>
    <w:p w14:paraId="68F8913B" w14:textId="77777777" w:rsidR="009D54AF" w:rsidRDefault="00000000">
      <w:pPr>
        <w:pStyle w:val="ListParagraph"/>
        <w:numPr>
          <w:ilvl w:val="0"/>
          <w:numId w:val="31"/>
        </w:numPr>
        <w:tabs>
          <w:tab w:val="left" w:pos="424"/>
        </w:tabs>
        <w:ind w:left="424" w:hanging="268"/>
        <w:rPr>
          <w:sz w:val="21"/>
        </w:rPr>
      </w:pPr>
      <w:r>
        <w:rPr>
          <w:sz w:val="21"/>
        </w:rPr>
        <w:t>financial</w:t>
      </w:r>
      <w:r>
        <w:rPr>
          <w:spacing w:val="-2"/>
          <w:sz w:val="21"/>
        </w:rPr>
        <w:t xml:space="preserve"> </w:t>
      </w:r>
      <w:r>
        <w:rPr>
          <w:sz w:val="21"/>
        </w:rPr>
        <w:t xml:space="preserve">incentives for endoscopists to work in underserved </w:t>
      </w:r>
      <w:r>
        <w:rPr>
          <w:spacing w:val="-2"/>
          <w:sz w:val="21"/>
        </w:rPr>
        <w:t>areas</w:t>
      </w:r>
    </w:p>
    <w:p w14:paraId="22E8774D" w14:textId="77777777" w:rsidR="009D54AF" w:rsidRDefault="00000000">
      <w:pPr>
        <w:pStyle w:val="ListParagraph"/>
        <w:numPr>
          <w:ilvl w:val="0"/>
          <w:numId w:val="31"/>
        </w:numPr>
        <w:tabs>
          <w:tab w:val="left" w:pos="424"/>
        </w:tabs>
        <w:ind w:left="424" w:hanging="268"/>
        <w:rPr>
          <w:sz w:val="21"/>
        </w:rPr>
      </w:pPr>
      <w:r>
        <w:rPr>
          <w:sz w:val="21"/>
        </w:rPr>
        <w:t>expanded</w:t>
      </w:r>
      <w:r>
        <w:rPr>
          <w:spacing w:val="-1"/>
          <w:sz w:val="21"/>
        </w:rPr>
        <w:t xml:space="preserve"> </w:t>
      </w:r>
      <w:r>
        <w:rPr>
          <w:sz w:val="21"/>
        </w:rPr>
        <w:t>outreach</w:t>
      </w:r>
      <w:r>
        <w:rPr>
          <w:spacing w:val="-1"/>
          <w:sz w:val="21"/>
        </w:rPr>
        <w:t xml:space="preserve"> </w:t>
      </w:r>
      <w:r>
        <w:rPr>
          <w:sz w:val="21"/>
        </w:rPr>
        <w:t>programs</w:t>
      </w:r>
      <w:r>
        <w:rPr>
          <w:spacing w:val="-1"/>
          <w:sz w:val="21"/>
        </w:rPr>
        <w:t xml:space="preserve"> </w:t>
      </w:r>
      <w:r>
        <w:rPr>
          <w:sz w:val="21"/>
        </w:rPr>
        <w:t>for</w:t>
      </w:r>
      <w:r>
        <w:rPr>
          <w:spacing w:val="-1"/>
          <w:sz w:val="21"/>
        </w:rPr>
        <w:t xml:space="preserve"> </w:t>
      </w:r>
      <w:r>
        <w:rPr>
          <w:sz w:val="21"/>
        </w:rPr>
        <w:t>underserved</w:t>
      </w:r>
      <w:r>
        <w:rPr>
          <w:spacing w:val="-1"/>
          <w:sz w:val="21"/>
        </w:rPr>
        <w:t xml:space="preserve"> </w:t>
      </w:r>
      <w:r>
        <w:rPr>
          <w:spacing w:val="-2"/>
          <w:sz w:val="21"/>
        </w:rPr>
        <w:t>areas.</w:t>
      </w:r>
    </w:p>
    <w:p w14:paraId="4B3589E8" w14:textId="77777777" w:rsidR="009D54AF" w:rsidRDefault="009D54AF">
      <w:pPr>
        <w:pStyle w:val="BodyText"/>
        <w:spacing w:before="133"/>
      </w:pPr>
    </w:p>
    <w:p w14:paraId="5FF86751" w14:textId="77777777" w:rsidR="009D54AF" w:rsidRDefault="00000000">
      <w:pPr>
        <w:pStyle w:val="Heading5"/>
      </w:pPr>
      <w:r>
        <w:t>Indicators,</w:t>
      </w:r>
      <w:r>
        <w:rPr>
          <w:spacing w:val="-6"/>
        </w:rPr>
        <w:t xml:space="preserve"> </w:t>
      </w:r>
      <w:r>
        <w:t>measures</w:t>
      </w:r>
      <w:r>
        <w:rPr>
          <w:spacing w:val="-4"/>
        </w:rPr>
        <w:t xml:space="preserve"> </w:t>
      </w:r>
      <w:r>
        <w:t>and</w:t>
      </w:r>
      <w:r>
        <w:rPr>
          <w:spacing w:val="-4"/>
        </w:rPr>
        <w:t xml:space="preserve"> </w:t>
      </w:r>
      <w:r>
        <w:t>dataset</w:t>
      </w:r>
      <w:r>
        <w:rPr>
          <w:spacing w:val="-4"/>
        </w:rPr>
        <w:t xml:space="preserve"> </w:t>
      </w:r>
      <w:r>
        <w:rPr>
          <w:spacing w:val="-2"/>
        </w:rPr>
        <w:t>specifications</w:t>
      </w:r>
    </w:p>
    <w:p w14:paraId="22B5EE90" w14:textId="3E6A3360" w:rsidR="009D54AF" w:rsidRDefault="00000000" w:rsidP="00D13873">
      <w:pPr>
        <w:pStyle w:val="BodyText"/>
        <w:spacing w:before="133" w:line="278" w:lineRule="auto"/>
        <w:ind w:left="142" w:right="214"/>
      </w:pPr>
      <w:r>
        <w:t>While most health care in Australia is associated with good clinical outcomes, preventable adverse events and</w:t>
      </w:r>
      <w:r>
        <w:rPr>
          <w:spacing w:val="-2"/>
        </w:rPr>
        <w:t xml:space="preserve"> </w:t>
      </w:r>
      <w:r>
        <w:t>complications</w:t>
      </w:r>
      <w:r>
        <w:rPr>
          <w:spacing w:val="-2"/>
        </w:rPr>
        <w:t xml:space="preserve"> </w:t>
      </w:r>
      <w:r>
        <w:t>continue</w:t>
      </w:r>
      <w:r>
        <w:rPr>
          <w:spacing w:val="-2"/>
        </w:rPr>
        <w:t xml:space="preserve"> </w:t>
      </w:r>
      <w:r>
        <w:t>to</w:t>
      </w:r>
      <w:r>
        <w:rPr>
          <w:spacing w:val="-2"/>
        </w:rPr>
        <w:t xml:space="preserve"> </w:t>
      </w:r>
      <w:r>
        <w:t>occur</w:t>
      </w:r>
      <w:r>
        <w:rPr>
          <w:spacing w:val="-2"/>
        </w:rPr>
        <w:t xml:space="preserve"> </w:t>
      </w:r>
      <w:r>
        <w:t>across</w:t>
      </w:r>
      <w:r>
        <w:rPr>
          <w:spacing w:val="-2"/>
        </w:rPr>
        <w:t xml:space="preserve"> </w:t>
      </w:r>
      <w:r>
        <w:t>the</w:t>
      </w:r>
      <w:r>
        <w:rPr>
          <w:spacing w:val="-2"/>
        </w:rPr>
        <w:t xml:space="preserve"> </w:t>
      </w:r>
      <w:r>
        <w:t>healthcare</w:t>
      </w:r>
      <w:r>
        <w:rPr>
          <w:spacing w:val="-2"/>
        </w:rPr>
        <w:t xml:space="preserve"> </w:t>
      </w:r>
      <w:r>
        <w:t>system.</w:t>
      </w:r>
      <w:r>
        <w:rPr>
          <w:spacing w:val="-2"/>
        </w:rPr>
        <w:t xml:space="preserve"> </w:t>
      </w:r>
      <w:r>
        <w:t>To</w:t>
      </w:r>
      <w:r>
        <w:rPr>
          <w:spacing w:val="-2"/>
        </w:rPr>
        <w:t xml:space="preserve"> </w:t>
      </w:r>
      <w:r>
        <w:t>assist</w:t>
      </w:r>
      <w:r>
        <w:rPr>
          <w:spacing w:val="-2"/>
        </w:rPr>
        <w:t xml:space="preserve"> </w:t>
      </w:r>
      <w:r>
        <w:t>in</w:t>
      </w:r>
      <w:r>
        <w:rPr>
          <w:spacing w:val="-2"/>
        </w:rPr>
        <w:t xml:space="preserve"> </w:t>
      </w:r>
      <w:r>
        <w:t>identifying</w:t>
      </w:r>
      <w:r>
        <w:rPr>
          <w:spacing w:val="-2"/>
        </w:rPr>
        <w:t xml:space="preserve"> </w:t>
      </w:r>
      <w:r>
        <w:t>instances</w:t>
      </w:r>
      <w:r>
        <w:rPr>
          <w:spacing w:val="-2"/>
        </w:rPr>
        <w:t xml:space="preserve"> </w:t>
      </w:r>
      <w:r>
        <w:t>of</w:t>
      </w:r>
      <w:r>
        <w:rPr>
          <w:spacing w:val="-2"/>
        </w:rPr>
        <w:t xml:space="preserve"> </w:t>
      </w:r>
      <w:r>
        <w:t>harm, the Commission has developed indicators for local monitoring of safety and quality. These indicators are</w:t>
      </w:r>
      <w:r w:rsidR="00D13873">
        <w:t xml:space="preserve"> </w:t>
      </w:r>
      <w:r>
        <w:t>used to monitor events such as hospital-acquired complications (HACs), avoidable hospital readmissions, severe acute maternal morbidity and sentinel events. These indicators are intended to be used alongside patient-reported experience measures (PREMs) and patient-reported outcome measures (PROMs), which ensure</w:t>
      </w:r>
      <w:r>
        <w:rPr>
          <w:spacing w:val="-2"/>
        </w:rPr>
        <w:t xml:space="preserve"> </w:t>
      </w:r>
      <w:r>
        <w:t>the</w:t>
      </w:r>
      <w:r>
        <w:rPr>
          <w:spacing w:val="-2"/>
        </w:rPr>
        <w:t xml:space="preserve"> </w:t>
      </w:r>
      <w:r>
        <w:t>voices</w:t>
      </w:r>
      <w:r>
        <w:rPr>
          <w:spacing w:val="-2"/>
        </w:rPr>
        <w:t xml:space="preserve"> </w:t>
      </w:r>
      <w:r>
        <w:t>of</w:t>
      </w:r>
      <w:r>
        <w:rPr>
          <w:spacing w:val="-2"/>
        </w:rPr>
        <w:t xml:space="preserve"> </w:t>
      </w:r>
      <w:r>
        <w:t>patients</w:t>
      </w:r>
      <w:r>
        <w:rPr>
          <w:spacing w:val="-2"/>
        </w:rPr>
        <w:t xml:space="preserve"> </w:t>
      </w:r>
      <w:r>
        <w:t>are</w:t>
      </w:r>
      <w:r>
        <w:rPr>
          <w:spacing w:val="-2"/>
        </w:rPr>
        <w:t xml:space="preserve"> </w:t>
      </w:r>
      <w:r>
        <w:t>heard.</w:t>
      </w:r>
      <w:r>
        <w:rPr>
          <w:spacing w:val="-2"/>
        </w:rPr>
        <w:t xml:space="preserve"> </w:t>
      </w:r>
      <w:r>
        <w:t>They</w:t>
      </w:r>
      <w:r>
        <w:rPr>
          <w:spacing w:val="-2"/>
        </w:rPr>
        <w:t xml:space="preserve"> </w:t>
      </w:r>
      <w:r>
        <w:t>are</w:t>
      </w:r>
      <w:r>
        <w:rPr>
          <w:spacing w:val="-2"/>
        </w:rPr>
        <w:t xml:space="preserve"> </w:t>
      </w:r>
      <w:r>
        <w:t>typically</w:t>
      </w:r>
      <w:r>
        <w:rPr>
          <w:spacing w:val="-2"/>
        </w:rPr>
        <w:t xml:space="preserve"> </w:t>
      </w:r>
      <w:r>
        <w:t>used</w:t>
      </w:r>
      <w:r>
        <w:rPr>
          <w:spacing w:val="-2"/>
        </w:rPr>
        <w:t xml:space="preserve"> </w:t>
      </w:r>
      <w:r>
        <w:t>in</w:t>
      </w:r>
      <w:r>
        <w:rPr>
          <w:spacing w:val="-2"/>
        </w:rPr>
        <w:t xml:space="preserve"> </w:t>
      </w:r>
      <w:r>
        <w:t>conjunction</w:t>
      </w:r>
      <w:r>
        <w:rPr>
          <w:spacing w:val="-2"/>
        </w:rPr>
        <w:t xml:space="preserve"> </w:t>
      </w:r>
      <w:r>
        <w:t>with</w:t>
      </w:r>
      <w:r>
        <w:rPr>
          <w:spacing w:val="-2"/>
        </w:rPr>
        <w:t xml:space="preserve"> </w:t>
      </w:r>
      <w:r>
        <w:t>measures</w:t>
      </w:r>
      <w:r>
        <w:rPr>
          <w:spacing w:val="-2"/>
        </w:rPr>
        <w:t xml:space="preserve"> </w:t>
      </w:r>
      <w:r>
        <w:t>that</w:t>
      </w:r>
      <w:r>
        <w:rPr>
          <w:spacing w:val="-2"/>
        </w:rPr>
        <w:t xml:space="preserve"> </w:t>
      </w:r>
      <w:r>
        <w:t>capture</w:t>
      </w:r>
      <w:r>
        <w:rPr>
          <w:spacing w:val="-2"/>
        </w:rPr>
        <w:t xml:space="preserve"> </w:t>
      </w:r>
      <w:r>
        <w:t>the perspectives of hospital staff on patient safety culture.</w:t>
      </w:r>
    </w:p>
    <w:p w14:paraId="388DD0AC" w14:textId="77777777" w:rsidR="009D54AF" w:rsidRDefault="009D54AF">
      <w:pPr>
        <w:pStyle w:val="BodyText"/>
        <w:spacing w:before="62"/>
      </w:pPr>
    </w:p>
    <w:p w14:paraId="338B1F77" w14:textId="77777777" w:rsidR="009D54AF" w:rsidRDefault="00000000">
      <w:pPr>
        <w:pStyle w:val="Heading7"/>
      </w:pPr>
      <w:r>
        <w:t>Hospital-acquired</w:t>
      </w:r>
      <w:r>
        <w:rPr>
          <w:spacing w:val="-2"/>
        </w:rPr>
        <w:t xml:space="preserve"> </w:t>
      </w:r>
      <w:r>
        <w:t>complications</w:t>
      </w:r>
      <w:r>
        <w:rPr>
          <w:spacing w:val="-2"/>
        </w:rPr>
        <w:t xml:space="preserve"> </w:t>
      </w:r>
      <w:r>
        <w:rPr>
          <w:spacing w:val="-4"/>
        </w:rPr>
        <w:t>list</w:t>
      </w:r>
    </w:p>
    <w:p w14:paraId="7B42EEEB" w14:textId="77777777" w:rsidR="009D54AF" w:rsidRDefault="00000000">
      <w:pPr>
        <w:pStyle w:val="BodyText"/>
        <w:spacing w:before="142" w:line="278" w:lineRule="auto"/>
        <w:ind w:left="142"/>
      </w:pPr>
      <w:r>
        <w:t>In 2025–26, the Commission continued to enhance national efforts to monitor and improve patient safety through</w:t>
      </w:r>
      <w:r>
        <w:rPr>
          <w:spacing w:val="-2"/>
        </w:rPr>
        <w:t xml:space="preserve"> </w:t>
      </w:r>
      <w:r>
        <w:t>the</w:t>
      </w:r>
      <w:r>
        <w:rPr>
          <w:spacing w:val="-2"/>
        </w:rPr>
        <w:t xml:space="preserve"> </w:t>
      </w:r>
      <w:r>
        <w:t>hospital-acquired</w:t>
      </w:r>
      <w:r>
        <w:rPr>
          <w:spacing w:val="-2"/>
        </w:rPr>
        <w:t xml:space="preserve"> </w:t>
      </w:r>
      <w:r>
        <w:t>complications</w:t>
      </w:r>
      <w:r>
        <w:rPr>
          <w:spacing w:val="-2"/>
        </w:rPr>
        <w:t xml:space="preserve"> </w:t>
      </w:r>
      <w:r>
        <w:t>list.</w:t>
      </w:r>
      <w:r>
        <w:rPr>
          <w:spacing w:val="-2"/>
        </w:rPr>
        <w:t xml:space="preserve"> </w:t>
      </w:r>
      <w:r>
        <w:t>Updated</w:t>
      </w:r>
      <w:r>
        <w:rPr>
          <w:spacing w:val="-2"/>
        </w:rPr>
        <w:t xml:space="preserve"> </w:t>
      </w:r>
      <w:r>
        <w:t>visual</w:t>
      </w:r>
      <w:r>
        <w:rPr>
          <w:spacing w:val="-2"/>
        </w:rPr>
        <w:t xml:space="preserve"> </w:t>
      </w:r>
      <w:r>
        <w:t>summaries</w:t>
      </w:r>
      <w:r>
        <w:rPr>
          <w:spacing w:val="-2"/>
        </w:rPr>
        <w:t xml:space="preserve"> </w:t>
      </w:r>
      <w:r>
        <w:t>of</w:t>
      </w:r>
      <w:r>
        <w:rPr>
          <w:spacing w:val="-2"/>
        </w:rPr>
        <w:t xml:space="preserve"> </w:t>
      </w:r>
      <w:r>
        <w:t>HAC</w:t>
      </w:r>
      <w:r>
        <w:rPr>
          <w:spacing w:val="-2"/>
        </w:rPr>
        <w:t xml:space="preserve"> </w:t>
      </w:r>
      <w:r>
        <w:t>goal</w:t>
      </w:r>
      <w:r>
        <w:rPr>
          <w:spacing w:val="-2"/>
        </w:rPr>
        <w:t xml:space="preserve"> </w:t>
      </w:r>
      <w:r>
        <w:t>rates</w:t>
      </w:r>
      <w:r>
        <w:rPr>
          <w:spacing w:val="-2"/>
        </w:rPr>
        <w:t xml:space="preserve"> </w:t>
      </w:r>
      <w:r>
        <w:t>over</w:t>
      </w:r>
      <w:r>
        <w:rPr>
          <w:spacing w:val="-2"/>
        </w:rPr>
        <w:t xml:space="preserve"> </w:t>
      </w:r>
      <w:r>
        <w:t>time</w:t>
      </w:r>
      <w:r>
        <w:rPr>
          <w:spacing w:val="-2"/>
        </w:rPr>
        <w:t xml:space="preserve"> </w:t>
      </w:r>
      <w:r>
        <w:t xml:space="preserve">were published on the </w:t>
      </w:r>
      <w:hyperlink r:id="rId79" w:anchor="comparing-hacs-goal-rates">
        <w:r>
          <w:rPr>
            <w:u w:val="single"/>
          </w:rPr>
          <w:t>HACs Frequently Asked Questions and Resources</w:t>
        </w:r>
      </w:hyperlink>
      <w:r>
        <w:t xml:space="preserve"> page for the three largest hospital peer groups. These </w:t>
      </w:r>
      <w:proofErr w:type="spellStart"/>
      <w:r>
        <w:t>visualisations</w:t>
      </w:r>
      <w:proofErr w:type="spellEnd"/>
      <w:r>
        <w:t xml:space="preserve"> enabled health services to better benchmark performance and track progress, reinforcing the use of top-quartile peer rates as an aspirational standard, as outlined in the </w:t>
      </w:r>
      <w:hyperlink r:id="rId80">
        <w:r>
          <w:rPr>
            <w:i/>
            <w:u w:val="single"/>
          </w:rPr>
          <w:t xml:space="preserve">State of Patient </w:t>
        </w:r>
      </w:hyperlink>
      <w:r>
        <w:rPr>
          <w:i/>
        </w:rPr>
        <w:t xml:space="preserve"> </w:t>
      </w:r>
      <w:hyperlink r:id="rId81">
        <w:r>
          <w:rPr>
            <w:i/>
            <w:u w:val="single"/>
          </w:rPr>
          <w:t>Safety and Quality in Australian Hospitals</w:t>
        </w:r>
      </w:hyperlink>
      <w:r>
        <w:rPr>
          <w:i/>
        </w:rPr>
        <w:t xml:space="preserve"> </w:t>
      </w:r>
      <w:r>
        <w:t>report.</w:t>
      </w:r>
    </w:p>
    <w:p w14:paraId="2B0DCBF3" w14:textId="77777777" w:rsidR="00D6288A" w:rsidRDefault="00D6288A">
      <w:pPr>
        <w:rPr>
          <w:sz w:val="21"/>
          <w:szCs w:val="21"/>
        </w:rPr>
      </w:pPr>
      <w:r>
        <w:br w:type="page"/>
      </w:r>
    </w:p>
    <w:p w14:paraId="51D4B3A4" w14:textId="49D5D309" w:rsidR="009D54AF" w:rsidRDefault="00000000">
      <w:pPr>
        <w:pStyle w:val="BodyText"/>
        <w:spacing w:before="141" w:line="278" w:lineRule="auto"/>
        <w:ind w:left="142" w:right="314"/>
      </w:pPr>
      <w:r>
        <w:lastRenderedPageBreak/>
        <w:t xml:space="preserve">Responding to strong demand from health services, the Commission expanded the HAC </w:t>
      </w:r>
      <w:proofErr w:type="spellStart"/>
      <w:r>
        <w:t>visualisations</w:t>
      </w:r>
      <w:proofErr w:type="spellEnd"/>
      <w:r>
        <w:t xml:space="preserve"> to include national time series data. This enhancement provided a clearer view of system-wide trends over time,</w:t>
      </w:r>
      <w:r>
        <w:rPr>
          <w:spacing w:val="-3"/>
        </w:rPr>
        <w:t xml:space="preserve"> </w:t>
      </w:r>
      <w:r>
        <w:t>enabling</w:t>
      </w:r>
      <w:r>
        <w:rPr>
          <w:spacing w:val="-3"/>
        </w:rPr>
        <w:t xml:space="preserve"> </w:t>
      </w:r>
      <w:r>
        <w:t>services</w:t>
      </w:r>
      <w:r>
        <w:rPr>
          <w:spacing w:val="-3"/>
        </w:rPr>
        <w:t xml:space="preserve"> </w:t>
      </w:r>
      <w:r>
        <w:t>to</w:t>
      </w:r>
      <w:r>
        <w:rPr>
          <w:spacing w:val="-3"/>
        </w:rPr>
        <w:t xml:space="preserve"> </w:t>
      </w:r>
      <w:proofErr w:type="spellStart"/>
      <w:r>
        <w:t>contextualise</w:t>
      </w:r>
      <w:proofErr w:type="spellEnd"/>
      <w:r>
        <w:rPr>
          <w:spacing w:val="-3"/>
        </w:rPr>
        <w:t xml:space="preserve"> </w:t>
      </w:r>
      <w:r>
        <w:t>their</w:t>
      </w:r>
      <w:r>
        <w:rPr>
          <w:spacing w:val="-3"/>
        </w:rPr>
        <w:t xml:space="preserve"> </w:t>
      </w:r>
      <w:r>
        <w:t>performance</w:t>
      </w:r>
      <w:r>
        <w:rPr>
          <w:spacing w:val="-3"/>
        </w:rPr>
        <w:t xml:space="preserve"> </w:t>
      </w:r>
      <w:r>
        <w:t>within</w:t>
      </w:r>
      <w:r>
        <w:rPr>
          <w:spacing w:val="-3"/>
        </w:rPr>
        <w:t xml:space="preserve"> </w:t>
      </w:r>
      <w:r>
        <w:t>broader</w:t>
      </w:r>
      <w:r>
        <w:rPr>
          <w:spacing w:val="-3"/>
        </w:rPr>
        <w:t xml:space="preserve"> </w:t>
      </w:r>
      <w:r>
        <w:t>national</w:t>
      </w:r>
      <w:r>
        <w:rPr>
          <w:spacing w:val="-3"/>
        </w:rPr>
        <w:t xml:space="preserve"> </w:t>
      </w:r>
      <w:r>
        <w:t>patterns.</w:t>
      </w:r>
      <w:r>
        <w:rPr>
          <w:spacing w:val="-3"/>
        </w:rPr>
        <w:t xml:space="preserve"> </w:t>
      </w:r>
      <w:r>
        <w:t>Together,</w:t>
      </w:r>
      <w:r>
        <w:rPr>
          <w:spacing w:val="-3"/>
        </w:rPr>
        <w:t xml:space="preserve"> </w:t>
      </w:r>
      <w:r>
        <w:t>these improvements strengthened the usability of HAC data, supported informed decision-making and targeted quality improvement initiatives at the local level.</w:t>
      </w:r>
    </w:p>
    <w:p w14:paraId="67FC8799" w14:textId="77777777" w:rsidR="009D54AF" w:rsidRDefault="009D54AF">
      <w:pPr>
        <w:pStyle w:val="BodyText"/>
        <w:spacing w:before="63"/>
      </w:pPr>
    </w:p>
    <w:p w14:paraId="5DEADD6F" w14:textId="77777777" w:rsidR="009D54AF" w:rsidRDefault="00000000">
      <w:pPr>
        <w:pStyle w:val="Heading7"/>
      </w:pPr>
      <w:r>
        <w:t>Avoidable</w:t>
      </w:r>
      <w:r>
        <w:rPr>
          <w:spacing w:val="-8"/>
        </w:rPr>
        <w:t xml:space="preserve"> </w:t>
      </w:r>
      <w:r>
        <w:t>hospital</w:t>
      </w:r>
      <w:r>
        <w:rPr>
          <w:spacing w:val="-8"/>
        </w:rPr>
        <w:t xml:space="preserve"> </w:t>
      </w:r>
      <w:r>
        <w:t>readmissions</w:t>
      </w:r>
      <w:r>
        <w:rPr>
          <w:spacing w:val="-8"/>
        </w:rPr>
        <w:t xml:space="preserve"> </w:t>
      </w:r>
      <w:r>
        <w:rPr>
          <w:spacing w:val="-4"/>
        </w:rPr>
        <w:t>list</w:t>
      </w:r>
    </w:p>
    <w:p w14:paraId="163DD7E6" w14:textId="77777777" w:rsidR="009D54AF" w:rsidRDefault="00000000">
      <w:pPr>
        <w:pStyle w:val="BodyText"/>
        <w:spacing w:before="141" w:line="278" w:lineRule="auto"/>
        <w:ind w:left="142" w:right="492"/>
        <w:jc w:val="both"/>
      </w:pPr>
      <w:r>
        <w:t>In 2025–26, the Commission continued its role under the extended 2020–2025 Addendum to the National Health</w:t>
      </w:r>
      <w:r>
        <w:rPr>
          <w:spacing w:val="-3"/>
        </w:rPr>
        <w:t xml:space="preserve"> </w:t>
      </w:r>
      <w:r>
        <w:t>Reform</w:t>
      </w:r>
      <w:r>
        <w:rPr>
          <w:spacing w:val="-3"/>
        </w:rPr>
        <w:t xml:space="preserve"> </w:t>
      </w:r>
      <w:r>
        <w:t>Agreement</w:t>
      </w:r>
      <w:r>
        <w:rPr>
          <w:spacing w:val="-3"/>
        </w:rPr>
        <w:t xml:space="preserve"> </w:t>
      </w:r>
      <w:r>
        <w:t>to</w:t>
      </w:r>
      <w:r>
        <w:rPr>
          <w:spacing w:val="-3"/>
        </w:rPr>
        <w:t xml:space="preserve"> </w:t>
      </w:r>
      <w:r>
        <w:t>review</w:t>
      </w:r>
      <w:r>
        <w:rPr>
          <w:spacing w:val="-3"/>
        </w:rPr>
        <w:t xml:space="preserve"> </w:t>
      </w:r>
      <w:r>
        <w:t>and</w:t>
      </w:r>
      <w:r>
        <w:rPr>
          <w:spacing w:val="-3"/>
        </w:rPr>
        <w:t xml:space="preserve"> </w:t>
      </w:r>
      <w:r>
        <w:t>maintain</w:t>
      </w:r>
      <w:r>
        <w:rPr>
          <w:spacing w:val="-3"/>
        </w:rPr>
        <w:t xml:space="preserve"> </w:t>
      </w:r>
      <w:r>
        <w:t>the</w:t>
      </w:r>
      <w:r>
        <w:rPr>
          <w:spacing w:val="-3"/>
        </w:rPr>
        <w:t xml:space="preserve"> </w:t>
      </w:r>
      <w:r>
        <w:t>list</w:t>
      </w:r>
      <w:r>
        <w:rPr>
          <w:spacing w:val="-3"/>
        </w:rPr>
        <w:t xml:space="preserve"> </w:t>
      </w:r>
      <w:r>
        <w:t>of</w:t>
      </w:r>
      <w:r>
        <w:rPr>
          <w:spacing w:val="-3"/>
        </w:rPr>
        <w:t xml:space="preserve"> </w:t>
      </w:r>
      <w:r>
        <w:t>conditions</w:t>
      </w:r>
      <w:r>
        <w:rPr>
          <w:spacing w:val="-3"/>
        </w:rPr>
        <w:t xml:space="preserve"> </w:t>
      </w:r>
      <w:r>
        <w:t>considered</w:t>
      </w:r>
      <w:r>
        <w:rPr>
          <w:spacing w:val="-3"/>
        </w:rPr>
        <w:t xml:space="preserve"> </w:t>
      </w:r>
      <w:r>
        <w:t>to</w:t>
      </w:r>
      <w:r>
        <w:rPr>
          <w:spacing w:val="-3"/>
        </w:rPr>
        <w:t xml:space="preserve"> </w:t>
      </w:r>
      <w:r>
        <w:t>be</w:t>
      </w:r>
      <w:r>
        <w:rPr>
          <w:spacing w:val="-3"/>
        </w:rPr>
        <w:t xml:space="preserve"> </w:t>
      </w:r>
      <w:r>
        <w:t>avoidable</w:t>
      </w:r>
      <w:r>
        <w:rPr>
          <w:spacing w:val="-3"/>
        </w:rPr>
        <w:t xml:space="preserve"> </w:t>
      </w:r>
      <w:r>
        <w:t xml:space="preserve">hospital </w:t>
      </w:r>
      <w:r>
        <w:rPr>
          <w:spacing w:val="-2"/>
        </w:rPr>
        <w:t>readmissions.</w:t>
      </w:r>
    </w:p>
    <w:p w14:paraId="5D904D99" w14:textId="77777777" w:rsidR="009D54AF" w:rsidRDefault="00000000">
      <w:pPr>
        <w:pStyle w:val="BodyText"/>
        <w:spacing w:before="141" w:line="278" w:lineRule="auto"/>
        <w:ind w:left="142" w:right="285"/>
      </w:pPr>
      <w:r>
        <w:t>The Commission supported health services and jurisdictions in understanding this list and interpreting it as an indicator set. This included providing advice and responding to questions about specific incidences of avoidable hospital readmissions.</w:t>
      </w:r>
    </w:p>
    <w:p w14:paraId="03FDC585" w14:textId="77777777" w:rsidR="009D54AF" w:rsidRDefault="009D54AF">
      <w:pPr>
        <w:pStyle w:val="BodyText"/>
        <w:spacing w:before="63"/>
      </w:pPr>
    </w:p>
    <w:p w14:paraId="398F381D" w14:textId="77777777" w:rsidR="009D54AF" w:rsidRDefault="00000000">
      <w:pPr>
        <w:pStyle w:val="Heading7"/>
      </w:pPr>
      <w:r>
        <w:t>Sentinel</w:t>
      </w:r>
      <w:r>
        <w:rPr>
          <w:spacing w:val="-3"/>
        </w:rPr>
        <w:t xml:space="preserve"> </w:t>
      </w:r>
      <w:r>
        <w:rPr>
          <w:spacing w:val="-2"/>
        </w:rPr>
        <w:t>events</w:t>
      </w:r>
    </w:p>
    <w:p w14:paraId="46687E3C" w14:textId="77777777" w:rsidR="009D54AF" w:rsidRDefault="00000000">
      <w:pPr>
        <w:pStyle w:val="BodyText"/>
        <w:spacing w:before="142" w:line="278" w:lineRule="auto"/>
        <w:ind w:left="142" w:right="406"/>
        <w:jc w:val="both"/>
      </w:pPr>
      <w:r>
        <w:t>Sentinel</w:t>
      </w:r>
      <w:r>
        <w:rPr>
          <w:spacing w:val="-2"/>
        </w:rPr>
        <w:t xml:space="preserve"> </w:t>
      </w:r>
      <w:r>
        <w:t>events</w:t>
      </w:r>
      <w:r>
        <w:rPr>
          <w:spacing w:val="-2"/>
        </w:rPr>
        <w:t xml:space="preserve"> </w:t>
      </w:r>
      <w:r>
        <w:t>are</w:t>
      </w:r>
      <w:r>
        <w:rPr>
          <w:spacing w:val="-2"/>
        </w:rPr>
        <w:t xml:space="preserve"> </w:t>
      </w:r>
      <w:r>
        <w:t>serious</w:t>
      </w:r>
      <w:r>
        <w:rPr>
          <w:spacing w:val="-2"/>
        </w:rPr>
        <w:t xml:space="preserve"> </w:t>
      </w:r>
      <w:r>
        <w:t>adverse</w:t>
      </w:r>
      <w:r>
        <w:rPr>
          <w:spacing w:val="-2"/>
        </w:rPr>
        <w:t xml:space="preserve"> </w:t>
      </w:r>
      <w:r>
        <w:t>events</w:t>
      </w:r>
      <w:r>
        <w:rPr>
          <w:spacing w:val="-2"/>
        </w:rPr>
        <w:t xml:space="preserve"> </w:t>
      </w:r>
      <w:r>
        <w:t>that</w:t>
      </w:r>
      <w:r>
        <w:rPr>
          <w:spacing w:val="-2"/>
        </w:rPr>
        <w:t xml:space="preserve"> </w:t>
      </w:r>
      <w:r>
        <w:t>result</w:t>
      </w:r>
      <w:r>
        <w:rPr>
          <w:spacing w:val="-2"/>
        </w:rPr>
        <w:t xml:space="preserve"> </w:t>
      </w:r>
      <w:r>
        <w:t>in</w:t>
      </w:r>
      <w:r>
        <w:rPr>
          <w:spacing w:val="-2"/>
        </w:rPr>
        <w:t xml:space="preserve"> </w:t>
      </w:r>
      <w:r>
        <w:t>death</w:t>
      </w:r>
      <w:r>
        <w:rPr>
          <w:spacing w:val="-2"/>
        </w:rPr>
        <w:t xml:space="preserve"> </w:t>
      </w:r>
      <w:r>
        <w:t>or</w:t>
      </w:r>
      <w:r>
        <w:rPr>
          <w:spacing w:val="-2"/>
        </w:rPr>
        <w:t xml:space="preserve"> </w:t>
      </w:r>
      <w:r>
        <w:t>significant</w:t>
      </w:r>
      <w:r>
        <w:rPr>
          <w:spacing w:val="-2"/>
        </w:rPr>
        <w:t xml:space="preserve"> </w:t>
      </w:r>
      <w:r>
        <w:t>patient</w:t>
      </w:r>
      <w:r>
        <w:rPr>
          <w:spacing w:val="-2"/>
        </w:rPr>
        <w:t xml:space="preserve"> </w:t>
      </w:r>
      <w:r>
        <w:t>harm</w:t>
      </w:r>
      <w:r>
        <w:rPr>
          <w:spacing w:val="-2"/>
        </w:rPr>
        <w:t xml:space="preserve"> </w:t>
      </w:r>
      <w:r>
        <w:t>and</w:t>
      </w:r>
      <w:r>
        <w:rPr>
          <w:spacing w:val="-2"/>
        </w:rPr>
        <w:t xml:space="preserve"> </w:t>
      </w:r>
      <w:r>
        <w:t>signal</w:t>
      </w:r>
      <w:r>
        <w:rPr>
          <w:spacing w:val="-2"/>
        </w:rPr>
        <w:t xml:space="preserve"> </w:t>
      </w:r>
      <w:r>
        <w:t>critical failures in the safety of care.</w:t>
      </w:r>
    </w:p>
    <w:p w14:paraId="31BFAB80" w14:textId="77777777" w:rsidR="009D54AF" w:rsidRDefault="00000000">
      <w:pPr>
        <w:pStyle w:val="BodyText"/>
        <w:spacing w:before="141" w:line="278" w:lineRule="auto"/>
        <w:ind w:left="142"/>
      </w:pPr>
      <w:r>
        <w:t>In</w:t>
      </w:r>
      <w:r>
        <w:rPr>
          <w:spacing w:val="-3"/>
        </w:rPr>
        <w:t xml:space="preserve"> </w:t>
      </w:r>
      <w:r>
        <w:t>2025–26,</w:t>
      </w:r>
      <w:r>
        <w:rPr>
          <w:spacing w:val="-3"/>
        </w:rPr>
        <w:t xml:space="preserve"> </w:t>
      </w:r>
      <w:r>
        <w:t>the</w:t>
      </w:r>
      <w:r>
        <w:rPr>
          <w:spacing w:val="-3"/>
        </w:rPr>
        <w:t xml:space="preserve"> </w:t>
      </w:r>
      <w:r>
        <w:t>Commission’s</w:t>
      </w:r>
      <w:r>
        <w:rPr>
          <w:spacing w:val="-3"/>
        </w:rPr>
        <w:t xml:space="preserve"> </w:t>
      </w:r>
      <w:r>
        <w:t>Sentinel</w:t>
      </w:r>
      <w:r>
        <w:rPr>
          <w:spacing w:val="-3"/>
        </w:rPr>
        <w:t xml:space="preserve"> </w:t>
      </w:r>
      <w:r>
        <w:t>Event</w:t>
      </w:r>
      <w:r>
        <w:rPr>
          <w:spacing w:val="-3"/>
        </w:rPr>
        <w:t xml:space="preserve"> </w:t>
      </w:r>
      <w:r>
        <w:t>Internal</w:t>
      </w:r>
      <w:r>
        <w:rPr>
          <w:spacing w:val="-3"/>
        </w:rPr>
        <w:t xml:space="preserve"> </w:t>
      </w:r>
      <w:r>
        <w:t>Steering</w:t>
      </w:r>
      <w:r>
        <w:rPr>
          <w:spacing w:val="-3"/>
        </w:rPr>
        <w:t xml:space="preserve"> </w:t>
      </w:r>
      <w:r>
        <w:t>Committee</w:t>
      </w:r>
      <w:r>
        <w:rPr>
          <w:spacing w:val="-3"/>
        </w:rPr>
        <w:t xml:space="preserve"> </w:t>
      </w:r>
      <w:r>
        <w:t>(SEISC),</w:t>
      </w:r>
      <w:r>
        <w:rPr>
          <w:spacing w:val="-3"/>
        </w:rPr>
        <w:t xml:space="preserve"> </w:t>
      </w:r>
      <w:r>
        <w:t>comprising</w:t>
      </w:r>
      <w:r>
        <w:rPr>
          <w:spacing w:val="-3"/>
        </w:rPr>
        <w:t xml:space="preserve"> </w:t>
      </w:r>
      <w:r>
        <w:t>senior</w:t>
      </w:r>
      <w:r>
        <w:rPr>
          <w:spacing w:val="-3"/>
        </w:rPr>
        <w:t xml:space="preserve"> </w:t>
      </w:r>
      <w:r>
        <w:t>clinical and executive leaders, played a key role in supporting consistent national interpretation by reviewing queries and providing expert advice on potential sentinel events.</w:t>
      </w:r>
    </w:p>
    <w:p w14:paraId="21230FF7" w14:textId="77777777" w:rsidR="009D54AF" w:rsidRDefault="00000000">
      <w:pPr>
        <w:pStyle w:val="BodyText"/>
        <w:spacing w:before="142" w:line="278" w:lineRule="auto"/>
        <w:ind w:left="142" w:right="250"/>
        <w:jc w:val="both"/>
      </w:pPr>
      <w:r>
        <w:t>Queries</w:t>
      </w:r>
      <w:r>
        <w:rPr>
          <w:spacing w:val="-2"/>
        </w:rPr>
        <w:t xml:space="preserve"> </w:t>
      </w:r>
      <w:r>
        <w:t>and</w:t>
      </w:r>
      <w:r>
        <w:rPr>
          <w:spacing w:val="-2"/>
        </w:rPr>
        <w:t xml:space="preserve"> </w:t>
      </w:r>
      <w:r>
        <w:t>SEISC</w:t>
      </w:r>
      <w:r>
        <w:rPr>
          <w:spacing w:val="-2"/>
        </w:rPr>
        <w:t xml:space="preserve"> </w:t>
      </w:r>
      <w:r>
        <w:t>determinations</w:t>
      </w:r>
      <w:r>
        <w:rPr>
          <w:spacing w:val="-2"/>
        </w:rPr>
        <w:t xml:space="preserve"> </w:t>
      </w:r>
      <w:r>
        <w:t>were</w:t>
      </w:r>
      <w:r>
        <w:rPr>
          <w:spacing w:val="-2"/>
        </w:rPr>
        <w:t xml:space="preserve"> </w:t>
      </w:r>
      <w:r>
        <w:t>systematically</w:t>
      </w:r>
      <w:r>
        <w:rPr>
          <w:spacing w:val="-2"/>
        </w:rPr>
        <w:t xml:space="preserve"> </w:t>
      </w:r>
      <w:proofErr w:type="spellStart"/>
      <w:r>
        <w:t>analysed</w:t>
      </w:r>
      <w:proofErr w:type="spellEnd"/>
      <w:r>
        <w:rPr>
          <w:spacing w:val="-2"/>
        </w:rPr>
        <w:t xml:space="preserve"> </w:t>
      </w:r>
      <w:r>
        <w:t>to</w:t>
      </w:r>
      <w:r>
        <w:rPr>
          <w:spacing w:val="-2"/>
        </w:rPr>
        <w:t xml:space="preserve"> </w:t>
      </w:r>
      <w:r>
        <w:t>identify</w:t>
      </w:r>
      <w:r>
        <w:rPr>
          <w:spacing w:val="-2"/>
        </w:rPr>
        <w:t xml:space="preserve"> </w:t>
      </w:r>
      <w:r>
        <w:t>emerging</w:t>
      </w:r>
      <w:r>
        <w:rPr>
          <w:spacing w:val="-2"/>
        </w:rPr>
        <w:t xml:space="preserve"> </w:t>
      </w:r>
      <w:r>
        <w:t>trends,</w:t>
      </w:r>
      <w:r>
        <w:rPr>
          <w:spacing w:val="-2"/>
        </w:rPr>
        <w:t xml:space="preserve"> </w:t>
      </w:r>
      <w:r>
        <w:t>common</w:t>
      </w:r>
      <w:r>
        <w:rPr>
          <w:spacing w:val="-2"/>
        </w:rPr>
        <w:t xml:space="preserve"> </w:t>
      </w:r>
      <w:r>
        <w:t>areas of</w:t>
      </w:r>
      <w:r>
        <w:rPr>
          <w:spacing w:val="-3"/>
        </w:rPr>
        <w:t xml:space="preserve"> </w:t>
      </w:r>
      <w:r>
        <w:t>uncertainty,</w:t>
      </w:r>
      <w:r>
        <w:rPr>
          <w:spacing w:val="-3"/>
        </w:rPr>
        <w:t xml:space="preserve"> </w:t>
      </w:r>
      <w:r>
        <w:t>and</w:t>
      </w:r>
      <w:r>
        <w:rPr>
          <w:spacing w:val="-3"/>
        </w:rPr>
        <w:t xml:space="preserve"> </w:t>
      </w:r>
      <w:r>
        <w:t>potential</w:t>
      </w:r>
      <w:r>
        <w:rPr>
          <w:spacing w:val="-3"/>
        </w:rPr>
        <w:t xml:space="preserve"> </w:t>
      </w:r>
      <w:r>
        <w:t>gaps</w:t>
      </w:r>
      <w:r>
        <w:rPr>
          <w:spacing w:val="-3"/>
        </w:rPr>
        <w:t xml:space="preserve"> </w:t>
      </w:r>
      <w:r>
        <w:t>in</w:t>
      </w:r>
      <w:r>
        <w:rPr>
          <w:spacing w:val="-3"/>
        </w:rPr>
        <w:t xml:space="preserve"> </w:t>
      </w:r>
      <w:r>
        <w:t>guidance.</w:t>
      </w:r>
      <w:r>
        <w:rPr>
          <w:spacing w:val="-3"/>
        </w:rPr>
        <w:t xml:space="preserve"> </w:t>
      </w:r>
      <w:r>
        <w:t>This</w:t>
      </w:r>
      <w:r>
        <w:rPr>
          <w:spacing w:val="-3"/>
        </w:rPr>
        <w:t xml:space="preserve"> </w:t>
      </w:r>
      <w:r>
        <w:t>ongoing</w:t>
      </w:r>
      <w:r>
        <w:rPr>
          <w:spacing w:val="-3"/>
        </w:rPr>
        <w:t xml:space="preserve"> </w:t>
      </w:r>
      <w:r>
        <w:t>review</w:t>
      </w:r>
      <w:r>
        <w:rPr>
          <w:spacing w:val="-3"/>
        </w:rPr>
        <w:t xml:space="preserve"> </w:t>
      </w:r>
      <w:r>
        <w:t>process</w:t>
      </w:r>
      <w:r>
        <w:rPr>
          <w:spacing w:val="-3"/>
        </w:rPr>
        <w:t xml:space="preserve"> </w:t>
      </w:r>
      <w:r>
        <w:t>helped</w:t>
      </w:r>
      <w:r>
        <w:rPr>
          <w:spacing w:val="-3"/>
        </w:rPr>
        <w:t xml:space="preserve"> </w:t>
      </w:r>
      <w:r>
        <w:t>ensure</w:t>
      </w:r>
      <w:r>
        <w:rPr>
          <w:spacing w:val="-3"/>
        </w:rPr>
        <w:t xml:space="preserve"> </w:t>
      </w:r>
      <w:r>
        <w:t>the</w:t>
      </w:r>
      <w:r>
        <w:rPr>
          <w:spacing w:val="-3"/>
        </w:rPr>
        <w:t xml:space="preserve"> </w:t>
      </w:r>
      <w:r>
        <w:t>sentinel</w:t>
      </w:r>
      <w:r>
        <w:rPr>
          <w:spacing w:val="-3"/>
        </w:rPr>
        <w:t xml:space="preserve"> </w:t>
      </w:r>
      <w:r>
        <w:t>event list and associated specifications remained clinically relevant, current, and aligned with evolving practice.</w:t>
      </w:r>
    </w:p>
    <w:p w14:paraId="59282EA0" w14:textId="77777777" w:rsidR="009D54AF" w:rsidRDefault="00000000">
      <w:pPr>
        <w:pStyle w:val="BodyText"/>
        <w:spacing w:before="141" w:line="278" w:lineRule="auto"/>
        <w:ind w:left="142" w:right="145"/>
      </w:pPr>
      <w:r>
        <w:t>In 2025–26, the SEISC considered a variety of complex cases and provided timely, authoritative advice to state and territory health departments. This work strengthened national consistency in the identification and reporting</w:t>
      </w:r>
      <w:r>
        <w:rPr>
          <w:spacing w:val="-1"/>
        </w:rPr>
        <w:t xml:space="preserve"> </w:t>
      </w:r>
      <w:r>
        <w:t>of</w:t>
      </w:r>
      <w:r>
        <w:rPr>
          <w:spacing w:val="-1"/>
        </w:rPr>
        <w:t xml:space="preserve"> </w:t>
      </w:r>
      <w:r>
        <w:t>sentinel</w:t>
      </w:r>
      <w:r>
        <w:rPr>
          <w:spacing w:val="-1"/>
        </w:rPr>
        <w:t xml:space="preserve"> </w:t>
      </w:r>
      <w:r>
        <w:t>events,</w:t>
      </w:r>
      <w:r>
        <w:rPr>
          <w:spacing w:val="-1"/>
        </w:rPr>
        <w:t xml:space="preserve"> </w:t>
      </w:r>
      <w:r>
        <w:t>supported</w:t>
      </w:r>
      <w:r>
        <w:rPr>
          <w:spacing w:val="-1"/>
        </w:rPr>
        <w:t xml:space="preserve"> </w:t>
      </w:r>
      <w:r>
        <w:t>more</w:t>
      </w:r>
      <w:r>
        <w:rPr>
          <w:spacing w:val="-1"/>
        </w:rPr>
        <w:t xml:space="preserve"> </w:t>
      </w:r>
      <w:r>
        <w:t>accurate</w:t>
      </w:r>
      <w:r>
        <w:rPr>
          <w:spacing w:val="-1"/>
        </w:rPr>
        <w:t xml:space="preserve"> </w:t>
      </w:r>
      <w:r>
        <w:t>classification,</w:t>
      </w:r>
      <w:r>
        <w:rPr>
          <w:spacing w:val="-1"/>
        </w:rPr>
        <w:t xml:space="preserve"> </w:t>
      </w:r>
      <w:r>
        <w:t>and</w:t>
      </w:r>
      <w:r>
        <w:rPr>
          <w:spacing w:val="-1"/>
        </w:rPr>
        <w:t xml:space="preserve"> </w:t>
      </w:r>
      <w:r>
        <w:t>contributed</w:t>
      </w:r>
      <w:r>
        <w:rPr>
          <w:spacing w:val="-1"/>
        </w:rPr>
        <w:t xml:space="preserve"> </w:t>
      </w:r>
      <w:r>
        <w:t>to</w:t>
      </w:r>
      <w:r>
        <w:rPr>
          <w:spacing w:val="-1"/>
        </w:rPr>
        <w:t xml:space="preserve"> </w:t>
      </w:r>
      <w:r>
        <w:t>improved</w:t>
      </w:r>
      <w:r>
        <w:rPr>
          <w:spacing w:val="-1"/>
        </w:rPr>
        <w:t xml:space="preserve"> </w:t>
      </w:r>
      <w:r>
        <w:t>system-wide learning from the most serious patient safety incidents.</w:t>
      </w:r>
    </w:p>
    <w:p w14:paraId="75919D4B" w14:textId="77777777" w:rsidR="009D54AF" w:rsidRDefault="009D54AF">
      <w:pPr>
        <w:pStyle w:val="BodyText"/>
        <w:spacing w:before="63"/>
      </w:pPr>
    </w:p>
    <w:p w14:paraId="6E4C3909" w14:textId="77777777" w:rsidR="009D54AF" w:rsidRDefault="00000000">
      <w:pPr>
        <w:pStyle w:val="Heading7"/>
      </w:pPr>
      <w:r>
        <w:t>Clinical</w:t>
      </w:r>
      <w:r>
        <w:rPr>
          <w:spacing w:val="-5"/>
        </w:rPr>
        <w:t xml:space="preserve"> </w:t>
      </w:r>
      <w:r>
        <w:t>Care</w:t>
      </w:r>
      <w:r>
        <w:rPr>
          <w:spacing w:val="-5"/>
        </w:rPr>
        <w:t xml:space="preserve"> </w:t>
      </w:r>
      <w:r>
        <w:t>Standard</w:t>
      </w:r>
      <w:r>
        <w:rPr>
          <w:spacing w:val="-5"/>
        </w:rPr>
        <w:t xml:space="preserve"> </w:t>
      </w:r>
      <w:r>
        <w:rPr>
          <w:spacing w:val="-2"/>
        </w:rPr>
        <w:t>indicators</w:t>
      </w:r>
    </w:p>
    <w:p w14:paraId="7D34F298" w14:textId="77777777" w:rsidR="009D54AF" w:rsidRDefault="00000000">
      <w:pPr>
        <w:pStyle w:val="BodyText"/>
        <w:spacing w:before="141" w:line="278" w:lineRule="auto"/>
        <w:ind w:left="142" w:right="448"/>
      </w:pPr>
      <w:r>
        <w:t>The</w:t>
      </w:r>
      <w:r>
        <w:rPr>
          <w:spacing w:val="-1"/>
        </w:rPr>
        <w:t xml:space="preserve"> </w:t>
      </w:r>
      <w:r>
        <w:t>Commission</w:t>
      </w:r>
      <w:r>
        <w:rPr>
          <w:spacing w:val="-1"/>
        </w:rPr>
        <w:t xml:space="preserve"> </w:t>
      </w:r>
      <w:r>
        <w:t>has</w:t>
      </w:r>
      <w:r>
        <w:rPr>
          <w:spacing w:val="-1"/>
        </w:rPr>
        <w:t xml:space="preserve"> </w:t>
      </w:r>
      <w:r>
        <w:t>continued</w:t>
      </w:r>
      <w:r>
        <w:rPr>
          <w:spacing w:val="-1"/>
        </w:rPr>
        <w:t xml:space="preserve"> </w:t>
      </w:r>
      <w:r>
        <w:t>its</w:t>
      </w:r>
      <w:r>
        <w:rPr>
          <w:spacing w:val="-1"/>
        </w:rPr>
        <w:t xml:space="preserve"> </w:t>
      </w:r>
      <w:r>
        <w:t>work</w:t>
      </w:r>
      <w:r>
        <w:rPr>
          <w:spacing w:val="-1"/>
        </w:rPr>
        <w:t xml:space="preserve"> </w:t>
      </w:r>
      <w:r>
        <w:t>to</w:t>
      </w:r>
      <w:r>
        <w:rPr>
          <w:spacing w:val="-1"/>
        </w:rPr>
        <w:t xml:space="preserve"> </w:t>
      </w:r>
      <w:r>
        <w:t>develop</w:t>
      </w:r>
      <w:r>
        <w:rPr>
          <w:spacing w:val="-1"/>
        </w:rPr>
        <w:t xml:space="preserve"> </w:t>
      </w:r>
      <w:r>
        <w:t>and</w:t>
      </w:r>
      <w:r>
        <w:rPr>
          <w:spacing w:val="-1"/>
        </w:rPr>
        <w:t xml:space="preserve"> </w:t>
      </w:r>
      <w:r>
        <w:t>specify</w:t>
      </w:r>
      <w:r>
        <w:rPr>
          <w:spacing w:val="-1"/>
        </w:rPr>
        <w:t xml:space="preserve"> </w:t>
      </w:r>
      <w:r>
        <w:t>indicators</w:t>
      </w:r>
      <w:r>
        <w:rPr>
          <w:spacing w:val="-1"/>
        </w:rPr>
        <w:t xml:space="preserve"> </w:t>
      </w:r>
      <w:r>
        <w:t>to</w:t>
      </w:r>
      <w:r>
        <w:rPr>
          <w:spacing w:val="-1"/>
        </w:rPr>
        <w:t xml:space="preserve"> </w:t>
      </w:r>
      <w:r>
        <w:t>support</w:t>
      </w:r>
      <w:r>
        <w:rPr>
          <w:spacing w:val="-1"/>
        </w:rPr>
        <w:t xml:space="preserve"> </w:t>
      </w:r>
      <w:r>
        <w:t>the</w:t>
      </w:r>
      <w:r>
        <w:rPr>
          <w:spacing w:val="-1"/>
        </w:rPr>
        <w:t xml:space="preserve"> </w:t>
      </w:r>
      <w:r>
        <w:t>implementation</w:t>
      </w:r>
      <w:r>
        <w:rPr>
          <w:spacing w:val="-1"/>
        </w:rPr>
        <w:t xml:space="preserve"> </w:t>
      </w:r>
      <w:r>
        <w:t xml:space="preserve">of its Clinical Care Standards. These indicators provide services with a tool to monitor the care they provide against that described in the standards. This supports local quality improvement activities. In 2025–26, the </w:t>
      </w:r>
      <w:r>
        <w:rPr>
          <w:spacing w:val="-2"/>
        </w:rPr>
        <w:t>Commission:</w:t>
      </w:r>
    </w:p>
    <w:p w14:paraId="734BB9CF" w14:textId="77777777" w:rsidR="009D54AF" w:rsidRDefault="00000000">
      <w:pPr>
        <w:pStyle w:val="ListParagraph"/>
        <w:numPr>
          <w:ilvl w:val="0"/>
          <w:numId w:val="31"/>
        </w:numPr>
        <w:tabs>
          <w:tab w:val="left" w:pos="424"/>
        </w:tabs>
        <w:spacing w:before="57"/>
        <w:ind w:left="424" w:hanging="268"/>
        <w:rPr>
          <w:sz w:val="21"/>
        </w:rPr>
      </w:pPr>
      <w:r>
        <w:rPr>
          <w:sz w:val="21"/>
        </w:rPr>
        <w:t>developed</w:t>
      </w:r>
      <w:r>
        <w:rPr>
          <w:spacing w:val="-6"/>
          <w:sz w:val="21"/>
        </w:rPr>
        <w:t xml:space="preserve"> </w:t>
      </w:r>
      <w:r>
        <w:rPr>
          <w:sz w:val="21"/>
        </w:rPr>
        <w:t>new</w:t>
      </w:r>
      <w:r>
        <w:rPr>
          <w:spacing w:val="-4"/>
          <w:sz w:val="21"/>
        </w:rPr>
        <w:t xml:space="preserve"> </w:t>
      </w:r>
      <w:r>
        <w:rPr>
          <w:sz w:val="21"/>
        </w:rPr>
        <w:t>indicators</w:t>
      </w:r>
      <w:r>
        <w:rPr>
          <w:spacing w:val="-3"/>
          <w:sz w:val="21"/>
        </w:rPr>
        <w:t xml:space="preserve"> </w:t>
      </w:r>
      <w:r>
        <w:rPr>
          <w:sz w:val="21"/>
        </w:rPr>
        <w:t>for</w:t>
      </w:r>
      <w:r>
        <w:rPr>
          <w:spacing w:val="-4"/>
          <w:sz w:val="21"/>
        </w:rPr>
        <w:t xml:space="preserve"> </w:t>
      </w:r>
      <w:r>
        <w:rPr>
          <w:sz w:val="21"/>
        </w:rPr>
        <w:t>the</w:t>
      </w:r>
      <w:r>
        <w:rPr>
          <w:spacing w:val="-4"/>
          <w:sz w:val="21"/>
        </w:rPr>
        <w:t xml:space="preserve"> </w:t>
      </w:r>
      <w:r>
        <w:rPr>
          <w:sz w:val="21"/>
        </w:rPr>
        <w:t>Emergency</w:t>
      </w:r>
      <w:r>
        <w:rPr>
          <w:spacing w:val="-3"/>
          <w:sz w:val="21"/>
        </w:rPr>
        <w:t xml:space="preserve"> </w:t>
      </w:r>
      <w:r>
        <w:rPr>
          <w:sz w:val="21"/>
        </w:rPr>
        <w:t>Laparotomy</w:t>
      </w:r>
      <w:r>
        <w:rPr>
          <w:spacing w:val="-4"/>
          <w:sz w:val="21"/>
        </w:rPr>
        <w:t xml:space="preserve"> </w:t>
      </w:r>
      <w:r>
        <w:rPr>
          <w:sz w:val="21"/>
        </w:rPr>
        <w:t>Clinical</w:t>
      </w:r>
      <w:r>
        <w:rPr>
          <w:spacing w:val="-4"/>
          <w:sz w:val="21"/>
        </w:rPr>
        <w:t xml:space="preserve"> </w:t>
      </w:r>
      <w:r>
        <w:rPr>
          <w:sz w:val="21"/>
        </w:rPr>
        <w:t>Care</w:t>
      </w:r>
      <w:r>
        <w:rPr>
          <w:spacing w:val="-3"/>
          <w:sz w:val="21"/>
        </w:rPr>
        <w:t xml:space="preserve"> </w:t>
      </w:r>
      <w:r>
        <w:rPr>
          <w:sz w:val="21"/>
        </w:rPr>
        <w:t>Standard</w:t>
      </w:r>
      <w:r>
        <w:rPr>
          <w:spacing w:val="-4"/>
          <w:sz w:val="21"/>
        </w:rPr>
        <w:t xml:space="preserve"> </w:t>
      </w:r>
      <w:r>
        <w:rPr>
          <w:sz w:val="21"/>
        </w:rPr>
        <w:t>(see</w:t>
      </w:r>
      <w:r>
        <w:rPr>
          <w:spacing w:val="-4"/>
          <w:sz w:val="21"/>
        </w:rPr>
        <w:t xml:space="preserve"> </w:t>
      </w:r>
      <w:r>
        <w:rPr>
          <w:sz w:val="21"/>
        </w:rPr>
        <w:t>page</w:t>
      </w:r>
      <w:r>
        <w:rPr>
          <w:spacing w:val="-3"/>
          <w:sz w:val="21"/>
        </w:rPr>
        <w:t xml:space="preserve"> </w:t>
      </w:r>
      <w:r>
        <w:rPr>
          <w:spacing w:val="-5"/>
          <w:sz w:val="21"/>
        </w:rPr>
        <w:t>30)</w:t>
      </w:r>
    </w:p>
    <w:p w14:paraId="4D37EDCB" w14:textId="77777777" w:rsidR="009D54AF" w:rsidRPr="00D13873" w:rsidRDefault="00000000" w:rsidP="00D13873">
      <w:pPr>
        <w:pStyle w:val="ListParagraph"/>
        <w:numPr>
          <w:ilvl w:val="0"/>
          <w:numId w:val="31"/>
        </w:numPr>
        <w:tabs>
          <w:tab w:val="left" w:pos="424"/>
        </w:tabs>
        <w:ind w:left="424" w:hanging="268"/>
        <w:rPr>
          <w:sz w:val="21"/>
        </w:rPr>
      </w:pPr>
      <w:r w:rsidRPr="00D13873">
        <w:rPr>
          <w:sz w:val="21"/>
        </w:rPr>
        <w:t>reviewed</w:t>
      </w:r>
      <w:r w:rsidRPr="00D13873">
        <w:rPr>
          <w:spacing w:val="-6"/>
          <w:sz w:val="21"/>
        </w:rPr>
        <w:t xml:space="preserve"> </w:t>
      </w:r>
      <w:r w:rsidRPr="00D13873">
        <w:rPr>
          <w:sz w:val="21"/>
        </w:rPr>
        <w:t>and</w:t>
      </w:r>
      <w:r w:rsidRPr="00D13873">
        <w:rPr>
          <w:spacing w:val="-4"/>
          <w:sz w:val="21"/>
        </w:rPr>
        <w:t xml:space="preserve"> </w:t>
      </w:r>
      <w:r w:rsidRPr="00D13873">
        <w:rPr>
          <w:sz w:val="21"/>
        </w:rPr>
        <w:t>updated</w:t>
      </w:r>
      <w:r w:rsidRPr="00D13873">
        <w:rPr>
          <w:spacing w:val="-3"/>
          <w:sz w:val="21"/>
        </w:rPr>
        <w:t xml:space="preserve"> </w:t>
      </w:r>
      <w:r w:rsidRPr="00D13873">
        <w:rPr>
          <w:sz w:val="21"/>
        </w:rPr>
        <w:t>existing</w:t>
      </w:r>
      <w:r w:rsidRPr="00D13873">
        <w:rPr>
          <w:spacing w:val="-4"/>
          <w:sz w:val="21"/>
        </w:rPr>
        <w:t xml:space="preserve"> </w:t>
      </w:r>
      <w:r w:rsidRPr="00D13873">
        <w:rPr>
          <w:sz w:val="21"/>
        </w:rPr>
        <w:t>indicators</w:t>
      </w:r>
      <w:r w:rsidRPr="00D13873">
        <w:rPr>
          <w:spacing w:val="-3"/>
          <w:sz w:val="21"/>
        </w:rPr>
        <w:t xml:space="preserve"> </w:t>
      </w:r>
      <w:r w:rsidRPr="00D13873">
        <w:rPr>
          <w:sz w:val="21"/>
        </w:rPr>
        <w:t>in</w:t>
      </w:r>
      <w:r w:rsidRPr="00D13873">
        <w:rPr>
          <w:spacing w:val="-4"/>
          <w:sz w:val="21"/>
        </w:rPr>
        <w:t xml:space="preserve"> </w:t>
      </w:r>
      <w:r w:rsidRPr="00D13873">
        <w:rPr>
          <w:sz w:val="21"/>
        </w:rPr>
        <w:t>the</w:t>
      </w:r>
      <w:r w:rsidRPr="00D13873">
        <w:rPr>
          <w:spacing w:val="-3"/>
          <w:sz w:val="21"/>
        </w:rPr>
        <w:t xml:space="preserve"> </w:t>
      </w:r>
      <w:r w:rsidRPr="00D13873">
        <w:rPr>
          <w:sz w:val="21"/>
        </w:rPr>
        <w:t>Stroke</w:t>
      </w:r>
      <w:r w:rsidRPr="00D13873">
        <w:rPr>
          <w:spacing w:val="-4"/>
          <w:sz w:val="21"/>
        </w:rPr>
        <w:t xml:space="preserve"> </w:t>
      </w:r>
      <w:r w:rsidRPr="00D13873">
        <w:rPr>
          <w:sz w:val="21"/>
        </w:rPr>
        <w:t>Clinical</w:t>
      </w:r>
      <w:r w:rsidRPr="00D13873">
        <w:rPr>
          <w:spacing w:val="-3"/>
          <w:sz w:val="21"/>
        </w:rPr>
        <w:t xml:space="preserve"> </w:t>
      </w:r>
      <w:r w:rsidRPr="00D13873">
        <w:rPr>
          <w:sz w:val="21"/>
        </w:rPr>
        <w:t>Care</w:t>
      </w:r>
      <w:r w:rsidRPr="00D13873">
        <w:rPr>
          <w:spacing w:val="-4"/>
          <w:sz w:val="21"/>
        </w:rPr>
        <w:t xml:space="preserve"> </w:t>
      </w:r>
      <w:r w:rsidRPr="00D13873">
        <w:rPr>
          <w:sz w:val="21"/>
        </w:rPr>
        <w:t>Standard</w:t>
      </w:r>
      <w:r w:rsidRPr="00D13873">
        <w:rPr>
          <w:spacing w:val="-3"/>
          <w:sz w:val="21"/>
        </w:rPr>
        <w:t xml:space="preserve"> </w:t>
      </w:r>
      <w:r w:rsidRPr="00D13873">
        <w:rPr>
          <w:sz w:val="21"/>
        </w:rPr>
        <w:t>(see</w:t>
      </w:r>
      <w:r w:rsidRPr="00D13873">
        <w:rPr>
          <w:spacing w:val="-4"/>
          <w:sz w:val="21"/>
        </w:rPr>
        <w:t xml:space="preserve"> </w:t>
      </w:r>
      <w:r w:rsidRPr="00D13873">
        <w:rPr>
          <w:sz w:val="21"/>
        </w:rPr>
        <w:t>page</w:t>
      </w:r>
      <w:r w:rsidRPr="00D13873">
        <w:rPr>
          <w:spacing w:val="-3"/>
          <w:sz w:val="21"/>
        </w:rPr>
        <w:t xml:space="preserve"> </w:t>
      </w:r>
      <w:r w:rsidRPr="00D13873">
        <w:rPr>
          <w:spacing w:val="-5"/>
          <w:sz w:val="21"/>
        </w:rPr>
        <w:t>31)</w:t>
      </w:r>
    </w:p>
    <w:p w14:paraId="64F4732E" w14:textId="77777777" w:rsidR="009D54AF" w:rsidRDefault="00000000">
      <w:pPr>
        <w:pStyle w:val="ListParagraph"/>
        <w:numPr>
          <w:ilvl w:val="0"/>
          <w:numId w:val="31"/>
        </w:numPr>
        <w:tabs>
          <w:tab w:val="left" w:pos="424"/>
          <w:tab w:val="left" w:pos="440"/>
        </w:tabs>
        <w:spacing w:before="66" w:line="278" w:lineRule="auto"/>
        <w:ind w:right="707" w:hanging="284"/>
        <w:rPr>
          <w:sz w:val="21"/>
        </w:rPr>
      </w:pPr>
      <w:r>
        <w:rPr>
          <w:sz w:val="21"/>
        </w:rPr>
        <w:t>began</w:t>
      </w:r>
      <w:r>
        <w:rPr>
          <w:spacing w:val="-2"/>
          <w:sz w:val="21"/>
        </w:rPr>
        <w:t xml:space="preserve"> </w:t>
      </w:r>
      <w:r>
        <w:rPr>
          <w:sz w:val="21"/>
        </w:rPr>
        <w:t>the</w:t>
      </w:r>
      <w:r>
        <w:rPr>
          <w:spacing w:val="-2"/>
          <w:sz w:val="21"/>
        </w:rPr>
        <w:t xml:space="preserve"> </w:t>
      </w:r>
      <w:r>
        <w:rPr>
          <w:sz w:val="21"/>
        </w:rPr>
        <w:t>review</w:t>
      </w:r>
      <w:r>
        <w:rPr>
          <w:spacing w:val="-2"/>
          <w:sz w:val="21"/>
        </w:rPr>
        <w:t xml:space="preserve"> </w:t>
      </w:r>
      <w:r>
        <w:rPr>
          <w:sz w:val="21"/>
        </w:rPr>
        <w:t>of</w:t>
      </w:r>
      <w:r>
        <w:rPr>
          <w:spacing w:val="-2"/>
          <w:sz w:val="21"/>
        </w:rPr>
        <w:t xml:space="preserve"> </w:t>
      </w:r>
      <w:r>
        <w:rPr>
          <w:sz w:val="21"/>
        </w:rPr>
        <w:t>existing</w:t>
      </w:r>
      <w:r>
        <w:rPr>
          <w:spacing w:val="-2"/>
          <w:sz w:val="21"/>
        </w:rPr>
        <w:t xml:space="preserve"> </w:t>
      </w:r>
      <w:r>
        <w:rPr>
          <w:sz w:val="21"/>
        </w:rPr>
        <w:t>indicators</w:t>
      </w:r>
      <w:r>
        <w:rPr>
          <w:spacing w:val="-2"/>
          <w:sz w:val="21"/>
        </w:rPr>
        <w:t xml:space="preserve"> </w:t>
      </w:r>
      <w:r>
        <w:rPr>
          <w:sz w:val="21"/>
        </w:rPr>
        <w:t>in</w:t>
      </w:r>
      <w:r>
        <w:rPr>
          <w:spacing w:val="-2"/>
          <w:sz w:val="21"/>
        </w:rPr>
        <w:t xml:space="preserve"> </w:t>
      </w:r>
      <w:r>
        <w:rPr>
          <w:sz w:val="21"/>
        </w:rPr>
        <w:t>the</w:t>
      </w:r>
      <w:r>
        <w:rPr>
          <w:spacing w:val="-2"/>
          <w:sz w:val="21"/>
        </w:rPr>
        <w:t xml:space="preserve"> </w:t>
      </w:r>
      <w:r>
        <w:rPr>
          <w:sz w:val="21"/>
        </w:rPr>
        <w:t>Acute</w:t>
      </w:r>
      <w:r>
        <w:rPr>
          <w:spacing w:val="-2"/>
          <w:sz w:val="21"/>
        </w:rPr>
        <w:t xml:space="preserve"> </w:t>
      </w:r>
      <w:r>
        <w:rPr>
          <w:sz w:val="21"/>
        </w:rPr>
        <w:t>Coronary</w:t>
      </w:r>
      <w:r>
        <w:rPr>
          <w:spacing w:val="-2"/>
          <w:sz w:val="21"/>
        </w:rPr>
        <w:t xml:space="preserve"> </w:t>
      </w:r>
      <w:r>
        <w:rPr>
          <w:sz w:val="21"/>
        </w:rPr>
        <w:t>Syndromes</w:t>
      </w:r>
      <w:r>
        <w:rPr>
          <w:spacing w:val="-2"/>
          <w:sz w:val="21"/>
        </w:rPr>
        <w:t xml:space="preserve"> </w:t>
      </w:r>
      <w:r>
        <w:rPr>
          <w:sz w:val="21"/>
        </w:rPr>
        <w:t>Clinical</w:t>
      </w:r>
      <w:r>
        <w:rPr>
          <w:spacing w:val="-2"/>
          <w:sz w:val="21"/>
        </w:rPr>
        <w:t xml:space="preserve"> </w:t>
      </w:r>
      <w:r>
        <w:rPr>
          <w:sz w:val="21"/>
        </w:rPr>
        <w:t>Care</w:t>
      </w:r>
      <w:r>
        <w:rPr>
          <w:spacing w:val="-2"/>
          <w:sz w:val="21"/>
        </w:rPr>
        <w:t xml:space="preserve"> </w:t>
      </w:r>
      <w:r>
        <w:rPr>
          <w:sz w:val="21"/>
        </w:rPr>
        <w:t>Standard</w:t>
      </w:r>
      <w:r>
        <w:rPr>
          <w:spacing w:val="-2"/>
          <w:sz w:val="21"/>
        </w:rPr>
        <w:t xml:space="preserve"> </w:t>
      </w:r>
      <w:r>
        <w:rPr>
          <w:sz w:val="21"/>
        </w:rPr>
        <w:t>and Venous Thromboembolism Prevention Clinical Care Standard</w:t>
      </w:r>
    </w:p>
    <w:p w14:paraId="10F38F72" w14:textId="77777777" w:rsidR="009D54AF" w:rsidRDefault="00000000">
      <w:pPr>
        <w:pStyle w:val="ListParagraph"/>
        <w:numPr>
          <w:ilvl w:val="0"/>
          <w:numId w:val="31"/>
        </w:numPr>
        <w:tabs>
          <w:tab w:val="left" w:pos="424"/>
        </w:tabs>
        <w:spacing w:before="56"/>
        <w:ind w:left="424" w:hanging="268"/>
        <w:rPr>
          <w:sz w:val="21"/>
        </w:rPr>
      </w:pPr>
      <w:r>
        <w:rPr>
          <w:sz w:val="21"/>
        </w:rPr>
        <w:t>began</w:t>
      </w:r>
      <w:r>
        <w:rPr>
          <w:spacing w:val="-5"/>
          <w:sz w:val="21"/>
        </w:rPr>
        <w:t xml:space="preserve"> </w:t>
      </w:r>
      <w:r>
        <w:rPr>
          <w:sz w:val="21"/>
        </w:rPr>
        <w:t>the</w:t>
      </w:r>
      <w:r>
        <w:rPr>
          <w:spacing w:val="-2"/>
          <w:sz w:val="21"/>
        </w:rPr>
        <w:t xml:space="preserve"> </w:t>
      </w:r>
      <w:r>
        <w:rPr>
          <w:sz w:val="21"/>
        </w:rPr>
        <w:t>development</w:t>
      </w:r>
      <w:r>
        <w:rPr>
          <w:spacing w:val="-3"/>
          <w:sz w:val="21"/>
        </w:rPr>
        <w:t xml:space="preserve"> </w:t>
      </w:r>
      <w:r>
        <w:rPr>
          <w:sz w:val="21"/>
        </w:rPr>
        <w:t>of</w:t>
      </w:r>
      <w:r>
        <w:rPr>
          <w:spacing w:val="-2"/>
          <w:sz w:val="21"/>
        </w:rPr>
        <w:t xml:space="preserve"> </w:t>
      </w:r>
      <w:r>
        <w:rPr>
          <w:sz w:val="21"/>
        </w:rPr>
        <w:t>new</w:t>
      </w:r>
      <w:r>
        <w:rPr>
          <w:spacing w:val="-2"/>
          <w:sz w:val="21"/>
        </w:rPr>
        <w:t xml:space="preserve"> </w:t>
      </w:r>
      <w:r>
        <w:rPr>
          <w:sz w:val="21"/>
        </w:rPr>
        <w:t>indicators</w:t>
      </w:r>
      <w:r>
        <w:rPr>
          <w:spacing w:val="-3"/>
          <w:sz w:val="21"/>
        </w:rPr>
        <w:t xml:space="preserve"> </w:t>
      </w:r>
      <w:r>
        <w:rPr>
          <w:sz w:val="21"/>
        </w:rPr>
        <w:t>for</w:t>
      </w:r>
      <w:r>
        <w:rPr>
          <w:spacing w:val="-2"/>
          <w:sz w:val="21"/>
        </w:rPr>
        <w:t xml:space="preserve"> </w:t>
      </w:r>
      <w:r>
        <w:rPr>
          <w:sz w:val="21"/>
        </w:rPr>
        <w:t>the</w:t>
      </w:r>
      <w:r>
        <w:rPr>
          <w:spacing w:val="-2"/>
          <w:sz w:val="21"/>
        </w:rPr>
        <w:t xml:space="preserve"> </w:t>
      </w:r>
      <w:r>
        <w:rPr>
          <w:sz w:val="21"/>
        </w:rPr>
        <w:t>Osteoporosis</w:t>
      </w:r>
      <w:r>
        <w:rPr>
          <w:spacing w:val="-3"/>
          <w:sz w:val="21"/>
        </w:rPr>
        <w:t xml:space="preserve"> </w:t>
      </w:r>
      <w:r>
        <w:rPr>
          <w:sz w:val="21"/>
        </w:rPr>
        <w:t>Clinical</w:t>
      </w:r>
      <w:r>
        <w:rPr>
          <w:spacing w:val="-2"/>
          <w:sz w:val="21"/>
        </w:rPr>
        <w:t xml:space="preserve"> </w:t>
      </w:r>
      <w:r>
        <w:rPr>
          <w:sz w:val="21"/>
        </w:rPr>
        <w:t>Care</w:t>
      </w:r>
      <w:r>
        <w:rPr>
          <w:spacing w:val="-2"/>
          <w:sz w:val="21"/>
        </w:rPr>
        <w:t xml:space="preserve"> Standard.</w:t>
      </w:r>
    </w:p>
    <w:p w14:paraId="6AD2B2D2" w14:textId="77777777" w:rsidR="009D54AF" w:rsidRDefault="009D54AF">
      <w:pPr>
        <w:pStyle w:val="BodyText"/>
        <w:spacing w:before="130"/>
      </w:pPr>
    </w:p>
    <w:p w14:paraId="30231B26" w14:textId="77777777" w:rsidR="009D54AF" w:rsidRDefault="00000000">
      <w:pPr>
        <w:pStyle w:val="Heading7"/>
      </w:pPr>
      <w:r>
        <w:t>Patient</w:t>
      </w:r>
      <w:r>
        <w:rPr>
          <w:spacing w:val="-2"/>
        </w:rPr>
        <w:t xml:space="preserve"> </w:t>
      </w:r>
      <w:r>
        <w:t>safety</w:t>
      </w:r>
      <w:r>
        <w:rPr>
          <w:spacing w:val="-2"/>
        </w:rPr>
        <w:t xml:space="preserve"> </w:t>
      </w:r>
      <w:r>
        <w:t>culture</w:t>
      </w:r>
      <w:r>
        <w:rPr>
          <w:spacing w:val="-2"/>
        </w:rPr>
        <w:t xml:space="preserve"> measurement</w:t>
      </w:r>
    </w:p>
    <w:p w14:paraId="4DD55A32" w14:textId="77777777" w:rsidR="009D54AF" w:rsidRDefault="00000000">
      <w:pPr>
        <w:pStyle w:val="BodyText"/>
        <w:spacing w:before="142" w:line="278" w:lineRule="auto"/>
        <w:ind w:left="142" w:right="285"/>
      </w:pPr>
      <w:r>
        <w:t>Measuring</w:t>
      </w:r>
      <w:r>
        <w:rPr>
          <w:spacing w:val="-2"/>
        </w:rPr>
        <w:t xml:space="preserve"> </w:t>
      </w:r>
      <w:r>
        <w:t>patient</w:t>
      </w:r>
      <w:r>
        <w:rPr>
          <w:spacing w:val="-2"/>
        </w:rPr>
        <w:t xml:space="preserve"> </w:t>
      </w:r>
      <w:r>
        <w:t>safety</w:t>
      </w:r>
      <w:r>
        <w:rPr>
          <w:spacing w:val="-2"/>
        </w:rPr>
        <w:t xml:space="preserve"> </w:t>
      </w:r>
      <w:r>
        <w:t>culture</w:t>
      </w:r>
      <w:r>
        <w:rPr>
          <w:spacing w:val="-2"/>
        </w:rPr>
        <w:t xml:space="preserve"> </w:t>
      </w:r>
      <w:r>
        <w:t>from</w:t>
      </w:r>
      <w:r>
        <w:rPr>
          <w:spacing w:val="-2"/>
        </w:rPr>
        <w:t xml:space="preserve"> </w:t>
      </w:r>
      <w:r>
        <w:t>the</w:t>
      </w:r>
      <w:r>
        <w:rPr>
          <w:spacing w:val="-2"/>
        </w:rPr>
        <w:t xml:space="preserve"> </w:t>
      </w:r>
      <w:r>
        <w:t>perspective</w:t>
      </w:r>
      <w:r>
        <w:rPr>
          <w:spacing w:val="-2"/>
        </w:rPr>
        <w:t xml:space="preserve"> </w:t>
      </w:r>
      <w:r>
        <w:t>of</w:t>
      </w:r>
      <w:r>
        <w:rPr>
          <w:spacing w:val="-2"/>
        </w:rPr>
        <w:t xml:space="preserve"> </w:t>
      </w:r>
      <w:r>
        <w:t>staff</w:t>
      </w:r>
      <w:r>
        <w:rPr>
          <w:spacing w:val="-2"/>
        </w:rPr>
        <w:t xml:space="preserve"> </w:t>
      </w:r>
      <w:r>
        <w:t>can</w:t>
      </w:r>
      <w:r>
        <w:rPr>
          <w:spacing w:val="-2"/>
        </w:rPr>
        <w:t xml:space="preserve"> </w:t>
      </w:r>
      <w:r>
        <w:t>provide</w:t>
      </w:r>
      <w:r>
        <w:rPr>
          <w:spacing w:val="-2"/>
        </w:rPr>
        <w:t xml:space="preserve"> </w:t>
      </w:r>
      <w:r>
        <w:t>insights</w:t>
      </w:r>
      <w:r>
        <w:rPr>
          <w:spacing w:val="-2"/>
        </w:rPr>
        <w:t xml:space="preserve"> </w:t>
      </w:r>
      <w:r>
        <w:t>that</w:t>
      </w:r>
      <w:r>
        <w:rPr>
          <w:spacing w:val="-2"/>
        </w:rPr>
        <w:t xml:space="preserve"> </w:t>
      </w:r>
      <w:r>
        <w:t>lead</w:t>
      </w:r>
      <w:r>
        <w:rPr>
          <w:spacing w:val="-2"/>
        </w:rPr>
        <w:t xml:space="preserve"> </w:t>
      </w:r>
      <w:r>
        <w:t>to</w:t>
      </w:r>
      <w:r>
        <w:rPr>
          <w:spacing w:val="-2"/>
        </w:rPr>
        <w:t xml:space="preserve"> </w:t>
      </w:r>
      <w:r>
        <w:t>improvements in the safety of care.</w:t>
      </w:r>
    </w:p>
    <w:p w14:paraId="3E15C3D2" w14:textId="77777777" w:rsidR="00D6288A" w:rsidRDefault="00D6288A">
      <w:pPr>
        <w:rPr>
          <w:sz w:val="21"/>
          <w:szCs w:val="21"/>
        </w:rPr>
      </w:pPr>
      <w:r>
        <w:br w:type="page"/>
      </w:r>
    </w:p>
    <w:p w14:paraId="0CF1FE65" w14:textId="4B56054A" w:rsidR="009D54AF" w:rsidRDefault="00000000">
      <w:pPr>
        <w:pStyle w:val="BodyText"/>
        <w:spacing w:before="141" w:line="278" w:lineRule="auto"/>
        <w:ind w:left="142" w:right="145"/>
      </w:pPr>
      <w:r>
        <w:lastRenderedPageBreak/>
        <w:t>In 2025–26, the Commission undertook the following activities to support the measurement and improvement of patient safety culture:</w:t>
      </w:r>
    </w:p>
    <w:p w14:paraId="3AB90E15" w14:textId="77777777" w:rsidR="009D54AF" w:rsidRDefault="00000000">
      <w:pPr>
        <w:pStyle w:val="ListParagraph"/>
        <w:numPr>
          <w:ilvl w:val="0"/>
          <w:numId w:val="31"/>
        </w:numPr>
        <w:tabs>
          <w:tab w:val="left" w:pos="424"/>
          <w:tab w:val="left" w:pos="440"/>
        </w:tabs>
        <w:spacing w:before="57" w:line="278" w:lineRule="auto"/>
        <w:ind w:right="548" w:hanging="284"/>
        <w:rPr>
          <w:sz w:val="21"/>
        </w:rPr>
      </w:pPr>
      <w:r>
        <w:rPr>
          <w:sz w:val="21"/>
        </w:rPr>
        <w:t>completed</w:t>
      </w:r>
      <w:r>
        <w:rPr>
          <w:spacing w:val="-3"/>
          <w:sz w:val="21"/>
        </w:rPr>
        <w:t xml:space="preserve"> </w:t>
      </w:r>
      <w:r>
        <w:rPr>
          <w:sz w:val="21"/>
        </w:rPr>
        <w:t>a</w:t>
      </w:r>
      <w:r>
        <w:rPr>
          <w:spacing w:val="-3"/>
          <w:sz w:val="21"/>
        </w:rPr>
        <w:t xml:space="preserve"> </w:t>
      </w:r>
      <w:r>
        <w:rPr>
          <w:sz w:val="21"/>
        </w:rPr>
        <w:t>rapid</w:t>
      </w:r>
      <w:r>
        <w:rPr>
          <w:spacing w:val="-3"/>
          <w:sz w:val="21"/>
        </w:rPr>
        <w:t xml:space="preserve"> </w:t>
      </w:r>
      <w:r>
        <w:rPr>
          <w:sz w:val="21"/>
        </w:rPr>
        <w:t>literature</w:t>
      </w:r>
      <w:r>
        <w:rPr>
          <w:spacing w:val="-3"/>
          <w:sz w:val="21"/>
        </w:rPr>
        <w:t xml:space="preserve"> </w:t>
      </w:r>
      <w:r>
        <w:rPr>
          <w:sz w:val="21"/>
        </w:rPr>
        <w:t>review</w:t>
      </w:r>
      <w:r>
        <w:rPr>
          <w:spacing w:val="-3"/>
          <w:sz w:val="21"/>
        </w:rPr>
        <w:t xml:space="preserve"> </w:t>
      </w:r>
      <w:r>
        <w:rPr>
          <w:sz w:val="21"/>
        </w:rPr>
        <w:t>and</w:t>
      </w:r>
      <w:r>
        <w:rPr>
          <w:spacing w:val="-3"/>
          <w:sz w:val="21"/>
        </w:rPr>
        <w:t xml:space="preserve"> </w:t>
      </w:r>
      <w:r>
        <w:rPr>
          <w:sz w:val="21"/>
        </w:rPr>
        <w:t>environmental</w:t>
      </w:r>
      <w:r>
        <w:rPr>
          <w:spacing w:val="-3"/>
          <w:sz w:val="21"/>
        </w:rPr>
        <w:t xml:space="preserve"> </w:t>
      </w:r>
      <w:r>
        <w:rPr>
          <w:sz w:val="21"/>
        </w:rPr>
        <w:t>scan</w:t>
      </w:r>
      <w:r>
        <w:rPr>
          <w:spacing w:val="-3"/>
          <w:sz w:val="21"/>
        </w:rPr>
        <w:t xml:space="preserve"> </w:t>
      </w:r>
      <w:r>
        <w:rPr>
          <w:sz w:val="21"/>
        </w:rPr>
        <w:t>to</w:t>
      </w:r>
      <w:r>
        <w:rPr>
          <w:spacing w:val="-3"/>
          <w:sz w:val="21"/>
        </w:rPr>
        <w:t xml:space="preserve"> </w:t>
      </w:r>
      <w:r>
        <w:rPr>
          <w:sz w:val="21"/>
        </w:rPr>
        <w:t>identify</w:t>
      </w:r>
      <w:r>
        <w:rPr>
          <w:spacing w:val="-3"/>
          <w:sz w:val="21"/>
        </w:rPr>
        <w:t xml:space="preserve"> </w:t>
      </w:r>
      <w:r>
        <w:rPr>
          <w:sz w:val="21"/>
        </w:rPr>
        <w:t>needs</w:t>
      </w:r>
      <w:r>
        <w:rPr>
          <w:spacing w:val="-3"/>
          <w:sz w:val="21"/>
        </w:rPr>
        <w:t xml:space="preserve"> </w:t>
      </w:r>
      <w:r>
        <w:rPr>
          <w:sz w:val="21"/>
        </w:rPr>
        <w:t>for,</w:t>
      </w:r>
      <w:r>
        <w:rPr>
          <w:spacing w:val="-3"/>
          <w:sz w:val="21"/>
        </w:rPr>
        <w:t xml:space="preserve"> </w:t>
      </w:r>
      <w:r>
        <w:rPr>
          <w:sz w:val="21"/>
        </w:rPr>
        <w:t>and</w:t>
      </w:r>
      <w:r>
        <w:rPr>
          <w:spacing w:val="-3"/>
          <w:sz w:val="21"/>
        </w:rPr>
        <w:t xml:space="preserve"> </w:t>
      </w:r>
      <w:r>
        <w:rPr>
          <w:sz w:val="21"/>
        </w:rPr>
        <w:t>interests</w:t>
      </w:r>
      <w:r>
        <w:rPr>
          <w:spacing w:val="-3"/>
          <w:sz w:val="21"/>
        </w:rPr>
        <w:t xml:space="preserve"> </w:t>
      </w:r>
      <w:r>
        <w:rPr>
          <w:sz w:val="21"/>
        </w:rPr>
        <w:t>in,</w:t>
      </w:r>
      <w:r>
        <w:rPr>
          <w:spacing w:val="-3"/>
          <w:sz w:val="21"/>
        </w:rPr>
        <w:t xml:space="preserve"> </w:t>
      </w:r>
      <w:r>
        <w:rPr>
          <w:sz w:val="21"/>
        </w:rPr>
        <w:t>more support in patient safety culture measurement</w:t>
      </w:r>
    </w:p>
    <w:p w14:paraId="685E079B" w14:textId="77777777" w:rsidR="009D54AF" w:rsidRDefault="00000000">
      <w:pPr>
        <w:pStyle w:val="ListParagraph"/>
        <w:numPr>
          <w:ilvl w:val="0"/>
          <w:numId w:val="31"/>
        </w:numPr>
        <w:tabs>
          <w:tab w:val="left" w:pos="424"/>
          <w:tab w:val="left" w:pos="440"/>
        </w:tabs>
        <w:spacing w:before="56" w:line="278" w:lineRule="auto"/>
        <w:ind w:right="318" w:hanging="284"/>
        <w:rPr>
          <w:sz w:val="21"/>
        </w:rPr>
      </w:pPr>
      <w:r>
        <w:rPr>
          <w:sz w:val="21"/>
        </w:rPr>
        <w:t>began</w:t>
      </w:r>
      <w:r>
        <w:rPr>
          <w:spacing w:val="-2"/>
          <w:sz w:val="21"/>
        </w:rPr>
        <w:t xml:space="preserve"> </w:t>
      </w:r>
      <w:r>
        <w:rPr>
          <w:sz w:val="21"/>
        </w:rPr>
        <w:t>the</w:t>
      </w:r>
      <w:r>
        <w:rPr>
          <w:spacing w:val="-2"/>
          <w:sz w:val="21"/>
        </w:rPr>
        <w:t xml:space="preserve"> </w:t>
      </w:r>
      <w:r>
        <w:rPr>
          <w:sz w:val="21"/>
        </w:rPr>
        <w:t>pilot</w:t>
      </w:r>
      <w:r>
        <w:rPr>
          <w:spacing w:val="-2"/>
          <w:sz w:val="21"/>
        </w:rPr>
        <w:t xml:space="preserve"> </w:t>
      </w:r>
      <w:r>
        <w:rPr>
          <w:sz w:val="21"/>
        </w:rPr>
        <w:t>to</w:t>
      </w:r>
      <w:r>
        <w:rPr>
          <w:spacing w:val="-2"/>
          <w:sz w:val="21"/>
        </w:rPr>
        <w:t xml:space="preserve"> </w:t>
      </w:r>
      <w:r>
        <w:rPr>
          <w:sz w:val="21"/>
        </w:rPr>
        <w:t>validate</w:t>
      </w:r>
      <w:r>
        <w:rPr>
          <w:spacing w:val="-2"/>
          <w:sz w:val="21"/>
        </w:rPr>
        <w:t xml:space="preserve"> </w:t>
      </w:r>
      <w:r>
        <w:rPr>
          <w:sz w:val="21"/>
        </w:rPr>
        <w:t>a</w:t>
      </w:r>
      <w:r>
        <w:rPr>
          <w:spacing w:val="-2"/>
          <w:sz w:val="21"/>
        </w:rPr>
        <w:t xml:space="preserve"> </w:t>
      </w:r>
      <w:r>
        <w:rPr>
          <w:sz w:val="21"/>
        </w:rPr>
        <w:t>short</w:t>
      </w:r>
      <w:r>
        <w:rPr>
          <w:spacing w:val="-2"/>
          <w:sz w:val="21"/>
        </w:rPr>
        <w:t xml:space="preserve"> </w:t>
      </w:r>
      <w:r>
        <w:rPr>
          <w:sz w:val="21"/>
        </w:rPr>
        <w:t>question</w:t>
      </w:r>
      <w:r>
        <w:rPr>
          <w:spacing w:val="-2"/>
          <w:sz w:val="21"/>
        </w:rPr>
        <w:t xml:space="preserve"> </w:t>
      </w:r>
      <w:r>
        <w:rPr>
          <w:sz w:val="21"/>
        </w:rPr>
        <w:t>set</w:t>
      </w:r>
      <w:r>
        <w:rPr>
          <w:spacing w:val="-2"/>
          <w:sz w:val="21"/>
        </w:rPr>
        <w:t xml:space="preserve"> </w:t>
      </w:r>
      <w:r>
        <w:rPr>
          <w:sz w:val="21"/>
        </w:rPr>
        <w:t>based</w:t>
      </w:r>
      <w:r>
        <w:rPr>
          <w:spacing w:val="-2"/>
          <w:sz w:val="21"/>
        </w:rPr>
        <w:t xml:space="preserve"> </w:t>
      </w:r>
      <w:r>
        <w:rPr>
          <w:sz w:val="21"/>
        </w:rPr>
        <w:t>on</w:t>
      </w:r>
      <w:r>
        <w:rPr>
          <w:spacing w:val="-2"/>
          <w:sz w:val="21"/>
        </w:rPr>
        <w:t xml:space="preserve"> </w:t>
      </w:r>
      <w:r>
        <w:rPr>
          <w:sz w:val="21"/>
        </w:rPr>
        <w:t>the</w:t>
      </w:r>
      <w:r>
        <w:rPr>
          <w:spacing w:val="-2"/>
          <w:sz w:val="21"/>
        </w:rPr>
        <w:t xml:space="preserve"> </w:t>
      </w:r>
      <w:r>
        <w:rPr>
          <w:sz w:val="21"/>
        </w:rPr>
        <w:t>Australian</w:t>
      </w:r>
      <w:r>
        <w:rPr>
          <w:spacing w:val="-2"/>
          <w:sz w:val="21"/>
        </w:rPr>
        <w:t xml:space="preserve"> </w:t>
      </w:r>
      <w:r>
        <w:rPr>
          <w:sz w:val="21"/>
        </w:rPr>
        <w:t>Hospital</w:t>
      </w:r>
      <w:r>
        <w:rPr>
          <w:spacing w:val="-2"/>
          <w:sz w:val="21"/>
        </w:rPr>
        <w:t xml:space="preserve"> </w:t>
      </w:r>
      <w:r>
        <w:rPr>
          <w:sz w:val="21"/>
        </w:rPr>
        <w:t>Survey</w:t>
      </w:r>
      <w:r>
        <w:rPr>
          <w:spacing w:val="-2"/>
          <w:sz w:val="21"/>
        </w:rPr>
        <w:t xml:space="preserve"> </w:t>
      </w:r>
      <w:r>
        <w:rPr>
          <w:sz w:val="21"/>
        </w:rPr>
        <w:t>on</w:t>
      </w:r>
      <w:r>
        <w:rPr>
          <w:spacing w:val="-2"/>
          <w:sz w:val="21"/>
        </w:rPr>
        <w:t xml:space="preserve"> </w:t>
      </w:r>
      <w:r>
        <w:rPr>
          <w:sz w:val="21"/>
        </w:rPr>
        <w:t>Patient</w:t>
      </w:r>
      <w:r>
        <w:rPr>
          <w:spacing w:val="-2"/>
          <w:sz w:val="21"/>
        </w:rPr>
        <w:t xml:space="preserve"> </w:t>
      </w:r>
      <w:r>
        <w:rPr>
          <w:sz w:val="21"/>
        </w:rPr>
        <w:t xml:space="preserve">Safety Culture (A-HSOPS 2.0) within existing </w:t>
      </w:r>
      <w:proofErr w:type="spellStart"/>
      <w:r>
        <w:rPr>
          <w:sz w:val="21"/>
        </w:rPr>
        <w:t>organisational</w:t>
      </w:r>
      <w:proofErr w:type="spellEnd"/>
      <w:r>
        <w:rPr>
          <w:sz w:val="21"/>
        </w:rPr>
        <w:t xml:space="preserve"> staff surveys</w:t>
      </w:r>
    </w:p>
    <w:p w14:paraId="7A56A630" w14:textId="77777777" w:rsidR="009D54AF" w:rsidRDefault="00000000">
      <w:pPr>
        <w:pStyle w:val="ListParagraph"/>
        <w:numPr>
          <w:ilvl w:val="0"/>
          <w:numId w:val="31"/>
        </w:numPr>
        <w:tabs>
          <w:tab w:val="left" w:pos="424"/>
          <w:tab w:val="left" w:pos="440"/>
        </w:tabs>
        <w:spacing w:before="57" w:line="278" w:lineRule="auto"/>
        <w:ind w:right="416" w:hanging="284"/>
        <w:rPr>
          <w:sz w:val="21"/>
        </w:rPr>
      </w:pPr>
      <w:r>
        <w:rPr>
          <w:sz w:val="21"/>
        </w:rPr>
        <w:t>continued</w:t>
      </w:r>
      <w:r>
        <w:rPr>
          <w:spacing w:val="-1"/>
          <w:sz w:val="21"/>
        </w:rPr>
        <w:t xml:space="preserve"> </w:t>
      </w:r>
      <w:r>
        <w:rPr>
          <w:sz w:val="21"/>
        </w:rPr>
        <w:t>refining</w:t>
      </w:r>
      <w:r>
        <w:rPr>
          <w:spacing w:val="-1"/>
          <w:sz w:val="21"/>
        </w:rPr>
        <w:t xml:space="preserve"> </w:t>
      </w:r>
      <w:r>
        <w:rPr>
          <w:sz w:val="21"/>
        </w:rPr>
        <w:t>the</w:t>
      </w:r>
      <w:r>
        <w:rPr>
          <w:spacing w:val="-1"/>
          <w:sz w:val="21"/>
        </w:rPr>
        <w:t xml:space="preserve"> </w:t>
      </w:r>
      <w:r>
        <w:rPr>
          <w:sz w:val="21"/>
        </w:rPr>
        <w:t>patient</w:t>
      </w:r>
      <w:r>
        <w:rPr>
          <w:spacing w:val="-1"/>
          <w:sz w:val="21"/>
        </w:rPr>
        <w:t xml:space="preserve"> </w:t>
      </w:r>
      <w:r>
        <w:rPr>
          <w:sz w:val="21"/>
        </w:rPr>
        <w:t>safety</w:t>
      </w:r>
      <w:r>
        <w:rPr>
          <w:spacing w:val="-1"/>
          <w:sz w:val="21"/>
        </w:rPr>
        <w:t xml:space="preserve"> </w:t>
      </w:r>
      <w:r>
        <w:rPr>
          <w:sz w:val="21"/>
        </w:rPr>
        <w:t>measurement</w:t>
      </w:r>
      <w:r>
        <w:rPr>
          <w:spacing w:val="-1"/>
          <w:sz w:val="21"/>
        </w:rPr>
        <w:t xml:space="preserve"> </w:t>
      </w:r>
      <w:r>
        <w:rPr>
          <w:sz w:val="21"/>
        </w:rPr>
        <w:t>toolkit</w:t>
      </w:r>
      <w:r>
        <w:rPr>
          <w:spacing w:val="-1"/>
          <w:sz w:val="21"/>
        </w:rPr>
        <w:t xml:space="preserve"> </w:t>
      </w:r>
      <w:r>
        <w:rPr>
          <w:sz w:val="21"/>
        </w:rPr>
        <w:t>and</w:t>
      </w:r>
      <w:r>
        <w:rPr>
          <w:spacing w:val="-1"/>
          <w:sz w:val="21"/>
        </w:rPr>
        <w:t xml:space="preserve"> </w:t>
      </w:r>
      <w:r>
        <w:rPr>
          <w:sz w:val="21"/>
        </w:rPr>
        <w:t>supporting</w:t>
      </w:r>
      <w:r>
        <w:rPr>
          <w:spacing w:val="-1"/>
          <w:sz w:val="21"/>
        </w:rPr>
        <w:t xml:space="preserve"> </w:t>
      </w:r>
      <w:r>
        <w:rPr>
          <w:sz w:val="21"/>
        </w:rPr>
        <w:t>services</w:t>
      </w:r>
      <w:r>
        <w:rPr>
          <w:spacing w:val="-1"/>
          <w:sz w:val="21"/>
        </w:rPr>
        <w:t xml:space="preserve"> </w:t>
      </w:r>
      <w:r>
        <w:rPr>
          <w:sz w:val="21"/>
        </w:rPr>
        <w:t>that</w:t>
      </w:r>
      <w:r>
        <w:rPr>
          <w:spacing w:val="-1"/>
          <w:sz w:val="21"/>
        </w:rPr>
        <w:t xml:space="preserve"> </w:t>
      </w:r>
      <w:r>
        <w:rPr>
          <w:sz w:val="21"/>
        </w:rPr>
        <w:t>are</w:t>
      </w:r>
      <w:r>
        <w:rPr>
          <w:spacing w:val="-1"/>
          <w:sz w:val="21"/>
        </w:rPr>
        <w:t xml:space="preserve"> </w:t>
      </w:r>
      <w:r>
        <w:rPr>
          <w:sz w:val="21"/>
        </w:rPr>
        <w:t>implementing the surveys of patient safety culture.</w:t>
      </w:r>
    </w:p>
    <w:p w14:paraId="69327A51" w14:textId="77777777" w:rsidR="009D54AF" w:rsidRDefault="009D54AF">
      <w:pPr>
        <w:pStyle w:val="BodyText"/>
        <w:spacing w:before="91"/>
      </w:pPr>
    </w:p>
    <w:p w14:paraId="508B716E" w14:textId="77777777" w:rsidR="009D54AF" w:rsidRDefault="00000000">
      <w:pPr>
        <w:pStyle w:val="Heading7"/>
      </w:pPr>
      <w:r>
        <w:t>Practice</w:t>
      </w:r>
      <w:r>
        <w:rPr>
          <w:spacing w:val="-3"/>
        </w:rPr>
        <w:t xml:space="preserve"> </w:t>
      </w:r>
      <w:r>
        <w:rPr>
          <w:spacing w:val="-2"/>
        </w:rPr>
        <w:t>Reflections</w:t>
      </w:r>
    </w:p>
    <w:p w14:paraId="108B7A68" w14:textId="77777777" w:rsidR="009D54AF" w:rsidRDefault="00000000">
      <w:pPr>
        <w:pStyle w:val="BodyText"/>
        <w:spacing w:before="141" w:line="278" w:lineRule="auto"/>
        <w:ind w:left="142" w:right="188"/>
      </w:pPr>
      <w:r>
        <w:t>As</w:t>
      </w:r>
      <w:r>
        <w:rPr>
          <w:spacing w:val="-1"/>
        </w:rPr>
        <w:t xml:space="preserve"> </w:t>
      </w:r>
      <w:r>
        <w:t>part</w:t>
      </w:r>
      <w:r>
        <w:rPr>
          <w:spacing w:val="-1"/>
        </w:rPr>
        <w:t xml:space="preserve"> </w:t>
      </w:r>
      <w:r>
        <w:t>of</w:t>
      </w:r>
      <w:r>
        <w:rPr>
          <w:spacing w:val="-1"/>
        </w:rPr>
        <w:t xml:space="preserve"> </w:t>
      </w:r>
      <w:r>
        <w:t>the</w:t>
      </w:r>
      <w:r>
        <w:rPr>
          <w:spacing w:val="-1"/>
        </w:rPr>
        <w:t xml:space="preserve"> </w:t>
      </w:r>
      <w:r>
        <w:t>Commission’s</w:t>
      </w:r>
      <w:r>
        <w:rPr>
          <w:spacing w:val="-1"/>
        </w:rPr>
        <w:t xml:space="preserve"> </w:t>
      </w:r>
      <w:r>
        <w:t>role</w:t>
      </w:r>
      <w:r>
        <w:rPr>
          <w:spacing w:val="-1"/>
        </w:rPr>
        <w:t xml:space="preserve"> </w:t>
      </w:r>
      <w:r>
        <w:t>under</w:t>
      </w:r>
      <w:r>
        <w:rPr>
          <w:spacing w:val="-1"/>
        </w:rPr>
        <w:t xml:space="preserve"> </w:t>
      </w:r>
      <w:r>
        <w:t>the</w:t>
      </w:r>
      <w:r>
        <w:rPr>
          <w:spacing w:val="-1"/>
        </w:rPr>
        <w:t xml:space="preserve"> </w:t>
      </w:r>
      <w:r>
        <w:t>Quality</w:t>
      </w:r>
      <w:r>
        <w:rPr>
          <w:spacing w:val="-1"/>
        </w:rPr>
        <w:t xml:space="preserve"> </w:t>
      </w:r>
      <w:r>
        <w:t>Use</w:t>
      </w:r>
      <w:r>
        <w:rPr>
          <w:spacing w:val="-1"/>
        </w:rPr>
        <w:t xml:space="preserve"> </w:t>
      </w:r>
      <w:r>
        <w:t>of</w:t>
      </w:r>
      <w:r>
        <w:rPr>
          <w:spacing w:val="-1"/>
        </w:rPr>
        <w:t xml:space="preserve"> </w:t>
      </w:r>
      <w:r>
        <w:t>Diagnostics,</w:t>
      </w:r>
      <w:r>
        <w:rPr>
          <w:spacing w:val="-1"/>
        </w:rPr>
        <w:t xml:space="preserve"> </w:t>
      </w:r>
      <w:r>
        <w:t>Therapeutics</w:t>
      </w:r>
      <w:r>
        <w:rPr>
          <w:spacing w:val="-1"/>
        </w:rPr>
        <w:t xml:space="preserve"> </w:t>
      </w:r>
      <w:r>
        <w:t>and</w:t>
      </w:r>
      <w:r>
        <w:rPr>
          <w:spacing w:val="-1"/>
        </w:rPr>
        <w:t xml:space="preserve"> </w:t>
      </w:r>
      <w:r>
        <w:t>Pathology</w:t>
      </w:r>
      <w:r>
        <w:rPr>
          <w:spacing w:val="-1"/>
        </w:rPr>
        <w:t xml:space="preserve"> </w:t>
      </w:r>
      <w:r>
        <w:t>Program, funded by the Department of Health, Disability and Ageing, the Commission developed Practice Reflections,</w:t>
      </w:r>
      <w:r>
        <w:rPr>
          <w:spacing w:val="40"/>
        </w:rPr>
        <w:t xml:space="preserve"> </w:t>
      </w:r>
      <w:r>
        <w:t>a new general practitioner–focused quality improvement initiative designed to support data-driven clinical reflection and improved care.</w:t>
      </w:r>
    </w:p>
    <w:p w14:paraId="51E39B68" w14:textId="77777777" w:rsidR="009D54AF" w:rsidRDefault="00000000">
      <w:pPr>
        <w:pStyle w:val="BodyText"/>
        <w:spacing w:before="142" w:line="278" w:lineRule="auto"/>
        <w:ind w:left="142" w:right="876"/>
      </w:pPr>
      <w:r>
        <w:t>In November 2025, the Commission distributed the first Practice Reflections reports to more than 35,000 general practitioners. These reports focused on office-based spirometry testing and its use in</w:t>
      </w:r>
    </w:p>
    <w:p w14:paraId="23CDC464" w14:textId="77777777" w:rsidR="009D54AF" w:rsidRDefault="00000000">
      <w:pPr>
        <w:pStyle w:val="BodyText"/>
        <w:spacing w:line="278" w:lineRule="auto"/>
        <w:ind w:left="142"/>
      </w:pPr>
      <w:r>
        <w:t>diagnosing chronic obstructive pulmonary disease (COPD), aligning with the COPD Clinical Care Standard released</w:t>
      </w:r>
      <w:r>
        <w:rPr>
          <w:spacing w:val="-4"/>
        </w:rPr>
        <w:t xml:space="preserve"> </w:t>
      </w:r>
      <w:r>
        <w:t>by</w:t>
      </w:r>
      <w:r>
        <w:rPr>
          <w:spacing w:val="-4"/>
        </w:rPr>
        <w:t xml:space="preserve"> </w:t>
      </w:r>
      <w:r>
        <w:t>the</w:t>
      </w:r>
      <w:r>
        <w:rPr>
          <w:spacing w:val="-4"/>
        </w:rPr>
        <w:t xml:space="preserve"> </w:t>
      </w:r>
      <w:r>
        <w:t>Commission</w:t>
      </w:r>
      <w:r>
        <w:rPr>
          <w:spacing w:val="-4"/>
        </w:rPr>
        <w:t xml:space="preserve"> </w:t>
      </w:r>
      <w:r>
        <w:t>the</w:t>
      </w:r>
      <w:r>
        <w:rPr>
          <w:spacing w:val="-4"/>
        </w:rPr>
        <w:t xml:space="preserve"> </w:t>
      </w:r>
      <w:r>
        <w:t>previous</w:t>
      </w:r>
      <w:r>
        <w:rPr>
          <w:spacing w:val="-4"/>
        </w:rPr>
        <w:t xml:space="preserve"> </w:t>
      </w:r>
      <w:r>
        <w:t>year.</w:t>
      </w:r>
      <w:r>
        <w:rPr>
          <w:spacing w:val="-4"/>
        </w:rPr>
        <w:t xml:space="preserve"> </w:t>
      </w:r>
      <w:r>
        <w:t>By</w:t>
      </w:r>
      <w:r>
        <w:rPr>
          <w:spacing w:val="-4"/>
        </w:rPr>
        <w:t xml:space="preserve"> </w:t>
      </w:r>
      <w:r>
        <w:t>providing</w:t>
      </w:r>
      <w:r>
        <w:rPr>
          <w:spacing w:val="-4"/>
        </w:rPr>
        <w:t xml:space="preserve"> </w:t>
      </w:r>
      <w:r>
        <w:t>clinicians</w:t>
      </w:r>
      <w:r>
        <w:rPr>
          <w:spacing w:val="-4"/>
        </w:rPr>
        <w:t xml:space="preserve"> </w:t>
      </w:r>
      <w:r>
        <w:t>with</w:t>
      </w:r>
      <w:r>
        <w:rPr>
          <w:spacing w:val="-4"/>
        </w:rPr>
        <w:t xml:space="preserve"> </w:t>
      </w:r>
      <w:r>
        <w:t>tailored</w:t>
      </w:r>
      <w:r>
        <w:rPr>
          <w:spacing w:val="-4"/>
        </w:rPr>
        <w:t xml:space="preserve"> </w:t>
      </w:r>
      <w:r>
        <w:t>insights</w:t>
      </w:r>
      <w:r>
        <w:rPr>
          <w:spacing w:val="-4"/>
        </w:rPr>
        <w:t xml:space="preserve"> </w:t>
      </w:r>
      <w:r>
        <w:t>linked</w:t>
      </w:r>
      <w:r>
        <w:rPr>
          <w:spacing w:val="-4"/>
        </w:rPr>
        <w:t xml:space="preserve"> </w:t>
      </w:r>
      <w:r>
        <w:t>to</w:t>
      </w:r>
      <w:r>
        <w:rPr>
          <w:spacing w:val="-4"/>
        </w:rPr>
        <w:t xml:space="preserve"> </w:t>
      </w:r>
      <w:r>
        <w:t>national standards, the reports aim to strengthen awareness of best practice in diagnosis of COPD.</w:t>
      </w:r>
    </w:p>
    <w:p w14:paraId="27F4017A" w14:textId="77777777" w:rsidR="009D54AF" w:rsidRDefault="00000000">
      <w:pPr>
        <w:pStyle w:val="BodyText"/>
        <w:spacing w:before="141" w:line="278" w:lineRule="auto"/>
        <w:ind w:left="142" w:right="165"/>
      </w:pPr>
      <w:r>
        <w:t>The reports provided general practitioners with comparative data on their spirometry claims relative to peers</w:t>
      </w:r>
      <w:r>
        <w:rPr>
          <w:spacing w:val="40"/>
        </w:rPr>
        <w:t xml:space="preserve"> </w:t>
      </w:r>
      <w:r>
        <w:t>in similar practice settings, supported by evidence-based resources and structured points for reflection. This approach</w:t>
      </w:r>
      <w:r>
        <w:rPr>
          <w:spacing w:val="-1"/>
        </w:rPr>
        <w:t xml:space="preserve"> </w:t>
      </w:r>
      <w:r>
        <w:t>enabled</w:t>
      </w:r>
      <w:r>
        <w:rPr>
          <w:spacing w:val="-1"/>
        </w:rPr>
        <w:t xml:space="preserve"> </w:t>
      </w:r>
      <w:r>
        <w:t>clinicians</w:t>
      </w:r>
      <w:r>
        <w:rPr>
          <w:spacing w:val="-1"/>
        </w:rPr>
        <w:t xml:space="preserve"> </w:t>
      </w:r>
      <w:r>
        <w:t>to</w:t>
      </w:r>
      <w:r>
        <w:rPr>
          <w:spacing w:val="-1"/>
        </w:rPr>
        <w:t xml:space="preserve"> </w:t>
      </w:r>
      <w:r>
        <w:t>identify</w:t>
      </w:r>
      <w:r>
        <w:rPr>
          <w:spacing w:val="-1"/>
        </w:rPr>
        <w:t xml:space="preserve"> </w:t>
      </w:r>
      <w:r>
        <w:t>variation</w:t>
      </w:r>
      <w:r>
        <w:rPr>
          <w:spacing w:val="-1"/>
        </w:rPr>
        <w:t xml:space="preserve"> </w:t>
      </w:r>
      <w:r>
        <w:t>in</w:t>
      </w:r>
      <w:r>
        <w:rPr>
          <w:spacing w:val="-1"/>
        </w:rPr>
        <w:t xml:space="preserve"> </w:t>
      </w:r>
      <w:r>
        <w:t>practice,</w:t>
      </w:r>
      <w:r>
        <w:rPr>
          <w:spacing w:val="-1"/>
        </w:rPr>
        <w:t xml:space="preserve"> </w:t>
      </w:r>
      <w:r>
        <w:t>support</w:t>
      </w:r>
      <w:r>
        <w:rPr>
          <w:spacing w:val="-1"/>
        </w:rPr>
        <w:t xml:space="preserve"> </w:t>
      </w:r>
      <w:r>
        <w:t>continuing</w:t>
      </w:r>
      <w:r>
        <w:rPr>
          <w:spacing w:val="-1"/>
        </w:rPr>
        <w:t xml:space="preserve"> </w:t>
      </w:r>
      <w:r>
        <w:t>professional</w:t>
      </w:r>
      <w:r>
        <w:rPr>
          <w:spacing w:val="-1"/>
        </w:rPr>
        <w:t xml:space="preserve"> </w:t>
      </w:r>
      <w:r>
        <w:t>development,</w:t>
      </w:r>
      <w:r>
        <w:rPr>
          <w:spacing w:val="-1"/>
        </w:rPr>
        <w:t xml:space="preserve"> </w:t>
      </w:r>
      <w:r>
        <w:t>and drive targeted improvements in patient care.</w:t>
      </w:r>
    </w:p>
    <w:p w14:paraId="56E9744B" w14:textId="77777777" w:rsidR="009D54AF" w:rsidRDefault="00000000">
      <w:pPr>
        <w:pStyle w:val="BodyText"/>
        <w:spacing w:before="141" w:line="278" w:lineRule="auto"/>
        <w:ind w:left="142"/>
      </w:pPr>
      <w:r>
        <w:t>Building</w:t>
      </w:r>
      <w:r>
        <w:rPr>
          <w:spacing w:val="-2"/>
        </w:rPr>
        <w:t xml:space="preserve"> </w:t>
      </w:r>
      <w:r>
        <w:t>on</w:t>
      </w:r>
      <w:r>
        <w:rPr>
          <w:spacing w:val="-2"/>
        </w:rPr>
        <w:t xml:space="preserve"> </w:t>
      </w:r>
      <w:r>
        <w:t>strong</w:t>
      </w:r>
      <w:r>
        <w:rPr>
          <w:spacing w:val="-2"/>
        </w:rPr>
        <w:t xml:space="preserve"> </w:t>
      </w:r>
      <w:r>
        <w:t>engagement</w:t>
      </w:r>
      <w:r>
        <w:rPr>
          <w:spacing w:val="-2"/>
        </w:rPr>
        <w:t xml:space="preserve"> </w:t>
      </w:r>
      <w:r>
        <w:t>with</w:t>
      </w:r>
      <w:r>
        <w:rPr>
          <w:spacing w:val="-2"/>
        </w:rPr>
        <w:t xml:space="preserve"> </w:t>
      </w:r>
      <w:r>
        <w:t>the</w:t>
      </w:r>
      <w:r>
        <w:rPr>
          <w:spacing w:val="-2"/>
        </w:rPr>
        <w:t xml:space="preserve"> </w:t>
      </w:r>
      <w:r>
        <w:t>initial</w:t>
      </w:r>
      <w:r>
        <w:rPr>
          <w:spacing w:val="-2"/>
        </w:rPr>
        <w:t xml:space="preserve"> </w:t>
      </w:r>
      <w:r>
        <w:t>release,</w:t>
      </w:r>
      <w:r>
        <w:rPr>
          <w:spacing w:val="-2"/>
        </w:rPr>
        <w:t xml:space="preserve"> </w:t>
      </w:r>
      <w:r>
        <w:t>the</w:t>
      </w:r>
      <w:r>
        <w:rPr>
          <w:spacing w:val="-2"/>
        </w:rPr>
        <w:t xml:space="preserve"> </w:t>
      </w:r>
      <w:r>
        <w:t>Commission</w:t>
      </w:r>
      <w:r>
        <w:rPr>
          <w:spacing w:val="-2"/>
        </w:rPr>
        <w:t xml:space="preserve"> </w:t>
      </w:r>
      <w:r>
        <w:t>commenced</w:t>
      </w:r>
      <w:r>
        <w:rPr>
          <w:spacing w:val="-2"/>
        </w:rPr>
        <w:t xml:space="preserve"> </w:t>
      </w:r>
      <w:r>
        <w:t>development</w:t>
      </w:r>
      <w:r>
        <w:rPr>
          <w:spacing w:val="-2"/>
        </w:rPr>
        <w:t xml:space="preserve"> </w:t>
      </w:r>
      <w:r>
        <w:t>of</w:t>
      </w:r>
      <w:r>
        <w:rPr>
          <w:spacing w:val="-2"/>
        </w:rPr>
        <w:t xml:space="preserve"> </w:t>
      </w:r>
      <w:r>
        <w:t>the</w:t>
      </w:r>
      <w:r>
        <w:rPr>
          <w:spacing w:val="-2"/>
        </w:rPr>
        <w:t xml:space="preserve"> </w:t>
      </w:r>
      <w:r>
        <w:t>next Practice Reflections report, scheduled for mid-2026, focusing on COPD medications. This ongoing work is supporting a scalable approach to continuous quality improvement in primary care.</w:t>
      </w:r>
    </w:p>
    <w:p w14:paraId="551F4C51" w14:textId="77777777" w:rsidR="009D54AF" w:rsidRDefault="009D54AF">
      <w:pPr>
        <w:pStyle w:val="BodyText"/>
        <w:spacing w:before="63"/>
      </w:pPr>
    </w:p>
    <w:p w14:paraId="2CBFAEEC" w14:textId="77777777" w:rsidR="009D54AF" w:rsidRDefault="00000000">
      <w:pPr>
        <w:pStyle w:val="Heading7"/>
      </w:pPr>
      <w:r>
        <w:t>Core Hospital-Based</w:t>
      </w:r>
      <w:r>
        <w:rPr>
          <w:spacing w:val="1"/>
        </w:rPr>
        <w:t xml:space="preserve"> </w:t>
      </w:r>
      <w:r>
        <w:t>Outcome</w:t>
      </w:r>
      <w:r>
        <w:rPr>
          <w:spacing w:val="1"/>
        </w:rPr>
        <w:t xml:space="preserve"> </w:t>
      </w:r>
      <w:r>
        <w:rPr>
          <w:spacing w:val="-2"/>
        </w:rPr>
        <w:t>Indicators</w:t>
      </w:r>
    </w:p>
    <w:p w14:paraId="50A65200" w14:textId="77777777" w:rsidR="009D54AF" w:rsidRDefault="00000000">
      <w:pPr>
        <w:pStyle w:val="BodyText"/>
        <w:spacing w:before="142" w:line="278" w:lineRule="auto"/>
        <w:ind w:left="142" w:right="333"/>
      </w:pPr>
      <w:r>
        <w:t>The Commission’s Core Hospital-Based Outcome Indicators (CHBOI) Toolkit provides health services with</w:t>
      </w:r>
      <w:r>
        <w:rPr>
          <w:spacing w:val="40"/>
        </w:rPr>
        <w:t xml:space="preserve"> </w:t>
      </w:r>
      <w:r>
        <w:t>a structured approach to monitoring hospital mortality and identifying potential areas for safety and quality improvement.</w:t>
      </w:r>
      <w:r>
        <w:rPr>
          <w:spacing w:val="-1"/>
        </w:rPr>
        <w:t xml:space="preserve"> </w:t>
      </w:r>
      <w:r>
        <w:t>The</w:t>
      </w:r>
      <w:r>
        <w:rPr>
          <w:spacing w:val="-1"/>
        </w:rPr>
        <w:t xml:space="preserve"> </w:t>
      </w:r>
      <w:r>
        <w:t>toolkit</w:t>
      </w:r>
      <w:r>
        <w:rPr>
          <w:spacing w:val="-1"/>
        </w:rPr>
        <w:t xml:space="preserve"> </w:t>
      </w:r>
      <w:r>
        <w:t>supports</w:t>
      </w:r>
      <w:r>
        <w:rPr>
          <w:spacing w:val="-1"/>
        </w:rPr>
        <w:t xml:space="preserve"> </w:t>
      </w:r>
      <w:r>
        <w:t>more</w:t>
      </w:r>
      <w:r>
        <w:rPr>
          <w:spacing w:val="-1"/>
        </w:rPr>
        <w:t xml:space="preserve"> </w:t>
      </w:r>
      <w:r>
        <w:t>consistent,</w:t>
      </w:r>
      <w:r>
        <w:rPr>
          <w:spacing w:val="-1"/>
        </w:rPr>
        <w:t xml:space="preserve"> </w:t>
      </w:r>
      <w:r>
        <w:t>data-driven</w:t>
      </w:r>
      <w:r>
        <w:rPr>
          <w:spacing w:val="-1"/>
        </w:rPr>
        <w:t xml:space="preserve"> </w:t>
      </w:r>
      <w:r>
        <w:t>analysis</w:t>
      </w:r>
      <w:r>
        <w:rPr>
          <w:spacing w:val="-1"/>
        </w:rPr>
        <w:t xml:space="preserve"> </w:t>
      </w:r>
      <w:r>
        <w:t>at</w:t>
      </w:r>
      <w:r>
        <w:rPr>
          <w:spacing w:val="-1"/>
        </w:rPr>
        <w:t xml:space="preserve"> </w:t>
      </w:r>
      <w:r>
        <w:t>the</w:t>
      </w:r>
      <w:r>
        <w:rPr>
          <w:spacing w:val="-1"/>
        </w:rPr>
        <w:t xml:space="preserve"> </w:t>
      </w:r>
      <w:r>
        <w:t>local</w:t>
      </w:r>
      <w:r>
        <w:rPr>
          <w:spacing w:val="-1"/>
        </w:rPr>
        <w:t xml:space="preserve"> </w:t>
      </w:r>
      <w:r>
        <w:t>level,</w:t>
      </w:r>
      <w:r>
        <w:rPr>
          <w:spacing w:val="-1"/>
        </w:rPr>
        <w:t xml:space="preserve"> </w:t>
      </w:r>
      <w:r>
        <w:t>enabling</w:t>
      </w:r>
      <w:r>
        <w:rPr>
          <w:spacing w:val="-1"/>
        </w:rPr>
        <w:t xml:space="preserve"> </w:t>
      </w:r>
      <w:r>
        <w:t xml:space="preserve">services to detect variation and </w:t>
      </w:r>
      <w:proofErr w:type="spellStart"/>
      <w:r>
        <w:t>prioritise</w:t>
      </w:r>
      <w:proofErr w:type="spellEnd"/>
      <w:r>
        <w:t xml:space="preserve"> targeted interventions.</w:t>
      </w:r>
    </w:p>
    <w:p w14:paraId="17A4A1AB" w14:textId="77777777" w:rsidR="009D54AF" w:rsidRDefault="00000000">
      <w:pPr>
        <w:pStyle w:val="BodyText"/>
        <w:spacing w:before="141" w:line="278" w:lineRule="auto"/>
        <w:ind w:left="142" w:right="285"/>
      </w:pPr>
      <w:r>
        <w:t>In 2025–26, the Commission progressed a comprehensive update of the CHBOI Toolkit. This update used the</w:t>
      </w:r>
      <w:r>
        <w:rPr>
          <w:spacing w:val="-3"/>
        </w:rPr>
        <w:t xml:space="preserve"> </w:t>
      </w:r>
      <w:r>
        <w:t>latest</w:t>
      </w:r>
      <w:r>
        <w:rPr>
          <w:spacing w:val="-3"/>
        </w:rPr>
        <w:t xml:space="preserve"> </w:t>
      </w:r>
      <w:r>
        <w:t>risk</w:t>
      </w:r>
      <w:r>
        <w:rPr>
          <w:spacing w:val="-3"/>
        </w:rPr>
        <w:t xml:space="preserve"> </w:t>
      </w:r>
      <w:r>
        <w:t>and</w:t>
      </w:r>
      <w:r>
        <w:rPr>
          <w:spacing w:val="-3"/>
        </w:rPr>
        <w:t xml:space="preserve"> </w:t>
      </w:r>
      <w:r>
        <w:t>funding</w:t>
      </w:r>
      <w:r>
        <w:rPr>
          <w:spacing w:val="-3"/>
        </w:rPr>
        <w:t xml:space="preserve"> </w:t>
      </w:r>
      <w:r>
        <w:t>calculations,</w:t>
      </w:r>
      <w:r>
        <w:rPr>
          <w:spacing w:val="-3"/>
        </w:rPr>
        <w:t xml:space="preserve"> </w:t>
      </w:r>
      <w:r>
        <w:t>updated</w:t>
      </w:r>
      <w:r>
        <w:rPr>
          <w:spacing w:val="-3"/>
        </w:rPr>
        <w:t xml:space="preserve"> </w:t>
      </w:r>
      <w:r>
        <w:t>national</w:t>
      </w:r>
      <w:r>
        <w:rPr>
          <w:spacing w:val="-3"/>
        </w:rPr>
        <w:t xml:space="preserve"> </w:t>
      </w:r>
      <w:r>
        <w:t>payment</w:t>
      </w:r>
      <w:r>
        <w:rPr>
          <w:spacing w:val="-3"/>
        </w:rPr>
        <w:t xml:space="preserve"> </w:t>
      </w:r>
      <w:r>
        <w:t>rates,</w:t>
      </w:r>
      <w:r>
        <w:rPr>
          <w:spacing w:val="-3"/>
        </w:rPr>
        <w:t xml:space="preserve"> </w:t>
      </w:r>
      <w:r>
        <w:t>and</w:t>
      </w:r>
      <w:r>
        <w:rPr>
          <w:spacing w:val="-3"/>
        </w:rPr>
        <w:t xml:space="preserve"> </w:t>
      </w:r>
      <w:r>
        <w:t>incorporated</w:t>
      </w:r>
      <w:r>
        <w:rPr>
          <w:spacing w:val="-3"/>
        </w:rPr>
        <w:t xml:space="preserve"> </w:t>
      </w:r>
      <w:r>
        <w:t>important</w:t>
      </w:r>
      <w:r>
        <w:rPr>
          <w:spacing w:val="-3"/>
        </w:rPr>
        <w:t xml:space="preserve"> </w:t>
      </w:r>
      <w:r>
        <w:t>system changes,</w:t>
      </w:r>
      <w:r>
        <w:rPr>
          <w:spacing w:val="-2"/>
        </w:rPr>
        <w:t xml:space="preserve"> </w:t>
      </w:r>
      <w:r>
        <w:t>including</w:t>
      </w:r>
      <w:r>
        <w:rPr>
          <w:spacing w:val="-2"/>
        </w:rPr>
        <w:t xml:space="preserve"> </w:t>
      </w:r>
      <w:r>
        <w:t>the</w:t>
      </w:r>
      <w:r>
        <w:rPr>
          <w:spacing w:val="-2"/>
        </w:rPr>
        <w:t xml:space="preserve"> </w:t>
      </w:r>
      <w:r>
        <w:t>latest</w:t>
      </w:r>
      <w:r>
        <w:rPr>
          <w:spacing w:val="-2"/>
        </w:rPr>
        <w:t xml:space="preserve"> </w:t>
      </w:r>
      <w:r>
        <w:t>disease</w:t>
      </w:r>
      <w:r>
        <w:rPr>
          <w:spacing w:val="-2"/>
        </w:rPr>
        <w:t xml:space="preserve"> </w:t>
      </w:r>
      <w:r>
        <w:t>coding</w:t>
      </w:r>
      <w:r>
        <w:rPr>
          <w:spacing w:val="-2"/>
        </w:rPr>
        <w:t xml:space="preserve"> </w:t>
      </w:r>
      <w:r>
        <w:t>standards</w:t>
      </w:r>
      <w:r>
        <w:rPr>
          <w:spacing w:val="-2"/>
        </w:rPr>
        <w:t xml:space="preserve"> </w:t>
      </w:r>
      <w:r>
        <w:t>(ICD-10-AM</w:t>
      </w:r>
      <w:r>
        <w:rPr>
          <w:spacing w:val="-2"/>
        </w:rPr>
        <w:t xml:space="preserve"> </w:t>
      </w:r>
      <w:r>
        <w:t>12th</w:t>
      </w:r>
      <w:r>
        <w:rPr>
          <w:spacing w:val="-2"/>
        </w:rPr>
        <w:t xml:space="preserve"> </w:t>
      </w:r>
      <w:r>
        <w:t>Edition)</w:t>
      </w:r>
      <w:r>
        <w:rPr>
          <w:spacing w:val="-2"/>
        </w:rPr>
        <w:t xml:space="preserve"> </w:t>
      </w:r>
      <w:r>
        <w:t>and</w:t>
      </w:r>
      <w:r>
        <w:rPr>
          <w:spacing w:val="-2"/>
        </w:rPr>
        <w:t xml:space="preserve"> </w:t>
      </w:r>
      <w:r>
        <w:t>hospital</w:t>
      </w:r>
      <w:r>
        <w:rPr>
          <w:spacing w:val="-2"/>
        </w:rPr>
        <w:t xml:space="preserve"> </w:t>
      </w:r>
      <w:r>
        <w:t>classification system updates (AR-DRG Version 11). These enhancements improved the accuracy, relevance and comparability of the indicators.</w:t>
      </w:r>
    </w:p>
    <w:p w14:paraId="21DAE488" w14:textId="77777777" w:rsidR="009D54AF" w:rsidRDefault="00000000">
      <w:pPr>
        <w:pStyle w:val="BodyText"/>
        <w:spacing w:before="141" w:line="278" w:lineRule="auto"/>
        <w:ind w:left="142"/>
      </w:pPr>
      <w:r>
        <w:t>Together, these improvements strengthened the CHBOIs as a national resource, supporting more robust mortality monitoring, enhancing benchmarking capability, and enabling health services to better identify and respond to areas of unwarranted variation in patient outcomes.</w:t>
      </w:r>
    </w:p>
    <w:p w14:paraId="657DECDA" w14:textId="77777777" w:rsidR="009D54AF" w:rsidRDefault="009D54AF">
      <w:pPr>
        <w:pStyle w:val="BodyText"/>
        <w:spacing w:before="63"/>
      </w:pPr>
    </w:p>
    <w:p w14:paraId="5AA9D111" w14:textId="77777777" w:rsidR="00D6288A" w:rsidRDefault="00D6288A">
      <w:pPr>
        <w:rPr>
          <w:b/>
          <w:bCs/>
          <w:sz w:val="26"/>
          <w:szCs w:val="26"/>
        </w:rPr>
      </w:pPr>
      <w:r>
        <w:br w:type="page"/>
      </w:r>
    </w:p>
    <w:p w14:paraId="2AF450EC" w14:textId="64062442" w:rsidR="009D54AF" w:rsidRDefault="00000000">
      <w:pPr>
        <w:pStyle w:val="Heading7"/>
      </w:pPr>
      <w:r>
        <w:lastRenderedPageBreak/>
        <w:t>Classification</w:t>
      </w:r>
      <w:r>
        <w:rPr>
          <w:spacing w:val="-7"/>
        </w:rPr>
        <w:t xml:space="preserve"> </w:t>
      </w:r>
      <w:r>
        <w:t>of</w:t>
      </w:r>
      <w:r>
        <w:rPr>
          <w:spacing w:val="-4"/>
        </w:rPr>
        <w:t xml:space="preserve"> </w:t>
      </w:r>
      <w:r>
        <w:t>Hospital</w:t>
      </w:r>
      <w:r>
        <w:rPr>
          <w:spacing w:val="-5"/>
        </w:rPr>
        <w:t xml:space="preserve"> </w:t>
      </w:r>
      <w:r>
        <w:t>Acquired</w:t>
      </w:r>
      <w:r>
        <w:rPr>
          <w:spacing w:val="-4"/>
        </w:rPr>
        <w:t xml:space="preserve"> </w:t>
      </w:r>
      <w:r>
        <w:rPr>
          <w:spacing w:val="-2"/>
        </w:rPr>
        <w:t>Diagnoses</w:t>
      </w:r>
    </w:p>
    <w:p w14:paraId="68A5F2C2" w14:textId="77777777" w:rsidR="009D54AF" w:rsidRDefault="00000000">
      <w:pPr>
        <w:pStyle w:val="BodyText"/>
        <w:spacing w:before="66" w:line="278" w:lineRule="auto"/>
        <w:ind w:left="142"/>
      </w:pPr>
      <w:r>
        <w:t>The</w:t>
      </w:r>
      <w:r>
        <w:rPr>
          <w:spacing w:val="-3"/>
        </w:rPr>
        <w:t xml:space="preserve"> </w:t>
      </w:r>
      <w:r>
        <w:t>Classification</w:t>
      </w:r>
      <w:r>
        <w:rPr>
          <w:spacing w:val="-3"/>
        </w:rPr>
        <w:t xml:space="preserve"> </w:t>
      </w:r>
      <w:r>
        <w:t>of</w:t>
      </w:r>
      <w:r>
        <w:rPr>
          <w:spacing w:val="-3"/>
        </w:rPr>
        <w:t xml:space="preserve"> </w:t>
      </w:r>
      <w:r>
        <w:t>Hospital</w:t>
      </w:r>
      <w:r>
        <w:rPr>
          <w:spacing w:val="-3"/>
        </w:rPr>
        <w:t xml:space="preserve"> </w:t>
      </w:r>
      <w:r>
        <w:t>Acquired</w:t>
      </w:r>
      <w:r>
        <w:rPr>
          <w:spacing w:val="-3"/>
        </w:rPr>
        <w:t xml:space="preserve"> </w:t>
      </w:r>
      <w:r>
        <w:t>Diagnoses</w:t>
      </w:r>
      <w:r>
        <w:rPr>
          <w:spacing w:val="-3"/>
        </w:rPr>
        <w:t xml:space="preserve"> </w:t>
      </w:r>
      <w:r>
        <w:t>(</w:t>
      </w:r>
      <w:proofErr w:type="spellStart"/>
      <w:r>
        <w:t>CHADx</w:t>
      </w:r>
      <w:proofErr w:type="spellEnd"/>
      <w:r>
        <w:t>)</w:t>
      </w:r>
      <w:r>
        <w:rPr>
          <w:spacing w:val="-3"/>
        </w:rPr>
        <w:t xml:space="preserve"> </w:t>
      </w:r>
      <w:r>
        <w:t>enables</w:t>
      </w:r>
      <w:r>
        <w:rPr>
          <w:spacing w:val="-3"/>
        </w:rPr>
        <w:t xml:space="preserve"> </w:t>
      </w:r>
      <w:r>
        <w:t>hospitals</w:t>
      </w:r>
      <w:r>
        <w:rPr>
          <w:spacing w:val="-3"/>
        </w:rPr>
        <w:t xml:space="preserve"> </w:t>
      </w:r>
      <w:r>
        <w:t>to</w:t>
      </w:r>
      <w:r>
        <w:rPr>
          <w:spacing w:val="-3"/>
        </w:rPr>
        <w:t xml:space="preserve"> </w:t>
      </w:r>
      <w:r>
        <w:t>systematically</w:t>
      </w:r>
      <w:r>
        <w:rPr>
          <w:spacing w:val="-3"/>
        </w:rPr>
        <w:t xml:space="preserve"> </w:t>
      </w:r>
      <w:r>
        <w:t>identify,</w:t>
      </w:r>
      <w:r>
        <w:rPr>
          <w:spacing w:val="-3"/>
        </w:rPr>
        <w:t xml:space="preserve"> </w:t>
      </w:r>
      <w:r>
        <w:t xml:space="preserve">count and monitor a wide range of adverse events occurring during inpatient care, supporting more comprehensive safety and quality improvement efforts. Used alongside broader measures such as HACs, </w:t>
      </w:r>
      <w:proofErr w:type="spellStart"/>
      <w:r>
        <w:t>CHADx</w:t>
      </w:r>
      <w:proofErr w:type="spellEnd"/>
      <w:r>
        <w:t xml:space="preserve"> provides extra detail and clinical specificity, allowing health services to better understand patterns of harm and target areas for improvement.</w:t>
      </w:r>
    </w:p>
    <w:p w14:paraId="415EF3D6" w14:textId="77777777" w:rsidR="009D54AF" w:rsidRDefault="00000000">
      <w:pPr>
        <w:pStyle w:val="BodyText"/>
        <w:spacing w:before="141" w:line="278" w:lineRule="auto"/>
        <w:ind w:left="142" w:right="285"/>
      </w:pPr>
      <w:r>
        <w:t xml:space="preserve">In 2025–26, the Commission updated </w:t>
      </w:r>
      <w:proofErr w:type="spellStart"/>
      <w:r>
        <w:t>CHADx</w:t>
      </w:r>
      <w:proofErr w:type="spellEnd"/>
      <w:r>
        <w:t xml:space="preserve"> to match new national disease coding standards that came into effect on 1 July 2025. The update included a review of more than 4,500 diagnosis codes. This update ensures that the classification remains current and reflective of contemporary clinical practice, improving the accuracy and consistency of adverse event reporting.</w:t>
      </w:r>
    </w:p>
    <w:p w14:paraId="72BD4024" w14:textId="77777777" w:rsidR="009D54AF" w:rsidRDefault="00000000">
      <w:pPr>
        <w:pStyle w:val="BodyText"/>
        <w:spacing w:before="141" w:line="278" w:lineRule="auto"/>
        <w:ind w:left="142"/>
      </w:pPr>
      <w:r>
        <w:t xml:space="preserve">Together, these enhancements strengthen </w:t>
      </w:r>
      <w:proofErr w:type="spellStart"/>
      <w:r>
        <w:t>CHADx</w:t>
      </w:r>
      <w:proofErr w:type="spellEnd"/>
      <w:r>
        <w:t xml:space="preserve"> as a critical national safety tool, supporting more granular analysis</w:t>
      </w:r>
      <w:r>
        <w:rPr>
          <w:spacing w:val="-1"/>
        </w:rPr>
        <w:t xml:space="preserve"> </w:t>
      </w:r>
      <w:r>
        <w:t>of</w:t>
      </w:r>
      <w:r>
        <w:rPr>
          <w:spacing w:val="-1"/>
        </w:rPr>
        <w:t xml:space="preserve"> </w:t>
      </w:r>
      <w:r>
        <w:t>patient</w:t>
      </w:r>
      <w:r>
        <w:rPr>
          <w:spacing w:val="-1"/>
        </w:rPr>
        <w:t xml:space="preserve"> </w:t>
      </w:r>
      <w:r>
        <w:t>harm,</w:t>
      </w:r>
      <w:r>
        <w:rPr>
          <w:spacing w:val="-1"/>
        </w:rPr>
        <w:t xml:space="preserve"> </w:t>
      </w:r>
      <w:r>
        <w:t>enhancing</w:t>
      </w:r>
      <w:r>
        <w:rPr>
          <w:spacing w:val="-1"/>
        </w:rPr>
        <w:t xml:space="preserve"> </w:t>
      </w:r>
      <w:r>
        <w:t>comparability</w:t>
      </w:r>
      <w:r>
        <w:rPr>
          <w:spacing w:val="-1"/>
        </w:rPr>
        <w:t xml:space="preserve"> </w:t>
      </w:r>
      <w:r>
        <w:t>across</w:t>
      </w:r>
      <w:r>
        <w:rPr>
          <w:spacing w:val="-1"/>
        </w:rPr>
        <w:t xml:space="preserve"> </w:t>
      </w:r>
      <w:r>
        <w:t>jurisdictions,</w:t>
      </w:r>
      <w:r>
        <w:rPr>
          <w:spacing w:val="-1"/>
        </w:rPr>
        <w:t xml:space="preserve"> </w:t>
      </w:r>
      <w:r>
        <w:t>and</w:t>
      </w:r>
      <w:r>
        <w:rPr>
          <w:spacing w:val="-1"/>
        </w:rPr>
        <w:t xml:space="preserve"> </w:t>
      </w:r>
      <w:r>
        <w:t>enabling</w:t>
      </w:r>
      <w:r>
        <w:rPr>
          <w:spacing w:val="-1"/>
        </w:rPr>
        <w:t xml:space="preserve"> </w:t>
      </w:r>
      <w:r>
        <w:t>health</w:t>
      </w:r>
      <w:r>
        <w:rPr>
          <w:spacing w:val="-1"/>
        </w:rPr>
        <w:t xml:space="preserve"> </w:t>
      </w:r>
      <w:r>
        <w:t>services</w:t>
      </w:r>
      <w:r>
        <w:rPr>
          <w:spacing w:val="-1"/>
        </w:rPr>
        <w:t xml:space="preserve"> </w:t>
      </w:r>
      <w:r>
        <w:t>to</w:t>
      </w:r>
      <w:r>
        <w:rPr>
          <w:spacing w:val="-1"/>
        </w:rPr>
        <w:t xml:space="preserve"> </w:t>
      </w:r>
      <w:r>
        <w:t>identify trends and implement more targeted, evidence-based improvement strategies.</w:t>
      </w:r>
    </w:p>
    <w:p w14:paraId="61529864" w14:textId="77777777" w:rsidR="009D54AF" w:rsidRDefault="009D54AF">
      <w:pPr>
        <w:pStyle w:val="BodyText"/>
        <w:spacing w:before="65"/>
      </w:pPr>
    </w:p>
    <w:p w14:paraId="38AD2326" w14:textId="77777777" w:rsidR="009D54AF" w:rsidRDefault="00000000">
      <w:pPr>
        <w:pStyle w:val="Heading5"/>
        <w:spacing w:before="1"/>
      </w:pPr>
      <w:r>
        <w:t>Clinical</w:t>
      </w:r>
      <w:r>
        <w:rPr>
          <w:spacing w:val="-4"/>
        </w:rPr>
        <w:t xml:space="preserve"> </w:t>
      </w:r>
      <w:r>
        <w:t>Quality</w:t>
      </w:r>
      <w:r>
        <w:rPr>
          <w:spacing w:val="-4"/>
        </w:rPr>
        <w:t xml:space="preserve"> </w:t>
      </w:r>
      <w:r>
        <w:rPr>
          <w:spacing w:val="-2"/>
        </w:rPr>
        <w:t>Registries</w:t>
      </w:r>
    </w:p>
    <w:p w14:paraId="652A3514" w14:textId="77777777" w:rsidR="009D54AF" w:rsidRDefault="00000000">
      <w:pPr>
        <w:pStyle w:val="BodyText"/>
        <w:spacing w:before="132" w:line="278" w:lineRule="auto"/>
        <w:ind w:left="142" w:right="268"/>
      </w:pPr>
      <w:r>
        <w:t>The Commission partnered with the Department of Health, Disability and Ageing to support implementation of the National Clinical Quality Registries and Virtual Registries Strategy through the Department’s National Clinical</w:t>
      </w:r>
      <w:r>
        <w:rPr>
          <w:spacing w:val="-1"/>
        </w:rPr>
        <w:t xml:space="preserve"> </w:t>
      </w:r>
      <w:r>
        <w:t>Quality</w:t>
      </w:r>
      <w:r>
        <w:rPr>
          <w:spacing w:val="-1"/>
        </w:rPr>
        <w:t xml:space="preserve"> </w:t>
      </w:r>
      <w:r>
        <w:t>Registry</w:t>
      </w:r>
      <w:r>
        <w:rPr>
          <w:spacing w:val="-1"/>
        </w:rPr>
        <w:t xml:space="preserve"> </w:t>
      </w:r>
      <w:r>
        <w:t>Program.</w:t>
      </w:r>
      <w:r>
        <w:rPr>
          <w:spacing w:val="-1"/>
        </w:rPr>
        <w:t xml:space="preserve"> </w:t>
      </w:r>
      <w:r>
        <w:t>This</w:t>
      </w:r>
      <w:r>
        <w:rPr>
          <w:spacing w:val="-1"/>
        </w:rPr>
        <w:t xml:space="preserve"> </w:t>
      </w:r>
      <w:r>
        <w:t>work</w:t>
      </w:r>
      <w:r>
        <w:rPr>
          <w:spacing w:val="-1"/>
        </w:rPr>
        <w:t xml:space="preserve"> </w:t>
      </w:r>
      <w:r>
        <w:t>continued</w:t>
      </w:r>
      <w:r>
        <w:rPr>
          <w:spacing w:val="-1"/>
        </w:rPr>
        <w:t xml:space="preserve"> </w:t>
      </w:r>
      <w:r>
        <w:t>to</w:t>
      </w:r>
      <w:r>
        <w:rPr>
          <w:spacing w:val="-1"/>
        </w:rPr>
        <w:t xml:space="preserve"> </w:t>
      </w:r>
      <w:r>
        <w:t>strengthen</w:t>
      </w:r>
      <w:r>
        <w:rPr>
          <w:spacing w:val="-1"/>
        </w:rPr>
        <w:t xml:space="preserve"> </w:t>
      </w:r>
      <w:r>
        <w:t>the</w:t>
      </w:r>
      <w:r>
        <w:rPr>
          <w:spacing w:val="-1"/>
        </w:rPr>
        <w:t xml:space="preserve"> </w:t>
      </w:r>
      <w:r>
        <w:t>national</w:t>
      </w:r>
      <w:r>
        <w:rPr>
          <w:spacing w:val="-1"/>
        </w:rPr>
        <w:t xml:space="preserve"> </w:t>
      </w:r>
      <w:r>
        <w:t>infrastructure</w:t>
      </w:r>
      <w:r>
        <w:rPr>
          <w:spacing w:val="-1"/>
        </w:rPr>
        <w:t xml:space="preserve"> </w:t>
      </w:r>
      <w:r>
        <w:t>underpinning Clinical Quality Registries and enhance their role in driving improvements in patient care.</w:t>
      </w:r>
    </w:p>
    <w:p w14:paraId="1F433D06" w14:textId="77777777" w:rsidR="009D54AF" w:rsidRDefault="00000000">
      <w:pPr>
        <w:pStyle w:val="BodyText"/>
        <w:spacing w:before="142" w:line="278" w:lineRule="auto"/>
        <w:ind w:left="142" w:right="199"/>
      </w:pPr>
      <w:r>
        <w:t>In 2025–26, the Commission progressed two key projects funded by the Department – updating the</w:t>
      </w:r>
      <w:r>
        <w:rPr>
          <w:spacing w:val="40"/>
        </w:rPr>
        <w:t xml:space="preserve"> </w:t>
      </w:r>
      <w:proofErr w:type="spellStart"/>
      <w:r>
        <w:t>prioritised</w:t>
      </w:r>
      <w:proofErr w:type="spellEnd"/>
      <w:r>
        <w:t xml:space="preserve"> list of clinical domains for Clinical Quality Registry development and </w:t>
      </w:r>
      <w:proofErr w:type="spellStart"/>
      <w:r>
        <w:t>modernising</w:t>
      </w:r>
      <w:proofErr w:type="spellEnd"/>
      <w:r>
        <w:t xml:space="preserve"> the Australian Register</w:t>
      </w:r>
      <w:r>
        <w:rPr>
          <w:spacing w:val="-3"/>
        </w:rPr>
        <w:t xml:space="preserve"> </w:t>
      </w:r>
      <w:r>
        <w:t>of</w:t>
      </w:r>
      <w:r>
        <w:rPr>
          <w:spacing w:val="-3"/>
        </w:rPr>
        <w:t xml:space="preserve"> </w:t>
      </w:r>
      <w:r>
        <w:t>Clinical</w:t>
      </w:r>
      <w:r>
        <w:rPr>
          <w:spacing w:val="-3"/>
        </w:rPr>
        <w:t xml:space="preserve"> </w:t>
      </w:r>
      <w:r>
        <w:t>Registries</w:t>
      </w:r>
      <w:r>
        <w:rPr>
          <w:spacing w:val="-3"/>
        </w:rPr>
        <w:t xml:space="preserve"> </w:t>
      </w:r>
      <w:r>
        <w:t>(ARCR).</w:t>
      </w:r>
      <w:r>
        <w:rPr>
          <w:spacing w:val="-3"/>
        </w:rPr>
        <w:t xml:space="preserve"> </w:t>
      </w:r>
      <w:r>
        <w:t>The</w:t>
      </w:r>
      <w:r>
        <w:rPr>
          <w:spacing w:val="-3"/>
        </w:rPr>
        <w:t xml:space="preserve"> </w:t>
      </w:r>
      <w:r>
        <w:t>2026</w:t>
      </w:r>
      <w:r>
        <w:rPr>
          <w:spacing w:val="-3"/>
        </w:rPr>
        <w:t xml:space="preserve"> </w:t>
      </w:r>
      <w:r>
        <w:t>update</w:t>
      </w:r>
      <w:r>
        <w:rPr>
          <w:spacing w:val="-3"/>
        </w:rPr>
        <w:t xml:space="preserve"> </w:t>
      </w:r>
      <w:r>
        <w:t>to</w:t>
      </w:r>
      <w:r>
        <w:rPr>
          <w:spacing w:val="-3"/>
        </w:rPr>
        <w:t xml:space="preserve"> </w:t>
      </w:r>
      <w:r>
        <w:t>the</w:t>
      </w:r>
      <w:r>
        <w:rPr>
          <w:spacing w:val="-3"/>
        </w:rPr>
        <w:t xml:space="preserve"> </w:t>
      </w:r>
      <w:r>
        <w:t>2016</w:t>
      </w:r>
      <w:r>
        <w:rPr>
          <w:spacing w:val="-3"/>
        </w:rPr>
        <w:t xml:space="preserve"> </w:t>
      </w:r>
      <w:proofErr w:type="spellStart"/>
      <w:r>
        <w:t>prioritised</w:t>
      </w:r>
      <w:proofErr w:type="spellEnd"/>
      <w:r>
        <w:rPr>
          <w:spacing w:val="-3"/>
        </w:rPr>
        <w:t xml:space="preserve"> </w:t>
      </w:r>
      <w:r>
        <w:t>domain</w:t>
      </w:r>
      <w:r>
        <w:rPr>
          <w:spacing w:val="-3"/>
        </w:rPr>
        <w:t xml:space="preserve"> </w:t>
      </w:r>
      <w:r>
        <w:t>list</w:t>
      </w:r>
      <w:r>
        <w:rPr>
          <w:spacing w:val="-3"/>
        </w:rPr>
        <w:t xml:space="preserve"> </w:t>
      </w:r>
      <w:r>
        <w:t>ensured</w:t>
      </w:r>
      <w:r>
        <w:rPr>
          <w:spacing w:val="-3"/>
        </w:rPr>
        <w:t xml:space="preserve"> </w:t>
      </w:r>
      <w:r>
        <w:t>it</w:t>
      </w:r>
      <w:r>
        <w:rPr>
          <w:spacing w:val="-3"/>
        </w:rPr>
        <w:t xml:space="preserve"> </w:t>
      </w:r>
      <w:r>
        <w:t>remains contemporary,</w:t>
      </w:r>
      <w:r>
        <w:rPr>
          <w:spacing w:val="-1"/>
        </w:rPr>
        <w:t xml:space="preserve"> </w:t>
      </w:r>
      <w:r>
        <w:t>fit</w:t>
      </w:r>
      <w:r>
        <w:rPr>
          <w:spacing w:val="-1"/>
        </w:rPr>
        <w:t xml:space="preserve"> </w:t>
      </w:r>
      <w:r>
        <w:t>for</w:t>
      </w:r>
      <w:r>
        <w:rPr>
          <w:spacing w:val="-1"/>
        </w:rPr>
        <w:t xml:space="preserve"> </w:t>
      </w:r>
      <w:r>
        <w:t>purpose,</w:t>
      </w:r>
      <w:r>
        <w:rPr>
          <w:spacing w:val="-1"/>
        </w:rPr>
        <w:t xml:space="preserve"> </w:t>
      </w:r>
      <w:r>
        <w:t>and</w:t>
      </w:r>
      <w:r>
        <w:rPr>
          <w:spacing w:val="-1"/>
        </w:rPr>
        <w:t xml:space="preserve"> </w:t>
      </w:r>
      <w:r>
        <w:t>aligned</w:t>
      </w:r>
      <w:r>
        <w:rPr>
          <w:spacing w:val="-1"/>
        </w:rPr>
        <w:t xml:space="preserve"> </w:t>
      </w:r>
      <w:r>
        <w:t>with</w:t>
      </w:r>
      <w:r>
        <w:rPr>
          <w:spacing w:val="-1"/>
        </w:rPr>
        <w:t xml:space="preserve"> </w:t>
      </w:r>
      <w:r>
        <w:t>emerging</w:t>
      </w:r>
      <w:r>
        <w:rPr>
          <w:spacing w:val="-1"/>
        </w:rPr>
        <w:t xml:space="preserve"> </w:t>
      </w:r>
      <w:r>
        <w:t>healthcare</w:t>
      </w:r>
      <w:r>
        <w:rPr>
          <w:spacing w:val="-1"/>
        </w:rPr>
        <w:t xml:space="preserve"> </w:t>
      </w:r>
      <w:r>
        <w:t>priorities.</w:t>
      </w:r>
      <w:r>
        <w:rPr>
          <w:spacing w:val="-1"/>
        </w:rPr>
        <w:t xml:space="preserve"> </w:t>
      </w:r>
      <w:r>
        <w:t>By</w:t>
      </w:r>
      <w:r>
        <w:rPr>
          <w:spacing w:val="-1"/>
        </w:rPr>
        <w:t xml:space="preserve"> </w:t>
      </w:r>
      <w:r>
        <w:t>identifying</w:t>
      </w:r>
      <w:r>
        <w:rPr>
          <w:spacing w:val="-1"/>
        </w:rPr>
        <w:t xml:space="preserve"> </w:t>
      </w:r>
      <w:r>
        <w:t>areas</w:t>
      </w:r>
      <w:r>
        <w:rPr>
          <w:spacing w:val="-1"/>
        </w:rPr>
        <w:t xml:space="preserve"> </w:t>
      </w:r>
      <w:r>
        <w:t>of</w:t>
      </w:r>
      <w:r>
        <w:rPr>
          <w:spacing w:val="-1"/>
        </w:rPr>
        <w:t xml:space="preserve"> </w:t>
      </w:r>
      <w:r>
        <w:t>greatest need and impact, this work supports strategic investment in registries and strengthens their contribution to national safety and quality improvement. Publication of the final report is planned for late 2026.</w:t>
      </w:r>
    </w:p>
    <w:p w14:paraId="7188D336" w14:textId="77777777" w:rsidR="009D54AF" w:rsidRDefault="00000000">
      <w:pPr>
        <w:pStyle w:val="BodyText"/>
        <w:spacing w:before="141" w:line="278" w:lineRule="auto"/>
        <w:ind w:left="142" w:right="285"/>
      </w:pPr>
      <w:r>
        <w:t>The ARCR continues to play a critical role in improving visibility, coordination and collaboration across registry</w:t>
      </w:r>
      <w:r>
        <w:rPr>
          <w:spacing w:val="-1"/>
        </w:rPr>
        <w:t xml:space="preserve"> </w:t>
      </w:r>
      <w:r>
        <w:t>activity</w:t>
      </w:r>
      <w:r>
        <w:rPr>
          <w:spacing w:val="-1"/>
        </w:rPr>
        <w:t xml:space="preserve"> </w:t>
      </w:r>
      <w:r>
        <w:t>in</w:t>
      </w:r>
      <w:r>
        <w:rPr>
          <w:spacing w:val="-1"/>
        </w:rPr>
        <w:t xml:space="preserve"> </w:t>
      </w:r>
      <w:r>
        <w:t>Australia.</w:t>
      </w:r>
      <w:r>
        <w:rPr>
          <w:spacing w:val="-1"/>
        </w:rPr>
        <w:t xml:space="preserve"> </w:t>
      </w:r>
      <w:r>
        <w:t>From</w:t>
      </w:r>
      <w:r>
        <w:rPr>
          <w:spacing w:val="-1"/>
        </w:rPr>
        <w:t xml:space="preserve"> </w:t>
      </w:r>
      <w:r>
        <w:t>the</w:t>
      </w:r>
      <w:r>
        <w:rPr>
          <w:spacing w:val="-1"/>
        </w:rPr>
        <w:t xml:space="preserve"> </w:t>
      </w:r>
      <w:r>
        <w:t>second</w:t>
      </w:r>
      <w:r>
        <w:rPr>
          <w:spacing w:val="-1"/>
        </w:rPr>
        <w:t xml:space="preserve"> </w:t>
      </w:r>
      <w:r>
        <w:t>half</w:t>
      </w:r>
      <w:r>
        <w:rPr>
          <w:spacing w:val="-1"/>
        </w:rPr>
        <w:t xml:space="preserve"> </w:t>
      </w:r>
      <w:r>
        <w:t>of</w:t>
      </w:r>
      <w:r>
        <w:rPr>
          <w:spacing w:val="-1"/>
        </w:rPr>
        <w:t xml:space="preserve"> </w:t>
      </w:r>
      <w:r>
        <w:t>2025,</w:t>
      </w:r>
      <w:r>
        <w:rPr>
          <w:spacing w:val="-1"/>
        </w:rPr>
        <w:t xml:space="preserve"> </w:t>
      </w:r>
      <w:r>
        <w:t>the</w:t>
      </w:r>
      <w:r>
        <w:rPr>
          <w:spacing w:val="-1"/>
        </w:rPr>
        <w:t xml:space="preserve"> </w:t>
      </w:r>
      <w:r>
        <w:t>Commission</w:t>
      </w:r>
      <w:r>
        <w:rPr>
          <w:spacing w:val="-1"/>
        </w:rPr>
        <w:t xml:space="preserve"> </w:t>
      </w:r>
      <w:r>
        <w:t>undertook</w:t>
      </w:r>
      <w:r>
        <w:rPr>
          <w:spacing w:val="-1"/>
        </w:rPr>
        <w:t xml:space="preserve"> </w:t>
      </w:r>
      <w:r>
        <w:t>targeted</w:t>
      </w:r>
      <w:r>
        <w:rPr>
          <w:spacing w:val="-1"/>
        </w:rPr>
        <w:t xml:space="preserve"> </w:t>
      </w:r>
      <w:r>
        <w:t>stakeholder consultation to assess the ARCR’s functionality and future needs. This informed the development of a business and functional requirements report provided to the Department, laying the foundation for a more modern, user-focused platform capable of supporting increased interoperability and data use. Further technical development will occur in partnership with the Department.</w:t>
      </w:r>
    </w:p>
    <w:p w14:paraId="291BBC20" w14:textId="77777777" w:rsidR="009D54AF" w:rsidRDefault="00000000">
      <w:pPr>
        <w:spacing w:before="141" w:line="278" w:lineRule="auto"/>
        <w:ind w:left="142"/>
        <w:rPr>
          <w:sz w:val="21"/>
        </w:rPr>
      </w:pPr>
      <w:r>
        <w:rPr>
          <w:sz w:val="21"/>
        </w:rPr>
        <w:t xml:space="preserve">Following the release of the </w:t>
      </w:r>
      <w:r>
        <w:rPr>
          <w:i/>
          <w:sz w:val="21"/>
        </w:rPr>
        <w:t xml:space="preserve">Australian Framework for National Clinical Quality Registries 2024 </w:t>
      </w:r>
      <w:r>
        <w:rPr>
          <w:sz w:val="21"/>
        </w:rPr>
        <w:t>(CQR Framework),</w:t>
      </w:r>
      <w:r>
        <w:rPr>
          <w:spacing w:val="-4"/>
          <w:sz w:val="21"/>
        </w:rPr>
        <w:t xml:space="preserve"> </w:t>
      </w:r>
      <w:r>
        <w:rPr>
          <w:sz w:val="21"/>
        </w:rPr>
        <w:t>the</w:t>
      </w:r>
      <w:r>
        <w:rPr>
          <w:spacing w:val="-4"/>
          <w:sz w:val="21"/>
        </w:rPr>
        <w:t xml:space="preserve"> </w:t>
      </w:r>
      <w:r>
        <w:rPr>
          <w:sz w:val="21"/>
        </w:rPr>
        <w:t>Commission</w:t>
      </w:r>
      <w:r>
        <w:rPr>
          <w:spacing w:val="-4"/>
          <w:sz w:val="21"/>
        </w:rPr>
        <w:t xml:space="preserve"> </w:t>
      </w:r>
      <w:r>
        <w:rPr>
          <w:sz w:val="21"/>
        </w:rPr>
        <w:t>also</w:t>
      </w:r>
      <w:r>
        <w:rPr>
          <w:spacing w:val="-4"/>
          <w:sz w:val="21"/>
        </w:rPr>
        <w:t xml:space="preserve"> </w:t>
      </w:r>
      <w:r>
        <w:rPr>
          <w:sz w:val="21"/>
        </w:rPr>
        <w:t>worked</w:t>
      </w:r>
      <w:r>
        <w:rPr>
          <w:spacing w:val="-4"/>
          <w:sz w:val="21"/>
        </w:rPr>
        <w:t xml:space="preserve"> </w:t>
      </w:r>
      <w:r>
        <w:rPr>
          <w:sz w:val="21"/>
        </w:rPr>
        <w:t>with</w:t>
      </w:r>
      <w:r>
        <w:rPr>
          <w:spacing w:val="-4"/>
          <w:sz w:val="21"/>
        </w:rPr>
        <w:t xml:space="preserve"> </w:t>
      </w:r>
      <w:r>
        <w:rPr>
          <w:sz w:val="21"/>
        </w:rPr>
        <w:t>stakeholders</w:t>
      </w:r>
      <w:r>
        <w:rPr>
          <w:spacing w:val="-4"/>
          <w:sz w:val="21"/>
        </w:rPr>
        <w:t xml:space="preserve"> </w:t>
      </w:r>
      <w:r>
        <w:rPr>
          <w:sz w:val="21"/>
        </w:rPr>
        <w:t>to</w:t>
      </w:r>
      <w:r>
        <w:rPr>
          <w:spacing w:val="-4"/>
          <w:sz w:val="21"/>
        </w:rPr>
        <w:t xml:space="preserve"> </w:t>
      </w:r>
      <w:r>
        <w:rPr>
          <w:sz w:val="21"/>
        </w:rPr>
        <w:t>develop</w:t>
      </w:r>
      <w:r>
        <w:rPr>
          <w:spacing w:val="-4"/>
          <w:sz w:val="21"/>
        </w:rPr>
        <w:t xml:space="preserve"> </w:t>
      </w:r>
      <w:r>
        <w:rPr>
          <w:sz w:val="21"/>
        </w:rPr>
        <w:t>a</w:t>
      </w:r>
      <w:r>
        <w:rPr>
          <w:spacing w:val="-4"/>
          <w:sz w:val="21"/>
        </w:rPr>
        <w:t xml:space="preserve"> </w:t>
      </w:r>
      <w:r>
        <w:rPr>
          <w:sz w:val="21"/>
        </w:rPr>
        <w:t>CQR</w:t>
      </w:r>
      <w:r>
        <w:rPr>
          <w:spacing w:val="-4"/>
          <w:sz w:val="21"/>
        </w:rPr>
        <w:t xml:space="preserve"> </w:t>
      </w:r>
      <w:r>
        <w:rPr>
          <w:sz w:val="21"/>
        </w:rPr>
        <w:t>Framework</w:t>
      </w:r>
      <w:r>
        <w:rPr>
          <w:spacing w:val="-4"/>
          <w:sz w:val="21"/>
        </w:rPr>
        <w:t xml:space="preserve"> </w:t>
      </w:r>
      <w:r>
        <w:rPr>
          <w:sz w:val="21"/>
        </w:rPr>
        <w:t>Self-Assessment Tool. This resource is designed to support registry operators to systematically assess and strengthen</w:t>
      </w:r>
    </w:p>
    <w:p w14:paraId="280CD4B1" w14:textId="77777777" w:rsidR="009D54AF" w:rsidRDefault="00000000">
      <w:pPr>
        <w:pStyle w:val="BodyText"/>
        <w:spacing w:line="278" w:lineRule="auto"/>
        <w:ind w:left="142" w:right="285"/>
      </w:pPr>
      <w:r>
        <w:t>their alignment with national quality standards, driving greater consistency, transparency and continuous improvement</w:t>
      </w:r>
      <w:r>
        <w:rPr>
          <w:spacing w:val="-2"/>
        </w:rPr>
        <w:t xml:space="preserve"> </w:t>
      </w:r>
      <w:r>
        <w:t>across</w:t>
      </w:r>
      <w:r>
        <w:rPr>
          <w:spacing w:val="-2"/>
        </w:rPr>
        <w:t xml:space="preserve"> </w:t>
      </w:r>
      <w:r>
        <w:t>the</w:t>
      </w:r>
      <w:r>
        <w:rPr>
          <w:spacing w:val="-2"/>
        </w:rPr>
        <w:t xml:space="preserve"> </w:t>
      </w:r>
      <w:r>
        <w:t>sector.</w:t>
      </w:r>
      <w:r>
        <w:rPr>
          <w:spacing w:val="-2"/>
        </w:rPr>
        <w:t xml:space="preserve"> </w:t>
      </w:r>
      <w:r>
        <w:t>The</w:t>
      </w:r>
      <w:r>
        <w:rPr>
          <w:spacing w:val="-2"/>
        </w:rPr>
        <w:t xml:space="preserve"> </w:t>
      </w:r>
      <w:r>
        <w:t>tool</w:t>
      </w:r>
      <w:r>
        <w:rPr>
          <w:spacing w:val="-2"/>
        </w:rPr>
        <w:t xml:space="preserve"> </w:t>
      </w:r>
      <w:r>
        <w:t>is</w:t>
      </w:r>
      <w:r>
        <w:rPr>
          <w:spacing w:val="-2"/>
        </w:rPr>
        <w:t xml:space="preserve"> </w:t>
      </w:r>
      <w:r>
        <w:t>being</w:t>
      </w:r>
      <w:r>
        <w:rPr>
          <w:spacing w:val="-2"/>
        </w:rPr>
        <w:t xml:space="preserve"> </w:t>
      </w:r>
      <w:proofErr w:type="spellStart"/>
      <w:r>
        <w:t>finalised</w:t>
      </w:r>
      <w:proofErr w:type="spellEnd"/>
      <w:r>
        <w:t>,</w:t>
      </w:r>
      <w:r>
        <w:rPr>
          <w:spacing w:val="-2"/>
        </w:rPr>
        <w:t xml:space="preserve"> </w:t>
      </w:r>
      <w:r>
        <w:t>and</w:t>
      </w:r>
      <w:r>
        <w:rPr>
          <w:spacing w:val="-2"/>
        </w:rPr>
        <w:t xml:space="preserve"> </w:t>
      </w:r>
      <w:r>
        <w:t>release</w:t>
      </w:r>
      <w:r>
        <w:rPr>
          <w:spacing w:val="-2"/>
        </w:rPr>
        <w:t xml:space="preserve"> </w:t>
      </w:r>
      <w:r>
        <w:t>is</w:t>
      </w:r>
      <w:r>
        <w:rPr>
          <w:spacing w:val="-2"/>
        </w:rPr>
        <w:t xml:space="preserve"> </w:t>
      </w:r>
      <w:r>
        <w:t>planned</w:t>
      </w:r>
      <w:r>
        <w:rPr>
          <w:spacing w:val="-2"/>
        </w:rPr>
        <w:t xml:space="preserve"> </w:t>
      </w:r>
      <w:r>
        <w:t>for</w:t>
      </w:r>
      <w:r>
        <w:rPr>
          <w:spacing w:val="-2"/>
        </w:rPr>
        <w:t xml:space="preserve"> </w:t>
      </w:r>
      <w:r>
        <w:t>the</w:t>
      </w:r>
      <w:r>
        <w:rPr>
          <w:spacing w:val="-2"/>
        </w:rPr>
        <w:t xml:space="preserve"> </w:t>
      </w:r>
      <w:r>
        <w:t>fourth</w:t>
      </w:r>
      <w:r>
        <w:rPr>
          <w:spacing w:val="-2"/>
        </w:rPr>
        <w:t xml:space="preserve"> </w:t>
      </w:r>
      <w:r>
        <w:t>quarter</w:t>
      </w:r>
      <w:r>
        <w:rPr>
          <w:spacing w:val="-2"/>
        </w:rPr>
        <w:t xml:space="preserve"> </w:t>
      </w:r>
      <w:r>
        <w:t xml:space="preserve">of </w:t>
      </w:r>
      <w:r>
        <w:rPr>
          <w:spacing w:val="-2"/>
        </w:rPr>
        <w:t>2026.</w:t>
      </w:r>
    </w:p>
    <w:p w14:paraId="0F486591" w14:textId="77777777" w:rsidR="009D54AF" w:rsidRDefault="009D54AF">
      <w:pPr>
        <w:pStyle w:val="BodyText"/>
        <w:spacing w:before="65"/>
      </w:pPr>
    </w:p>
    <w:p w14:paraId="676D284A" w14:textId="77777777" w:rsidR="009D54AF" w:rsidRDefault="00000000">
      <w:pPr>
        <w:pStyle w:val="Heading5"/>
      </w:pPr>
      <w:r>
        <w:t>Safe</w:t>
      </w:r>
      <w:r>
        <w:rPr>
          <w:spacing w:val="-2"/>
        </w:rPr>
        <w:t xml:space="preserve"> </w:t>
      </w:r>
      <w:r>
        <w:t>and</w:t>
      </w:r>
      <w:r>
        <w:rPr>
          <w:spacing w:val="-1"/>
        </w:rPr>
        <w:t xml:space="preserve"> </w:t>
      </w:r>
      <w:r>
        <w:t>quality</w:t>
      </w:r>
      <w:r>
        <w:rPr>
          <w:spacing w:val="-1"/>
        </w:rPr>
        <w:t xml:space="preserve"> </w:t>
      </w:r>
      <w:r>
        <w:t>use</w:t>
      </w:r>
      <w:r>
        <w:rPr>
          <w:spacing w:val="-1"/>
        </w:rPr>
        <w:t xml:space="preserve"> </w:t>
      </w:r>
      <w:r>
        <w:t>of</w:t>
      </w:r>
      <w:r>
        <w:rPr>
          <w:spacing w:val="-1"/>
        </w:rPr>
        <w:t xml:space="preserve"> </w:t>
      </w:r>
      <w:r>
        <w:rPr>
          <w:spacing w:val="-2"/>
        </w:rPr>
        <w:t>medicines</w:t>
      </w:r>
    </w:p>
    <w:p w14:paraId="61AF9D0F" w14:textId="77777777" w:rsidR="009D54AF" w:rsidRDefault="00000000">
      <w:pPr>
        <w:pStyle w:val="BodyText"/>
        <w:spacing w:before="133" w:line="278" w:lineRule="auto"/>
        <w:ind w:left="142" w:right="285"/>
      </w:pPr>
      <w:r>
        <w:t>The</w:t>
      </w:r>
      <w:r>
        <w:rPr>
          <w:spacing w:val="-2"/>
        </w:rPr>
        <w:t xml:space="preserve"> </w:t>
      </w:r>
      <w:r>
        <w:t>Commission</w:t>
      </w:r>
      <w:r>
        <w:rPr>
          <w:spacing w:val="-2"/>
        </w:rPr>
        <w:t xml:space="preserve"> </w:t>
      </w:r>
      <w:r>
        <w:t>has</w:t>
      </w:r>
      <w:r>
        <w:rPr>
          <w:spacing w:val="-2"/>
        </w:rPr>
        <w:t xml:space="preserve"> </w:t>
      </w:r>
      <w:r>
        <w:t>continued</w:t>
      </w:r>
      <w:r>
        <w:rPr>
          <w:spacing w:val="-2"/>
        </w:rPr>
        <w:t xml:space="preserve"> </w:t>
      </w:r>
      <w:r>
        <w:t>to</w:t>
      </w:r>
      <w:r>
        <w:rPr>
          <w:spacing w:val="-2"/>
        </w:rPr>
        <w:t xml:space="preserve"> </w:t>
      </w:r>
      <w:r>
        <w:t>implement</w:t>
      </w:r>
      <w:r>
        <w:rPr>
          <w:spacing w:val="-2"/>
        </w:rPr>
        <w:t xml:space="preserve"> </w:t>
      </w:r>
      <w:r>
        <w:t>a</w:t>
      </w:r>
      <w:r>
        <w:rPr>
          <w:spacing w:val="-2"/>
        </w:rPr>
        <w:t xml:space="preserve"> </w:t>
      </w:r>
      <w:r>
        <w:t>variety</w:t>
      </w:r>
      <w:r>
        <w:rPr>
          <w:spacing w:val="-2"/>
        </w:rPr>
        <w:t xml:space="preserve"> </w:t>
      </w:r>
      <w:r>
        <w:t>of</w:t>
      </w:r>
      <w:r>
        <w:rPr>
          <w:spacing w:val="-2"/>
        </w:rPr>
        <w:t xml:space="preserve"> </w:t>
      </w:r>
      <w:r>
        <w:t>quality</w:t>
      </w:r>
      <w:r>
        <w:rPr>
          <w:spacing w:val="-2"/>
        </w:rPr>
        <w:t xml:space="preserve"> </w:t>
      </w:r>
      <w:r>
        <w:t>use</w:t>
      </w:r>
      <w:r>
        <w:rPr>
          <w:spacing w:val="-2"/>
        </w:rPr>
        <w:t xml:space="preserve"> </w:t>
      </w:r>
      <w:r>
        <w:t>of</w:t>
      </w:r>
      <w:r>
        <w:rPr>
          <w:spacing w:val="-2"/>
        </w:rPr>
        <w:t xml:space="preserve"> </w:t>
      </w:r>
      <w:r>
        <w:t>medicine</w:t>
      </w:r>
      <w:r>
        <w:rPr>
          <w:spacing w:val="-2"/>
        </w:rPr>
        <w:t xml:space="preserve"> </w:t>
      </w:r>
      <w:r>
        <w:t>(QUM)</w:t>
      </w:r>
      <w:r>
        <w:rPr>
          <w:spacing w:val="-2"/>
        </w:rPr>
        <w:t xml:space="preserve"> </w:t>
      </w:r>
      <w:r>
        <w:t>initiatives</w:t>
      </w:r>
      <w:r>
        <w:rPr>
          <w:spacing w:val="-2"/>
        </w:rPr>
        <w:t xml:space="preserve"> </w:t>
      </w:r>
      <w:r>
        <w:t>funded under the Department of Health, Disability and Ageing’s Quality Use of Diagnostics, Therapeutics and Pathology program. These activities are integrated with activities that support the safe, appropriate and sustainable use of medicines in the Australian health system.</w:t>
      </w:r>
    </w:p>
    <w:p w14:paraId="31415636" w14:textId="77777777" w:rsidR="008F5B74" w:rsidRDefault="008F5B74">
      <w:pPr>
        <w:rPr>
          <w:b/>
          <w:bCs/>
          <w:sz w:val="26"/>
          <w:szCs w:val="26"/>
        </w:rPr>
      </w:pPr>
      <w:r>
        <w:br w:type="page"/>
      </w:r>
    </w:p>
    <w:p w14:paraId="2F28881A" w14:textId="17083762" w:rsidR="009D54AF" w:rsidRDefault="00000000">
      <w:pPr>
        <w:pStyle w:val="Heading7"/>
      </w:pPr>
      <w:r>
        <w:lastRenderedPageBreak/>
        <w:t>National</w:t>
      </w:r>
      <w:r>
        <w:rPr>
          <w:spacing w:val="-3"/>
        </w:rPr>
        <w:t xml:space="preserve"> </w:t>
      </w:r>
      <w:r>
        <w:t>Medicines</w:t>
      </w:r>
      <w:r>
        <w:rPr>
          <w:spacing w:val="-2"/>
        </w:rPr>
        <w:t xml:space="preserve"> Symposium</w:t>
      </w:r>
    </w:p>
    <w:p w14:paraId="40FA118E" w14:textId="77777777" w:rsidR="009D54AF" w:rsidRDefault="00000000">
      <w:pPr>
        <w:pStyle w:val="BodyText"/>
        <w:spacing w:before="141" w:line="278" w:lineRule="auto"/>
        <w:ind w:left="142" w:right="510"/>
      </w:pPr>
      <w:r>
        <w:t xml:space="preserve">The Commission hosted the </w:t>
      </w:r>
      <w:hyperlink r:id="rId82">
        <w:r>
          <w:rPr>
            <w:u w:val="single"/>
          </w:rPr>
          <w:t>National Medicines Symposium</w:t>
        </w:r>
      </w:hyperlink>
      <w:r>
        <w:t xml:space="preserve"> on 22 October 2025. The Symposium had the</w:t>
      </w:r>
      <w:r>
        <w:rPr>
          <w:spacing w:val="-2"/>
        </w:rPr>
        <w:t xml:space="preserve"> </w:t>
      </w:r>
      <w:r>
        <w:t>theme</w:t>
      </w:r>
      <w:r>
        <w:rPr>
          <w:spacing w:val="-2"/>
        </w:rPr>
        <w:t xml:space="preserve"> </w:t>
      </w:r>
      <w:r>
        <w:t>‘Quality</w:t>
      </w:r>
      <w:r>
        <w:rPr>
          <w:spacing w:val="-2"/>
        </w:rPr>
        <w:t xml:space="preserve"> </w:t>
      </w:r>
      <w:r>
        <w:t>use</w:t>
      </w:r>
      <w:r>
        <w:rPr>
          <w:spacing w:val="-2"/>
        </w:rPr>
        <w:t xml:space="preserve"> </w:t>
      </w:r>
      <w:r>
        <w:t>of</w:t>
      </w:r>
      <w:r>
        <w:rPr>
          <w:spacing w:val="-2"/>
        </w:rPr>
        <w:t xml:space="preserve"> </w:t>
      </w:r>
      <w:r>
        <w:t>medicines</w:t>
      </w:r>
      <w:r>
        <w:rPr>
          <w:spacing w:val="-2"/>
        </w:rPr>
        <w:t xml:space="preserve"> </w:t>
      </w:r>
      <w:r>
        <w:t>in</w:t>
      </w:r>
      <w:r>
        <w:rPr>
          <w:spacing w:val="-2"/>
        </w:rPr>
        <w:t xml:space="preserve"> </w:t>
      </w:r>
      <w:r>
        <w:t>people</w:t>
      </w:r>
      <w:r>
        <w:rPr>
          <w:spacing w:val="-2"/>
        </w:rPr>
        <w:t xml:space="preserve"> </w:t>
      </w:r>
      <w:r>
        <w:t>with</w:t>
      </w:r>
      <w:r>
        <w:rPr>
          <w:spacing w:val="-2"/>
        </w:rPr>
        <w:t xml:space="preserve"> </w:t>
      </w:r>
      <w:r>
        <w:t>diabetes’</w:t>
      </w:r>
      <w:r>
        <w:rPr>
          <w:spacing w:val="-2"/>
        </w:rPr>
        <w:t xml:space="preserve"> </w:t>
      </w:r>
      <w:r>
        <w:t>and</w:t>
      </w:r>
      <w:r>
        <w:rPr>
          <w:spacing w:val="-2"/>
        </w:rPr>
        <w:t xml:space="preserve"> </w:t>
      </w:r>
      <w:r>
        <w:t>explored</w:t>
      </w:r>
      <w:r>
        <w:rPr>
          <w:spacing w:val="-2"/>
        </w:rPr>
        <w:t xml:space="preserve"> </w:t>
      </w:r>
      <w:r>
        <w:t>priorities,</w:t>
      </w:r>
      <w:r>
        <w:rPr>
          <w:spacing w:val="-2"/>
        </w:rPr>
        <w:t xml:space="preserve"> </w:t>
      </w:r>
      <w:r>
        <w:t>challenges</w:t>
      </w:r>
      <w:r>
        <w:rPr>
          <w:spacing w:val="-2"/>
        </w:rPr>
        <w:t xml:space="preserve"> </w:t>
      </w:r>
      <w:r>
        <w:t>and</w:t>
      </w:r>
      <w:r>
        <w:rPr>
          <w:spacing w:val="-2"/>
        </w:rPr>
        <w:t xml:space="preserve"> </w:t>
      </w:r>
      <w:r>
        <w:t>future directions for medicines safety in people with diabetes.</w:t>
      </w:r>
    </w:p>
    <w:p w14:paraId="1A792D3A" w14:textId="35078B3B" w:rsidR="009D54AF" w:rsidRDefault="00000000" w:rsidP="008F5B74">
      <w:pPr>
        <w:pStyle w:val="BodyText"/>
        <w:spacing w:before="142" w:line="278" w:lineRule="auto"/>
        <w:ind w:left="142"/>
      </w:pPr>
      <w:r>
        <w:t>There</w:t>
      </w:r>
      <w:r>
        <w:rPr>
          <w:spacing w:val="-2"/>
        </w:rPr>
        <w:t xml:space="preserve"> </w:t>
      </w:r>
      <w:r>
        <w:t>were</w:t>
      </w:r>
      <w:r>
        <w:rPr>
          <w:spacing w:val="-2"/>
        </w:rPr>
        <w:t xml:space="preserve"> </w:t>
      </w:r>
      <w:r>
        <w:t>more</w:t>
      </w:r>
      <w:r>
        <w:rPr>
          <w:spacing w:val="-2"/>
        </w:rPr>
        <w:t xml:space="preserve"> </w:t>
      </w:r>
      <w:r>
        <w:t>than</w:t>
      </w:r>
      <w:r>
        <w:rPr>
          <w:spacing w:val="-2"/>
        </w:rPr>
        <w:t xml:space="preserve"> </w:t>
      </w:r>
      <w:r>
        <w:t>3,400</w:t>
      </w:r>
      <w:r>
        <w:rPr>
          <w:spacing w:val="-2"/>
        </w:rPr>
        <w:t xml:space="preserve"> </w:t>
      </w:r>
      <w:r>
        <w:t>registrations</w:t>
      </w:r>
      <w:r>
        <w:rPr>
          <w:spacing w:val="-2"/>
        </w:rPr>
        <w:t xml:space="preserve"> </w:t>
      </w:r>
      <w:r>
        <w:t>and</w:t>
      </w:r>
      <w:r>
        <w:rPr>
          <w:spacing w:val="-2"/>
        </w:rPr>
        <w:t xml:space="preserve"> </w:t>
      </w:r>
      <w:r>
        <w:t>nearly</w:t>
      </w:r>
      <w:r>
        <w:rPr>
          <w:spacing w:val="-2"/>
        </w:rPr>
        <w:t xml:space="preserve"> </w:t>
      </w:r>
      <w:r>
        <w:t>3,500</w:t>
      </w:r>
      <w:r>
        <w:rPr>
          <w:spacing w:val="-2"/>
        </w:rPr>
        <w:t xml:space="preserve"> </w:t>
      </w:r>
      <w:r>
        <w:t>live</w:t>
      </w:r>
      <w:r>
        <w:rPr>
          <w:spacing w:val="-2"/>
        </w:rPr>
        <w:t xml:space="preserve"> </w:t>
      </w:r>
      <w:r>
        <w:t>views</w:t>
      </w:r>
      <w:r>
        <w:rPr>
          <w:spacing w:val="-2"/>
        </w:rPr>
        <w:t xml:space="preserve"> </w:t>
      </w:r>
      <w:r>
        <w:t>during</w:t>
      </w:r>
      <w:r>
        <w:rPr>
          <w:spacing w:val="-2"/>
        </w:rPr>
        <w:t xml:space="preserve"> </w:t>
      </w:r>
      <w:r>
        <w:t>the</w:t>
      </w:r>
      <w:r>
        <w:rPr>
          <w:spacing w:val="-2"/>
        </w:rPr>
        <w:t xml:space="preserve"> </w:t>
      </w:r>
      <w:r>
        <w:t>broadcast.</w:t>
      </w:r>
      <w:r>
        <w:rPr>
          <w:spacing w:val="-2"/>
        </w:rPr>
        <w:t xml:space="preserve"> </w:t>
      </w:r>
      <w:r>
        <w:t>Topics</w:t>
      </w:r>
      <w:r>
        <w:rPr>
          <w:spacing w:val="-2"/>
        </w:rPr>
        <w:t xml:space="preserve"> </w:t>
      </w:r>
      <w:r>
        <w:t xml:space="preserve">discussed included strategies to improve diabetes management in primary care, </w:t>
      </w:r>
      <w:proofErr w:type="spellStart"/>
      <w:r>
        <w:t>optimising</w:t>
      </w:r>
      <w:proofErr w:type="spellEnd"/>
      <w:r>
        <w:t xml:space="preserve"> diabetes care during</w:t>
      </w:r>
      <w:r w:rsidR="008F5B74">
        <w:t xml:space="preserve"> </w:t>
      </w:r>
      <w:r>
        <w:t>key transition periods, the importance of person-</w:t>
      </w:r>
      <w:proofErr w:type="spellStart"/>
      <w:r>
        <w:t>centred</w:t>
      </w:r>
      <w:proofErr w:type="spellEnd"/>
      <w:r>
        <w:t xml:space="preserve"> care and non-pharmacological approaches. The recorded symposium sessions are available online as a valuable resource for clinicians and consumers.</w:t>
      </w:r>
    </w:p>
    <w:p w14:paraId="35C8C74A" w14:textId="77777777" w:rsidR="009D54AF" w:rsidRDefault="009D54AF">
      <w:pPr>
        <w:pStyle w:val="BodyText"/>
        <w:spacing w:before="63"/>
      </w:pPr>
    </w:p>
    <w:p w14:paraId="729224B7" w14:textId="77777777" w:rsidR="009D54AF" w:rsidRDefault="00000000">
      <w:pPr>
        <w:pStyle w:val="Heading7"/>
      </w:pPr>
      <w:r>
        <w:t>Quality</w:t>
      </w:r>
      <w:r>
        <w:rPr>
          <w:spacing w:val="-2"/>
        </w:rPr>
        <w:t xml:space="preserve"> </w:t>
      </w:r>
      <w:r>
        <w:t>use</w:t>
      </w:r>
      <w:r>
        <w:rPr>
          <w:spacing w:val="-1"/>
        </w:rPr>
        <w:t xml:space="preserve"> </w:t>
      </w:r>
      <w:r>
        <w:t>of</w:t>
      </w:r>
      <w:r>
        <w:rPr>
          <w:spacing w:val="-1"/>
        </w:rPr>
        <w:t xml:space="preserve"> </w:t>
      </w:r>
      <w:r>
        <w:t>medicines</w:t>
      </w:r>
      <w:r>
        <w:rPr>
          <w:spacing w:val="-1"/>
        </w:rPr>
        <w:t xml:space="preserve"> </w:t>
      </w:r>
      <w:r>
        <w:rPr>
          <w:spacing w:val="-2"/>
        </w:rPr>
        <w:t>stewardship</w:t>
      </w:r>
    </w:p>
    <w:p w14:paraId="6B978194" w14:textId="77777777" w:rsidR="009D54AF" w:rsidRDefault="00000000">
      <w:pPr>
        <w:pStyle w:val="BodyText"/>
        <w:spacing w:before="131" w:line="268" w:lineRule="auto"/>
        <w:ind w:left="142" w:right="448"/>
      </w:pPr>
      <w:r>
        <w:t>The Commission has continued to implement and integrate a variety of QUM activities that support safe and</w:t>
      </w:r>
      <w:r>
        <w:rPr>
          <w:spacing w:val="-1"/>
        </w:rPr>
        <w:t xml:space="preserve"> </w:t>
      </w:r>
      <w:r>
        <w:t>quality</w:t>
      </w:r>
      <w:r>
        <w:rPr>
          <w:spacing w:val="-1"/>
        </w:rPr>
        <w:t xml:space="preserve"> </w:t>
      </w:r>
      <w:r>
        <w:t>use</w:t>
      </w:r>
      <w:r>
        <w:rPr>
          <w:spacing w:val="-1"/>
        </w:rPr>
        <w:t xml:space="preserve"> </w:t>
      </w:r>
      <w:r>
        <w:t>of</w:t>
      </w:r>
      <w:r>
        <w:rPr>
          <w:spacing w:val="-1"/>
        </w:rPr>
        <w:t xml:space="preserve"> </w:t>
      </w:r>
      <w:r>
        <w:t>medicines</w:t>
      </w:r>
      <w:r>
        <w:rPr>
          <w:spacing w:val="-1"/>
        </w:rPr>
        <w:t xml:space="preserve"> </w:t>
      </w:r>
      <w:r>
        <w:t>in</w:t>
      </w:r>
      <w:r>
        <w:rPr>
          <w:spacing w:val="-1"/>
        </w:rPr>
        <w:t xml:space="preserve"> </w:t>
      </w:r>
      <w:r>
        <w:t>the</w:t>
      </w:r>
      <w:r>
        <w:rPr>
          <w:spacing w:val="-1"/>
        </w:rPr>
        <w:t xml:space="preserve"> </w:t>
      </w:r>
      <w:r>
        <w:t>Australian</w:t>
      </w:r>
      <w:r>
        <w:rPr>
          <w:spacing w:val="-1"/>
        </w:rPr>
        <w:t xml:space="preserve"> </w:t>
      </w:r>
      <w:r>
        <w:t>health</w:t>
      </w:r>
      <w:r>
        <w:rPr>
          <w:spacing w:val="-1"/>
        </w:rPr>
        <w:t xml:space="preserve"> </w:t>
      </w:r>
      <w:r>
        <w:t>system.</w:t>
      </w:r>
      <w:r>
        <w:rPr>
          <w:spacing w:val="-1"/>
        </w:rPr>
        <w:t xml:space="preserve"> </w:t>
      </w:r>
      <w:r>
        <w:t>During</w:t>
      </w:r>
      <w:r>
        <w:rPr>
          <w:spacing w:val="-1"/>
        </w:rPr>
        <w:t xml:space="preserve"> </w:t>
      </w:r>
      <w:r>
        <w:t>2025–26,</w:t>
      </w:r>
      <w:r>
        <w:rPr>
          <w:spacing w:val="-1"/>
        </w:rPr>
        <w:t xml:space="preserve"> </w:t>
      </w:r>
      <w:r>
        <w:t>the</w:t>
      </w:r>
      <w:r>
        <w:rPr>
          <w:spacing w:val="-1"/>
        </w:rPr>
        <w:t xml:space="preserve"> </w:t>
      </w:r>
      <w:r>
        <w:t>following</w:t>
      </w:r>
      <w:r>
        <w:rPr>
          <w:spacing w:val="-1"/>
        </w:rPr>
        <w:t xml:space="preserve"> </w:t>
      </w:r>
      <w:r>
        <w:t>activities</w:t>
      </w:r>
      <w:r>
        <w:rPr>
          <w:spacing w:val="-1"/>
        </w:rPr>
        <w:t xml:space="preserve"> </w:t>
      </w:r>
      <w:r>
        <w:t xml:space="preserve">were </w:t>
      </w:r>
      <w:r>
        <w:rPr>
          <w:spacing w:val="-2"/>
        </w:rPr>
        <w:t>undertaken:</w:t>
      </w:r>
    </w:p>
    <w:p w14:paraId="2E5309C5" w14:textId="77777777" w:rsidR="009D54AF" w:rsidRDefault="00000000">
      <w:pPr>
        <w:pStyle w:val="ListParagraph"/>
        <w:numPr>
          <w:ilvl w:val="0"/>
          <w:numId w:val="31"/>
        </w:numPr>
        <w:tabs>
          <w:tab w:val="left" w:pos="424"/>
          <w:tab w:val="left" w:pos="440"/>
        </w:tabs>
        <w:spacing w:before="55" w:line="268" w:lineRule="auto"/>
        <w:ind w:right="394" w:hanging="284"/>
        <w:rPr>
          <w:sz w:val="21"/>
        </w:rPr>
      </w:pPr>
      <w:r>
        <w:rPr>
          <w:sz w:val="21"/>
        </w:rPr>
        <w:t>The</w:t>
      </w:r>
      <w:r>
        <w:rPr>
          <w:spacing w:val="-2"/>
          <w:sz w:val="21"/>
        </w:rPr>
        <w:t xml:space="preserve"> </w:t>
      </w:r>
      <w:r>
        <w:rPr>
          <w:sz w:val="21"/>
        </w:rPr>
        <w:t>content</w:t>
      </w:r>
      <w:r>
        <w:rPr>
          <w:spacing w:val="-2"/>
          <w:sz w:val="21"/>
        </w:rPr>
        <w:t xml:space="preserve"> </w:t>
      </w:r>
      <w:r>
        <w:rPr>
          <w:sz w:val="21"/>
        </w:rPr>
        <w:t>of</w:t>
      </w:r>
      <w:r>
        <w:rPr>
          <w:spacing w:val="-2"/>
          <w:sz w:val="21"/>
        </w:rPr>
        <w:t xml:space="preserve"> </w:t>
      </w:r>
      <w:r>
        <w:rPr>
          <w:sz w:val="21"/>
        </w:rPr>
        <w:t>the</w:t>
      </w:r>
      <w:r>
        <w:rPr>
          <w:spacing w:val="-2"/>
          <w:sz w:val="21"/>
        </w:rPr>
        <w:t xml:space="preserve"> </w:t>
      </w:r>
      <w:r>
        <w:rPr>
          <w:sz w:val="21"/>
        </w:rPr>
        <w:t>National</w:t>
      </w:r>
      <w:r>
        <w:rPr>
          <w:spacing w:val="-2"/>
          <w:sz w:val="21"/>
        </w:rPr>
        <w:t xml:space="preserve"> </w:t>
      </w:r>
      <w:r>
        <w:rPr>
          <w:sz w:val="21"/>
        </w:rPr>
        <w:t>Prescribing</w:t>
      </w:r>
      <w:r>
        <w:rPr>
          <w:spacing w:val="-2"/>
          <w:sz w:val="21"/>
        </w:rPr>
        <w:t xml:space="preserve"> </w:t>
      </w:r>
      <w:r>
        <w:rPr>
          <w:sz w:val="21"/>
        </w:rPr>
        <w:t>Service</w:t>
      </w:r>
      <w:r>
        <w:rPr>
          <w:spacing w:val="-2"/>
          <w:sz w:val="21"/>
        </w:rPr>
        <w:t xml:space="preserve"> </w:t>
      </w:r>
      <w:r>
        <w:rPr>
          <w:sz w:val="21"/>
        </w:rPr>
        <w:t>MedicineWise</w:t>
      </w:r>
      <w:r>
        <w:rPr>
          <w:spacing w:val="-2"/>
          <w:sz w:val="21"/>
        </w:rPr>
        <w:t xml:space="preserve"> </w:t>
      </w:r>
      <w:r>
        <w:rPr>
          <w:sz w:val="21"/>
        </w:rPr>
        <w:t>website</w:t>
      </w:r>
      <w:r>
        <w:rPr>
          <w:spacing w:val="-2"/>
          <w:sz w:val="21"/>
        </w:rPr>
        <w:t xml:space="preserve"> </w:t>
      </w:r>
      <w:r>
        <w:rPr>
          <w:sz w:val="21"/>
        </w:rPr>
        <w:t>was</w:t>
      </w:r>
      <w:r>
        <w:rPr>
          <w:spacing w:val="-2"/>
          <w:sz w:val="21"/>
        </w:rPr>
        <w:t xml:space="preserve"> </w:t>
      </w:r>
      <w:r>
        <w:rPr>
          <w:sz w:val="21"/>
        </w:rPr>
        <w:t>revised</w:t>
      </w:r>
      <w:r>
        <w:rPr>
          <w:spacing w:val="-2"/>
          <w:sz w:val="21"/>
        </w:rPr>
        <w:t xml:space="preserve"> </w:t>
      </w:r>
      <w:r>
        <w:rPr>
          <w:sz w:val="21"/>
        </w:rPr>
        <w:t>and</w:t>
      </w:r>
      <w:r>
        <w:rPr>
          <w:spacing w:val="-2"/>
          <w:sz w:val="21"/>
        </w:rPr>
        <w:t xml:space="preserve"> </w:t>
      </w:r>
      <w:r>
        <w:rPr>
          <w:sz w:val="21"/>
        </w:rPr>
        <w:t>archived.</w:t>
      </w:r>
      <w:r>
        <w:rPr>
          <w:spacing w:val="-2"/>
          <w:sz w:val="21"/>
        </w:rPr>
        <w:t xml:space="preserve"> </w:t>
      </w:r>
      <w:r>
        <w:rPr>
          <w:sz w:val="21"/>
        </w:rPr>
        <w:t>Select QUM resources were identified for transition to the Commission’s new website as part of the digital transformation project.</w:t>
      </w:r>
    </w:p>
    <w:p w14:paraId="42AA9FE9" w14:textId="77777777" w:rsidR="009D54AF" w:rsidRDefault="00000000">
      <w:pPr>
        <w:pStyle w:val="ListParagraph"/>
        <w:numPr>
          <w:ilvl w:val="0"/>
          <w:numId w:val="31"/>
        </w:numPr>
        <w:tabs>
          <w:tab w:val="left" w:pos="424"/>
        </w:tabs>
        <w:spacing w:before="56"/>
        <w:ind w:left="424" w:hanging="268"/>
        <w:rPr>
          <w:sz w:val="21"/>
        </w:rPr>
      </w:pPr>
      <w:r>
        <w:rPr>
          <w:sz w:val="21"/>
        </w:rPr>
        <w:t>Access</w:t>
      </w:r>
      <w:r>
        <w:rPr>
          <w:spacing w:val="-4"/>
          <w:sz w:val="21"/>
        </w:rPr>
        <w:t xml:space="preserve"> </w:t>
      </w:r>
      <w:r>
        <w:rPr>
          <w:sz w:val="21"/>
        </w:rPr>
        <w:t>to</w:t>
      </w:r>
      <w:r>
        <w:rPr>
          <w:spacing w:val="-1"/>
          <w:sz w:val="21"/>
        </w:rPr>
        <w:t xml:space="preserve"> </w:t>
      </w:r>
      <w:r>
        <w:rPr>
          <w:sz w:val="21"/>
        </w:rPr>
        <w:t>QUM</w:t>
      </w:r>
      <w:r>
        <w:rPr>
          <w:spacing w:val="-1"/>
          <w:sz w:val="21"/>
        </w:rPr>
        <w:t xml:space="preserve"> </w:t>
      </w:r>
      <w:r>
        <w:rPr>
          <w:sz w:val="21"/>
        </w:rPr>
        <w:t>eLearning</w:t>
      </w:r>
      <w:r>
        <w:rPr>
          <w:spacing w:val="-2"/>
          <w:sz w:val="21"/>
        </w:rPr>
        <w:t xml:space="preserve"> </w:t>
      </w:r>
      <w:r>
        <w:rPr>
          <w:sz w:val="21"/>
        </w:rPr>
        <w:t>modules</w:t>
      </w:r>
      <w:r>
        <w:rPr>
          <w:spacing w:val="-1"/>
          <w:sz w:val="21"/>
        </w:rPr>
        <w:t xml:space="preserve"> </w:t>
      </w:r>
      <w:r>
        <w:rPr>
          <w:sz w:val="21"/>
        </w:rPr>
        <w:t>was</w:t>
      </w:r>
      <w:r>
        <w:rPr>
          <w:spacing w:val="-1"/>
          <w:sz w:val="21"/>
        </w:rPr>
        <w:t xml:space="preserve"> </w:t>
      </w:r>
      <w:r>
        <w:rPr>
          <w:sz w:val="21"/>
        </w:rPr>
        <w:t>maintained,</w:t>
      </w:r>
      <w:r>
        <w:rPr>
          <w:spacing w:val="-2"/>
          <w:sz w:val="21"/>
        </w:rPr>
        <w:t xml:space="preserve"> </w:t>
      </w:r>
      <w:r>
        <w:rPr>
          <w:sz w:val="21"/>
        </w:rPr>
        <w:t>and</w:t>
      </w:r>
      <w:r>
        <w:rPr>
          <w:spacing w:val="-1"/>
          <w:sz w:val="21"/>
        </w:rPr>
        <w:t xml:space="preserve"> </w:t>
      </w:r>
      <w:r>
        <w:rPr>
          <w:sz w:val="21"/>
        </w:rPr>
        <w:t>their</w:t>
      </w:r>
      <w:r>
        <w:rPr>
          <w:spacing w:val="-1"/>
          <w:sz w:val="21"/>
        </w:rPr>
        <w:t xml:space="preserve"> </w:t>
      </w:r>
      <w:r>
        <w:rPr>
          <w:sz w:val="21"/>
        </w:rPr>
        <w:t>content</w:t>
      </w:r>
      <w:r>
        <w:rPr>
          <w:spacing w:val="-1"/>
          <w:sz w:val="21"/>
        </w:rPr>
        <w:t xml:space="preserve"> </w:t>
      </w:r>
      <w:r>
        <w:rPr>
          <w:spacing w:val="-2"/>
          <w:sz w:val="21"/>
        </w:rPr>
        <w:t>revised.</w:t>
      </w:r>
    </w:p>
    <w:p w14:paraId="26C58337" w14:textId="77777777" w:rsidR="009D54AF" w:rsidRDefault="00000000">
      <w:pPr>
        <w:pStyle w:val="ListParagraph"/>
        <w:numPr>
          <w:ilvl w:val="0"/>
          <w:numId w:val="31"/>
        </w:numPr>
        <w:tabs>
          <w:tab w:val="left" w:pos="424"/>
          <w:tab w:val="left" w:pos="440"/>
        </w:tabs>
        <w:spacing w:before="85" w:line="268" w:lineRule="auto"/>
        <w:ind w:right="361" w:hanging="284"/>
        <w:rPr>
          <w:sz w:val="21"/>
        </w:rPr>
      </w:pPr>
      <w:r>
        <w:rPr>
          <w:sz w:val="21"/>
        </w:rPr>
        <w:t>A literature review and environmental scan on a defined set of indications for the use of medicinal cannabis</w:t>
      </w:r>
      <w:r>
        <w:rPr>
          <w:spacing w:val="-1"/>
          <w:sz w:val="21"/>
        </w:rPr>
        <w:t xml:space="preserve"> </w:t>
      </w:r>
      <w:r>
        <w:rPr>
          <w:sz w:val="21"/>
        </w:rPr>
        <w:t>was</w:t>
      </w:r>
      <w:r>
        <w:rPr>
          <w:spacing w:val="-1"/>
          <w:sz w:val="21"/>
        </w:rPr>
        <w:t xml:space="preserve"> </w:t>
      </w:r>
      <w:r>
        <w:rPr>
          <w:sz w:val="21"/>
        </w:rPr>
        <w:t>commissioned.</w:t>
      </w:r>
      <w:r>
        <w:rPr>
          <w:spacing w:val="-1"/>
          <w:sz w:val="21"/>
        </w:rPr>
        <w:t xml:space="preserve"> </w:t>
      </w:r>
      <w:r>
        <w:rPr>
          <w:sz w:val="21"/>
        </w:rPr>
        <w:t>This</w:t>
      </w:r>
      <w:r>
        <w:rPr>
          <w:spacing w:val="-1"/>
          <w:sz w:val="21"/>
        </w:rPr>
        <w:t xml:space="preserve"> </w:t>
      </w:r>
      <w:r>
        <w:rPr>
          <w:sz w:val="21"/>
        </w:rPr>
        <w:t>is</w:t>
      </w:r>
      <w:r>
        <w:rPr>
          <w:spacing w:val="-1"/>
          <w:sz w:val="21"/>
        </w:rPr>
        <w:t xml:space="preserve"> </w:t>
      </w:r>
      <w:r>
        <w:rPr>
          <w:sz w:val="21"/>
        </w:rPr>
        <w:t>to</w:t>
      </w:r>
      <w:r>
        <w:rPr>
          <w:spacing w:val="-1"/>
          <w:sz w:val="21"/>
        </w:rPr>
        <w:t xml:space="preserve"> </w:t>
      </w:r>
      <w:r>
        <w:rPr>
          <w:sz w:val="21"/>
        </w:rPr>
        <w:t>inform</w:t>
      </w:r>
      <w:r>
        <w:rPr>
          <w:spacing w:val="-1"/>
          <w:sz w:val="21"/>
        </w:rPr>
        <w:t xml:space="preserve"> </w:t>
      </w:r>
      <w:r>
        <w:rPr>
          <w:sz w:val="21"/>
        </w:rPr>
        <w:t>the</w:t>
      </w:r>
      <w:r>
        <w:rPr>
          <w:spacing w:val="-1"/>
          <w:sz w:val="21"/>
        </w:rPr>
        <w:t xml:space="preserve"> </w:t>
      </w:r>
      <w:r>
        <w:rPr>
          <w:sz w:val="21"/>
        </w:rPr>
        <w:t>development</w:t>
      </w:r>
      <w:r>
        <w:rPr>
          <w:spacing w:val="-1"/>
          <w:sz w:val="21"/>
        </w:rPr>
        <w:t xml:space="preserve"> </w:t>
      </w:r>
      <w:r>
        <w:rPr>
          <w:sz w:val="21"/>
        </w:rPr>
        <w:t>of</w:t>
      </w:r>
      <w:r>
        <w:rPr>
          <w:spacing w:val="-1"/>
          <w:sz w:val="21"/>
        </w:rPr>
        <w:t xml:space="preserve"> </w:t>
      </w:r>
      <w:r>
        <w:rPr>
          <w:sz w:val="21"/>
        </w:rPr>
        <w:t>a</w:t>
      </w:r>
      <w:r>
        <w:rPr>
          <w:spacing w:val="-1"/>
          <w:sz w:val="21"/>
        </w:rPr>
        <w:t xml:space="preserve"> </w:t>
      </w:r>
      <w:r>
        <w:rPr>
          <w:sz w:val="21"/>
        </w:rPr>
        <w:t>draft</w:t>
      </w:r>
      <w:r>
        <w:rPr>
          <w:spacing w:val="-1"/>
          <w:sz w:val="21"/>
        </w:rPr>
        <w:t xml:space="preserve"> </w:t>
      </w:r>
      <w:r>
        <w:rPr>
          <w:sz w:val="21"/>
        </w:rPr>
        <w:t>report</w:t>
      </w:r>
      <w:r>
        <w:rPr>
          <w:spacing w:val="-1"/>
          <w:sz w:val="21"/>
        </w:rPr>
        <w:t xml:space="preserve"> </w:t>
      </w:r>
      <w:r>
        <w:rPr>
          <w:sz w:val="21"/>
        </w:rPr>
        <w:t>and</w:t>
      </w:r>
      <w:r>
        <w:rPr>
          <w:spacing w:val="-1"/>
          <w:sz w:val="21"/>
        </w:rPr>
        <w:t xml:space="preserve"> </w:t>
      </w:r>
      <w:r>
        <w:rPr>
          <w:sz w:val="21"/>
        </w:rPr>
        <w:t>clinician</w:t>
      </w:r>
      <w:r>
        <w:rPr>
          <w:spacing w:val="-1"/>
          <w:sz w:val="21"/>
        </w:rPr>
        <w:t xml:space="preserve"> </w:t>
      </w:r>
      <w:r>
        <w:rPr>
          <w:sz w:val="21"/>
        </w:rPr>
        <w:t>fact</w:t>
      </w:r>
      <w:r>
        <w:rPr>
          <w:spacing w:val="-1"/>
          <w:sz w:val="21"/>
        </w:rPr>
        <w:t xml:space="preserve"> </w:t>
      </w:r>
      <w:r>
        <w:rPr>
          <w:sz w:val="21"/>
        </w:rPr>
        <w:t>sheets to support safe and quality use.</w:t>
      </w:r>
    </w:p>
    <w:p w14:paraId="02479918" w14:textId="77777777" w:rsidR="009D54AF" w:rsidRDefault="009D54AF">
      <w:pPr>
        <w:pStyle w:val="BodyText"/>
        <w:spacing w:before="100"/>
      </w:pPr>
    </w:p>
    <w:p w14:paraId="0FC8E578" w14:textId="77777777" w:rsidR="009D54AF" w:rsidRDefault="00000000">
      <w:pPr>
        <w:pStyle w:val="Heading7"/>
      </w:pPr>
      <w:r>
        <w:t>Online</w:t>
      </w:r>
      <w:r>
        <w:rPr>
          <w:spacing w:val="-1"/>
        </w:rPr>
        <w:t xml:space="preserve"> </w:t>
      </w:r>
      <w:r>
        <w:t xml:space="preserve">learning modules for high-risk </w:t>
      </w:r>
      <w:r>
        <w:rPr>
          <w:spacing w:val="-2"/>
        </w:rPr>
        <w:t>medicines</w:t>
      </w:r>
    </w:p>
    <w:p w14:paraId="2917E578" w14:textId="77777777" w:rsidR="009D54AF" w:rsidRDefault="00000000">
      <w:pPr>
        <w:pStyle w:val="BodyText"/>
        <w:spacing w:before="142" w:line="278" w:lineRule="auto"/>
        <w:ind w:left="142"/>
      </w:pPr>
      <w:r>
        <w:t>High-risk medicines eLearning modules have been developed to support clinicians to safely use these medicines. Currently, there are seven eLearning modules. They cover introduction to high-risk medicines, insulin,</w:t>
      </w:r>
      <w:r>
        <w:rPr>
          <w:spacing w:val="-2"/>
        </w:rPr>
        <w:t xml:space="preserve"> </w:t>
      </w:r>
      <w:r>
        <w:t>anticoagulants,</w:t>
      </w:r>
      <w:r>
        <w:rPr>
          <w:spacing w:val="-2"/>
        </w:rPr>
        <w:t xml:space="preserve"> </w:t>
      </w:r>
      <w:r>
        <w:t>clozapine,</w:t>
      </w:r>
      <w:r>
        <w:rPr>
          <w:spacing w:val="-2"/>
        </w:rPr>
        <w:t xml:space="preserve"> </w:t>
      </w:r>
      <w:r>
        <w:t>psychotropic</w:t>
      </w:r>
      <w:r>
        <w:rPr>
          <w:spacing w:val="-2"/>
        </w:rPr>
        <w:t xml:space="preserve"> </w:t>
      </w:r>
      <w:r>
        <w:t>medicines,</w:t>
      </w:r>
      <w:r>
        <w:rPr>
          <w:spacing w:val="-2"/>
        </w:rPr>
        <w:t xml:space="preserve"> </w:t>
      </w:r>
      <w:r>
        <w:t>opioid</w:t>
      </w:r>
      <w:r>
        <w:rPr>
          <w:spacing w:val="-2"/>
        </w:rPr>
        <w:t xml:space="preserve"> </w:t>
      </w:r>
      <w:r>
        <w:t>analgesics</w:t>
      </w:r>
      <w:r>
        <w:rPr>
          <w:spacing w:val="-2"/>
        </w:rPr>
        <w:t xml:space="preserve"> </w:t>
      </w:r>
      <w:r>
        <w:t>in</w:t>
      </w:r>
      <w:r>
        <w:rPr>
          <w:spacing w:val="-2"/>
        </w:rPr>
        <w:t xml:space="preserve"> </w:t>
      </w:r>
      <w:r>
        <w:t>acute</w:t>
      </w:r>
      <w:r>
        <w:rPr>
          <w:spacing w:val="-2"/>
        </w:rPr>
        <w:t xml:space="preserve"> </w:t>
      </w:r>
      <w:r>
        <w:t>settings,</w:t>
      </w:r>
      <w:r>
        <w:rPr>
          <w:spacing w:val="-2"/>
        </w:rPr>
        <w:t xml:space="preserve"> </w:t>
      </w:r>
      <w:r>
        <w:t>and</w:t>
      </w:r>
      <w:r>
        <w:rPr>
          <w:spacing w:val="-2"/>
        </w:rPr>
        <w:t xml:space="preserve"> </w:t>
      </w:r>
      <w:r>
        <w:t xml:space="preserve">anticancer </w:t>
      </w:r>
      <w:r>
        <w:rPr>
          <w:spacing w:val="-2"/>
        </w:rPr>
        <w:t>medicines.</w:t>
      </w:r>
    </w:p>
    <w:p w14:paraId="14CAF1E8" w14:textId="77777777" w:rsidR="009D54AF" w:rsidRDefault="00000000">
      <w:pPr>
        <w:pStyle w:val="BodyText"/>
        <w:spacing w:before="141"/>
        <w:ind w:left="142"/>
      </w:pPr>
      <w:r>
        <w:t>In</w:t>
      </w:r>
      <w:r>
        <w:rPr>
          <w:spacing w:val="-2"/>
        </w:rPr>
        <w:t xml:space="preserve"> </w:t>
      </w:r>
      <w:r>
        <w:t xml:space="preserve">2025–26, the Commission coordinated revisions of the Opioid Analgesics in Acute Settings </w:t>
      </w:r>
      <w:r>
        <w:rPr>
          <w:spacing w:val="-2"/>
        </w:rPr>
        <w:t>Module.</w:t>
      </w:r>
    </w:p>
    <w:p w14:paraId="48AF056E" w14:textId="77777777" w:rsidR="009D54AF" w:rsidRDefault="009D54AF">
      <w:pPr>
        <w:pStyle w:val="BodyText"/>
        <w:rPr>
          <w:sz w:val="20"/>
        </w:rPr>
      </w:pPr>
    </w:p>
    <w:p w14:paraId="7D7036FB" w14:textId="77777777" w:rsidR="009D54AF" w:rsidRDefault="009D54AF">
      <w:pPr>
        <w:pStyle w:val="BodyText"/>
        <w:rPr>
          <w:sz w:val="20"/>
        </w:rPr>
      </w:pPr>
    </w:p>
    <w:p w14:paraId="54FA3C36" w14:textId="3FC651E4" w:rsidR="00D6288A" w:rsidRDefault="00D6288A">
      <w:pPr>
        <w:rPr>
          <w:sz w:val="20"/>
          <w:szCs w:val="21"/>
        </w:rPr>
      </w:pPr>
      <w:r>
        <w:rPr>
          <w:sz w:val="20"/>
        </w:rPr>
        <w:br w:type="page"/>
      </w:r>
    </w:p>
    <w:p w14:paraId="36407411" w14:textId="77777777" w:rsidR="009D54AF" w:rsidRDefault="009D54AF">
      <w:pPr>
        <w:pStyle w:val="BodyText"/>
        <w:spacing w:before="173"/>
        <w:rPr>
          <w:sz w:val="20"/>
        </w:rPr>
      </w:pPr>
    </w:p>
    <w:tbl>
      <w:tblPr>
        <w:tblW w:w="0" w:type="auto"/>
        <w:tblInd w:w="167" w:type="dxa"/>
        <w:tblBorders>
          <w:top w:val="single" w:sz="18" w:space="0" w:color="007CAE"/>
          <w:left w:val="single" w:sz="18" w:space="0" w:color="007CAE"/>
          <w:bottom w:val="single" w:sz="18" w:space="0" w:color="007CAE"/>
          <w:right w:val="single" w:sz="18" w:space="0" w:color="007CAE"/>
          <w:insideH w:val="single" w:sz="18" w:space="0" w:color="007CAE"/>
          <w:insideV w:val="single" w:sz="18" w:space="0" w:color="007CAE"/>
        </w:tblBorders>
        <w:tblLayout w:type="fixed"/>
        <w:tblCellMar>
          <w:left w:w="0" w:type="dxa"/>
          <w:right w:w="0" w:type="dxa"/>
        </w:tblCellMar>
        <w:tblLook w:val="01E0" w:firstRow="1" w:lastRow="1" w:firstColumn="1" w:lastColumn="1" w:noHBand="0" w:noVBand="0"/>
      </w:tblPr>
      <w:tblGrid>
        <w:gridCol w:w="10205"/>
      </w:tblGrid>
      <w:tr w:rsidR="009D54AF" w14:paraId="470E9125" w14:textId="77777777">
        <w:trPr>
          <w:trHeight w:val="633"/>
        </w:trPr>
        <w:tc>
          <w:tcPr>
            <w:tcW w:w="10205" w:type="dxa"/>
            <w:shd w:val="clear" w:color="auto" w:fill="B3E1EA"/>
          </w:tcPr>
          <w:p w14:paraId="1EE4B55E" w14:textId="77777777" w:rsidR="009D54AF" w:rsidRDefault="00000000">
            <w:pPr>
              <w:pStyle w:val="TableParagraph"/>
              <w:spacing w:before="154"/>
              <w:ind w:left="280"/>
              <w:rPr>
                <w:b/>
                <w:sz w:val="24"/>
              </w:rPr>
            </w:pPr>
            <w:r>
              <w:rPr>
                <w:b/>
                <w:sz w:val="24"/>
              </w:rPr>
              <w:t>Case</w:t>
            </w:r>
            <w:r>
              <w:rPr>
                <w:b/>
                <w:spacing w:val="-5"/>
                <w:sz w:val="24"/>
              </w:rPr>
              <w:t xml:space="preserve"> </w:t>
            </w:r>
            <w:r>
              <w:rPr>
                <w:b/>
                <w:sz w:val="24"/>
              </w:rPr>
              <w:t>study:</w:t>
            </w:r>
            <w:r>
              <w:rPr>
                <w:b/>
                <w:spacing w:val="-3"/>
                <w:sz w:val="24"/>
              </w:rPr>
              <w:t xml:space="preserve"> </w:t>
            </w:r>
            <w:r>
              <w:rPr>
                <w:b/>
                <w:sz w:val="24"/>
              </w:rPr>
              <w:t>Supporting</w:t>
            </w:r>
            <w:r>
              <w:rPr>
                <w:b/>
                <w:spacing w:val="-3"/>
                <w:sz w:val="24"/>
              </w:rPr>
              <w:t xml:space="preserve"> </w:t>
            </w:r>
            <w:r>
              <w:rPr>
                <w:b/>
                <w:sz w:val="24"/>
              </w:rPr>
              <w:t>safe</w:t>
            </w:r>
            <w:r>
              <w:rPr>
                <w:b/>
                <w:spacing w:val="-3"/>
                <w:sz w:val="24"/>
              </w:rPr>
              <w:t xml:space="preserve"> </w:t>
            </w:r>
            <w:r>
              <w:rPr>
                <w:b/>
                <w:sz w:val="24"/>
              </w:rPr>
              <w:t>and</w:t>
            </w:r>
            <w:r>
              <w:rPr>
                <w:b/>
                <w:spacing w:val="-3"/>
                <w:sz w:val="24"/>
              </w:rPr>
              <w:t xml:space="preserve"> </w:t>
            </w:r>
            <w:r>
              <w:rPr>
                <w:b/>
                <w:sz w:val="24"/>
              </w:rPr>
              <w:t>sustainable</w:t>
            </w:r>
            <w:r>
              <w:rPr>
                <w:b/>
                <w:spacing w:val="-3"/>
                <w:sz w:val="24"/>
              </w:rPr>
              <w:t xml:space="preserve"> </w:t>
            </w:r>
            <w:r>
              <w:rPr>
                <w:b/>
                <w:sz w:val="24"/>
              </w:rPr>
              <w:t>use</w:t>
            </w:r>
            <w:r>
              <w:rPr>
                <w:b/>
                <w:spacing w:val="-3"/>
                <w:sz w:val="24"/>
              </w:rPr>
              <w:t xml:space="preserve"> </w:t>
            </w:r>
            <w:r>
              <w:rPr>
                <w:b/>
                <w:sz w:val="24"/>
              </w:rPr>
              <w:t>of</w:t>
            </w:r>
            <w:r>
              <w:rPr>
                <w:b/>
                <w:spacing w:val="-3"/>
                <w:sz w:val="24"/>
              </w:rPr>
              <w:t xml:space="preserve"> </w:t>
            </w:r>
            <w:r>
              <w:rPr>
                <w:b/>
                <w:sz w:val="24"/>
              </w:rPr>
              <w:t>intravenous</w:t>
            </w:r>
            <w:r>
              <w:rPr>
                <w:b/>
                <w:spacing w:val="-3"/>
                <w:sz w:val="24"/>
              </w:rPr>
              <w:t xml:space="preserve"> </w:t>
            </w:r>
            <w:r>
              <w:rPr>
                <w:b/>
                <w:spacing w:val="-2"/>
                <w:sz w:val="24"/>
              </w:rPr>
              <w:t>fluids</w:t>
            </w:r>
          </w:p>
        </w:tc>
      </w:tr>
      <w:tr w:rsidR="009D54AF" w14:paraId="61A30C6C" w14:textId="77777777">
        <w:trPr>
          <w:trHeight w:val="3822"/>
        </w:trPr>
        <w:tc>
          <w:tcPr>
            <w:tcW w:w="10205" w:type="dxa"/>
            <w:shd w:val="clear" w:color="auto" w:fill="ECF7FA"/>
          </w:tcPr>
          <w:p w14:paraId="14E3028C" w14:textId="77777777" w:rsidR="009D54AF" w:rsidRDefault="00000000">
            <w:pPr>
              <w:pStyle w:val="TableParagraph"/>
              <w:spacing w:before="180" w:line="278" w:lineRule="auto"/>
              <w:ind w:left="280" w:right="316"/>
              <w:rPr>
                <w:sz w:val="21"/>
              </w:rPr>
            </w:pPr>
            <w:r>
              <w:rPr>
                <w:sz w:val="21"/>
              </w:rPr>
              <w:t>In</w:t>
            </w:r>
            <w:r>
              <w:rPr>
                <w:spacing w:val="-2"/>
                <w:sz w:val="21"/>
              </w:rPr>
              <w:t xml:space="preserve"> </w:t>
            </w:r>
            <w:r>
              <w:rPr>
                <w:sz w:val="21"/>
              </w:rPr>
              <w:t>2025–26,</w:t>
            </w:r>
            <w:r>
              <w:rPr>
                <w:spacing w:val="-2"/>
                <w:sz w:val="21"/>
              </w:rPr>
              <w:t xml:space="preserve"> </w:t>
            </w:r>
            <w:r>
              <w:rPr>
                <w:sz w:val="21"/>
              </w:rPr>
              <w:t>the</w:t>
            </w:r>
            <w:r>
              <w:rPr>
                <w:spacing w:val="-2"/>
                <w:sz w:val="21"/>
              </w:rPr>
              <w:t xml:space="preserve"> </w:t>
            </w:r>
            <w:r>
              <w:rPr>
                <w:sz w:val="21"/>
              </w:rPr>
              <w:t>Commission</w:t>
            </w:r>
            <w:r>
              <w:rPr>
                <w:spacing w:val="-2"/>
                <w:sz w:val="21"/>
              </w:rPr>
              <w:t xml:space="preserve"> </w:t>
            </w:r>
            <w:r>
              <w:rPr>
                <w:sz w:val="21"/>
              </w:rPr>
              <w:t>led</w:t>
            </w:r>
            <w:r>
              <w:rPr>
                <w:spacing w:val="-2"/>
                <w:sz w:val="21"/>
              </w:rPr>
              <w:t xml:space="preserve"> </w:t>
            </w:r>
            <w:r>
              <w:rPr>
                <w:sz w:val="21"/>
              </w:rPr>
              <w:t>initiatives</w:t>
            </w:r>
            <w:r>
              <w:rPr>
                <w:spacing w:val="-2"/>
                <w:sz w:val="21"/>
              </w:rPr>
              <w:t xml:space="preserve"> </w:t>
            </w:r>
            <w:r>
              <w:rPr>
                <w:sz w:val="21"/>
              </w:rPr>
              <w:t>to</w:t>
            </w:r>
            <w:r>
              <w:rPr>
                <w:spacing w:val="-2"/>
                <w:sz w:val="21"/>
              </w:rPr>
              <w:t xml:space="preserve"> </w:t>
            </w:r>
            <w:r>
              <w:rPr>
                <w:sz w:val="21"/>
              </w:rPr>
              <w:t>support</w:t>
            </w:r>
            <w:r>
              <w:rPr>
                <w:spacing w:val="-2"/>
                <w:sz w:val="21"/>
              </w:rPr>
              <w:t xml:space="preserve"> </w:t>
            </w:r>
            <w:r>
              <w:rPr>
                <w:sz w:val="21"/>
              </w:rPr>
              <w:t>the</w:t>
            </w:r>
            <w:r>
              <w:rPr>
                <w:spacing w:val="-2"/>
                <w:sz w:val="21"/>
              </w:rPr>
              <w:t xml:space="preserve"> </w:t>
            </w:r>
            <w:r>
              <w:rPr>
                <w:sz w:val="21"/>
              </w:rPr>
              <w:t>safe</w:t>
            </w:r>
            <w:r>
              <w:rPr>
                <w:spacing w:val="-2"/>
                <w:sz w:val="21"/>
              </w:rPr>
              <w:t xml:space="preserve"> </w:t>
            </w:r>
            <w:r>
              <w:rPr>
                <w:sz w:val="21"/>
              </w:rPr>
              <w:t>and</w:t>
            </w:r>
            <w:r>
              <w:rPr>
                <w:spacing w:val="-2"/>
                <w:sz w:val="21"/>
              </w:rPr>
              <w:t xml:space="preserve"> </w:t>
            </w:r>
            <w:r>
              <w:rPr>
                <w:sz w:val="21"/>
              </w:rPr>
              <w:t>appropriate</w:t>
            </w:r>
            <w:r>
              <w:rPr>
                <w:spacing w:val="-2"/>
                <w:sz w:val="21"/>
              </w:rPr>
              <w:t xml:space="preserve"> </w:t>
            </w:r>
            <w:r>
              <w:rPr>
                <w:sz w:val="21"/>
              </w:rPr>
              <w:t>use</w:t>
            </w:r>
            <w:r>
              <w:rPr>
                <w:spacing w:val="-2"/>
                <w:sz w:val="21"/>
              </w:rPr>
              <w:t xml:space="preserve"> </w:t>
            </w:r>
            <w:r>
              <w:rPr>
                <w:sz w:val="21"/>
              </w:rPr>
              <w:t>of</w:t>
            </w:r>
            <w:r>
              <w:rPr>
                <w:spacing w:val="-2"/>
                <w:sz w:val="21"/>
              </w:rPr>
              <w:t xml:space="preserve"> </w:t>
            </w:r>
            <w:r>
              <w:rPr>
                <w:sz w:val="21"/>
              </w:rPr>
              <w:t>intravenous</w:t>
            </w:r>
            <w:r>
              <w:rPr>
                <w:spacing w:val="-2"/>
                <w:sz w:val="21"/>
              </w:rPr>
              <w:t xml:space="preserve"> </w:t>
            </w:r>
            <w:r>
              <w:rPr>
                <w:sz w:val="21"/>
              </w:rPr>
              <w:t>(IV) fluids in hospital settings. This work formed part of the Australian Government’s broader response to global IV fluid shortages, with a focus on strengthening supply chain resilience.</w:t>
            </w:r>
          </w:p>
          <w:p w14:paraId="63E580FC" w14:textId="77777777" w:rsidR="009D54AF" w:rsidRDefault="00000000">
            <w:pPr>
              <w:pStyle w:val="TableParagraph"/>
              <w:spacing w:before="226" w:line="278" w:lineRule="auto"/>
              <w:ind w:left="280"/>
              <w:rPr>
                <w:sz w:val="21"/>
              </w:rPr>
            </w:pPr>
            <w:r>
              <w:rPr>
                <w:sz w:val="21"/>
              </w:rPr>
              <w:t>Development of national clinical guidance on safe and appropriate use of IV fluids began in early 2026, supported</w:t>
            </w:r>
            <w:r>
              <w:rPr>
                <w:spacing w:val="-1"/>
                <w:sz w:val="21"/>
              </w:rPr>
              <w:t xml:space="preserve"> </w:t>
            </w:r>
            <w:r>
              <w:rPr>
                <w:sz w:val="21"/>
              </w:rPr>
              <w:t>by</w:t>
            </w:r>
            <w:r>
              <w:rPr>
                <w:spacing w:val="-1"/>
                <w:sz w:val="21"/>
              </w:rPr>
              <w:t xml:space="preserve"> </w:t>
            </w:r>
            <w:r>
              <w:rPr>
                <w:sz w:val="21"/>
              </w:rPr>
              <w:t>an</w:t>
            </w:r>
            <w:r>
              <w:rPr>
                <w:spacing w:val="-1"/>
                <w:sz w:val="21"/>
              </w:rPr>
              <w:t xml:space="preserve"> </w:t>
            </w:r>
            <w:r>
              <w:rPr>
                <w:sz w:val="21"/>
              </w:rPr>
              <w:t>expert</w:t>
            </w:r>
            <w:r>
              <w:rPr>
                <w:spacing w:val="-1"/>
                <w:sz w:val="21"/>
              </w:rPr>
              <w:t xml:space="preserve"> </w:t>
            </w:r>
            <w:r>
              <w:rPr>
                <w:sz w:val="21"/>
              </w:rPr>
              <w:t>advisory</w:t>
            </w:r>
            <w:r>
              <w:rPr>
                <w:spacing w:val="-1"/>
                <w:sz w:val="21"/>
              </w:rPr>
              <w:t xml:space="preserve"> </w:t>
            </w:r>
            <w:r>
              <w:rPr>
                <w:sz w:val="21"/>
              </w:rPr>
              <w:t>group.</w:t>
            </w:r>
            <w:r>
              <w:rPr>
                <w:spacing w:val="-1"/>
                <w:sz w:val="21"/>
              </w:rPr>
              <w:t xml:space="preserve"> </w:t>
            </w:r>
            <w:r>
              <w:rPr>
                <w:sz w:val="21"/>
              </w:rPr>
              <w:t>It</w:t>
            </w:r>
            <w:r>
              <w:rPr>
                <w:spacing w:val="-1"/>
                <w:sz w:val="21"/>
              </w:rPr>
              <w:t xml:space="preserve"> </w:t>
            </w:r>
            <w:r>
              <w:rPr>
                <w:sz w:val="21"/>
              </w:rPr>
              <w:t>included</w:t>
            </w:r>
            <w:r>
              <w:rPr>
                <w:spacing w:val="-1"/>
                <w:sz w:val="21"/>
              </w:rPr>
              <w:t xml:space="preserve"> </w:t>
            </w:r>
            <w:r>
              <w:rPr>
                <w:sz w:val="21"/>
              </w:rPr>
              <w:t>the</w:t>
            </w:r>
            <w:r>
              <w:rPr>
                <w:spacing w:val="-1"/>
                <w:sz w:val="21"/>
              </w:rPr>
              <w:t xml:space="preserve"> </w:t>
            </w:r>
            <w:r>
              <w:rPr>
                <w:sz w:val="21"/>
              </w:rPr>
              <w:t>release</w:t>
            </w:r>
            <w:r>
              <w:rPr>
                <w:spacing w:val="-1"/>
                <w:sz w:val="21"/>
              </w:rPr>
              <w:t xml:space="preserve"> </w:t>
            </w:r>
            <w:r>
              <w:rPr>
                <w:sz w:val="21"/>
              </w:rPr>
              <w:t>of</w:t>
            </w:r>
            <w:r>
              <w:rPr>
                <w:spacing w:val="-2"/>
                <w:sz w:val="21"/>
              </w:rPr>
              <w:t xml:space="preserve"> </w:t>
            </w:r>
            <w:hyperlink r:id="rId83">
              <w:r>
                <w:rPr>
                  <w:sz w:val="21"/>
                  <w:u w:val="single"/>
                </w:rPr>
                <w:t>national</w:t>
              </w:r>
              <w:r>
                <w:rPr>
                  <w:spacing w:val="-1"/>
                  <w:sz w:val="21"/>
                  <w:u w:val="single"/>
                </w:rPr>
                <w:t xml:space="preserve"> </w:t>
              </w:r>
              <w:r>
                <w:rPr>
                  <w:sz w:val="21"/>
                  <w:u w:val="single"/>
                </w:rPr>
                <w:t>guidance</w:t>
              </w:r>
              <w:r>
                <w:rPr>
                  <w:spacing w:val="-1"/>
                  <w:sz w:val="21"/>
                  <w:u w:val="single"/>
                </w:rPr>
                <w:t xml:space="preserve"> </w:t>
              </w:r>
              <w:r>
                <w:rPr>
                  <w:sz w:val="21"/>
                  <w:u w:val="single"/>
                </w:rPr>
                <w:t>and</w:t>
              </w:r>
              <w:r>
                <w:rPr>
                  <w:spacing w:val="-1"/>
                  <w:sz w:val="21"/>
                  <w:u w:val="single"/>
                </w:rPr>
                <w:t xml:space="preserve"> </w:t>
              </w:r>
              <w:r>
                <w:rPr>
                  <w:sz w:val="21"/>
                  <w:u w:val="single"/>
                </w:rPr>
                <w:t>implementation</w:t>
              </w:r>
              <w:r>
                <w:rPr>
                  <w:spacing w:val="-2"/>
                  <w:sz w:val="21"/>
                  <w:u w:val="single"/>
                </w:rPr>
                <w:t xml:space="preserve"> </w:t>
              </w:r>
            </w:hyperlink>
            <w:r>
              <w:rPr>
                <w:spacing w:val="-2"/>
                <w:sz w:val="21"/>
              </w:rPr>
              <w:t xml:space="preserve"> </w:t>
            </w:r>
            <w:hyperlink r:id="rId84">
              <w:r>
                <w:rPr>
                  <w:sz w:val="21"/>
                  <w:u w:val="single"/>
                </w:rPr>
                <w:t>support materials on the ‘Sip Til Send’ initiative</w:t>
              </w:r>
            </w:hyperlink>
            <w:r>
              <w:rPr>
                <w:sz w:val="21"/>
              </w:rPr>
              <w:t xml:space="preserve"> to support safe pre-procedural fluid management. More guidance, including on reducing the risk of venous air embolism and promoting principles for safe and appropriate use of IV fluids, is planned for release in 2026.</w:t>
            </w:r>
          </w:p>
          <w:p w14:paraId="7692325D" w14:textId="77777777" w:rsidR="009D54AF" w:rsidRDefault="00000000">
            <w:pPr>
              <w:pStyle w:val="TableParagraph"/>
              <w:spacing w:before="113" w:line="278" w:lineRule="auto"/>
              <w:ind w:left="280" w:right="526"/>
              <w:jc w:val="both"/>
              <w:rPr>
                <w:sz w:val="21"/>
              </w:rPr>
            </w:pPr>
            <w:r>
              <w:rPr>
                <w:sz w:val="21"/>
              </w:rPr>
              <w:t>These</w:t>
            </w:r>
            <w:r>
              <w:rPr>
                <w:spacing w:val="-3"/>
                <w:sz w:val="21"/>
              </w:rPr>
              <w:t xml:space="preserve"> </w:t>
            </w:r>
            <w:r>
              <w:rPr>
                <w:sz w:val="21"/>
              </w:rPr>
              <w:t>initiatives</w:t>
            </w:r>
            <w:r>
              <w:rPr>
                <w:spacing w:val="-3"/>
                <w:sz w:val="21"/>
              </w:rPr>
              <w:t xml:space="preserve"> </w:t>
            </w:r>
            <w:r>
              <w:rPr>
                <w:sz w:val="21"/>
              </w:rPr>
              <w:t>aim</w:t>
            </w:r>
            <w:r>
              <w:rPr>
                <w:spacing w:val="-3"/>
                <w:sz w:val="21"/>
              </w:rPr>
              <w:t xml:space="preserve"> </w:t>
            </w:r>
            <w:r>
              <w:rPr>
                <w:sz w:val="21"/>
              </w:rPr>
              <w:t>to</w:t>
            </w:r>
            <w:r>
              <w:rPr>
                <w:spacing w:val="-3"/>
                <w:sz w:val="21"/>
              </w:rPr>
              <w:t xml:space="preserve"> </w:t>
            </w:r>
            <w:r>
              <w:rPr>
                <w:sz w:val="21"/>
              </w:rPr>
              <w:t>reduce</w:t>
            </w:r>
            <w:r>
              <w:rPr>
                <w:spacing w:val="-3"/>
                <w:sz w:val="21"/>
              </w:rPr>
              <w:t xml:space="preserve"> </w:t>
            </w:r>
            <w:r>
              <w:rPr>
                <w:sz w:val="21"/>
              </w:rPr>
              <w:t>preventable</w:t>
            </w:r>
            <w:r>
              <w:rPr>
                <w:spacing w:val="-3"/>
                <w:sz w:val="21"/>
              </w:rPr>
              <w:t xml:space="preserve"> </w:t>
            </w:r>
            <w:r>
              <w:rPr>
                <w:sz w:val="21"/>
              </w:rPr>
              <w:t>harm</w:t>
            </w:r>
            <w:r>
              <w:rPr>
                <w:spacing w:val="-3"/>
                <w:sz w:val="21"/>
              </w:rPr>
              <w:t xml:space="preserve"> </w:t>
            </w:r>
            <w:r>
              <w:rPr>
                <w:sz w:val="21"/>
              </w:rPr>
              <w:t>associated</w:t>
            </w:r>
            <w:r>
              <w:rPr>
                <w:spacing w:val="-3"/>
                <w:sz w:val="21"/>
              </w:rPr>
              <w:t xml:space="preserve"> </w:t>
            </w:r>
            <w:r>
              <w:rPr>
                <w:sz w:val="21"/>
              </w:rPr>
              <w:t>with</w:t>
            </w:r>
            <w:r>
              <w:rPr>
                <w:spacing w:val="-3"/>
                <w:sz w:val="21"/>
              </w:rPr>
              <w:t xml:space="preserve"> </w:t>
            </w:r>
            <w:r>
              <w:rPr>
                <w:sz w:val="21"/>
              </w:rPr>
              <w:t>IV</w:t>
            </w:r>
            <w:r>
              <w:rPr>
                <w:spacing w:val="-3"/>
                <w:sz w:val="21"/>
              </w:rPr>
              <w:t xml:space="preserve"> </w:t>
            </w:r>
            <w:r>
              <w:rPr>
                <w:sz w:val="21"/>
              </w:rPr>
              <w:t>fluid</w:t>
            </w:r>
            <w:r>
              <w:rPr>
                <w:spacing w:val="-3"/>
                <w:sz w:val="21"/>
              </w:rPr>
              <w:t xml:space="preserve"> </w:t>
            </w:r>
            <w:r>
              <w:rPr>
                <w:sz w:val="21"/>
              </w:rPr>
              <w:t>therapy,</w:t>
            </w:r>
            <w:r>
              <w:rPr>
                <w:spacing w:val="-3"/>
                <w:sz w:val="21"/>
              </w:rPr>
              <w:t xml:space="preserve"> </w:t>
            </w:r>
            <w:r>
              <w:rPr>
                <w:sz w:val="21"/>
              </w:rPr>
              <w:t>avoid</w:t>
            </w:r>
            <w:r>
              <w:rPr>
                <w:spacing w:val="-3"/>
                <w:sz w:val="21"/>
              </w:rPr>
              <w:t xml:space="preserve"> </w:t>
            </w:r>
            <w:r>
              <w:rPr>
                <w:sz w:val="21"/>
              </w:rPr>
              <w:t>unnecessary or prolonged use, and support earlier returns to oral hydration and medicines, thus improving patient comfort and safety.</w:t>
            </w:r>
          </w:p>
        </w:tc>
      </w:tr>
    </w:tbl>
    <w:p w14:paraId="47208824" w14:textId="77777777" w:rsidR="009D54AF" w:rsidRDefault="009D54AF">
      <w:pPr>
        <w:pStyle w:val="BodyText"/>
        <w:spacing w:before="49"/>
        <w:rPr>
          <w:sz w:val="26"/>
        </w:rPr>
      </w:pPr>
    </w:p>
    <w:p w14:paraId="102948E1" w14:textId="61B17AA7" w:rsidR="008F5B74" w:rsidRDefault="008F5B74">
      <w:pPr>
        <w:rPr>
          <w:b/>
          <w:bCs/>
          <w:sz w:val="26"/>
          <w:szCs w:val="26"/>
        </w:rPr>
      </w:pPr>
    </w:p>
    <w:p w14:paraId="46139F0D" w14:textId="7D751811" w:rsidR="009D54AF" w:rsidRDefault="00000000">
      <w:pPr>
        <w:pStyle w:val="Heading7"/>
      </w:pPr>
      <w:proofErr w:type="spellStart"/>
      <w:r>
        <w:t>MedicineInsight</w:t>
      </w:r>
      <w:proofErr w:type="spellEnd"/>
      <w:r>
        <w:rPr>
          <w:spacing w:val="-5"/>
        </w:rPr>
        <w:t xml:space="preserve"> </w:t>
      </w:r>
      <w:r>
        <w:rPr>
          <w:spacing w:val="-2"/>
        </w:rPr>
        <w:t>program</w:t>
      </w:r>
    </w:p>
    <w:p w14:paraId="79C9849E" w14:textId="77777777" w:rsidR="009D54AF" w:rsidRDefault="00000000">
      <w:pPr>
        <w:pStyle w:val="BodyText"/>
        <w:spacing w:before="141" w:line="278" w:lineRule="auto"/>
        <w:ind w:left="142" w:right="192"/>
      </w:pPr>
      <w:r>
        <w:t xml:space="preserve">In 2025–26, the Commission strengthened </w:t>
      </w:r>
      <w:proofErr w:type="spellStart"/>
      <w:r>
        <w:t>MedicineInsight</w:t>
      </w:r>
      <w:proofErr w:type="spellEnd"/>
      <w:r>
        <w:t xml:space="preserve"> as Australia’s largest longitudinal primary care data collection. It gives participating practices practical insights into prescribing and patient-care patterns and enables them to compare results with other practices and track change over time.</w:t>
      </w:r>
    </w:p>
    <w:p w14:paraId="42F1ABDE" w14:textId="77777777" w:rsidR="009D54AF" w:rsidRDefault="00000000">
      <w:pPr>
        <w:pStyle w:val="BodyText"/>
        <w:spacing w:before="142" w:line="278" w:lineRule="auto"/>
        <w:ind w:left="142"/>
      </w:pPr>
      <w:proofErr w:type="spellStart"/>
      <w:r>
        <w:t>MedicineInsight</w:t>
      </w:r>
      <w:proofErr w:type="spellEnd"/>
      <w:r>
        <w:t xml:space="preserve"> continued to support practice-led quality improvement through tailored practice reports and optional</w:t>
      </w:r>
      <w:r>
        <w:rPr>
          <w:spacing w:val="-2"/>
        </w:rPr>
        <w:t xml:space="preserve"> </w:t>
      </w:r>
      <w:r>
        <w:t>individual</w:t>
      </w:r>
      <w:r>
        <w:rPr>
          <w:spacing w:val="-2"/>
        </w:rPr>
        <w:t xml:space="preserve"> </w:t>
      </w:r>
      <w:r>
        <w:t>general</w:t>
      </w:r>
      <w:r>
        <w:rPr>
          <w:spacing w:val="-2"/>
        </w:rPr>
        <w:t xml:space="preserve"> </w:t>
      </w:r>
      <w:r>
        <w:t>practitioner</w:t>
      </w:r>
      <w:r>
        <w:rPr>
          <w:spacing w:val="-2"/>
        </w:rPr>
        <w:t xml:space="preserve"> </w:t>
      </w:r>
      <w:r>
        <w:t>(GP)</w:t>
      </w:r>
      <w:r>
        <w:rPr>
          <w:spacing w:val="-2"/>
        </w:rPr>
        <w:t xml:space="preserve"> </w:t>
      </w:r>
      <w:r>
        <w:t>reports.</w:t>
      </w:r>
      <w:r>
        <w:rPr>
          <w:spacing w:val="-2"/>
        </w:rPr>
        <w:t xml:space="preserve"> </w:t>
      </w:r>
      <w:r>
        <w:t>It</w:t>
      </w:r>
      <w:r>
        <w:rPr>
          <w:spacing w:val="-2"/>
        </w:rPr>
        <w:t xml:space="preserve"> </w:t>
      </w:r>
      <w:r>
        <w:t>brings</w:t>
      </w:r>
      <w:r>
        <w:rPr>
          <w:spacing w:val="-2"/>
        </w:rPr>
        <w:t xml:space="preserve"> </w:t>
      </w:r>
      <w:r>
        <w:t>together</w:t>
      </w:r>
      <w:r>
        <w:rPr>
          <w:spacing w:val="-2"/>
        </w:rPr>
        <w:t xml:space="preserve"> </w:t>
      </w:r>
      <w:r>
        <w:t>local,</w:t>
      </w:r>
      <w:r>
        <w:rPr>
          <w:spacing w:val="-2"/>
        </w:rPr>
        <w:t xml:space="preserve"> </w:t>
      </w:r>
      <w:r>
        <w:t>regional</w:t>
      </w:r>
      <w:r>
        <w:rPr>
          <w:spacing w:val="-2"/>
        </w:rPr>
        <w:t xml:space="preserve"> </w:t>
      </w:r>
      <w:r>
        <w:t>and</w:t>
      </w:r>
      <w:r>
        <w:rPr>
          <w:spacing w:val="-2"/>
        </w:rPr>
        <w:t xml:space="preserve"> </w:t>
      </w:r>
      <w:r>
        <w:t>national</w:t>
      </w:r>
      <w:r>
        <w:rPr>
          <w:spacing w:val="-2"/>
        </w:rPr>
        <w:t xml:space="preserve"> </w:t>
      </w:r>
      <w:r>
        <w:t>benchmarks with evidence-based recommendations that could be used for continuing professional development.</w:t>
      </w:r>
    </w:p>
    <w:p w14:paraId="18EA9F64" w14:textId="3F998B58" w:rsidR="009D54AF" w:rsidRDefault="00000000" w:rsidP="008F5B74">
      <w:pPr>
        <w:pStyle w:val="BodyText"/>
        <w:spacing w:before="141" w:line="278" w:lineRule="auto"/>
        <w:ind w:left="142"/>
      </w:pPr>
      <w:r>
        <w:t xml:space="preserve">In 2025–26, the </w:t>
      </w:r>
      <w:proofErr w:type="spellStart"/>
      <w:r>
        <w:t>MedicineInsight</w:t>
      </w:r>
      <w:proofErr w:type="spellEnd"/>
      <w:r>
        <w:t xml:space="preserve"> General Practice Advisory Group met three times and helped ensure outputs remained relevant to general practice by advising on report design and priority topics and noting third-party</w:t>
      </w:r>
      <w:r w:rsidR="008F5B74">
        <w:t xml:space="preserve"> </w:t>
      </w:r>
      <w:r>
        <w:t>data</w:t>
      </w:r>
      <w:r>
        <w:rPr>
          <w:spacing w:val="-2"/>
        </w:rPr>
        <w:t xml:space="preserve"> </w:t>
      </w:r>
      <w:r>
        <w:t>access</w:t>
      </w:r>
      <w:r>
        <w:rPr>
          <w:spacing w:val="-2"/>
        </w:rPr>
        <w:t xml:space="preserve"> </w:t>
      </w:r>
      <w:r>
        <w:t>applications</w:t>
      </w:r>
      <w:r>
        <w:rPr>
          <w:spacing w:val="-2"/>
        </w:rPr>
        <w:t xml:space="preserve"> </w:t>
      </w:r>
      <w:r>
        <w:t>that</w:t>
      </w:r>
      <w:r>
        <w:rPr>
          <w:spacing w:val="-2"/>
        </w:rPr>
        <w:t xml:space="preserve"> </w:t>
      </w:r>
      <w:r>
        <w:t>progressed</w:t>
      </w:r>
      <w:r>
        <w:rPr>
          <w:spacing w:val="-2"/>
        </w:rPr>
        <w:t xml:space="preserve"> </w:t>
      </w:r>
      <w:r>
        <w:t>through</w:t>
      </w:r>
      <w:r>
        <w:rPr>
          <w:spacing w:val="-2"/>
        </w:rPr>
        <w:t xml:space="preserve"> </w:t>
      </w:r>
      <w:r>
        <w:t>internal</w:t>
      </w:r>
      <w:r>
        <w:rPr>
          <w:spacing w:val="-2"/>
        </w:rPr>
        <w:t xml:space="preserve"> </w:t>
      </w:r>
      <w:r>
        <w:t>assessment</w:t>
      </w:r>
      <w:r>
        <w:rPr>
          <w:spacing w:val="-2"/>
        </w:rPr>
        <w:t xml:space="preserve"> </w:t>
      </w:r>
      <w:r>
        <w:t>to</w:t>
      </w:r>
      <w:r>
        <w:rPr>
          <w:spacing w:val="-2"/>
        </w:rPr>
        <w:t xml:space="preserve"> </w:t>
      </w:r>
      <w:r>
        <w:t>the</w:t>
      </w:r>
      <w:r>
        <w:rPr>
          <w:spacing w:val="-2"/>
        </w:rPr>
        <w:t xml:space="preserve"> </w:t>
      </w:r>
      <w:r>
        <w:t>Commission’s</w:t>
      </w:r>
      <w:r>
        <w:rPr>
          <w:spacing w:val="-2"/>
        </w:rPr>
        <w:t xml:space="preserve"> </w:t>
      </w:r>
      <w:r>
        <w:t>Data</w:t>
      </w:r>
      <w:r>
        <w:rPr>
          <w:spacing w:val="-2"/>
        </w:rPr>
        <w:t xml:space="preserve"> </w:t>
      </w:r>
      <w:r>
        <w:t>Governance Committee for decision-making.</w:t>
      </w:r>
    </w:p>
    <w:p w14:paraId="7BF174F9" w14:textId="77777777" w:rsidR="009D54AF" w:rsidRDefault="00000000">
      <w:pPr>
        <w:pStyle w:val="BodyText"/>
        <w:spacing w:before="141" w:line="278" w:lineRule="auto"/>
        <w:ind w:left="142" w:right="285"/>
      </w:pPr>
      <w:proofErr w:type="spellStart"/>
      <w:r>
        <w:t>MedicineInsight</w:t>
      </w:r>
      <w:proofErr w:type="spellEnd"/>
      <w:r>
        <w:t xml:space="preserve"> reports continued to reinforce the Commission’s primary care priorities and were supported by continuing professional development (CPD) guides, which include activities, accredited by the RACGP and the Australian College of Rural and Remote Medicine, to help practices turn data into measurable </w:t>
      </w:r>
      <w:r>
        <w:rPr>
          <w:spacing w:val="-2"/>
        </w:rPr>
        <w:t>improvements.</w:t>
      </w:r>
    </w:p>
    <w:p w14:paraId="792176C1" w14:textId="77777777" w:rsidR="009D54AF" w:rsidRDefault="00000000">
      <w:pPr>
        <w:spacing w:before="141" w:line="278" w:lineRule="auto"/>
        <w:ind w:left="142" w:right="274"/>
        <w:rPr>
          <w:sz w:val="21"/>
        </w:rPr>
      </w:pPr>
      <w:r>
        <w:rPr>
          <w:sz w:val="21"/>
        </w:rPr>
        <w:t xml:space="preserve">In November 2025, the </w:t>
      </w:r>
      <w:proofErr w:type="spellStart"/>
      <w:r>
        <w:rPr>
          <w:i/>
          <w:sz w:val="21"/>
        </w:rPr>
        <w:t>MedicineInsight</w:t>
      </w:r>
      <w:proofErr w:type="spellEnd"/>
      <w:r>
        <w:rPr>
          <w:i/>
          <w:sz w:val="21"/>
        </w:rPr>
        <w:t xml:space="preserve"> GP Snapshot: Chronic obstructive pulmonary disease (COPD) – pharmacological</w:t>
      </w:r>
      <w:r>
        <w:rPr>
          <w:i/>
          <w:spacing w:val="-3"/>
          <w:sz w:val="21"/>
        </w:rPr>
        <w:t xml:space="preserve"> </w:t>
      </w:r>
      <w:r>
        <w:rPr>
          <w:i/>
          <w:sz w:val="21"/>
        </w:rPr>
        <w:t>management</w:t>
      </w:r>
      <w:r>
        <w:rPr>
          <w:i/>
          <w:spacing w:val="-3"/>
          <w:sz w:val="21"/>
        </w:rPr>
        <w:t xml:space="preserve"> </w:t>
      </w:r>
      <w:r>
        <w:rPr>
          <w:sz w:val="21"/>
        </w:rPr>
        <w:t>was</w:t>
      </w:r>
      <w:r>
        <w:rPr>
          <w:spacing w:val="-3"/>
          <w:sz w:val="21"/>
        </w:rPr>
        <w:t xml:space="preserve"> </w:t>
      </w:r>
      <w:r>
        <w:rPr>
          <w:sz w:val="21"/>
        </w:rPr>
        <w:t>released.</w:t>
      </w:r>
      <w:r>
        <w:rPr>
          <w:spacing w:val="-3"/>
          <w:sz w:val="21"/>
        </w:rPr>
        <w:t xml:space="preserve"> </w:t>
      </w:r>
      <w:r>
        <w:rPr>
          <w:sz w:val="21"/>
        </w:rPr>
        <w:t>It</w:t>
      </w:r>
      <w:r>
        <w:rPr>
          <w:spacing w:val="-3"/>
          <w:sz w:val="21"/>
        </w:rPr>
        <w:t xml:space="preserve"> </w:t>
      </w:r>
      <w:proofErr w:type="spellStart"/>
      <w:r>
        <w:rPr>
          <w:sz w:val="21"/>
        </w:rPr>
        <w:t>summarises</w:t>
      </w:r>
      <w:proofErr w:type="spellEnd"/>
      <w:r>
        <w:rPr>
          <w:spacing w:val="-3"/>
          <w:sz w:val="21"/>
        </w:rPr>
        <w:t xml:space="preserve"> </w:t>
      </w:r>
      <w:r>
        <w:rPr>
          <w:sz w:val="21"/>
        </w:rPr>
        <w:t>national</w:t>
      </w:r>
      <w:r>
        <w:rPr>
          <w:spacing w:val="-3"/>
          <w:sz w:val="21"/>
        </w:rPr>
        <w:t xml:space="preserve"> </w:t>
      </w:r>
      <w:r>
        <w:rPr>
          <w:sz w:val="21"/>
        </w:rPr>
        <w:t>aggregate</w:t>
      </w:r>
      <w:r>
        <w:rPr>
          <w:spacing w:val="-3"/>
          <w:sz w:val="21"/>
        </w:rPr>
        <w:t xml:space="preserve"> </w:t>
      </w:r>
      <w:r>
        <w:rPr>
          <w:sz w:val="21"/>
        </w:rPr>
        <w:t>data</w:t>
      </w:r>
      <w:r>
        <w:rPr>
          <w:spacing w:val="-3"/>
          <w:sz w:val="21"/>
        </w:rPr>
        <w:t xml:space="preserve"> </w:t>
      </w:r>
      <w:r>
        <w:rPr>
          <w:sz w:val="21"/>
        </w:rPr>
        <w:t>on</w:t>
      </w:r>
      <w:r>
        <w:rPr>
          <w:spacing w:val="-3"/>
          <w:sz w:val="21"/>
        </w:rPr>
        <w:t xml:space="preserve"> </w:t>
      </w:r>
      <w:r>
        <w:rPr>
          <w:sz w:val="21"/>
        </w:rPr>
        <w:t>antibiotic</w:t>
      </w:r>
      <w:r>
        <w:rPr>
          <w:spacing w:val="-3"/>
          <w:sz w:val="21"/>
        </w:rPr>
        <w:t xml:space="preserve"> </w:t>
      </w:r>
      <w:r>
        <w:rPr>
          <w:sz w:val="21"/>
        </w:rPr>
        <w:t>prescribing and stepwise inhaler therapy and provides clear practice points to support COPD care. It was followed by practice-level and GP reports with actionable insights, alongside an accompanying CPD guide.</w:t>
      </w:r>
    </w:p>
    <w:p w14:paraId="5226F33B" w14:textId="77777777" w:rsidR="008F5B74" w:rsidRDefault="008F5B74">
      <w:pPr>
        <w:rPr>
          <w:b/>
          <w:sz w:val="40"/>
        </w:rPr>
      </w:pPr>
      <w:r>
        <w:rPr>
          <w:b/>
          <w:sz w:val="40"/>
        </w:rPr>
        <w:br w:type="page"/>
      </w:r>
    </w:p>
    <w:p w14:paraId="13D5C586" w14:textId="00838F8E" w:rsidR="009D54AF" w:rsidRDefault="00000000" w:rsidP="00D13873">
      <w:pPr>
        <w:pStyle w:val="Heading1"/>
      </w:pPr>
      <w:bookmarkStart w:id="40" w:name="_Annual_performance_statements"/>
      <w:bookmarkStart w:id="41" w:name="_Toc243037278"/>
      <w:bookmarkEnd w:id="40"/>
      <w:r>
        <w:lastRenderedPageBreak/>
        <w:t>Annual</w:t>
      </w:r>
      <w:r>
        <w:rPr>
          <w:spacing w:val="-21"/>
        </w:rPr>
        <w:t xml:space="preserve"> </w:t>
      </w:r>
      <w:r>
        <w:t>performance</w:t>
      </w:r>
      <w:r>
        <w:rPr>
          <w:spacing w:val="-21"/>
        </w:rPr>
        <w:t xml:space="preserve"> </w:t>
      </w:r>
      <w:r>
        <w:rPr>
          <w:spacing w:val="-2"/>
        </w:rPr>
        <w:t>statements</w:t>
      </w:r>
      <w:bookmarkEnd w:id="41"/>
    </w:p>
    <w:p w14:paraId="0B075F74" w14:textId="77777777" w:rsidR="009D54AF" w:rsidRDefault="00000000">
      <w:pPr>
        <w:spacing w:before="169" w:line="278" w:lineRule="auto"/>
        <w:ind w:left="142" w:right="153"/>
        <w:rPr>
          <w:sz w:val="21"/>
        </w:rPr>
      </w:pPr>
      <w:r>
        <w:rPr>
          <w:sz w:val="21"/>
        </w:rPr>
        <w:t xml:space="preserve">As the accountable authority of the Commission, the Board presents the 2025–26 annual performance statements of the Commission, as required under subsection 39(1) of the </w:t>
      </w:r>
      <w:r>
        <w:rPr>
          <w:i/>
          <w:sz w:val="21"/>
        </w:rPr>
        <w:t>Public Governance, Performance and</w:t>
      </w:r>
      <w:r>
        <w:rPr>
          <w:i/>
          <w:spacing w:val="-2"/>
          <w:sz w:val="21"/>
        </w:rPr>
        <w:t xml:space="preserve"> </w:t>
      </w:r>
      <w:r>
        <w:rPr>
          <w:i/>
          <w:sz w:val="21"/>
        </w:rPr>
        <w:t>Accountability</w:t>
      </w:r>
      <w:r>
        <w:rPr>
          <w:i/>
          <w:spacing w:val="-2"/>
          <w:sz w:val="21"/>
        </w:rPr>
        <w:t xml:space="preserve"> </w:t>
      </w:r>
      <w:r>
        <w:rPr>
          <w:i/>
          <w:sz w:val="21"/>
        </w:rPr>
        <w:t>Act</w:t>
      </w:r>
      <w:r>
        <w:rPr>
          <w:i/>
          <w:spacing w:val="-2"/>
          <w:sz w:val="21"/>
        </w:rPr>
        <w:t xml:space="preserve"> </w:t>
      </w:r>
      <w:r>
        <w:rPr>
          <w:i/>
          <w:sz w:val="21"/>
        </w:rPr>
        <w:t>2013</w:t>
      </w:r>
      <w:r>
        <w:rPr>
          <w:sz w:val="21"/>
        </w:rPr>
        <w:t>.</w:t>
      </w:r>
      <w:r>
        <w:rPr>
          <w:spacing w:val="-2"/>
          <w:sz w:val="21"/>
        </w:rPr>
        <w:t xml:space="preserve"> </w:t>
      </w:r>
      <w:r>
        <w:rPr>
          <w:sz w:val="21"/>
        </w:rPr>
        <w:t>In</w:t>
      </w:r>
      <w:r>
        <w:rPr>
          <w:spacing w:val="-2"/>
          <w:sz w:val="21"/>
        </w:rPr>
        <w:t xml:space="preserve"> </w:t>
      </w:r>
      <w:r>
        <w:rPr>
          <w:sz w:val="21"/>
        </w:rPr>
        <w:t>the</w:t>
      </w:r>
      <w:r>
        <w:rPr>
          <w:spacing w:val="-2"/>
          <w:sz w:val="21"/>
        </w:rPr>
        <w:t xml:space="preserve"> </w:t>
      </w:r>
      <w:r>
        <w:rPr>
          <w:sz w:val="21"/>
        </w:rPr>
        <w:t>opinion</w:t>
      </w:r>
      <w:r>
        <w:rPr>
          <w:spacing w:val="-2"/>
          <w:sz w:val="21"/>
        </w:rPr>
        <w:t xml:space="preserve"> </w:t>
      </w:r>
      <w:r>
        <w:rPr>
          <w:sz w:val="21"/>
        </w:rPr>
        <w:t>of</w:t>
      </w:r>
      <w:r>
        <w:rPr>
          <w:spacing w:val="-2"/>
          <w:sz w:val="21"/>
        </w:rPr>
        <w:t xml:space="preserve"> </w:t>
      </w:r>
      <w:r>
        <w:rPr>
          <w:sz w:val="21"/>
        </w:rPr>
        <w:t>the</w:t>
      </w:r>
      <w:r>
        <w:rPr>
          <w:spacing w:val="-2"/>
          <w:sz w:val="21"/>
        </w:rPr>
        <w:t xml:space="preserve"> </w:t>
      </w:r>
      <w:r>
        <w:rPr>
          <w:sz w:val="21"/>
        </w:rPr>
        <w:t>Board,</w:t>
      </w:r>
      <w:r>
        <w:rPr>
          <w:spacing w:val="-2"/>
          <w:sz w:val="21"/>
        </w:rPr>
        <w:t xml:space="preserve"> </w:t>
      </w:r>
      <w:r>
        <w:rPr>
          <w:sz w:val="21"/>
        </w:rPr>
        <w:t>based</w:t>
      </w:r>
      <w:r>
        <w:rPr>
          <w:spacing w:val="-2"/>
          <w:sz w:val="21"/>
        </w:rPr>
        <w:t xml:space="preserve"> </w:t>
      </w:r>
      <w:r>
        <w:rPr>
          <w:sz w:val="21"/>
        </w:rPr>
        <w:t>on</w:t>
      </w:r>
      <w:r>
        <w:rPr>
          <w:spacing w:val="-2"/>
          <w:sz w:val="21"/>
        </w:rPr>
        <w:t xml:space="preserve"> </w:t>
      </w:r>
      <w:r>
        <w:rPr>
          <w:sz w:val="21"/>
        </w:rPr>
        <w:t>advice</w:t>
      </w:r>
      <w:r>
        <w:rPr>
          <w:spacing w:val="-2"/>
          <w:sz w:val="21"/>
        </w:rPr>
        <w:t xml:space="preserve"> </w:t>
      </w:r>
      <w:r>
        <w:rPr>
          <w:sz w:val="21"/>
        </w:rPr>
        <w:t>from</w:t>
      </w:r>
      <w:r>
        <w:rPr>
          <w:spacing w:val="-2"/>
          <w:sz w:val="21"/>
        </w:rPr>
        <w:t xml:space="preserve"> </w:t>
      </w:r>
      <w:r>
        <w:rPr>
          <w:sz w:val="21"/>
        </w:rPr>
        <w:t>Commission</w:t>
      </w:r>
      <w:r>
        <w:rPr>
          <w:spacing w:val="-2"/>
          <w:sz w:val="21"/>
        </w:rPr>
        <w:t xml:space="preserve"> </w:t>
      </w:r>
      <w:r>
        <w:rPr>
          <w:sz w:val="21"/>
        </w:rPr>
        <w:t>management</w:t>
      </w:r>
      <w:r>
        <w:rPr>
          <w:spacing w:val="-2"/>
          <w:sz w:val="21"/>
        </w:rPr>
        <w:t xml:space="preserve"> </w:t>
      </w:r>
      <w:r>
        <w:rPr>
          <w:sz w:val="21"/>
        </w:rPr>
        <w:t>and the Audit and Risk Committee, these annual performance statements accurately reflect the performance of</w:t>
      </w:r>
      <w:r>
        <w:rPr>
          <w:spacing w:val="40"/>
          <w:sz w:val="21"/>
        </w:rPr>
        <w:t xml:space="preserve"> </w:t>
      </w:r>
      <w:r>
        <w:rPr>
          <w:sz w:val="21"/>
        </w:rPr>
        <w:t>the</w:t>
      </w:r>
      <w:r>
        <w:rPr>
          <w:spacing w:val="-1"/>
          <w:sz w:val="21"/>
        </w:rPr>
        <w:t xml:space="preserve"> </w:t>
      </w:r>
      <w:r>
        <w:rPr>
          <w:sz w:val="21"/>
        </w:rPr>
        <w:t>Commission</w:t>
      </w:r>
      <w:r>
        <w:rPr>
          <w:spacing w:val="-1"/>
          <w:sz w:val="21"/>
        </w:rPr>
        <w:t xml:space="preserve"> </w:t>
      </w:r>
      <w:r>
        <w:rPr>
          <w:sz w:val="21"/>
        </w:rPr>
        <w:t>and</w:t>
      </w:r>
      <w:r>
        <w:rPr>
          <w:spacing w:val="-1"/>
          <w:sz w:val="21"/>
        </w:rPr>
        <w:t xml:space="preserve"> </w:t>
      </w:r>
      <w:r>
        <w:rPr>
          <w:sz w:val="21"/>
        </w:rPr>
        <w:t>comply</w:t>
      </w:r>
      <w:r>
        <w:rPr>
          <w:spacing w:val="-1"/>
          <w:sz w:val="21"/>
        </w:rPr>
        <w:t xml:space="preserve"> </w:t>
      </w:r>
      <w:r>
        <w:rPr>
          <w:sz w:val="21"/>
        </w:rPr>
        <w:t>with</w:t>
      </w:r>
      <w:r>
        <w:rPr>
          <w:spacing w:val="-1"/>
          <w:sz w:val="21"/>
        </w:rPr>
        <w:t xml:space="preserve"> </w:t>
      </w:r>
      <w:r>
        <w:rPr>
          <w:sz w:val="21"/>
        </w:rPr>
        <w:t>subsection</w:t>
      </w:r>
      <w:r>
        <w:rPr>
          <w:spacing w:val="-1"/>
          <w:sz w:val="21"/>
        </w:rPr>
        <w:t xml:space="preserve"> </w:t>
      </w:r>
      <w:r>
        <w:rPr>
          <w:sz w:val="21"/>
        </w:rPr>
        <w:t>39(2)</w:t>
      </w:r>
      <w:r>
        <w:rPr>
          <w:spacing w:val="-1"/>
          <w:sz w:val="21"/>
        </w:rPr>
        <w:t xml:space="preserve"> </w:t>
      </w:r>
      <w:r>
        <w:rPr>
          <w:sz w:val="21"/>
        </w:rPr>
        <w:t>of</w:t>
      </w:r>
      <w:r>
        <w:rPr>
          <w:spacing w:val="-1"/>
          <w:sz w:val="21"/>
        </w:rPr>
        <w:t xml:space="preserve"> </w:t>
      </w:r>
      <w:r>
        <w:rPr>
          <w:sz w:val="21"/>
        </w:rPr>
        <w:t>the</w:t>
      </w:r>
      <w:r>
        <w:rPr>
          <w:spacing w:val="-1"/>
          <w:sz w:val="21"/>
        </w:rPr>
        <w:t xml:space="preserve"> </w:t>
      </w:r>
      <w:r>
        <w:rPr>
          <w:i/>
          <w:sz w:val="21"/>
        </w:rPr>
        <w:t>Public</w:t>
      </w:r>
      <w:r>
        <w:rPr>
          <w:i/>
          <w:spacing w:val="-1"/>
          <w:sz w:val="21"/>
        </w:rPr>
        <w:t xml:space="preserve"> </w:t>
      </w:r>
      <w:r>
        <w:rPr>
          <w:i/>
          <w:sz w:val="21"/>
        </w:rPr>
        <w:t>Governance,</w:t>
      </w:r>
      <w:r>
        <w:rPr>
          <w:i/>
          <w:spacing w:val="-1"/>
          <w:sz w:val="21"/>
        </w:rPr>
        <w:t xml:space="preserve"> </w:t>
      </w:r>
      <w:r>
        <w:rPr>
          <w:i/>
          <w:sz w:val="21"/>
        </w:rPr>
        <w:t>Performance</w:t>
      </w:r>
      <w:r>
        <w:rPr>
          <w:i/>
          <w:spacing w:val="-1"/>
          <w:sz w:val="21"/>
        </w:rPr>
        <w:t xml:space="preserve"> </w:t>
      </w:r>
      <w:r>
        <w:rPr>
          <w:i/>
          <w:sz w:val="21"/>
        </w:rPr>
        <w:t>and</w:t>
      </w:r>
      <w:r>
        <w:rPr>
          <w:i/>
          <w:spacing w:val="-1"/>
          <w:sz w:val="21"/>
        </w:rPr>
        <w:t xml:space="preserve"> </w:t>
      </w:r>
      <w:r>
        <w:rPr>
          <w:i/>
          <w:sz w:val="21"/>
        </w:rPr>
        <w:t>Accountability Act 2013</w:t>
      </w:r>
      <w:r>
        <w:rPr>
          <w:sz w:val="21"/>
        </w:rPr>
        <w:t>.</w:t>
      </w:r>
    </w:p>
    <w:p w14:paraId="34E59A57" w14:textId="77777777" w:rsidR="009D54AF" w:rsidRDefault="009D54AF">
      <w:pPr>
        <w:pStyle w:val="BodyText"/>
        <w:rPr>
          <w:sz w:val="20"/>
        </w:rPr>
      </w:pPr>
    </w:p>
    <w:p w14:paraId="675ED418" w14:textId="77777777" w:rsidR="009D54AF" w:rsidRDefault="00000000">
      <w:pPr>
        <w:pStyle w:val="BodyText"/>
        <w:spacing w:before="86"/>
        <w:rPr>
          <w:sz w:val="20"/>
        </w:rPr>
      </w:pPr>
      <w:r>
        <w:rPr>
          <w:noProof/>
          <w:sz w:val="20"/>
        </w:rPr>
        <w:drawing>
          <wp:anchor distT="0" distB="0" distL="0" distR="0" simplePos="0" relativeHeight="487592960" behindDoc="1" locked="0" layoutInCell="1" allowOverlap="1" wp14:anchorId="426590ED" wp14:editId="0D519142">
            <wp:simplePos x="0" y="0"/>
            <wp:positionH relativeFrom="page">
              <wp:posOffset>565274</wp:posOffset>
            </wp:positionH>
            <wp:positionV relativeFrom="paragraph">
              <wp:posOffset>216510</wp:posOffset>
            </wp:positionV>
            <wp:extent cx="1716532" cy="382904"/>
            <wp:effectExtent l="0" t="0" r="0" b="0"/>
            <wp:wrapTopAndBottom/>
            <wp:docPr id="80" name="Image 8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0" name="Image 80">
                      <a:extLst>
                        <a:ext uri="{C183D7F6-B498-43B3-948B-1728B52AA6E4}">
                          <adec:decorative xmlns:adec="http://schemas.microsoft.com/office/drawing/2017/decorative" val="1"/>
                        </a:ext>
                      </a:extLst>
                    </pic:cNvPr>
                    <pic:cNvPicPr/>
                  </pic:nvPicPr>
                  <pic:blipFill>
                    <a:blip r:embed="rId85" cstate="print"/>
                    <a:stretch>
                      <a:fillRect/>
                    </a:stretch>
                  </pic:blipFill>
                  <pic:spPr>
                    <a:xfrm>
                      <a:off x="0" y="0"/>
                      <a:ext cx="1716532" cy="382904"/>
                    </a:xfrm>
                    <a:prstGeom prst="rect">
                      <a:avLst/>
                    </a:prstGeom>
                  </pic:spPr>
                </pic:pic>
              </a:graphicData>
            </a:graphic>
          </wp:anchor>
        </w:drawing>
      </w:r>
    </w:p>
    <w:p w14:paraId="3BFB8A6A" w14:textId="77777777" w:rsidR="009D54AF" w:rsidRDefault="009D54AF">
      <w:pPr>
        <w:pStyle w:val="BodyText"/>
        <w:spacing w:before="157"/>
      </w:pPr>
    </w:p>
    <w:p w14:paraId="3BF9DB5A" w14:textId="77777777" w:rsidR="009D54AF" w:rsidRDefault="00000000">
      <w:pPr>
        <w:ind w:left="142"/>
        <w:rPr>
          <w:b/>
          <w:sz w:val="21"/>
        </w:rPr>
      </w:pPr>
      <w:r>
        <w:rPr>
          <w:b/>
          <w:sz w:val="21"/>
        </w:rPr>
        <w:t>Professor</w:t>
      </w:r>
      <w:r>
        <w:rPr>
          <w:b/>
          <w:spacing w:val="7"/>
          <w:sz w:val="21"/>
        </w:rPr>
        <w:t xml:space="preserve"> </w:t>
      </w:r>
      <w:r>
        <w:rPr>
          <w:b/>
          <w:sz w:val="21"/>
        </w:rPr>
        <w:t>Christine</w:t>
      </w:r>
      <w:r>
        <w:rPr>
          <w:b/>
          <w:spacing w:val="7"/>
          <w:sz w:val="21"/>
        </w:rPr>
        <w:t xml:space="preserve"> </w:t>
      </w:r>
      <w:r>
        <w:rPr>
          <w:b/>
          <w:sz w:val="21"/>
        </w:rPr>
        <w:t>Kilpatrick</w:t>
      </w:r>
      <w:r>
        <w:rPr>
          <w:b/>
          <w:spacing w:val="7"/>
          <w:sz w:val="21"/>
        </w:rPr>
        <w:t xml:space="preserve"> </w:t>
      </w:r>
      <w:r>
        <w:rPr>
          <w:b/>
          <w:spacing w:val="-5"/>
          <w:sz w:val="21"/>
        </w:rPr>
        <w:t>AO</w:t>
      </w:r>
    </w:p>
    <w:p w14:paraId="7B60D32C" w14:textId="77777777" w:rsidR="009D54AF" w:rsidRDefault="00000000">
      <w:pPr>
        <w:pStyle w:val="BodyText"/>
        <w:spacing w:before="39"/>
        <w:ind w:left="142"/>
      </w:pPr>
      <w:r>
        <w:t xml:space="preserve">Board </w:t>
      </w:r>
      <w:r>
        <w:rPr>
          <w:spacing w:val="-2"/>
        </w:rPr>
        <w:t>Chair</w:t>
      </w:r>
    </w:p>
    <w:p w14:paraId="4C924A20" w14:textId="77777777" w:rsidR="009D54AF" w:rsidRDefault="009D54AF">
      <w:pPr>
        <w:pStyle w:val="BodyText"/>
        <w:spacing w:before="104"/>
      </w:pPr>
    </w:p>
    <w:p w14:paraId="2332934E" w14:textId="3B4E0490" w:rsidR="009D54AF" w:rsidRDefault="00000000">
      <w:pPr>
        <w:pStyle w:val="Heading5"/>
      </w:pPr>
      <w:r>
        <w:t>Our</w:t>
      </w:r>
      <w:r>
        <w:rPr>
          <w:spacing w:val="-1"/>
        </w:rPr>
        <w:t xml:space="preserve"> </w:t>
      </w:r>
      <w:r>
        <w:rPr>
          <w:spacing w:val="-2"/>
        </w:rPr>
        <w:t>purpose</w:t>
      </w:r>
    </w:p>
    <w:p w14:paraId="6649DD78" w14:textId="77777777" w:rsidR="009D54AF" w:rsidRDefault="00000000">
      <w:pPr>
        <w:pStyle w:val="BodyText"/>
        <w:spacing w:before="133" w:line="278" w:lineRule="auto"/>
        <w:ind w:left="142"/>
      </w:pPr>
      <w:r>
        <w:t>Our</w:t>
      </w:r>
      <w:r>
        <w:rPr>
          <w:spacing w:val="-2"/>
        </w:rPr>
        <w:t xml:space="preserve"> </w:t>
      </w:r>
      <w:r>
        <w:t>purpose</w:t>
      </w:r>
      <w:r>
        <w:rPr>
          <w:spacing w:val="-2"/>
        </w:rPr>
        <w:t xml:space="preserve"> </w:t>
      </w:r>
      <w:r>
        <w:t>is</w:t>
      </w:r>
      <w:r>
        <w:rPr>
          <w:spacing w:val="-2"/>
        </w:rPr>
        <w:t xml:space="preserve"> </w:t>
      </w:r>
      <w:r>
        <w:t>to</w:t>
      </w:r>
      <w:r>
        <w:rPr>
          <w:spacing w:val="-2"/>
        </w:rPr>
        <w:t xml:space="preserve"> </w:t>
      </w:r>
      <w:r>
        <w:t>lead</w:t>
      </w:r>
      <w:r>
        <w:rPr>
          <w:spacing w:val="-2"/>
        </w:rPr>
        <w:t xml:space="preserve"> </w:t>
      </w:r>
      <w:r>
        <w:t>improvements</w:t>
      </w:r>
      <w:r>
        <w:rPr>
          <w:spacing w:val="-2"/>
        </w:rPr>
        <w:t xml:space="preserve"> </w:t>
      </w:r>
      <w:r>
        <w:t>in</w:t>
      </w:r>
      <w:r>
        <w:rPr>
          <w:spacing w:val="-2"/>
        </w:rPr>
        <w:t xml:space="preserve"> </w:t>
      </w:r>
      <w:r>
        <w:t>the</w:t>
      </w:r>
      <w:r>
        <w:rPr>
          <w:spacing w:val="-2"/>
        </w:rPr>
        <w:t xml:space="preserve"> </w:t>
      </w:r>
      <w:r>
        <w:t>safety</w:t>
      </w:r>
      <w:r>
        <w:rPr>
          <w:spacing w:val="-2"/>
        </w:rPr>
        <w:t xml:space="preserve"> </w:t>
      </w:r>
      <w:r>
        <w:t>and</w:t>
      </w:r>
      <w:r>
        <w:rPr>
          <w:spacing w:val="-2"/>
        </w:rPr>
        <w:t xml:space="preserve"> </w:t>
      </w:r>
      <w:r>
        <w:t>quality</w:t>
      </w:r>
      <w:r>
        <w:rPr>
          <w:spacing w:val="-2"/>
        </w:rPr>
        <w:t xml:space="preserve"> </w:t>
      </w:r>
      <w:r>
        <w:t>of</w:t>
      </w:r>
      <w:r>
        <w:rPr>
          <w:spacing w:val="-2"/>
        </w:rPr>
        <w:t xml:space="preserve"> </w:t>
      </w:r>
      <w:r>
        <w:t>health</w:t>
      </w:r>
      <w:r>
        <w:rPr>
          <w:spacing w:val="-2"/>
        </w:rPr>
        <w:t xml:space="preserve"> </w:t>
      </w:r>
      <w:r>
        <w:t>care,</w:t>
      </w:r>
      <w:r>
        <w:rPr>
          <w:spacing w:val="-2"/>
        </w:rPr>
        <w:t xml:space="preserve"> </w:t>
      </w:r>
      <w:r>
        <w:t>so</w:t>
      </w:r>
      <w:r>
        <w:rPr>
          <w:spacing w:val="-2"/>
        </w:rPr>
        <w:t xml:space="preserve"> </w:t>
      </w:r>
      <w:r>
        <w:t>all</w:t>
      </w:r>
      <w:r>
        <w:rPr>
          <w:spacing w:val="-2"/>
        </w:rPr>
        <w:t xml:space="preserve"> </w:t>
      </w:r>
      <w:r>
        <w:t>Australians</w:t>
      </w:r>
      <w:r>
        <w:rPr>
          <w:spacing w:val="-2"/>
        </w:rPr>
        <w:t xml:space="preserve"> </w:t>
      </w:r>
      <w:r>
        <w:t>receive</w:t>
      </w:r>
      <w:r>
        <w:rPr>
          <w:spacing w:val="-2"/>
        </w:rPr>
        <w:t xml:space="preserve"> </w:t>
      </w:r>
      <w:r>
        <w:t>better care, everywhere.</w:t>
      </w:r>
    </w:p>
    <w:p w14:paraId="3AC21F08" w14:textId="77777777" w:rsidR="009D54AF" w:rsidRDefault="00000000">
      <w:pPr>
        <w:pStyle w:val="BodyText"/>
        <w:spacing w:before="142" w:line="278" w:lineRule="auto"/>
        <w:ind w:left="142"/>
      </w:pPr>
      <w:r>
        <w:t>The</w:t>
      </w:r>
      <w:r>
        <w:rPr>
          <w:spacing w:val="-2"/>
        </w:rPr>
        <w:t xml:space="preserve"> </w:t>
      </w:r>
      <w:r>
        <w:t>Commission</w:t>
      </w:r>
      <w:r>
        <w:rPr>
          <w:spacing w:val="-2"/>
        </w:rPr>
        <w:t xml:space="preserve"> </w:t>
      </w:r>
      <w:r>
        <w:t>contributes</w:t>
      </w:r>
      <w:r>
        <w:rPr>
          <w:spacing w:val="-2"/>
        </w:rPr>
        <w:t xml:space="preserve"> </w:t>
      </w:r>
      <w:r>
        <w:t>to</w:t>
      </w:r>
      <w:r>
        <w:rPr>
          <w:spacing w:val="-2"/>
        </w:rPr>
        <w:t xml:space="preserve"> </w:t>
      </w:r>
      <w:r>
        <w:t>better</w:t>
      </w:r>
      <w:r>
        <w:rPr>
          <w:spacing w:val="-2"/>
        </w:rPr>
        <w:t xml:space="preserve"> </w:t>
      </w:r>
      <w:r>
        <w:t>health</w:t>
      </w:r>
      <w:r>
        <w:rPr>
          <w:spacing w:val="-2"/>
        </w:rPr>
        <w:t xml:space="preserve"> </w:t>
      </w:r>
      <w:r>
        <w:t>outcomes</w:t>
      </w:r>
      <w:r>
        <w:rPr>
          <w:spacing w:val="-2"/>
        </w:rPr>
        <w:t xml:space="preserve"> </w:t>
      </w:r>
      <w:r>
        <w:t>and</w:t>
      </w:r>
      <w:r>
        <w:rPr>
          <w:spacing w:val="-2"/>
        </w:rPr>
        <w:t xml:space="preserve"> </w:t>
      </w:r>
      <w:r>
        <w:t>experiences</w:t>
      </w:r>
      <w:r>
        <w:rPr>
          <w:spacing w:val="-2"/>
        </w:rPr>
        <w:t xml:space="preserve"> </w:t>
      </w:r>
      <w:r>
        <w:t>for</w:t>
      </w:r>
      <w:r>
        <w:rPr>
          <w:spacing w:val="-2"/>
        </w:rPr>
        <w:t xml:space="preserve"> </w:t>
      </w:r>
      <w:r>
        <w:t>Australians</w:t>
      </w:r>
      <w:r>
        <w:rPr>
          <w:spacing w:val="-2"/>
        </w:rPr>
        <w:t xml:space="preserve"> </w:t>
      </w:r>
      <w:r>
        <w:t>and</w:t>
      </w:r>
      <w:r>
        <w:rPr>
          <w:spacing w:val="-2"/>
        </w:rPr>
        <w:t xml:space="preserve"> </w:t>
      </w:r>
      <w:r>
        <w:t>improves</w:t>
      </w:r>
      <w:r>
        <w:rPr>
          <w:spacing w:val="-2"/>
        </w:rPr>
        <w:t xml:space="preserve"> </w:t>
      </w:r>
      <w:r>
        <w:t>clinical appropriateness and sustainability in the health system by leading and coordinating healthcare quality improvement nationally.</w:t>
      </w:r>
    </w:p>
    <w:p w14:paraId="442D58F6" w14:textId="77777777" w:rsidR="009D54AF" w:rsidRDefault="00000000">
      <w:pPr>
        <w:spacing w:before="141" w:line="278" w:lineRule="auto"/>
        <w:ind w:left="142"/>
        <w:rPr>
          <w:sz w:val="21"/>
        </w:rPr>
      </w:pPr>
      <w:r>
        <w:rPr>
          <w:sz w:val="21"/>
        </w:rPr>
        <w:t>The</w:t>
      </w:r>
      <w:r>
        <w:rPr>
          <w:spacing w:val="-3"/>
          <w:sz w:val="21"/>
        </w:rPr>
        <w:t xml:space="preserve"> </w:t>
      </w:r>
      <w:r>
        <w:rPr>
          <w:sz w:val="21"/>
        </w:rPr>
        <w:t>functions</w:t>
      </w:r>
      <w:r>
        <w:rPr>
          <w:spacing w:val="-3"/>
          <w:sz w:val="21"/>
        </w:rPr>
        <w:t xml:space="preserve"> </w:t>
      </w:r>
      <w:r>
        <w:rPr>
          <w:sz w:val="21"/>
        </w:rPr>
        <w:t>of</w:t>
      </w:r>
      <w:r>
        <w:rPr>
          <w:spacing w:val="-3"/>
          <w:sz w:val="21"/>
        </w:rPr>
        <w:t xml:space="preserve"> </w:t>
      </w:r>
      <w:r>
        <w:rPr>
          <w:sz w:val="21"/>
        </w:rPr>
        <w:t>the</w:t>
      </w:r>
      <w:r>
        <w:rPr>
          <w:spacing w:val="-3"/>
          <w:sz w:val="21"/>
        </w:rPr>
        <w:t xml:space="preserve"> </w:t>
      </w:r>
      <w:r>
        <w:rPr>
          <w:sz w:val="21"/>
        </w:rPr>
        <w:t>Commission</w:t>
      </w:r>
      <w:r>
        <w:rPr>
          <w:spacing w:val="-3"/>
          <w:sz w:val="21"/>
        </w:rPr>
        <w:t xml:space="preserve"> </w:t>
      </w:r>
      <w:r>
        <w:rPr>
          <w:sz w:val="21"/>
        </w:rPr>
        <w:t>are</w:t>
      </w:r>
      <w:r>
        <w:rPr>
          <w:spacing w:val="-3"/>
          <w:sz w:val="21"/>
        </w:rPr>
        <w:t xml:space="preserve"> </w:t>
      </w:r>
      <w:r>
        <w:rPr>
          <w:sz w:val="21"/>
        </w:rPr>
        <w:t>specified</w:t>
      </w:r>
      <w:r>
        <w:rPr>
          <w:spacing w:val="-3"/>
          <w:sz w:val="21"/>
        </w:rPr>
        <w:t xml:space="preserve"> </w:t>
      </w:r>
      <w:r>
        <w:rPr>
          <w:sz w:val="21"/>
        </w:rPr>
        <w:t>in</w:t>
      </w:r>
      <w:r>
        <w:rPr>
          <w:spacing w:val="-3"/>
          <w:sz w:val="21"/>
        </w:rPr>
        <w:t xml:space="preserve"> </w:t>
      </w:r>
      <w:r>
        <w:rPr>
          <w:sz w:val="21"/>
        </w:rPr>
        <w:t>section</w:t>
      </w:r>
      <w:r>
        <w:rPr>
          <w:spacing w:val="-3"/>
          <w:sz w:val="21"/>
        </w:rPr>
        <w:t xml:space="preserve"> </w:t>
      </w:r>
      <w:r>
        <w:rPr>
          <w:sz w:val="21"/>
        </w:rPr>
        <w:t>9</w:t>
      </w:r>
      <w:r>
        <w:rPr>
          <w:spacing w:val="-3"/>
          <w:sz w:val="21"/>
        </w:rPr>
        <w:t xml:space="preserve"> </w:t>
      </w:r>
      <w:r>
        <w:rPr>
          <w:sz w:val="21"/>
        </w:rPr>
        <w:t>of</w:t>
      </w:r>
      <w:r>
        <w:rPr>
          <w:spacing w:val="-3"/>
          <w:sz w:val="21"/>
        </w:rPr>
        <w:t xml:space="preserve"> </w:t>
      </w:r>
      <w:r>
        <w:rPr>
          <w:sz w:val="21"/>
        </w:rPr>
        <w:t>the</w:t>
      </w:r>
      <w:r>
        <w:rPr>
          <w:spacing w:val="-4"/>
          <w:sz w:val="21"/>
        </w:rPr>
        <w:t xml:space="preserve"> </w:t>
      </w:r>
      <w:r>
        <w:rPr>
          <w:i/>
          <w:sz w:val="21"/>
        </w:rPr>
        <w:t>National</w:t>
      </w:r>
      <w:r>
        <w:rPr>
          <w:i/>
          <w:spacing w:val="-3"/>
          <w:sz w:val="21"/>
        </w:rPr>
        <w:t xml:space="preserve"> </w:t>
      </w:r>
      <w:r>
        <w:rPr>
          <w:i/>
          <w:sz w:val="21"/>
        </w:rPr>
        <w:t>Health</w:t>
      </w:r>
      <w:r>
        <w:rPr>
          <w:i/>
          <w:spacing w:val="-3"/>
          <w:sz w:val="21"/>
        </w:rPr>
        <w:t xml:space="preserve"> </w:t>
      </w:r>
      <w:r>
        <w:rPr>
          <w:i/>
          <w:sz w:val="21"/>
        </w:rPr>
        <w:t>Reform</w:t>
      </w:r>
      <w:r>
        <w:rPr>
          <w:i/>
          <w:spacing w:val="-3"/>
          <w:sz w:val="21"/>
        </w:rPr>
        <w:t xml:space="preserve"> </w:t>
      </w:r>
      <w:r>
        <w:rPr>
          <w:i/>
          <w:sz w:val="21"/>
        </w:rPr>
        <w:t>Act</w:t>
      </w:r>
      <w:r>
        <w:rPr>
          <w:i/>
          <w:spacing w:val="-3"/>
          <w:sz w:val="21"/>
        </w:rPr>
        <w:t xml:space="preserve"> </w:t>
      </w:r>
      <w:r>
        <w:rPr>
          <w:i/>
          <w:sz w:val="21"/>
        </w:rPr>
        <w:t>2011</w:t>
      </w:r>
      <w:r>
        <w:rPr>
          <w:sz w:val="21"/>
        </w:rPr>
        <w:t>.</w:t>
      </w:r>
      <w:r>
        <w:rPr>
          <w:spacing w:val="-3"/>
          <w:sz w:val="21"/>
        </w:rPr>
        <w:t xml:space="preserve"> </w:t>
      </w:r>
      <w:r>
        <w:rPr>
          <w:sz w:val="21"/>
        </w:rPr>
        <w:t xml:space="preserve">They </w:t>
      </w:r>
      <w:r>
        <w:rPr>
          <w:spacing w:val="-2"/>
          <w:sz w:val="21"/>
        </w:rPr>
        <w:t>include:</w:t>
      </w:r>
    </w:p>
    <w:p w14:paraId="1ABAB427" w14:textId="77777777" w:rsidR="009D54AF" w:rsidRDefault="00000000">
      <w:pPr>
        <w:pStyle w:val="ListParagraph"/>
        <w:numPr>
          <w:ilvl w:val="0"/>
          <w:numId w:val="31"/>
        </w:numPr>
        <w:tabs>
          <w:tab w:val="left" w:pos="424"/>
        </w:tabs>
        <w:spacing w:before="57"/>
        <w:ind w:left="424" w:hanging="268"/>
        <w:rPr>
          <w:sz w:val="21"/>
        </w:rPr>
      </w:pPr>
      <w:r>
        <w:rPr>
          <w:sz w:val="21"/>
        </w:rPr>
        <w:t>formulating</w:t>
      </w:r>
      <w:r>
        <w:rPr>
          <w:spacing w:val="-5"/>
          <w:sz w:val="21"/>
        </w:rPr>
        <w:t xml:space="preserve"> </w:t>
      </w:r>
      <w:r>
        <w:rPr>
          <w:sz w:val="21"/>
        </w:rPr>
        <w:t>standards,</w:t>
      </w:r>
      <w:r>
        <w:rPr>
          <w:spacing w:val="-3"/>
          <w:sz w:val="21"/>
        </w:rPr>
        <w:t xml:space="preserve"> </w:t>
      </w:r>
      <w:r>
        <w:rPr>
          <w:sz w:val="21"/>
        </w:rPr>
        <w:t>guidelines</w:t>
      </w:r>
      <w:r>
        <w:rPr>
          <w:spacing w:val="-2"/>
          <w:sz w:val="21"/>
        </w:rPr>
        <w:t xml:space="preserve"> </w:t>
      </w:r>
      <w:r>
        <w:rPr>
          <w:sz w:val="21"/>
        </w:rPr>
        <w:t>and</w:t>
      </w:r>
      <w:r>
        <w:rPr>
          <w:spacing w:val="-3"/>
          <w:sz w:val="21"/>
        </w:rPr>
        <w:t xml:space="preserve"> </w:t>
      </w:r>
      <w:r>
        <w:rPr>
          <w:sz w:val="21"/>
        </w:rPr>
        <w:t>indicators</w:t>
      </w:r>
      <w:r>
        <w:rPr>
          <w:spacing w:val="-2"/>
          <w:sz w:val="21"/>
        </w:rPr>
        <w:t xml:space="preserve"> </w:t>
      </w:r>
      <w:r>
        <w:rPr>
          <w:sz w:val="21"/>
        </w:rPr>
        <w:t>relating</w:t>
      </w:r>
      <w:r>
        <w:rPr>
          <w:spacing w:val="-3"/>
          <w:sz w:val="21"/>
        </w:rPr>
        <w:t xml:space="preserve"> </w:t>
      </w:r>
      <w:r>
        <w:rPr>
          <w:sz w:val="21"/>
        </w:rPr>
        <w:t>to</w:t>
      </w:r>
      <w:r>
        <w:rPr>
          <w:spacing w:val="-2"/>
          <w:sz w:val="21"/>
        </w:rPr>
        <w:t xml:space="preserve"> </w:t>
      </w:r>
      <w:r>
        <w:rPr>
          <w:sz w:val="21"/>
        </w:rPr>
        <w:t>healthcare</w:t>
      </w:r>
      <w:r>
        <w:rPr>
          <w:spacing w:val="-3"/>
          <w:sz w:val="21"/>
        </w:rPr>
        <w:t xml:space="preserve"> </w:t>
      </w:r>
      <w:r>
        <w:rPr>
          <w:sz w:val="21"/>
        </w:rPr>
        <w:t>safety</w:t>
      </w:r>
      <w:r>
        <w:rPr>
          <w:spacing w:val="-2"/>
          <w:sz w:val="21"/>
        </w:rPr>
        <w:t xml:space="preserve"> </w:t>
      </w:r>
      <w:r>
        <w:rPr>
          <w:sz w:val="21"/>
        </w:rPr>
        <w:t>and</w:t>
      </w:r>
      <w:r>
        <w:rPr>
          <w:spacing w:val="-3"/>
          <w:sz w:val="21"/>
        </w:rPr>
        <w:t xml:space="preserve"> </w:t>
      </w:r>
      <w:r>
        <w:rPr>
          <w:sz w:val="21"/>
        </w:rPr>
        <w:t>quality</w:t>
      </w:r>
      <w:r>
        <w:rPr>
          <w:spacing w:val="-2"/>
          <w:sz w:val="21"/>
        </w:rPr>
        <w:t xml:space="preserve"> matters</w:t>
      </w:r>
    </w:p>
    <w:p w14:paraId="079E0D65" w14:textId="77777777" w:rsidR="009D54AF" w:rsidRDefault="00000000">
      <w:pPr>
        <w:pStyle w:val="ListParagraph"/>
        <w:numPr>
          <w:ilvl w:val="0"/>
          <w:numId w:val="31"/>
        </w:numPr>
        <w:tabs>
          <w:tab w:val="left" w:pos="424"/>
        </w:tabs>
        <w:ind w:left="424" w:hanging="268"/>
        <w:rPr>
          <w:sz w:val="21"/>
        </w:rPr>
      </w:pPr>
      <w:r>
        <w:rPr>
          <w:sz w:val="21"/>
        </w:rPr>
        <w:t>advising</w:t>
      </w:r>
      <w:r>
        <w:rPr>
          <w:spacing w:val="-3"/>
          <w:sz w:val="21"/>
        </w:rPr>
        <w:t xml:space="preserve"> </w:t>
      </w:r>
      <w:r>
        <w:rPr>
          <w:sz w:val="21"/>
        </w:rPr>
        <w:t>health</w:t>
      </w:r>
      <w:r>
        <w:rPr>
          <w:spacing w:val="-2"/>
          <w:sz w:val="21"/>
        </w:rPr>
        <w:t xml:space="preserve"> </w:t>
      </w:r>
      <w:r>
        <w:rPr>
          <w:sz w:val="21"/>
        </w:rPr>
        <w:t>ministers</w:t>
      </w:r>
      <w:r>
        <w:rPr>
          <w:spacing w:val="-2"/>
          <w:sz w:val="21"/>
        </w:rPr>
        <w:t xml:space="preserve"> </w:t>
      </w:r>
      <w:r>
        <w:rPr>
          <w:sz w:val="21"/>
        </w:rPr>
        <w:t>on</w:t>
      </w:r>
      <w:r>
        <w:rPr>
          <w:spacing w:val="-3"/>
          <w:sz w:val="21"/>
        </w:rPr>
        <w:t xml:space="preserve"> </w:t>
      </w:r>
      <w:r>
        <w:rPr>
          <w:sz w:val="21"/>
        </w:rPr>
        <w:t>national</w:t>
      </w:r>
      <w:r>
        <w:rPr>
          <w:spacing w:val="-2"/>
          <w:sz w:val="21"/>
        </w:rPr>
        <w:t xml:space="preserve"> </w:t>
      </w:r>
      <w:r>
        <w:rPr>
          <w:sz w:val="21"/>
        </w:rPr>
        <w:t>clinical</w:t>
      </w:r>
      <w:r>
        <w:rPr>
          <w:spacing w:val="-2"/>
          <w:sz w:val="21"/>
        </w:rPr>
        <w:t xml:space="preserve"> standards</w:t>
      </w:r>
    </w:p>
    <w:p w14:paraId="55748B45" w14:textId="77777777" w:rsidR="009D54AF" w:rsidRDefault="00000000">
      <w:pPr>
        <w:pStyle w:val="ListParagraph"/>
        <w:numPr>
          <w:ilvl w:val="0"/>
          <w:numId w:val="31"/>
        </w:numPr>
        <w:tabs>
          <w:tab w:val="left" w:pos="424"/>
          <w:tab w:val="left" w:pos="440"/>
        </w:tabs>
        <w:spacing w:line="278" w:lineRule="auto"/>
        <w:ind w:right="251" w:hanging="284"/>
        <w:rPr>
          <w:sz w:val="21"/>
        </w:rPr>
      </w:pPr>
      <w:r>
        <w:rPr>
          <w:sz w:val="21"/>
        </w:rPr>
        <w:t>promoting,</w:t>
      </w:r>
      <w:r>
        <w:rPr>
          <w:spacing w:val="-2"/>
          <w:sz w:val="21"/>
        </w:rPr>
        <w:t xml:space="preserve"> </w:t>
      </w:r>
      <w:r>
        <w:rPr>
          <w:sz w:val="21"/>
        </w:rPr>
        <w:t>supporting</w:t>
      </w:r>
      <w:r>
        <w:rPr>
          <w:spacing w:val="-2"/>
          <w:sz w:val="21"/>
        </w:rPr>
        <w:t xml:space="preserve"> </w:t>
      </w:r>
      <w:r>
        <w:rPr>
          <w:sz w:val="21"/>
        </w:rPr>
        <w:t>and</w:t>
      </w:r>
      <w:r>
        <w:rPr>
          <w:spacing w:val="-2"/>
          <w:sz w:val="21"/>
        </w:rPr>
        <w:t xml:space="preserve"> </w:t>
      </w:r>
      <w:r>
        <w:rPr>
          <w:sz w:val="21"/>
        </w:rPr>
        <w:t>encouraging</w:t>
      </w:r>
      <w:r>
        <w:rPr>
          <w:spacing w:val="-2"/>
          <w:sz w:val="21"/>
        </w:rPr>
        <w:t xml:space="preserve"> </w:t>
      </w:r>
      <w:r>
        <w:rPr>
          <w:sz w:val="21"/>
        </w:rPr>
        <w:t>the</w:t>
      </w:r>
      <w:r>
        <w:rPr>
          <w:spacing w:val="-2"/>
          <w:sz w:val="21"/>
        </w:rPr>
        <w:t xml:space="preserve"> </w:t>
      </w:r>
      <w:r>
        <w:rPr>
          <w:sz w:val="21"/>
        </w:rPr>
        <w:t>implementation</w:t>
      </w:r>
      <w:r>
        <w:rPr>
          <w:spacing w:val="-2"/>
          <w:sz w:val="21"/>
        </w:rPr>
        <w:t xml:space="preserve"> </w:t>
      </w:r>
      <w:r>
        <w:rPr>
          <w:sz w:val="21"/>
        </w:rPr>
        <w:t>of</w:t>
      </w:r>
      <w:r>
        <w:rPr>
          <w:spacing w:val="-2"/>
          <w:sz w:val="21"/>
        </w:rPr>
        <w:t xml:space="preserve"> </w:t>
      </w:r>
      <w:r>
        <w:rPr>
          <w:sz w:val="21"/>
        </w:rPr>
        <w:t>these</w:t>
      </w:r>
      <w:r>
        <w:rPr>
          <w:spacing w:val="-2"/>
          <w:sz w:val="21"/>
        </w:rPr>
        <w:t xml:space="preserve"> </w:t>
      </w:r>
      <w:r>
        <w:rPr>
          <w:sz w:val="21"/>
        </w:rPr>
        <w:t>standards</w:t>
      </w:r>
      <w:r>
        <w:rPr>
          <w:spacing w:val="-2"/>
          <w:sz w:val="21"/>
        </w:rPr>
        <w:t xml:space="preserve"> </w:t>
      </w:r>
      <w:r>
        <w:rPr>
          <w:sz w:val="21"/>
        </w:rPr>
        <w:t>and</w:t>
      </w:r>
      <w:r>
        <w:rPr>
          <w:spacing w:val="-2"/>
          <w:sz w:val="21"/>
        </w:rPr>
        <w:t xml:space="preserve"> </w:t>
      </w:r>
      <w:r>
        <w:rPr>
          <w:sz w:val="21"/>
        </w:rPr>
        <w:t>related</w:t>
      </w:r>
      <w:r>
        <w:rPr>
          <w:spacing w:val="-2"/>
          <w:sz w:val="21"/>
        </w:rPr>
        <w:t xml:space="preserve"> </w:t>
      </w:r>
      <w:r>
        <w:rPr>
          <w:sz w:val="21"/>
        </w:rPr>
        <w:t>guidelines</w:t>
      </w:r>
      <w:r>
        <w:rPr>
          <w:spacing w:val="-2"/>
          <w:sz w:val="21"/>
        </w:rPr>
        <w:t xml:space="preserve"> </w:t>
      </w:r>
      <w:r>
        <w:rPr>
          <w:sz w:val="21"/>
        </w:rPr>
        <w:t xml:space="preserve">and </w:t>
      </w:r>
      <w:r>
        <w:rPr>
          <w:spacing w:val="-2"/>
          <w:sz w:val="21"/>
        </w:rPr>
        <w:t>indicators</w:t>
      </w:r>
    </w:p>
    <w:p w14:paraId="730FBD04" w14:textId="77777777" w:rsidR="009D54AF" w:rsidRDefault="00000000">
      <w:pPr>
        <w:pStyle w:val="ListParagraph"/>
        <w:numPr>
          <w:ilvl w:val="0"/>
          <w:numId w:val="31"/>
        </w:numPr>
        <w:tabs>
          <w:tab w:val="left" w:pos="424"/>
        </w:tabs>
        <w:spacing w:before="56"/>
        <w:ind w:left="424" w:hanging="268"/>
        <w:rPr>
          <w:sz w:val="21"/>
        </w:rPr>
      </w:pPr>
      <w:r>
        <w:rPr>
          <w:sz w:val="21"/>
        </w:rPr>
        <w:t>monitoring</w:t>
      </w:r>
      <w:r>
        <w:rPr>
          <w:spacing w:val="-4"/>
          <w:sz w:val="21"/>
        </w:rPr>
        <w:t xml:space="preserve"> </w:t>
      </w:r>
      <w:r>
        <w:rPr>
          <w:sz w:val="21"/>
        </w:rPr>
        <w:t>the</w:t>
      </w:r>
      <w:r>
        <w:rPr>
          <w:spacing w:val="-2"/>
          <w:sz w:val="21"/>
        </w:rPr>
        <w:t xml:space="preserve"> </w:t>
      </w:r>
      <w:r>
        <w:rPr>
          <w:sz w:val="21"/>
        </w:rPr>
        <w:t>implementation</w:t>
      </w:r>
      <w:r>
        <w:rPr>
          <w:spacing w:val="-1"/>
          <w:sz w:val="21"/>
        </w:rPr>
        <w:t xml:space="preserve"> </w:t>
      </w:r>
      <w:r>
        <w:rPr>
          <w:sz w:val="21"/>
        </w:rPr>
        <w:t>and</w:t>
      </w:r>
      <w:r>
        <w:rPr>
          <w:spacing w:val="-2"/>
          <w:sz w:val="21"/>
        </w:rPr>
        <w:t xml:space="preserve"> </w:t>
      </w:r>
      <w:r>
        <w:rPr>
          <w:sz w:val="21"/>
        </w:rPr>
        <w:t>impact</w:t>
      </w:r>
      <w:r>
        <w:rPr>
          <w:spacing w:val="-1"/>
          <w:sz w:val="21"/>
        </w:rPr>
        <w:t xml:space="preserve"> </w:t>
      </w:r>
      <w:r>
        <w:rPr>
          <w:sz w:val="21"/>
        </w:rPr>
        <w:t>of</w:t>
      </w:r>
      <w:r>
        <w:rPr>
          <w:spacing w:val="-2"/>
          <w:sz w:val="21"/>
        </w:rPr>
        <w:t xml:space="preserve"> </w:t>
      </w:r>
      <w:r>
        <w:rPr>
          <w:sz w:val="21"/>
        </w:rPr>
        <w:t>the</w:t>
      </w:r>
      <w:r>
        <w:rPr>
          <w:spacing w:val="-1"/>
          <w:sz w:val="21"/>
        </w:rPr>
        <w:t xml:space="preserve"> </w:t>
      </w:r>
      <w:r>
        <w:rPr>
          <w:spacing w:val="-2"/>
          <w:sz w:val="21"/>
        </w:rPr>
        <w:t>standards</w:t>
      </w:r>
    </w:p>
    <w:p w14:paraId="3DD33252" w14:textId="77777777" w:rsidR="009D54AF" w:rsidRDefault="00000000">
      <w:pPr>
        <w:pStyle w:val="ListParagraph"/>
        <w:numPr>
          <w:ilvl w:val="0"/>
          <w:numId w:val="31"/>
        </w:numPr>
        <w:tabs>
          <w:tab w:val="left" w:pos="424"/>
          <w:tab w:val="left" w:pos="440"/>
        </w:tabs>
        <w:spacing w:before="96" w:line="278" w:lineRule="auto"/>
        <w:ind w:right="1072" w:hanging="284"/>
        <w:rPr>
          <w:sz w:val="21"/>
        </w:rPr>
      </w:pPr>
      <w:r>
        <w:rPr>
          <w:sz w:val="21"/>
        </w:rPr>
        <w:t>promoting,</w:t>
      </w:r>
      <w:r>
        <w:rPr>
          <w:spacing w:val="-2"/>
          <w:sz w:val="21"/>
        </w:rPr>
        <w:t xml:space="preserve"> </w:t>
      </w:r>
      <w:r>
        <w:rPr>
          <w:sz w:val="21"/>
        </w:rPr>
        <w:t>supporting</w:t>
      </w:r>
      <w:r>
        <w:rPr>
          <w:spacing w:val="-2"/>
          <w:sz w:val="21"/>
        </w:rPr>
        <w:t xml:space="preserve"> </w:t>
      </w:r>
      <w:r>
        <w:rPr>
          <w:sz w:val="21"/>
        </w:rPr>
        <w:t>and</w:t>
      </w:r>
      <w:r>
        <w:rPr>
          <w:spacing w:val="-2"/>
          <w:sz w:val="21"/>
        </w:rPr>
        <w:t xml:space="preserve"> </w:t>
      </w:r>
      <w:r>
        <w:rPr>
          <w:sz w:val="21"/>
        </w:rPr>
        <w:t>encouraging</w:t>
      </w:r>
      <w:r>
        <w:rPr>
          <w:spacing w:val="-2"/>
          <w:sz w:val="21"/>
        </w:rPr>
        <w:t xml:space="preserve"> </w:t>
      </w:r>
      <w:r>
        <w:rPr>
          <w:sz w:val="21"/>
        </w:rPr>
        <w:t>the</w:t>
      </w:r>
      <w:r>
        <w:rPr>
          <w:spacing w:val="-2"/>
          <w:sz w:val="21"/>
        </w:rPr>
        <w:t xml:space="preserve"> </w:t>
      </w:r>
      <w:r>
        <w:rPr>
          <w:sz w:val="21"/>
        </w:rPr>
        <w:t>implementation</w:t>
      </w:r>
      <w:r>
        <w:rPr>
          <w:spacing w:val="-2"/>
          <w:sz w:val="21"/>
        </w:rPr>
        <w:t xml:space="preserve"> </w:t>
      </w:r>
      <w:r>
        <w:rPr>
          <w:sz w:val="21"/>
        </w:rPr>
        <w:t>of</w:t>
      </w:r>
      <w:r>
        <w:rPr>
          <w:spacing w:val="-2"/>
          <w:sz w:val="21"/>
        </w:rPr>
        <w:t xml:space="preserve"> </w:t>
      </w:r>
      <w:r>
        <w:rPr>
          <w:sz w:val="21"/>
        </w:rPr>
        <w:t>programs</w:t>
      </w:r>
      <w:r>
        <w:rPr>
          <w:spacing w:val="-2"/>
          <w:sz w:val="21"/>
        </w:rPr>
        <w:t xml:space="preserve"> </w:t>
      </w:r>
      <w:r>
        <w:rPr>
          <w:sz w:val="21"/>
        </w:rPr>
        <w:t>and</w:t>
      </w:r>
      <w:r>
        <w:rPr>
          <w:spacing w:val="-2"/>
          <w:sz w:val="21"/>
        </w:rPr>
        <w:t xml:space="preserve"> </w:t>
      </w:r>
      <w:r>
        <w:rPr>
          <w:sz w:val="21"/>
        </w:rPr>
        <w:t>initiatives</w:t>
      </w:r>
      <w:r>
        <w:rPr>
          <w:spacing w:val="-2"/>
          <w:sz w:val="21"/>
        </w:rPr>
        <w:t xml:space="preserve"> </w:t>
      </w:r>
      <w:r>
        <w:rPr>
          <w:sz w:val="21"/>
        </w:rPr>
        <w:t>relating</w:t>
      </w:r>
      <w:r>
        <w:rPr>
          <w:spacing w:val="-2"/>
          <w:sz w:val="21"/>
        </w:rPr>
        <w:t xml:space="preserve"> </w:t>
      </w:r>
      <w:r>
        <w:rPr>
          <w:sz w:val="21"/>
        </w:rPr>
        <w:t>to healthcare safety and quality matters</w:t>
      </w:r>
    </w:p>
    <w:p w14:paraId="6A3E54F8" w14:textId="77777777" w:rsidR="009D54AF" w:rsidRDefault="00000000">
      <w:pPr>
        <w:pStyle w:val="ListParagraph"/>
        <w:numPr>
          <w:ilvl w:val="0"/>
          <w:numId w:val="31"/>
        </w:numPr>
        <w:tabs>
          <w:tab w:val="left" w:pos="424"/>
          <w:tab w:val="left" w:pos="440"/>
        </w:tabs>
        <w:spacing w:before="56" w:line="278" w:lineRule="auto"/>
        <w:ind w:right="249" w:hanging="284"/>
        <w:rPr>
          <w:sz w:val="21"/>
        </w:rPr>
      </w:pPr>
      <w:r>
        <w:rPr>
          <w:sz w:val="21"/>
        </w:rPr>
        <w:t>formulating</w:t>
      </w:r>
      <w:r>
        <w:rPr>
          <w:spacing w:val="-2"/>
          <w:sz w:val="21"/>
        </w:rPr>
        <w:t xml:space="preserve"> </w:t>
      </w:r>
      <w:r>
        <w:rPr>
          <w:sz w:val="21"/>
        </w:rPr>
        <w:t>model</w:t>
      </w:r>
      <w:r>
        <w:rPr>
          <w:spacing w:val="-2"/>
          <w:sz w:val="21"/>
        </w:rPr>
        <w:t xml:space="preserve"> </w:t>
      </w:r>
      <w:r>
        <w:rPr>
          <w:sz w:val="21"/>
        </w:rPr>
        <w:t>national</w:t>
      </w:r>
      <w:r>
        <w:rPr>
          <w:spacing w:val="-2"/>
          <w:sz w:val="21"/>
        </w:rPr>
        <w:t xml:space="preserve"> </w:t>
      </w:r>
      <w:r>
        <w:rPr>
          <w:sz w:val="21"/>
        </w:rPr>
        <w:t>schemes</w:t>
      </w:r>
      <w:r>
        <w:rPr>
          <w:spacing w:val="-2"/>
          <w:sz w:val="21"/>
        </w:rPr>
        <w:t xml:space="preserve"> </w:t>
      </w:r>
      <w:r>
        <w:rPr>
          <w:sz w:val="21"/>
        </w:rPr>
        <w:t>that</w:t>
      </w:r>
      <w:r>
        <w:rPr>
          <w:spacing w:val="-2"/>
          <w:sz w:val="21"/>
        </w:rPr>
        <w:t xml:space="preserve"> </w:t>
      </w:r>
      <w:r>
        <w:rPr>
          <w:sz w:val="21"/>
        </w:rPr>
        <w:t>enable</w:t>
      </w:r>
      <w:r>
        <w:rPr>
          <w:spacing w:val="-2"/>
          <w:sz w:val="21"/>
        </w:rPr>
        <w:t xml:space="preserve"> </w:t>
      </w:r>
      <w:r>
        <w:rPr>
          <w:sz w:val="21"/>
        </w:rPr>
        <w:t>the</w:t>
      </w:r>
      <w:r>
        <w:rPr>
          <w:spacing w:val="-2"/>
          <w:sz w:val="21"/>
        </w:rPr>
        <w:t xml:space="preserve"> </w:t>
      </w:r>
      <w:r>
        <w:rPr>
          <w:sz w:val="21"/>
        </w:rPr>
        <w:t>accreditation</w:t>
      </w:r>
      <w:r>
        <w:rPr>
          <w:spacing w:val="-2"/>
          <w:sz w:val="21"/>
        </w:rPr>
        <w:t xml:space="preserve"> </w:t>
      </w:r>
      <w:r>
        <w:rPr>
          <w:sz w:val="21"/>
        </w:rPr>
        <w:t>of</w:t>
      </w:r>
      <w:r>
        <w:rPr>
          <w:spacing w:val="-2"/>
          <w:sz w:val="21"/>
        </w:rPr>
        <w:t xml:space="preserve"> </w:t>
      </w:r>
      <w:proofErr w:type="spellStart"/>
      <w:r>
        <w:rPr>
          <w:sz w:val="21"/>
        </w:rPr>
        <w:t>organisations</w:t>
      </w:r>
      <w:proofErr w:type="spellEnd"/>
      <w:r>
        <w:rPr>
          <w:spacing w:val="-2"/>
          <w:sz w:val="21"/>
        </w:rPr>
        <w:t xml:space="preserve"> </w:t>
      </w:r>
      <w:r>
        <w:rPr>
          <w:sz w:val="21"/>
        </w:rPr>
        <w:t>that</w:t>
      </w:r>
      <w:r>
        <w:rPr>
          <w:spacing w:val="-2"/>
          <w:sz w:val="21"/>
        </w:rPr>
        <w:t xml:space="preserve"> </w:t>
      </w:r>
      <w:r>
        <w:rPr>
          <w:sz w:val="21"/>
        </w:rPr>
        <w:t>provide</w:t>
      </w:r>
      <w:r>
        <w:rPr>
          <w:spacing w:val="-2"/>
          <w:sz w:val="21"/>
        </w:rPr>
        <w:t xml:space="preserve"> </w:t>
      </w:r>
      <w:r>
        <w:rPr>
          <w:sz w:val="21"/>
        </w:rPr>
        <w:t>healthcare services and relate to healthcare safety and quality matters</w:t>
      </w:r>
    </w:p>
    <w:p w14:paraId="744E9E7C" w14:textId="77777777" w:rsidR="009D54AF" w:rsidRDefault="00000000">
      <w:pPr>
        <w:pStyle w:val="ListParagraph"/>
        <w:numPr>
          <w:ilvl w:val="0"/>
          <w:numId w:val="31"/>
        </w:numPr>
        <w:tabs>
          <w:tab w:val="left" w:pos="424"/>
        </w:tabs>
        <w:spacing w:before="57"/>
        <w:ind w:left="424" w:hanging="268"/>
        <w:rPr>
          <w:sz w:val="21"/>
        </w:rPr>
      </w:pPr>
      <w:r>
        <w:rPr>
          <w:sz w:val="21"/>
        </w:rPr>
        <w:t>publishing</w:t>
      </w:r>
      <w:r>
        <w:rPr>
          <w:spacing w:val="-3"/>
          <w:sz w:val="21"/>
        </w:rPr>
        <w:t xml:space="preserve"> </w:t>
      </w:r>
      <w:r>
        <w:rPr>
          <w:sz w:val="21"/>
        </w:rPr>
        <w:t>reports</w:t>
      </w:r>
      <w:r>
        <w:rPr>
          <w:spacing w:val="-1"/>
          <w:sz w:val="21"/>
        </w:rPr>
        <w:t xml:space="preserve"> </w:t>
      </w:r>
      <w:r>
        <w:rPr>
          <w:sz w:val="21"/>
        </w:rPr>
        <w:t>and</w:t>
      </w:r>
      <w:r>
        <w:rPr>
          <w:spacing w:val="-1"/>
          <w:sz w:val="21"/>
        </w:rPr>
        <w:t xml:space="preserve"> </w:t>
      </w:r>
      <w:r>
        <w:rPr>
          <w:sz w:val="21"/>
        </w:rPr>
        <w:t>papers</w:t>
      </w:r>
      <w:r>
        <w:rPr>
          <w:spacing w:val="-1"/>
          <w:sz w:val="21"/>
        </w:rPr>
        <w:t xml:space="preserve"> </w:t>
      </w:r>
      <w:r>
        <w:rPr>
          <w:sz w:val="21"/>
        </w:rPr>
        <w:t>relating</w:t>
      </w:r>
      <w:r>
        <w:rPr>
          <w:spacing w:val="-1"/>
          <w:sz w:val="21"/>
        </w:rPr>
        <w:t xml:space="preserve"> </w:t>
      </w:r>
      <w:r>
        <w:rPr>
          <w:sz w:val="21"/>
        </w:rPr>
        <w:t>to</w:t>
      </w:r>
      <w:r>
        <w:rPr>
          <w:spacing w:val="-1"/>
          <w:sz w:val="21"/>
        </w:rPr>
        <w:t xml:space="preserve"> </w:t>
      </w:r>
      <w:r>
        <w:rPr>
          <w:sz w:val="21"/>
        </w:rPr>
        <w:t>healthcare</w:t>
      </w:r>
      <w:r>
        <w:rPr>
          <w:spacing w:val="-1"/>
          <w:sz w:val="21"/>
        </w:rPr>
        <w:t xml:space="preserve"> </w:t>
      </w:r>
      <w:r>
        <w:rPr>
          <w:sz w:val="21"/>
        </w:rPr>
        <w:t>safety</w:t>
      </w:r>
      <w:r>
        <w:rPr>
          <w:spacing w:val="-1"/>
          <w:sz w:val="21"/>
        </w:rPr>
        <w:t xml:space="preserve"> </w:t>
      </w:r>
      <w:r>
        <w:rPr>
          <w:sz w:val="21"/>
        </w:rPr>
        <w:t>and</w:t>
      </w:r>
      <w:r>
        <w:rPr>
          <w:spacing w:val="-1"/>
          <w:sz w:val="21"/>
        </w:rPr>
        <w:t xml:space="preserve"> </w:t>
      </w:r>
      <w:r>
        <w:rPr>
          <w:sz w:val="21"/>
        </w:rPr>
        <w:t>quality</w:t>
      </w:r>
      <w:r>
        <w:rPr>
          <w:spacing w:val="-1"/>
          <w:sz w:val="21"/>
        </w:rPr>
        <w:t xml:space="preserve"> </w:t>
      </w:r>
      <w:r>
        <w:rPr>
          <w:spacing w:val="-2"/>
          <w:sz w:val="21"/>
        </w:rPr>
        <w:t>matters.</w:t>
      </w:r>
    </w:p>
    <w:p w14:paraId="0722E693" w14:textId="77777777" w:rsidR="009D54AF" w:rsidRDefault="009D54AF">
      <w:pPr>
        <w:pStyle w:val="BodyText"/>
        <w:spacing w:before="132"/>
      </w:pPr>
    </w:p>
    <w:p w14:paraId="60F43BB0" w14:textId="77777777" w:rsidR="009D54AF" w:rsidRDefault="00000000">
      <w:pPr>
        <w:pStyle w:val="Heading5"/>
      </w:pPr>
      <w:r>
        <w:t>Analysis</w:t>
      </w:r>
      <w:r>
        <w:rPr>
          <w:spacing w:val="-4"/>
        </w:rPr>
        <w:t xml:space="preserve"> </w:t>
      </w:r>
      <w:r>
        <w:t>of</w:t>
      </w:r>
      <w:r>
        <w:rPr>
          <w:spacing w:val="-2"/>
        </w:rPr>
        <w:t xml:space="preserve"> </w:t>
      </w:r>
      <w:r>
        <w:t>performance</w:t>
      </w:r>
      <w:r>
        <w:rPr>
          <w:spacing w:val="-2"/>
        </w:rPr>
        <w:t xml:space="preserve"> </w:t>
      </w:r>
      <w:r>
        <w:t>against</w:t>
      </w:r>
      <w:r>
        <w:rPr>
          <w:spacing w:val="-1"/>
        </w:rPr>
        <w:t xml:space="preserve"> </w:t>
      </w:r>
      <w:r>
        <w:rPr>
          <w:spacing w:val="-2"/>
        </w:rPr>
        <w:t>purpose</w:t>
      </w:r>
    </w:p>
    <w:p w14:paraId="6CDE4C4E" w14:textId="5D461162" w:rsidR="009D54AF" w:rsidRDefault="00000000" w:rsidP="008F5B74">
      <w:pPr>
        <w:pStyle w:val="BodyText"/>
        <w:spacing w:before="133" w:line="278" w:lineRule="auto"/>
        <w:ind w:left="142"/>
      </w:pPr>
      <w:r>
        <w:t>In 2025–26, the Commission achieved its deliverables in line with the Commission’s section of the Health Portfolio Budget Statements and Corporate Plan 2025–26. The Commission continued to deliver consistently</w:t>
      </w:r>
      <w:r w:rsidR="008F5B74">
        <w:t xml:space="preserve"> </w:t>
      </w:r>
      <w:r>
        <w:t>high-quality</w:t>
      </w:r>
      <w:r>
        <w:rPr>
          <w:spacing w:val="-2"/>
        </w:rPr>
        <w:t xml:space="preserve"> </w:t>
      </w:r>
      <w:r>
        <w:t>and</w:t>
      </w:r>
      <w:r>
        <w:rPr>
          <w:spacing w:val="-2"/>
        </w:rPr>
        <w:t xml:space="preserve"> </w:t>
      </w:r>
      <w:r>
        <w:t>valuable</w:t>
      </w:r>
      <w:r>
        <w:rPr>
          <w:spacing w:val="-2"/>
        </w:rPr>
        <w:t xml:space="preserve"> </w:t>
      </w:r>
      <w:r>
        <w:t>work</w:t>
      </w:r>
      <w:r>
        <w:rPr>
          <w:spacing w:val="-2"/>
        </w:rPr>
        <w:t xml:space="preserve"> </w:t>
      </w:r>
      <w:r>
        <w:t>to</w:t>
      </w:r>
      <w:r>
        <w:rPr>
          <w:spacing w:val="-2"/>
        </w:rPr>
        <w:t xml:space="preserve"> </w:t>
      </w:r>
      <w:r>
        <w:t>the</w:t>
      </w:r>
      <w:r>
        <w:rPr>
          <w:spacing w:val="-2"/>
        </w:rPr>
        <w:t xml:space="preserve"> </w:t>
      </w:r>
      <w:r>
        <w:t>health</w:t>
      </w:r>
      <w:r>
        <w:rPr>
          <w:spacing w:val="-2"/>
        </w:rPr>
        <w:t xml:space="preserve"> </w:t>
      </w:r>
      <w:r>
        <w:t>system,</w:t>
      </w:r>
      <w:r>
        <w:rPr>
          <w:spacing w:val="-2"/>
        </w:rPr>
        <w:t xml:space="preserve"> </w:t>
      </w:r>
      <w:r>
        <w:t>to</w:t>
      </w:r>
      <w:r>
        <w:rPr>
          <w:spacing w:val="-2"/>
        </w:rPr>
        <w:t xml:space="preserve"> </w:t>
      </w:r>
      <w:r>
        <w:t>drive</w:t>
      </w:r>
      <w:r>
        <w:rPr>
          <w:spacing w:val="-2"/>
        </w:rPr>
        <w:t xml:space="preserve"> </w:t>
      </w:r>
      <w:r>
        <w:t>quality</w:t>
      </w:r>
      <w:r>
        <w:rPr>
          <w:spacing w:val="-2"/>
        </w:rPr>
        <w:t xml:space="preserve"> </w:t>
      </w:r>
      <w:r>
        <w:t>improvement</w:t>
      </w:r>
      <w:r>
        <w:rPr>
          <w:spacing w:val="-2"/>
        </w:rPr>
        <w:t xml:space="preserve"> </w:t>
      </w:r>
      <w:r>
        <w:t>and</w:t>
      </w:r>
      <w:r>
        <w:rPr>
          <w:spacing w:val="-2"/>
        </w:rPr>
        <w:t xml:space="preserve"> </w:t>
      </w:r>
      <w:r>
        <w:t>support</w:t>
      </w:r>
      <w:r>
        <w:rPr>
          <w:spacing w:val="-2"/>
        </w:rPr>
        <w:t xml:space="preserve"> </w:t>
      </w:r>
      <w:r>
        <w:t>better</w:t>
      </w:r>
      <w:r>
        <w:rPr>
          <w:spacing w:val="-2"/>
        </w:rPr>
        <w:t xml:space="preserve"> </w:t>
      </w:r>
      <w:r>
        <w:t xml:space="preserve">health </w:t>
      </w:r>
      <w:r>
        <w:rPr>
          <w:spacing w:val="-2"/>
        </w:rPr>
        <w:t>outcomes.</w:t>
      </w:r>
    </w:p>
    <w:p w14:paraId="27224473" w14:textId="77777777" w:rsidR="009D54AF" w:rsidRDefault="00000000">
      <w:pPr>
        <w:pStyle w:val="BodyText"/>
        <w:spacing w:before="141" w:line="278" w:lineRule="auto"/>
        <w:ind w:left="142"/>
      </w:pPr>
      <w:r>
        <w:t>The Commission’s Strategic Plan 2025–2030 guided the Commission in undertaking its work. The Strategy includes</w:t>
      </w:r>
      <w:r>
        <w:rPr>
          <w:spacing w:val="-2"/>
        </w:rPr>
        <w:t xml:space="preserve"> </w:t>
      </w:r>
      <w:r>
        <w:t>four</w:t>
      </w:r>
      <w:r>
        <w:rPr>
          <w:spacing w:val="-2"/>
        </w:rPr>
        <w:t xml:space="preserve"> </w:t>
      </w:r>
      <w:r>
        <w:t>strategic</w:t>
      </w:r>
      <w:r>
        <w:rPr>
          <w:spacing w:val="-2"/>
        </w:rPr>
        <w:t xml:space="preserve"> </w:t>
      </w:r>
      <w:r>
        <w:t>priorities</w:t>
      </w:r>
      <w:r>
        <w:rPr>
          <w:spacing w:val="-2"/>
        </w:rPr>
        <w:t xml:space="preserve"> </w:t>
      </w:r>
      <w:r>
        <w:t>that</w:t>
      </w:r>
      <w:r>
        <w:rPr>
          <w:spacing w:val="-2"/>
        </w:rPr>
        <w:t xml:space="preserve"> </w:t>
      </w:r>
      <w:r>
        <w:t>aim</w:t>
      </w:r>
      <w:r>
        <w:rPr>
          <w:spacing w:val="-2"/>
        </w:rPr>
        <w:t xml:space="preserve"> </w:t>
      </w:r>
      <w:r>
        <w:t>to</w:t>
      </w:r>
      <w:r>
        <w:rPr>
          <w:spacing w:val="-2"/>
        </w:rPr>
        <w:t xml:space="preserve"> </w:t>
      </w:r>
      <w:r>
        <w:t>ensure</w:t>
      </w:r>
      <w:r>
        <w:rPr>
          <w:spacing w:val="-2"/>
        </w:rPr>
        <w:t xml:space="preserve"> </w:t>
      </w:r>
      <w:r>
        <w:t>that</w:t>
      </w:r>
      <w:r>
        <w:rPr>
          <w:spacing w:val="-2"/>
        </w:rPr>
        <w:t xml:space="preserve"> </w:t>
      </w:r>
      <w:r>
        <w:t>high-quality</w:t>
      </w:r>
      <w:r>
        <w:rPr>
          <w:spacing w:val="-2"/>
        </w:rPr>
        <w:t xml:space="preserve"> </w:t>
      </w:r>
      <w:r>
        <w:t>care</w:t>
      </w:r>
      <w:r>
        <w:rPr>
          <w:spacing w:val="-2"/>
        </w:rPr>
        <w:t xml:space="preserve"> </w:t>
      </w:r>
      <w:r>
        <w:t>is</w:t>
      </w:r>
      <w:r>
        <w:rPr>
          <w:spacing w:val="-2"/>
        </w:rPr>
        <w:t xml:space="preserve"> </w:t>
      </w:r>
      <w:r>
        <w:t>delivered</w:t>
      </w:r>
      <w:r>
        <w:rPr>
          <w:spacing w:val="-2"/>
        </w:rPr>
        <w:t xml:space="preserve"> </w:t>
      </w:r>
      <w:r>
        <w:t>consistently,</w:t>
      </w:r>
      <w:r>
        <w:rPr>
          <w:spacing w:val="-2"/>
        </w:rPr>
        <w:t xml:space="preserve"> </w:t>
      </w:r>
      <w:r>
        <w:t>reliably</w:t>
      </w:r>
      <w:r>
        <w:rPr>
          <w:spacing w:val="-2"/>
        </w:rPr>
        <w:t xml:space="preserve"> </w:t>
      </w:r>
      <w:r>
        <w:t>and equitably for all Australians.</w:t>
      </w:r>
    </w:p>
    <w:p w14:paraId="68A8A9D8" w14:textId="77777777" w:rsidR="009D54AF" w:rsidRDefault="00000000">
      <w:pPr>
        <w:pStyle w:val="BodyText"/>
        <w:spacing w:before="142" w:line="278" w:lineRule="auto"/>
        <w:ind w:left="142" w:right="145"/>
      </w:pPr>
      <w:r>
        <w:lastRenderedPageBreak/>
        <w:t>Key to the Commission’s strategic priorities are partnerships led at a national level, supported by local activities</w:t>
      </w:r>
      <w:r>
        <w:rPr>
          <w:spacing w:val="-5"/>
        </w:rPr>
        <w:t xml:space="preserve"> </w:t>
      </w:r>
      <w:r>
        <w:t>and</w:t>
      </w:r>
      <w:r>
        <w:rPr>
          <w:spacing w:val="-5"/>
        </w:rPr>
        <w:t xml:space="preserve"> </w:t>
      </w:r>
      <w:r>
        <w:t>implementation</w:t>
      </w:r>
      <w:r>
        <w:rPr>
          <w:spacing w:val="-5"/>
        </w:rPr>
        <w:t xml:space="preserve"> </w:t>
      </w:r>
      <w:r>
        <w:t>to</w:t>
      </w:r>
      <w:r>
        <w:rPr>
          <w:spacing w:val="-5"/>
        </w:rPr>
        <w:t xml:space="preserve"> </w:t>
      </w:r>
      <w:r>
        <w:t>improve</w:t>
      </w:r>
      <w:r>
        <w:rPr>
          <w:spacing w:val="-5"/>
        </w:rPr>
        <w:t xml:space="preserve"> </w:t>
      </w:r>
      <w:r>
        <w:t>quality,</w:t>
      </w:r>
      <w:r>
        <w:rPr>
          <w:spacing w:val="-5"/>
        </w:rPr>
        <w:t xml:space="preserve"> </w:t>
      </w:r>
      <w:r>
        <w:t>value</w:t>
      </w:r>
      <w:r>
        <w:rPr>
          <w:spacing w:val="-5"/>
        </w:rPr>
        <w:t xml:space="preserve"> </w:t>
      </w:r>
      <w:r>
        <w:t>and</w:t>
      </w:r>
      <w:r>
        <w:rPr>
          <w:spacing w:val="-5"/>
        </w:rPr>
        <w:t xml:space="preserve"> </w:t>
      </w:r>
      <w:r>
        <w:t>outcomes.</w:t>
      </w:r>
      <w:r>
        <w:rPr>
          <w:spacing w:val="-5"/>
        </w:rPr>
        <w:t xml:space="preserve"> </w:t>
      </w:r>
      <w:r>
        <w:t>To</w:t>
      </w:r>
      <w:r>
        <w:rPr>
          <w:spacing w:val="-5"/>
        </w:rPr>
        <w:t xml:space="preserve"> </w:t>
      </w:r>
      <w:r>
        <w:t>facilitate</w:t>
      </w:r>
      <w:r>
        <w:rPr>
          <w:spacing w:val="-5"/>
        </w:rPr>
        <w:t xml:space="preserve"> </w:t>
      </w:r>
      <w:r>
        <w:t>these</w:t>
      </w:r>
      <w:r>
        <w:rPr>
          <w:spacing w:val="-5"/>
        </w:rPr>
        <w:t xml:space="preserve"> </w:t>
      </w:r>
      <w:r>
        <w:t>national</w:t>
      </w:r>
      <w:r>
        <w:rPr>
          <w:spacing w:val="-5"/>
        </w:rPr>
        <w:t xml:space="preserve"> </w:t>
      </w:r>
      <w:r>
        <w:t xml:space="preserve">partnerships, the Commission works closely with patients, carers, clinicians, the Australian and state and territory health systems, the private sector, managers and healthcare </w:t>
      </w:r>
      <w:proofErr w:type="spellStart"/>
      <w:r>
        <w:t>organisations</w:t>
      </w:r>
      <w:proofErr w:type="spellEnd"/>
      <w:r>
        <w:t xml:space="preserve"> to achieve a safe, high-quality and sustainable health system.</w:t>
      </w:r>
    </w:p>
    <w:p w14:paraId="2988BAE8" w14:textId="77777777" w:rsidR="009D54AF" w:rsidRDefault="00000000">
      <w:pPr>
        <w:pStyle w:val="BodyText"/>
        <w:spacing w:before="141" w:line="278" w:lineRule="auto"/>
        <w:ind w:left="142"/>
      </w:pPr>
      <w:r>
        <w:t>The Commission drives the delivery of excellent health care across the health system and patient journey, in collaboration with our key partners. The Commission works with its partners to support the implementation of safety and quality initiatives by developing guidance, resources, tools and educational materials.</w:t>
      </w:r>
    </w:p>
    <w:p w14:paraId="7D771E49" w14:textId="77777777" w:rsidR="009D54AF" w:rsidRDefault="00000000">
      <w:pPr>
        <w:pStyle w:val="BodyText"/>
        <w:spacing w:before="141" w:line="278" w:lineRule="auto"/>
        <w:ind w:left="142"/>
      </w:pPr>
      <w:r>
        <w:t>The Commission also supports an improvement-driven workforce culture, and the Commission supports the evaluation</w:t>
      </w:r>
      <w:r>
        <w:rPr>
          <w:spacing w:val="-3"/>
        </w:rPr>
        <w:t xml:space="preserve"> </w:t>
      </w:r>
      <w:r>
        <w:t>of</w:t>
      </w:r>
      <w:r>
        <w:rPr>
          <w:spacing w:val="-3"/>
        </w:rPr>
        <w:t xml:space="preserve"> </w:t>
      </w:r>
      <w:r>
        <w:t>its</w:t>
      </w:r>
      <w:r>
        <w:rPr>
          <w:spacing w:val="-3"/>
        </w:rPr>
        <w:t xml:space="preserve"> </w:t>
      </w:r>
      <w:r>
        <w:t>activities</w:t>
      </w:r>
      <w:r>
        <w:rPr>
          <w:spacing w:val="-3"/>
        </w:rPr>
        <w:t xml:space="preserve"> </w:t>
      </w:r>
      <w:r>
        <w:t>and</w:t>
      </w:r>
      <w:r>
        <w:rPr>
          <w:spacing w:val="-3"/>
        </w:rPr>
        <w:t xml:space="preserve"> </w:t>
      </w:r>
      <w:r>
        <w:t>the</w:t>
      </w:r>
      <w:r>
        <w:rPr>
          <w:spacing w:val="-3"/>
        </w:rPr>
        <w:t xml:space="preserve"> </w:t>
      </w:r>
      <w:r>
        <w:t>measurement</w:t>
      </w:r>
      <w:r>
        <w:rPr>
          <w:spacing w:val="-3"/>
        </w:rPr>
        <w:t xml:space="preserve"> </w:t>
      </w:r>
      <w:r>
        <w:t>of</w:t>
      </w:r>
      <w:r>
        <w:rPr>
          <w:spacing w:val="-3"/>
        </w:rPr>
        <w:t xml:space="preserve"> </w:t>
      </w:r>
      <w:r>
        <w:t>the</w:t>
      </w:r>
      <w:r>
        <w:rPr>
          <w:spacing w:val="-3"/>
        </w:rPr>
        <w:t xml:space="preserve"> </w:t>
      </w:r>
      <w:r>
        <w:t>impact</w:t>
      </w:r>
      <w:r>
        <w:rPr>
          <w:spacing w:val="-3"/>
        </w:rPr>
        <w:t xml:space="preserve"> </w:t>
      </w:r>
      <w:r>
        <w:t>on</w:t>
      </w:r>
      <w:r>
        <w:rPr>
          <w:spacing w:val="-3"/>
        </w:rPr>
        <w:t xml:space="preserve"> </w:t>
      </w:r>
      <w:r>
        <w:t>the</w:t>
      </w:r>
      <w:r>
        <w:rPr>
          <w:spacing w:val="-3"/>
        </w:rPr>
        <w:t xml:space="preserve"> </w:t>
      </w:r>
      <w:r>
        <w:t>health</w:t>
      </w:r>
      <w:r>
        <w:rPr>
          <w:spacing w:val="-3"/>
        </w:rPr>
        <w:t xml:space="preserve"> </w:t>
      </w:r>
      <w:r>
        <w:t>system</w:t>
      </w:r>
      <w:r>
        <w:rPr>
          <w:spacing w:val="-3"/>
        </w:rPr>
        <w:t xml:space="preserve"> </w:t>
      </w:r>
      <w:r>
        <w:t>of</w:t>
      </w:r>
      <w:r>
        <w:rPr>
          <w:spacing w:val="-3"/>
        </w:rPr>
        <w:t xml:space="preserve"> </w:t>
      </w:r>
      <w:r>
        <w:t>its</w:t>
      </w:r>
      <w:r>
        <w:rPr>
          <w:spacing w:val="-3"/>
        </w:rPr>
        <w:t xml:space="preserve"> </w:t>
      </w:r>
      <w:r>
        <w:t>initiatives</w:t>
      </w:r>
      <w:r>
        <w:rPr>
          <w:spacing w:val="-3"/>
        </w:rPr>
        <w:t xml:space="preserve"> </w:t>
      </w:r>
      <w:r>
        <w:t>to</w:t>
      </w:r>
      <w:r>
        <w:rPr>
          <w:spacing w:val="-3"/>
        </w:rPr>
        <w:t xml:space="preserve"> </w:t>
      </w:r>
      <w:r>
        <w:t>improve safety and quality. The Commission continually looks to identify new and emerging safety and quality issues while being responsive to the evolving needs of its partners and the healthcare system.</w:t>
      </w:r>
    </w:p>
    <w:p w14:paraId="5DD1C5B6" w14:textId="77777777" w:rsidR="009D54AF" w:rsidRDefault="00000000">
      <w:pPr>
        <w:pStyle w:val="BodyText"/>
        <w:spacing w:before="141" w:line="278" w:lineRule="auto"/>
        <w:ind w:left="142" w:right="285"/>
      </w:pPr>
      <w:r>
        <w:t>The Commission has taken a risk management approach to balancing work plan activities, including considering</w:t>
      </w:r>
      <w:r>
        <w:rPr>
          <w:spacing w:val="-1"/>
        </w:rPr>
        <w:t xml:space="preserve"> </w:t>
      </w:r>
      <w:r>
        <w:t>the</w:t>
      </w:r>
      <w:r>
        <w:rPr>
          <w:spacing w:val="-1"/>
        </w:rPr>
        <w:t xml:space="preserve"> </w:t>
      </w:r>
      <w:r>
        <w:t>impact</w:t>
      </w:r>
      <w:r>
        <w:rPr>
          <w:spacing w:val="-1"/>
        </w:rPr>
        <w:t xml:space="preserve"> </w:t>
      </w:r>
      <w:r>
        <w:t>of</w:t>
      </w:r>
      <w:r>
        <w:rPr>
          <w:spacing w:val="-1"/>
        </w:rPr>
        <w:t xml:space="preserve"> </w:t>
      </w:r>
      <w:r>
        <w:t>its</w:t>
      </w:r>
      <w:r>
        <w:rPr>
          <w:spacing w:val="-1"/>
        </w:rPr>
        <w:t xml:space="preserve"> </w:t>
      </w:r>
      <w:r>
        <w:t>work</w:t>
      </w:r>
      <w:r>
        <w:rPr>
          <w:spacing w:val="-1"/>
        </w:rPr>
        <w:t xml:space="preserve"> </w:t>
      </w:r>
      <w:r>
        <w:t>on</w:t>
      </w:r>
      <w:r>
        <w:rPr>
          <w:spacing w:val="-1"/>
        </w:rPr>
        <w:t xml:space="preserve"> </w:t>
      </w:r>
      <w:r>
        <w:t>the</w:t>
      </w:r>
      <w:r>
        <w:rPr>
          <w:spacing w:val="-1"/>
        </w:rPr>
        <w:t xml:space="preserve"> </w:t>
      </w:r>
      <w:r>
        <w:t>health</w:t>
      </w:r>
      <w:r>
        <w:rPr>
          <w:spacing w:val="-1"/>
        </w:rPr>
        <w:t xml:space="preserve"> </w:t>
      </w:r>
      <w:r>
        <w:t>system</w:t>
      </w:r>
      <w:r>
        <w:rPr>
          <w:spacing w:val="-1"/>
        </w:rPr>
        <w:t xml:space="preserve"> </w:t>
      </w:r>
      <w:r>
        <w:t>as</w:t>
      </w:r>
      <w:r>
        <w:rPr>
          <w:spacing w:val="-1"/>
        </w:rPr>
        <w:t xml:space="preserve"> </w:t>
      </w:r>
      <w:r>
        <w:t>it</w:t>
      </w:r>
      <w:r>
        <w:rPr>
          <w:spacing w:val="-1"/>
        </w:rPr>
        <w:t xml:space="preserve"> </w:t>
      </w:r>
      <w:r>
        <w:t>manages</w:t>
      </w:r>
      <w:r>
        <w:rPr>
          <w:spacing w:val="-1"/>
        </w:rPr>
        <w:t xml:space="preserve"> </w:t>
      </w:r>
      <w:r>
        <w:t>ongoing</w:t>
      </w:r>
      <w:r>
        <w:rPr>
          <w:spacing w:val="-1"/>
        </w:rPr>
        <w:t xml:space="preserve"> </w:t>
      </w:r>
      <w:r>
        <w:t>pressures</w:t>
      </w:r>
      <w:r>
        <w:rPr>
          <w:spacing w:val="-1"/>
        </w:rPr>
        <w:t xml:space="preserve"> </w:t>
      </w:r>
      <w:r>
        <w:t>and</w:t>
      </w:r>
      <w:r>
        <w:rPr>
          <w:spacing w:val="-1"/>
        </w:rPr>
        <w:t xml:space="preserve"> </w:t>
      </w:r>
      <w:r>
        <w:t>workforce challenges. The Commission continually monitors the progress of projects and deliverables and has consequently been able to progress its strategic priorities as planned, and deliver the work plan.</w:t>
      </w:r>
    </w:p>
    <w:p w14:paraId="32F03D19" w14:textId="77777777" w:rsidR="008F5B74" w:rsidRDefault="008F5B74">
      <w:pPr>
        <w:rPr>
          <w:sz w:val="21"/>
          <w:szCs w:val="21"/>
        </w:rPr>
      </w:pPr>
      <w:r>
        <w:br w:type="page"/>
      </w:r>
    </w:p>
    <w:p w14:paraId="539AC63C" w14:textId="6415C9EC" w:rsidR="009D54AF" w:rsidRDefault="00000000">
      <w:pPr>
        <w:pStyle w:val="BodyText"/>
        <w:spacing w:before="142"/>
        <w:ind w:left="142"/>
      </w:pPr>
      <w:r>
        <w:lastRenderedPageBreak/>
        <w:t>In</w:t>
      </w:r>
      <w:r>
        <w:rPr>
          <w:spacing w:val="-5"/>
        </w:rPr>
        <w:t xml:space="preserve"> </w:t>
      </w:r>
      <w:r>
        <w:t>2025–26,</w:t>
      </w:r>
      <w:r>
        <w:rPr>
          <w:spacing w:val="-3"/>
        </w:rPr>
        <w:t xml:space="preserve"> </w:t>
      </w:r>
      <w:r>
        <w:t>some</w:t>
      </w:r>
      <w:r>
        <w:rPr>
          <w:spacing w:val="-3"/>
        </w:rPr>
        <w:t xml:space="preserve"> </w:t>
      </w:r>
      <w:r>
        <w:t>of</w:t>
      </w:r>
      <w:r>
        <w:rPr>
          <w:spacing w:val="-3"/>
        </w:rPr>
        <w:t xml:space="preserve"> </w:t>
      </w:r>
      <w:r>
        <w:t>the</w:t>
      </w:r>
      <w:r>
        <w:rPr>
          <w:spacing w:val="-3"/>
        </w:rPr>
        <w:t xml:space="preserve"> </w:t>
      </w:r>
      <w:r>
        <w:t>Commission’s</w:t>
      </w:r>
      <w:r>
        <w:rPr>
          <w:spacing w:val="-3"/>
        </w:rPr>
        <w:t xml:space="preserve"> </w:t>
      </w:r>
      <w:r>
        <w:t>key</w:t>
      </w:r>
      <w:r>
        <w:rPr>
          <w:spacing w:val="-3"/>
        </w:rPr>
        <w:t xml:space="preserve"> </w:t>
      </w:r>
      <w:r>
        <w:t>achievements</w:t>
      </w:r>
      <w:r>
        <w:rPr>
          <w:spacing w:val="-3"/>
        </w:rPr>
        <w:t xml:space="preserve"> </w:t>
      </w:r>
      <w:r>
        <w:rPr>
          <w:spacing w:val="-2"/>
        </w:rPr>
        <w:t>included:</w:t>
      </w:r>
    </w:p>
    <w:p w14:paraId="73B3D3F2" w14:textId="77777777" w:rsidR="009D54AF" w:rsidRDefault="00000000">
      <w:pPr>
        <w:pStyle w:val="ListParagraph"/>
        <w:numPr>
          <w:ilvl w:val="0"/>
          <w:numId w:val="31"/>
        </w:numPr>
        <w:tabs>
          <w:tab w:val="left" w:pos="424"/>
          <w:tab w:val="left" w:pos="440"/>
        </w:tabs>
        <w:spacing w:line="278" w:lineRule="auto"/>
        <w:ind w:right="905" w:hanging="284"/>
        <w:rPr>
          <w:sz w:val="21"/>
        </w:rPr>
      </w:pPr>
      <w:r>
        <w:rPr>
          <w:sz w:val="21"/>
        </w:rPr>
        <w:t>release</w:t>
      </w:r>
      <w:r>
        <w:rPr>
          <w:spacing w:val="-1"/>
          <w:sz w:val="21"/>
        </w:rPr>
        <w:t xml:space="preserve"> </w:t>
      </w:r>
      <w:r>
        <w:rPr>
          <w:sz w:val="21"/>
        </w:rPr>
        <w:t>of</w:t>
      </w:r>
      <w:r>
        <w:rPr>
          <w:spacing w:val="-1"/>
          <w:sz w:val="21"/>
        </w:rPr>
        <w:t xml:space="preserve"> </w:t>
      </w:r>
      <w:r>
        <w:rPr>
          <w:sz w:val="21"/>
        </w:rPr>
        <w:t>the</w:t>
      </w:r>
      <w:r>
        <w:rPr>
          <w:spacing w:val="-1"/>
          <w:sz w:val="21"/>
        </w:rPr>
        <w:t xml:space="preserve"> </w:t>
      </w:r>
      <w:r>
        <w:rPr>
          <w:sz w:val="21"/>
        </w:rPr>
        <w:t>priorities</w:t>
      </w:r>
      <w:r>
        <w:rPr>
          <w:spacing w:val="-1"/>
          <w:sz w:val="21"/>
        </w:rPr>
        <w:t xml:space="preserve"> </w:t>
      </w:r>
      <w:r>
        <w:rPr>
          <w:sz w:val="21"/>
        </w:rPr>
        <w:t>for</w:t>
      </w:r>
      <w:r>
        <w:rPr>
          <w:spacing w:val="-1"/>
          <w:sz w:val="21"/>
        </w:rPr>
        <w:t xml:space="preserve"> </w:t>
      </w:r>
      <w:r>
        <w:rPr>
          <w:sz w:val="21"/>
        </w:rPr>
        <w:t>high-quality</w:t>
      </w:r>
      <w:r>
        <w:rPr>
          <w:spacing w:val="-1"/>
          <w:sz w:val="21"/>
        </w:rPr>
        <w:t xml:space="preserve"> </w:t>
      </w:r>
      <w:r>
        <w:rPr>
          <w:sz w:val="21"/>
        </w:rPr>
        <w:t>digitally</w:t>
      </w:r>
      <w:r>
        <w:rPr>
          <w:spacing w:val="-1"/>
          <w:sz w:val="21"/>
        </w:rPr>
        <w:t xml:space="preserve"> </w:t>
      </w:r>
      <w:r>
        <w:rPr>
          <w:sz w:val="21"/>
        </w:rPr>
        <w:t>enabled</w:t>
      </w:r>
      <w:r>
        <w:rPr>
          <w:spacing w:val="-1"/>
          <w:sz w:val="21"/>
        </w:rPr>
        <w:t xml:space="preserve"> </w:t>
      </w:r>
      <w:r>
        <w:rPr>
          <w:sz w:val="21"/>
        </w:rPr>
        <w:t>care,</w:t>
      </w:r>
      <w:r>
        <w:rPr>
          <w:spacing w:val="-1"/>
          <w:sz w:val="21"/>
        </w:rPr>
        <w:t xml:space="preserve"> </w:t>
      </w:r>
      <w:r>
        <w:rPr>
          <w:sz w:val="21"/>
        </w:rPr>
        <w:t>articulating</w:t>
      </w:r>
      <w:r>
        <w:rPr>
          <w:spacing w:val="-1"/>
          <w:sz w:val="21"/>
        </w:rPr>
        <w:t xml:space="preserve"> </w:t>
      </w:r>
      <w:r>
        <w:rPr>
          <w:sz w:val="21"/>
        </w:rPr>
        <w:t>the</w:t>
      </w:r>
      <w:r>
        <w:rPr>
          <w:spacing w:val="-1"/>
          <w:sz w:val="21"/>
        </w:rPr>
        <w:t xml:space="preserve"> </w:t>
      </w:r>
      <w:r>
        <w:rPr>
          <w:sz w:val="21"/>
        </w:rPr>
        <w:t>Commission’s</w:t>
      </w:r>
      <w:r>
        <w:rPr>
          <w:spacing w:val="-1"/>
          <w:sz w:val="21"/>
        </w:rPr>
        <w:t xml:space="preserve"> </w:t>
      </w:r>
      <w:r>
        <w:rPr>
          <w:sz w:val="21"/>
        </w:rPr>
        <w:t>unique national leadership role in ensuring digitally enabled care is safe, integrated and trusted</w:t>
      </w:r>
    </w:p>
    <w:p w14:paraId="54D6D72F" w14:textId="77777777" w:rsidR="009D54AF" w:rsidRDefault="00000000">
      <w:pPr>
        <w:pStyle w:val="ListParagraph"/>
        <w:numPr>
          <w:ilvl w:val="0"/>
          <w:numId w:val="31"/>
        </w:numPr>
        <w:tabs>
          <w:tab w:val="left" w:pos="424"/>
          <w:tab w:val="left" w:pos="440"/>
        </w:tabs>
        <w:spacing w:before="56" w:line="278" w:lineRule="auto"/>
        <w:ind w:right="187" w:hanging="284"/>
        <w:rPr>
          <w:sz w:val="21"/>
        </w:rPr>
      </w:pPr>
      <w:r>
        <w:rPr>
          <w:sz w:val="21"/>
        </w:rPr>
        <w:t>release</w:t>
      </w:r>
      <w:r>
        <w:rPr>
          <w:spacing w:val="-3"/>
          <w:sz w:val="21"/>
        </w:rPr>
        <w:t xml:space="preserve"> </w:t>
      </w:r>
      <w:r>
        <w:rPr>
          <w:sz w:val="21"/>
        </w:rPr>
        <w:t>of</w:t>
      </w:r>
      <w:r>
        <w:rPr>
          <w:spacing w:val="-3"/>
          <w:sz w:val="21"/>
        </w:rPr>
        <w:t xml:space="preserve"> </w:t>
      </w:r>
      <w:r>
        <w:rPr>
          <w:sz w:val="21"/>
        </w:rPr>
        <w:t>the</w:t>
      </w:r>
      <w:r>
        <w:rPr>
          <w:spacing w:val="-3"/>
          <w:sz w:val="21"/>
        </w:rPr>
        <w:t xml:space="preserve"> </w:t>
      </w:r>
      <w:r>
        <w:rPr>
          <w:i/>
          <w:sz w:val="21"/>
        </w:rPr>
        <w:t>Medication</w:t>
      </w:r>
      <w:r>
        <w:rPr>
          <w:i/>
          <w:spacing w:val="-3"/>
          <w:sz w:val="21"/>
        </w:rPr>
        <w:t xml:space="preserve"> </w:t>
      </w:r>
      <w:r>
        <w:rPr>
          <w:i/>
          <w:sz w:val="21"/>
        </w:rPr>
        <w:t>Management</w:t>
      </w:r>
      <w:r>
        <w:rPr>
          <w:i/>
          <w:spacing w:val="-3"/>
          <w:sz w:val="21"/>
        </w:rPr>
        <w:t xml:space="preserve"> </w:t>
      </w:r>
      <w:r>
        <w:rPr>
          <w:i/>
          <w:sz w:val="21"/>
        </w:rPr>
        <w:t>at</w:t>
      </w:r>
      <w:r>
        <w:rPr>
          <w:i/>
          <w:spacing w:val="-3"/>
          <w:sz w:val="21"/>
        </w:rPr>
        <w:t xml:space="preserve"> </w:t>
      </w:r>
      <w:r>
        <w:rPr>
          <w:i/>
          <w:sz w:val="21"/>
        </w:rPr>
        <w:t>Transitions</w:t>
      </w:r>
      <w:r>
        <w:rPr>
          <w:i/>
          <w:spacing w:val="-3"/>
          <w:sz w:val="21"/>
        </w:rPr>
        <w:t xml:space="preserve"> </w:t>
      </w:r>
      <w:r>
        <w:rPr>
          <w:i/>
          <w:sz w:val="21"/>
        </w:rPr>
        <w:t>of</w:t>
      </w:r>
      <w:r>
        <w:rPr>
          <w:i/>
          <w:spacing w:val="-3"/>
          <w:sz w:val="21"/>
        </w:rPr>
        <w:t xml:space="preserve"> </w:t>
      </w:r>
      <w:r>
        <w:rPr>
          <w:i/>
          <w:sz w:val="21"/>
        </w:rPr>
        <w:t>Care</w:t>
      </w:r>
      <w:r>
        <w:rPr>
          <w:i/>
          <w:spacing w:val="-3"/>
          <w:sz w:val="21"/>
        </w:rPr>
        <w:t xml:space="preserve"> </w:t>
      </w:r>
      <w:r>
        <w:rPr>
          <w:i/>
          <w:sz w:val="21"/>
        </w:rPr>
        <w:t>Stewardship</w:t>
      </w:r>
      <w:r>
        <w:rPr>
          <w:i/>
          <w:spacing w:val="-3"/>
          <w:sz w:val="21"/>
        </w:rPr>
        <w:t xml:space="preserve"> </w:t>
      </w:r>
      <w:r>
        <w:rPr>
          <w:i/>
          <w:sz w:val="21"/>
        </w:rPr>
        <w:t>Framework</w:t>
      </w:r>
      <w:r>
        <w:rPr>
          <w:i/>
          <w:spacing w:val="-4"/>
          <w:sz w:val="21"/>
        </w:rPr>
        <w:t xml:space="preserve"> </w:t>
      </w:r>
      <w:r>
        <w:rPr>
          <w:sz w:val="21"/>
        </w:rPr>
        <w:t>to</w:t>
      </w:r>
      <w:r>
        <w:rPr>
          <w:spacing w:val="-3"/>
          <w:sz w:val="21"/>
        </w:rPr>
        <w:t xml:space="preserve"> </w:t>
      </w:r>
      <w:r>
        <w:rPr>
          <w:sz w:val="21"/>
        </w:rPr>
        <w:t>support</w:t>
      </w:r>
      <w:r>
        <w:rPr>
          <w:spacing w:val="-3"/>
          <w:sz w:val="21"/>
        </w:rPr>
        <w:t xml:space="preserve"> </w:t>
      </w:r>
      <w:r>
        <w:rPr>
          <w:sz w:val="21"/>
        </w:rPr>
        <w:t>safe</w:t>
      </w:r>
      <w:r>
        <w:rPr>
          <w:spacing w:val="-3"/>
          <w:sz w:val="21"/>
        </w:rPr>
        <w:t xml:space="preserve"> </w:t>
      </w:r>
      <w:r>
        <w:rPr>
          <w:sz w:val="21"/>
        </w:rPr>
        <w:t>and high-quality medication management when patients transition from acute care to primary and aged care</w:t>
      </w:r>
    </w:p>
    <w:p w14:paraId="510A120C" w14:textId="77777777" w:rsidR="009D54AF" w:rsidRDefault="00000000">
      <w:pPr>
        <w:pStyle w:val="ListParagraph"/>
        <w:numPr>
          <w:ilvl w:val="0"/>
          <w:numId w:val="31"/>
        </w:numPr>
        <w:tabs>
          <w:tab w:val="left" w:pos="424"/>
          <w:tab w:val="left" w:pos="440"/>
        </w:tabs>
        <w:spacing w:before="57" w:line="278" w:lineRule="auto"/>
        <w:ind w:right="647" w:hanging="284"/>
        <w:rPr>
          <w:sz w:val="21"/>
        </w:rPr>
      </w:pPr>
      <w:r>
        <w:rPr>
          <w:sz w:val="21"/>
        </w:rPr>
        <w:t>launch</w:t>
      </w:r>
      <w:r>
        <w:rPr>
          <w:spacing w:val="-3"/>
          <w:sz w:val="21"/>
        </w:rPr>
        <w:t xml:space="preserve"> </w:t>
      </w:r>
      <w:r>
        <w:rPr>
          <w:sz w:val="21"/>
        </w:rPr>
        <w:t>of</w:t>
      </w:r>
      <w:r>
        <w:rPr>
          <w:spacing w:val="-3"/>
          <w:sz w:val="21"/>
        </w:rPr>
        <w:t xml:space="preserve"> </w:t>
      </w:r>
      <w:r>
        <w:rPr>
          <w:sz w:val="21"/>
        </w:rPr>
        <w:t>the</w:t>
      </w:r>
      <w:r>
        <w:rPr>
          <w:spacing w:val="-3"/>
          <w:sz w:val="21"/>
        </w:rPr>
        <w:t xml:space="preserve"> </w:t>
      </w:r>
      <w:r>
        <w:rPr>
          <w:sz w:val="21"/>
        </w:rPr>
        <w:t>Emergency</w:t>
      </w:r>
      <w:r>
        <w:rPr>
          <w:spacing w:val="-3"/>
          <w:sz w:val="21"/>
        </w:rPr>
        <w:t xml:space="preserve"> </w:t>
      </w:r>
      <w:r>
        <w:rPr>
          <w:sz w:val="21"/>
        </w:rPr>
        <w:t>Laparotomy</w:t>
      </w:r>
      <w:r>
        <w:rPr>
          <w:spacing w:val="-3"/>
          <w:sz w:val="21"/>
        </w:rPr>
        <w:t xml:space="preserve"> </w:t>
      </w:r>
      <w:r>
        <w:rPr>
          <w:sz w:val="21"/>
        </w:rPr>
        <w:t>Clinical</w:t>
      </w:r>
      <w:r>
        <w:rPr>
          <w:spacing w:val="-3"/>
          <w:sz w:val="21"/>
        </w:rPr>
        <w:t xml:space="preserve"> </w:t>
      </w:r>
      <w:r>
        <w:rPr>
          <w:sz w:val="21"/>
        </w:rPr>
        <w:t>Care</w:t>
      </w:r>
      <w:r>
        <w:rPr>
          <w:spacing w:val="-3"/>
          <w:sz w:val="21"/>
        </w:rPr>
        <w:t xml:space="preserve"> </w:t>
      </w:r>
      <w:r>
        <w:rPr>
          <w:sz w:val="21"/>
        </w:rPr>
        <w:t>Standard</w:t>
      </w:r>
      <w:r>
        <w:rPr>
          <w:spacing w:val="-3"/>
          <w:sz w:val="21"/>
        </w:rPr>
        <w:t xml:space="preserve"> </w:t>
      </w:r>
      <w:r>
        <w:rPr>
          <w:sz w:val="21"/>
        </w:rPr>
        <w:t>to</w:t>
      </w:r>
      <w:r>
        <w:rPr>
          <w:spacing w:val="-3"/>
          <w:sz w:val="21"/>
        </w:rPr>
        <w:t xml:space="preserve"> </w:t>
      </w:r>
      <w:proofErr w:type="spellStart"/>
      <w:r>
        <w:rPr>
          <w:sz w:val="21"/>
        </w:rPr>
        <w:t>optimise</w:t>
      </w:r>
      <w:proofErr w:type="spellEnd"/>
      <w:r>
        <w:rPr>
          <w:spacing w:val="-3"/>
          <w:sz w:val="21"/>
        </w:rPr>
        <w:t xml:space="preserve"> </w:t>
      </w:r>
      <w:r>
        <w:rPr>
          <w:sz w:val="21"/>
        </w:rPr>
        <w:t>outcomes</w:t>
      </w:r>
      <w:r>
        <w:rPr>
          <w:spacing w:val="-3"/>
          <w:sz w:val="21"/>
        </w:rPr>
        <w:t xml:space="preserve"> </w:t>
      </w:r>
      <w:r>
        <w:rPr>
          <w:sz w:val="21"/>
        </w:rPr>
        <w:t>including</w:t>
      </w:r>
      <w:r>
        <w:rPr>
          <w:spacing w:val="-3"/>
          <w:sz w:val="21"/>
        </w:rPr>
        <w:t xml:space="preserve"> </w:t>
      </w:r>
      <w:r>
        <w:rPr>
          <w:sz w:val="21"/>
        </w:rPr>
        <w:t>survival, quality of life and functional independence for patients undergoing this high-risk surgery</w:t>
      </w:r>
    </w:p>
    <w:p w14:paraId="0A632663" w14:textId="77777777" w:rsidR="009D54AF" w:rsidRDefault="00000000">
      <w:pPr>
        <w:pStyle w:val="ListParagraph"/>
        <w:numPr>
          <w:ilvl w:val="0"/>
          <w:numId w:val="31"/>
        </w:numPr>
        <w:tabs>
          <w:tab w:val="left" w:pos="424"/>
          <w:tab w:val="left" w:pos="440"/>
        </w:tabs>
        <w:spacing w:before="56" w:line="278" w:lineRule="auto"/>
        <w:ind w:right="523" w:hanging="284"/>
        <w:rPr>
          <w:sz w:val="21"/>
        </w:rPr>
      </w:pPr>
      <w:r>
        <w:rPr>
          <w:sz w:val="21"/>
        </w:rPr>
        <w:t>release of the updated Stroke Clinical Care Standard to improve the assessment, management and transitions</w:t>
      </w:r>
      <w:r>
        <w:rPr>
          <w:spacing w:val="-2"/>
          <w:sz w:val="21"/>
        </w:rPr>
        <w:t xml:space="preserve"> </w:t>
      </w:r>
      <w:r>
        <w:rPr>
          <w:sz w:val="21"/>
        </w:rPr>
        <w:t>of</w:t>
      </w:r>
      <w:r>
        <w:rPr>
          <w:spacing w:val="-2"/>
          <w:sz w:val="21"/>
        </w:rPr>
        <w:t xml:space="preserve"> </w:t>
      </w:r>
      <w:r>
        <w:rPr>
          <w:sz w:val="21"/>
        </w:rPr>
        <w:t>care</w:t>
      </w:r>
      <w:r>
        <w:rPr>
          <w:spacing w:val="-2"/>
          <w:sz w:val="21"/>
        </w:rPr>
        <w:t xml:space="preserve"> </w:t>
      </w:r>
      <w:r>
        <w:rPr>
          <w:sz w:val="21"/>
        </w:rPr>
        <w:t>for</w:t>
      </w:r>
      <w:r>
        <w:rPr>
          <w:spacing w:val="-2"/>
          <w:sz w:val="21"/>
        </w:rPr>
        <w:t xml:space="preserve"> </w:t>
      </w:r>
      <w:r>
        <w:rPr>
          <w:sz w:val="21"/>
        </w:rPr>
        <w:t>patients</w:t>
      </w:r>
      <w:r>
        <w:rPr>
          <w:spacing w:val="-2"/>
          <w:sz w:val="21"/>
        </w:rPr>
        <w:t xml:space="preserve"> </w:t>
      </w:r>
      <w:r>
        <w:rPr>
          <w:sz w:val="21"/>
        </w:rPr>
        <w:t>with</w:t>
      </w:r>
      <w:r>
        <w:rPr>
          <w:spacing w:val="-2"/>
          <w:sz w:val="21"/>
        </w:rPr>
        <w:t xml:space="preserve"> </w:t>
      </w:r>
      <w:r>
        <w:rPr>
          <w:sz w:val="21"/>
        </w:rPr>
        <w:t>stroke</w:t>
      </w:r>
      <w:r>
        <w:rPr>
          <w:spacing w:val="-2"/>
          <w:sz w:val="21"/>
        </w:rPr>
        <w:t xml:space="preserve"> </w:t>
      </w:r>
      <w:r>
        <w:rPr>
          <w:sz w:val="21"/>
        </w:rPr>
        <w:t>to</w:t>
      </w:r>
      <w:r>
        <w:rPr>
          <w:spacing w:val="-2"/>
          <w:sz w:val="21"/>
        </w:rPr>
        <w:t xml:space="preserve"> </w:t>
      </w:r>
      <w:r>
        <w:rPr>
          <w:sz w:val="21"/>
        </w:rPr>
        <w:t>increase</w:t>
      </w:r>
      <w:r>
        <w:rPr>
          <w:spacing w:val="-2"/>
          <w:sz w:val="21"/>
        </w:rPr>
        <w:t xml:space="preserve"> </w:t>
      </w:r>
      <w:r>
        <w:rPr>
          <w:sz w:val="21"/>
        </w:rPr>
        <w:t>likelihood</w:t>
      </w:r>
      <w:r>
        <w:rPr>
          <w:spacing w:val="-2"/>
          <w:sz w:val="21"/>
        </w:rPr>
        <w:t xml:space="preserve"> </w:t>
      </w:r>
      <w:r>
        <w:rPr>
          <w:sz w:val="21"/>
        </w:rPr>
        <w:t>of</w:t>
      </w:r>
      <w:r>
        <w:rPr>
          <w:spacing w:val="-2"/>
          <w:sz w:val="21"/>
        </w:rPr>
        <w:t xml:space="preserve"> </w:t>
      </w:r>
      <w:r>
        <w:rPr>
          <w:sz w:val="21"/>
        </w:rPr>
        <w:t>survival</w:t>
      </w:r>
      <w:r>
        <w:rPr>
          <w:spacing w:val="-2"/>
          <w:sz w:val="21"/>
        </w:rPr>
        <w:t xml:space="preserve"> </w:t>
      </w:r>
      <w:r>
        <w:rPr>
          <w:sz w:val="21"/>
        </w:rPr>
        <w:t>and</w:t>
      </w:r>
      <w:r>
        <w:rPr>
          <w:spacing w:val="-2"/>
          <w:sz w:val="21"/>
        </w:rPr>
        <w:t xml:space="preserve"> </w:t>
      </w:r>
      <w:r>
        <w:rPr>
          <w:sz w:val="21"/>
        </w:rPr>
        <w:t>recovery</w:t>
      </w:r>
      <w:r>
        <w:rPr>
          <w:spacing w:val="-2"/>
          <w:sz w:val="21"/>
        </w:rPr>
        <w:t xml:space="preserve"> </w:t>
      </w:r>
      <w:r>
        <w:rPr>
          <w:sz w:val="21"/>
        </w:rPr>
        <w:t>while</w:t>
      </w:r>
      <w:r>
        <w:rPr>
          <w:spacing w:val="-2"/>
          <w:sz w:val="21"/>
        </w:rPr>
        <w:t xml:space="preserve"> </w:t>
      </w:r>
      <w:r>
        <w:rPr>
          <w:sz w:val="21"/>
        </w:rPr>
        <w:t>reducing risk of another stroke</w:t>
      </w:r>
    </w:p>
    <w:p w14:paraId="18C45725" w14:textId="77777777" w:rsidR="009D54AF" w:rsidRDefault="00000000">
      <w:pPr>
        <w:pStyle w:val="ListParagraph"/>
        <w:numPr>
          <w:ilvl w:val="0"/>
          <w:numId w:val="31"/>
        </w:numPr>
        <w:tabs>
          <w:tab w:val="left" w:pos="424"/>
          <w:tab w:val="left" w:pos="440"/>
        </w:tabs>
        <w:spacing w:before="57" w:line="278" w:lineRule="auto"/>
        <w:ind w:right="481" w:hanging="284"/>
        <w:rPr>
          <w:sz w:val="21"/>
        </w:rPr>
      </w:pPr>
      <w:r>
        <w:rPr>
          <w:sz w:val="21"/>
        </w:rPr>
        <w:t>launch</w:t>
      </w:r>
      <w:r>
        <w:rPr>
          <w:spacing w:val="-1"/>
          <w:sz w:val="21"/>
        </w:rPr>
        <w:t xml:space="preserve"> </w:t>
      </w:r>
      <w:r>
        <w:rPr>
          <w:sz w:val="21"/>
        </w:rPr>
        <w:t>of</w:t>
      </w:r>
      <w:r>
        <w:rPr>
          <w:spacing w:val="-1"/>
          <w:sz w:val="21"/>
        </w:rPr>
        <w:t xml:space="preserve"> </w:t>
      </w:r>
      <w:r>
        <w:rPr>
          <w:sz w:val="21"/>
        </w:rPr>
        <w:t>the</w:t>
      </w:r>
      <w:r>
        <w:rPr>
          <w:spacing w:val="-1"/>
          <w:sz w:val="21"/>
        </w:rPr>
        <w:t xml:space="preserve"> </w:t>
      </w:r>
      <w:r>
        <w:rPr>
          <w:i/>
          <w:sz w:val="21"/>
        </w:rPr>
        <w:t>Atlas</w:t>
      </w:r>
      <w:r>
        <w:rPr>
          <w:i/>
          <w:spacing w:val="-1"/>
          <w:sz w:val="21"/>
        </w:rPr>
        <w:t xml:space="preserve"> </w:t>
      </w:r>
      <w:r>
        <w:rPr>
          <w:i/>
          <w:sz w:val="21"/>
        </w:rPr>
        <w:t>Focus</w:t>
      </w:r>
      <w:r>
        <w:rPr>
          <w:i/>
          <w:spacing w:val="-1"/>
          <w:sz w:val="21"/>
        </w:rPr>
        <w:t xml:space="preserve"> </w:t>
      </w:r>
      <w:r>
        <w:rPr>
          <w:i/>
          <w:sz w:val="21"/>
        </w:rPr>
        <w:t>Report:</w:t>
      </w:r>
      <w:r>
        <w:rPr>
          <w:i/>
          <w:spacing w:val="-1"/>
          <w:sz w:val="21"/>
        </w:rPr>
        <w:t xml:space="preserve"> </w:t>
      </w:r>
      <w:r>
        <w:rPr>
          <w:i/>
          <w:sz w:val="21"/>
        </w:rPr>
        <w:t>Colonoscopy</w:t>
      </w:r>
      <w:r>
        <w:rPr>
          <w:i/>
          <w:spacing w:val="-1"/>
          <w:sz w:val="21"/>
        </w:rPr>
        <w:t xml:space="preserve"> </w:t>
      </w:r>
      <w:r>
        <w:rPr>
          <w:sz w:val="21"/>
        </w:rPr>
        <w:t>with</w:t>
      </w:r>
      <w:r>
        <w:rPr>
          <w:spacing w:val="-1"/>
          <w:sz w:val="21"/>
        </w:rPr>
        <w:t xml:space="preserve"> </w:t>
      </w:r>
      <w:r>
        <w:rPr>
          <w:sz w:val="21"/>
        </w:rPr>
        <w:t>the</w:t>
      </w:r>
      <w:r>
        <w:rPr>
          <w:spacing w:val="-1"/>
          <w:sz w:val="21"/>
        </w:rPr>
        <w:t xml:space="preserve"> </w:t>
      </w:r>
      <w:r>
        <w:rPr>
          <w:sz w:val="21"/>
        </w:rPr>
        <w:t>revised</w:t>
      </w:r>
      <w:r>
        <w:rPr>
          <w:spacing w:val="-1"/>
          <w:sz w:val="21"/>
        </w:rPr>
        <w:t xml:space="preserve"> </w:t>
      </w:r>
      <w:r>
        <w:rPr>
          <w:sz w:val="21"/>
        </w:rPr>
        <w:t>Colonoscopy</w:t>
      </w:r>
      <w:r>
        <w:rPr>
          <w:spacing w:val="-1"/>
          <w:sz w:val="21"/>
        </w:rPr>
        <w:t xml:space="preserve"> </w:t>
      </w:r>
      <w:r>
        <w:rPr>
          <w:sz w:val="21"/>
        </w:rPr>
        <w:t>Clinical</w:t>
      </w:r>
      <w:r>
        <w:rPr>
          <w:spacing w:val="-1"/>
          <w:sz w:val="21"/>
        </w:rPr>
        <w:t xml:space="preserve"> </w:t>
      </w:r>
      <w:r>
        <w:rPr>
          <w:sz w:val="21"/>
        </w:rPr>
        <w:t>Care</w:t>
      </w:r>
      <w:r>
        <w:rPr>
          <w:spacing w:val="-1"/>
          <w:sz w:val="21"/>
        </w:rPr>
        <w:t xml:space="preserve"> </w:t>
      </w:r>
      <w:r>
        <w:rPr>
          <w:sz w:val="21"/>
        </w:rPr>
        <w:t>Standard</w:t>
      </w:r>
      <w:r>
        <w:rPr>
          <w:spacing w:val="-1"/>
          <w:sz w:val="21"/>
        </w:rPr>
        <w:t xml:space="preserve"> </w:t>
      </w:r>
      <w:r>
        <w:rPr>
          <w:sz w:val="21"/>
        </w:rPr>
        <w:t>at the World Congress of Gastroenterology</w:t>
      </w:r>
    </w:p>
    <w:p w14:paraId="3F4FDC3E" w14:textId="77777777" w:rsidR="009D54AF" w:rsidRDefault="00000000">
      <w:pPr>
        <w:pStyle w:val="ListParagraph"/>
        <w:numPr>
          <w:ilvl w:val="0"/>
          <w:numId w:val="31"/>
        </w:numPr>
        <w:tabs>
          <w:tab w:val="left" w:pos="424"/>
          <w:tab w:val="left" w:pos="440"/>
        </w:tabs>
        <w:spacing w:before="56" w:line="278" w:lineRule="auto"/>
        <w:ind w:right="1313" w:hanging="284"/>
        <w:rPr>
          <w:sz w:val="21"/>
        </w:rPr>
      </w:pPr>
      <w:r>
        <w:rPr>
          <w:sz w:val="21"/>
        </w:rPr>
        <w:t>release</w:t>
      </w:r>
      <w:r>
        <w:rPr>
          <w:spacing w:val="-2"/>
          <w:sz w:val="21"/>
        </w:rPr>
        <w:t xml:space="preserve"> </w:t>
      </w:r>
      <w:r>
        <w:rPr>
          <w:sz w:val="21"/>
        </w:rPr>
        <w:t>of</w:t>
      </w:r>
      <w:r>
        <w:rPr>
          <w:spacing w:val="-2"/>
          <w:sz w:val="21"/>
        </w:rPr>
        <w:t xml:space="preserve"> </w:t>
      </w:r>
      <w:r>
        <w:rPr>
          <w:sz w:val="21"/>
        </w:rPr>
        <w:t>the</w:t>
      </w:r>
      <w:r>
        <w:rPr>
          <w:spacing w:val="-2"/>
          <w:sz w:val="21"/>
        </w:rPr>
        <w:t xml:space="preserve"> </w:t>
      </w:r>
      <w:r>
        <w:rPr>
          <w:sz w:val="21"/>
        </w:rPr>
        <w:t>updated</w:t>
      </w:r>
      <w:r>
        <w:rPr>
          <w:spacing w:val="-2"/>
          <w:sz w:val="21"/>
        </w:rPr>
        <w:t xml:space="preserve"> </w:t>
      </w:r>
      <w:r>
        <w:rPr>
          <w:i/>
          <w:sz w:val="21"/>
        </w:rPr>
        <w:t>Assessor</w:t>
      </w:r>
      <w:r>
        <w:rPr>
          <w:i/>
          <w:spacing w:val="-2"/>
          <w:sz w:val="21"/>
        </w:rPr>
        <w:t xml:space="preserve"> </w:t>
      </w:r>
      <w:r>
        <w:rPr>
          <w:i/>
          <w:sz w:val="21"/>
        </w:rPr>
        <w:t>orientation</w:t>
      </w:r>
      <w:r>
        <w:rPr>
          <w:i/>
          <w:spacing w:val="-2"/>
          <w:sz w:val="21"/>
        </w:rPr>
        <w:t xml:space="preserve"> </w:t>
      </w:r>
      <w:r>
        <w:rPr>
          <w:i/>
          <w:sz w:val="21"/>
        </w:rPr>
        <w:t>training</w:t>
      </w:r>
      <w:r>
        <w:rPr>
          <w:i/>
          <w:spacing w:val="-2"/>
          <w:sz w:val="21"/>
        </w:rPr>
        <w:t xml:space="preserve"> </w:t>
      </w:r>
      <w:r>
        <w:rPr>
          <w:i/>
          <w:sz w:val="21"/>
        </w:rPr>
        <w:t>modules</w:t>
      </w:r>
      <w:r>
        <w:rPr>
          <w:sz w:val="21"/>
        </w:rPr>
        <w:t>,</w:t>
      </w:r>
      <w:r>
        <w:rPr>
          <w:spacing w:val="-2"/>
          <w:sz w:val="21"/>
        </w:rPr>
        <w:t xml:space="preserve"> </w:t>
      </w:r>
      <w:r>
        <w:rPr>
          <w:sz w:val="21"/>
        </w:rPr>
        <w:t>to</w:t>
      </w:r>
      <w:r>
        <w:rPr>
          <w:spacing w:val="-2"/>
          <w:sz w:val="21"/>
        </w:rPr>
        <w:t xml:space="preserve"> </w:t>
      </w:r>
      <w:r>
        <w:rPr>
          <w:sz w:val="21"/>
        </w:rPr>
        <w:t>align</w:t>
      </w:r>
      <w:r>
        <w:rPr>
          <w:spacing w:val="-2"/>
          <w:sz w:val="21"/>
        </w:rPr>
        <w:t xml:space="preserve"> </w:t>
      </w:r>
      <w:r>
        <w:rPr>
          <w:sz w:val="21"/>
        </w:rPr>
        <w:t>with</w:t>
      </w:r>
      <w:r>
        <w:rPr>
          <w:spacing w:val="-2"/>
          <w:sz w:val="21"/>
        </w:rPr>
        <w:t xml:space="preserve"> </w:t>
      </w:r>
      <w:r>
        <w:rPr>
          <w:sz w:val="21"/>
        </w:rPr>
        <w:t>the</w:t>
      </w:r>
      <w:r>
        <w:rPr>
          <w:spacing w:val="-2"/>
          <w:sz w:val="21"/>
        </w:rPr>
        <w:t xml:space="preserve"> </w:t>
      </w:r>
      <w:r>
        <w:rPr>
          <w:sz w:val="21"/>
        </w:rPr>
        <w:t>current</w:t>
      </w:r>
      <w:r>
        <w:rPr>
          <w:spacing w:val="-2"/>
          <w:sz w:val="21"/>
        </w:rPr>
        <w:t xml:space="preserve"> </w:t>
      </w:r>
      <w:r>
        <w:rPr>
          <w:sz w:val="21"/>
        </w:rPr>
        <w:t>stage</w:t>
      </w:r>
      <w:r>
        <w:rPr>
          <w:spacing w:val="-2"/>
          <w:sz w:val="21"/>
        </w:rPr>
        <w:t xml:space="preserve"> </w:t>
      </w:r>
      <w:r>
        <w:rPr>
          <w:sz w:val="21"/>
        </w:rPr>
        <w:t>of implementation of the National Safety and Quality Health Service (NSQHS) Standards</w:t>
      </w:r>
    </w:p>
    <w:p w14:paraId="75C0FA08" w14:textId="77777777" w:rsidR="009D54AF" w:rsidRDefault="00000000">
      <w:pPr>
        <w:pStyle w:val="ListParagraph"/>
        <w:numPr>
          <w:ilvl w:val="0"/>
          <w:numId w:val="31"/>
        </w:numPr>
        <w:tabs>
          <w:tab w:val="left" w:pos="424"/>
          <w:tab w:val="left" w:pos="440"/>
        </w:tabs>
        <w:spacing w:before="56" w:line="278" w:lineRule="auto"/>
        <w:ind w:right="459" w:hanging="284"/>
        <w:rPr>
          <w:sz w:val="21"/>
        </w:rPr>
      </w:pPr>
      <w:r>
        <w:rPr>
          <w:sz w:val="21"/>
        </w:rPr>
        <w:t>broad</w:t>
      </w:r>
      <w:r>
        <w:rPr>
          <w:spacing w:val="-3"/>
          <w:sz w:val="21"/>
        </w:rPr>
        <w:t xml:space="preserve"> </w:t>
      </w:r>
      <w:r>
        <w:rPr>
          <w:sz w:val="21"/>
        </w:rPr>
        <w:t>public</w:t>
      </w:r>
      <w:r>
        <w:rPr>
          <w:spacing w:val="-3"/>
          <w:sz w:val="21"/>
        </w:rPr>
        <w:t xml:space="preserve"> </w:t>
      </w:r>
      <w:r>
        <w:rPr>
          <w:sz w:val="21"/>
        </w:rPr>
        <w:t>consultation</w:t>
      </w:r>
      <w:r>
        <w:rPr>
          <w:spacing w:val="-3"/>
          <w:sz w:val="21"/>
        </w:rPr>
        <w:t xml:space="preserve"> </w:t>
      </w:r>
      <w:r>
        <w:rPr>
          <w:sz w:val="21"/>
        </w:rPr>
        <w:t>on</w:t>
      </w:r>
      <w:r>
        <w:rPr>
          <w:spacing w:val="-3"/>
          <w:sz w:val="21"/>
        </w:rPr>
        <w:t xml:space="preserve"> </w:t>
      </w:r>
      <w:r>
        <w:rPr>
          <w:sz w:val="21"/>
        </w:rPr>
        <w:t>the</w:t>
      </w:r>
      <w:r>
        <w:rPr>
          <w:spacing w:val="-3"/>
          <w:sz w:val="21"/>
        </w:rPr>
        <w:t xml:space="preserve"> </w:t>
      </w:r>
      <w:r>
        <w:rPr>
          <w:sz w:val="21"/>
        </w:rPr>
        <w:t>development</w:t>
      </w:r>
      <w:r>
        <w:rPr>
          <w:spacing w:val="-3"/>
          <w:sz w:val="21"/>
        </w:rPr>
        <w:t xml:space="preserve"> </w:t>
      </w:r>
      <w:r>
        <w:rPr>
          <w:sz w:val="21"/>
        </w:rPr>
        <w:t>of</w:t>
      </w:r>
      <w:r>
        <w:rPr>
          <w:spacing w:val="-3"/>
          <w:sz w:val="21"/>
        </w:rPr>
        <w:t xml:space="preserve"> </w:t>
      </w:r>
      <w:r>
        <w:rPr>
          <w:sz w:val="21"/>
        </w:rPr>
        <w:t>the</w:t>
      </w:r>
      <w:r>
        <w:rPr>
          <w:spacing w:val="-3"/>
          <w:sz w:val="21"/>
        </w:rPr>
        <w:t xml:space="preserve"> </w:t>
      </w:r>
      <w:r>
        <w:rPr>
          <w:sz w:val="21"/>
        </w:rPr>
        <w:t>NSQHS</w:t>
      </w:r>
      <w:r>
        <w:rPr>
          <w:spacing w:val="-3"/>
          <w:sz w:val="21"/>
        </w:rPr>
        <w:t xml:space="preserve"> </w:t>
      </w:r>
      <w:r>
        <w:rPr>
          <w:sz w:val="21"/>
        </w:rPr>
        <w:t>Standards</w:t>
      </w:r>
      <w:r>
        <w:rPr>
          <w:spacing w:val="-3"/>
          <w:sz w:val="21"/>
        </w:rPr>
        <w:t xml:space="preserve"> </w:t>
      </w:r>
      <w:r>
        <w:rPr>
          <w:sz w:val="21"/>
        </w:rPr>
        <w:t>(third</w:t>
      </w:r>
      <w:r>
        <w:rPr>
          <w:spacing w:val="-3"/>
          <w:sz w:val="21"/>
        </w:rPr>
        <w:t xml:space="preserve"> </w:t>
      </w:r>
      <w:r>
        <w:rPr>
          <w:sz w:val="21"/>
        </w:rPr>
        <w:t>edition)</w:t>
      </w:r>
      <w:r>
        <w:rPr>
          <w:spacing w:val="-3"/>
          <w:sz w:val="21"/>
        </w:rPr>
        <w:t xml:space="preserve"> </w:t>
      </w:r>
      <w:r>
        <w:rPr>
          <w:sz w:val="21"/>
        </w:rPr>
        <w:t>to</w:t>
      </w:r>
      <w:r>
        <w:rPr>
          <w:spacing w:val="-3"/>
          <w:sz w:val="21"/>
        </w:rPr>
        <w:t xml:space="preserve"> </w:t>
      </w:r>
      <w:r>
        <w:rPr>
          <w:sz w:val="21"/>
        </w:rPr>
        <w:t>understand</w:t>
      </w:r>
      <w:r>
        <w:rPr>
          <w:spacing w:val="-3"/>
          <w:sz w:val="21"/>
        </w:rPr>
        <w:t xml:space="preserve"> </w:t>
      </w:r>
      <w:r>
        <w:rPr>
          <w:sz w:val="21"/>
        </w:rPr>
        <w:t>the needs across the health system</w:t>
      </w:r>
    </w:p>
    <w:p w14:paraId="0744F800" w14:textId="77777777" w:rsidR="009D54AF" w:rsidRDefault="00000000">
      <w:pPr>
        <w:pStyle w:val="ListParagraph"/>
        <w:numPr>
          <w:ilvl w:val="0"/>
          <w:numId w:val="31"/>
        </w:numPr>
        <w:tabs>
          <w:tab w:val="left" w:pos="424"/>
          <w:tab w:val="left" w:pos="440"/>
        </w:tabs>
        <w:spacing w:before="57" w:line="278" w:lineRule="auto"/>
        <w:ind w:right="246" w:hanging="284"/>
        <w:rPr>
          <w:sz w:val="21"/>
        </w:rPr>
      </w:pPr>
      <w:r>
        <w:rPr>
          <w:sz w:val="21"/>
        </w:rPr>
        <w:t xml:space="preserve">publication of the updated </w:t>
      </w:r>
      <w:r>
        <w:rPr>
          <w:i/>
          <w:sz w:val="21"/>
        </w:rPr>
        <w:t xml:space="preserve">Aged Care Infection Prevention and Control Guide </w:t>
      </w:r>
      <w:r>
        <w:rPr>
          <w:sz w:val="21"/>
        </w:rPr>
        <w:t>to align with the Aged Care Quality</w:t>
      </w:r>
      <w:r>
        <w:rPr>
          <w:spacing w:val="-3"/>
          <w:sz w:val="21"/>
        </w:rPr>
        <w:t xml:space="preserve"> </w:t>
      </w:r>
      <w:r>
        <w:rPr>
          <w:sz w:val="21"/>
        </w:rPr>
        <w:t>Standards,</w:t>
      </w:r>
      <w:r>
        <w:rPr>
          <w:spacing w:val="-3"/>
          <w:sz w:val="21"/>
        </w:rPr>
        <w:t xml:space="preserve"> </w:t>
      </w:r>
      <w:r>
        <w:rPr>
          <w:sz w:val="21"/>
        </w:rPr>
        <w:t>including</w:t>
      </w:r>
      <w:r>
        <w:rPr>
          <w:spacing w:val="-3"/>
          <w:sz w:val="21"/>
        </w:rPr>
        <w:t xml:space="preserve"> </w:t>
      </w:r>
      <w:r>
        <w:rPr>
          <w:sz w:val="21"/>
        </w:rPr>
        <w:t>a</w:t>
      </w:r>
      <w:r>
        <w:rPr>
          <w:spacing w:val="-3"/>
          <w:sz w:val="21"/>
        </w:rPr>
        <w:t xml:space="preserve"> </w:t>
      </w:r>
      <w:r>
        <w:rPr>
          <w:sz w:val="21"/>
        </w:rPr>
        <w:t>new</w:t>
      </w:r>
      <w:r>
        <w:rPr>
          <w:spacing w:val="-3"/>
          <w:sz w:val="21"/>
        </w:rPr>
        <w:t xml:space="preserve"> </w:t>
      </w:r>
      <w:r>
        <w:rPr>
          <w:sz w:val="21"/>
        </w:rPr>
        <w:t>chapter</w:t>
      </w:r>
      <w:r>
        <w:rPr>
          <w:spacing w:val="-3"/>
          <w:sz w:val="21"/>
        </w:rPr>
        <w:t xml:space="preserve"> </w:t>
      </w:r>
      <w:r>
        <w:rPr>
          <w:sz w:val="21"/>
        </w:rPr>
        <w:t>on</w:t>
      </w:r>
      <w:r>
        <w:rPr>
          <w:spacing w:val="-3"/>
          <w:sz w:val="21"/>
        </w:rPr>
        <w:t xml:space="preserve"> </w:t>
      </w:r>
      <w:r>
        <w:rPr>
          <w:sz w:val="21"/>
        </w:rPr>
        <w:t>the</w:t>
      </w:r>
      <w:r>
        <w:rPr>
          <w:spacing w:val="-3"/>
          <w:sz w:val="21"/>
        </w:rPr>
        <w:t xml:space="preserve"> </w:t>
      </w:r>
      <w:r>
        <w:rPr>
          <w:sz w:val="21"/>
        </w:rPr>
        <w:t>Infection</w:t>
      </w:r>
      <w:r>
        <w:rPr>
          <w:spacing w:val="-3"/>
          <w:sz w:val="21"/>
        </w:rPr>
        <w:t xml:space="preserve"> </w:t>
      </w:r>
      <w:r>
        <w:rPr>
          <w:sz w:val="21"/>
        </w:rPr>
        <w:t>Prevention</w:t>
      </w:r>
      <w:r>
        <w:rPr>
          <w:spacing w:val="-3"/>
          <w:sz w:val="21"/>
        </w:rPr>
        <w:t xml:space="preserve"> </w:t>
      </w:r>
      <w:r>
        <w:rPr>
          <w:sz w:val="21"/>
        </w:rPr>
        <w:t>and</w:t>
      </w:r>
      <w:r>
        <w:rPr>
          <w:spacing w:val="-3"/>
          <w:sz w:val="21"/>
        </w:rPr>
        <w:t xml:space="preserve"> </w:t>
      </w:r>
      <w:r>
        <w:rPr>
          <w:sz w:val="21"/>
        </w:rPr>
        <w:t>Control</w:t>
      </w:r>
      <w:r>
        <w:rPr>
          <w:spacing w:val="-3"/>
          <w:sz w:val="21"/>
        </w:rPr>
        <w:t xml:space="preserve"> </w:t>
      </w:r>
      <w:r>
        <w:rPr>
          <w:sz w:val="21"/>
        </w:rPr>
        <w:t>(IPC)</w:t>
      </w:r>
      <w:r>
        <w:rPr>
          <w:spacing w:val="-3"/>
          <w:sz w:val="21"/>
        </w:rPr>
        <w:t xml:space="preserve"> </w:t>
      </w:r>
      <w:r>
        <w:rPr>
          <w:sz w:val="21"/>
        </w:rPr>
        <w:t>Lead</w:t>
      </w:r>
      <w:r>
        <w:rPr>
          <w:spacing w:val="-3"/>
          <w:sz w:val="21"/>
        </w:rPr>
        <w:t xml:space="preserve"> </w:t>
      </w:r>
      <w:r>
        <w:rPr>
          <w:sz w:val="21"/>
        </w:rPr>
        <w:t>framework</w:t>
      </w:r>
    </w:p>
    <w:p w14:paraId="7BEACB79" w14:textId="77777777" w:rsidR="009D54AF" w:rsidRDefault="00000000">
      <w:pPr>
        <w:pStyle w:val="ListParagraph"/>
        <w:numPr>
          <w:ilvl w:val="0"/>
          <w:numId w:val="31"/>
        </w:numPr>
        <w:tabs>
          <w:tab w:val="left" w:pos="424"/>
        </w:tabs>
        <w:spacing w:before="56"/>
        <w:ind w:left="424" w:hanging="268"/>
        <w:rPr>
          <w:sz w:val="21"/>
        </w:rPr>
      </w:pPr>
      <w:r>
        <w:rPr>
          <w:sz w:val="21"/>
        </w:rPr>
        <w:t>publication</w:t>
      </w:r>
      <w:r>
        <w:rPr>
          <w:spacing w:val="-3"/>
          <w:sz w:val="21"/>
        </w:rPr>
        <w:t xml:space="preserve"> </w:t>
      </w:r>
      <w:r>
        <w:rPr>
          <w:sz w:val="21"/>
        </w:rPr>
        <w:t>of guidance and</w:t>
      </w:r>
      <w:r>
        <w:rPr>
          <w:spacing w:val="-1"/>
          <w:sz w:val="21"/>
        </w:rPr>
        <w:t xml:space="preserve"> </w:t>
      </w:r>
      <w:r>
        <w:rPr>
          <w:sz w:val="21"/>
        </w:rPr>
        <w:t>resources to support clinicians</w:t>
      </w:r>
      <w:r>
        <w:rPr>
          <w:spacing w:val="-1"/>
          <w:sz w:val="21"/>
        </w:rPr>
        <w:t xml:space="preserve"> </w:t>
      </w:r>
      <w:r>
        <w:rPr>
          <w:sz w:val="21"/>
        </w:rPr>
        <w:t>in the use of</w:t>
      </w:r>
      <w:r>
        <w:rPr>
          <w:spacing w:val="-1"/>
          <w:sz w:val="21"/>
        </w:rPr>
        <w:t xml:space="preserve"> </w:t>
      </w:r>
      <w:r>
        <w:rPr>
          <w:sz w:val="21"/>
        </w:rPr>
        <w:t xml:space="preserve">Artificial Intelligence (AI) </w:t>
      </w:r>
      <w:r>
        <w:rPr>
          <w:spacing w:val="-2"/>
          <w:sz w:val="21"/>
        </w:rPr>
        <w:t>tools</w:t>
      </w:r>
    </w:p>
    <w:p w14:paraId="798CD8FD" w14:textId="77777777" w:rsidR="009D54AF" w:rsidRDefault="00000000">
      <w:pPr>
        <w:pStyle w:val="ListParagraph"/>
        <w:numPr>
          <w:ilvl w:val="0"/>
          <w:numId w:val="31"/>
        </w:numPr>
        <w:tabs>
          <w:tab w:val="left" w:pos="424"/>
          <w:tab w:val="left" w:pos="440"/>
        </w:tabs>
        <w:spacing w:before="96" w:line="278" w:lineRule="auto"/>
        <w:ind w:right="502" w:hanging="284"/>
        <w:rPr>
          <w:sz w:val="21"/>
        </w:rPr>
      </w:pPr>
      <w:r>
        <w:rPr>
          <w:sz w:val="21"/>
        </w:rPr>
        <w:t xml:space="preserve">release of the </w:t>
      </w:r>
      <w:r>
        <w:rPr>
          <w:i/>
          <w:sz w:val="21"/>
        </w:rPr>
        <w:t xml:space="preserve">National Consensus Statement: Essential elements for safe and high-quality </w:t>
      </w:r>
      <w:proofErr w:type="spellStart"/>
      <w:r>
        <w:rPr>
          <w:i/>
          <w:sz w:val="21"/>
        </w:rPr>
        <w:t>paediatric</w:t>
      </w:r>
      <w:proofErr w:type="spellEnd"/>
      <w:r>
        <w:rPr>
          <w:i/>
          <w:sz w:val="21"/>
        </w:rPr>
        <w:t xml:space="preserve"> end-of-life care </w:t>
      </w:r>
      <w:r>
        <w:rPr>
          <w:sz w:val="21"/>
        </w:rPr>
        <w:t xml:space="preserve">which incorporates current evidence, contemporary models of </w:t>
      </w:r>
      <w:proofErr w:type="spellStart"/>
      <w:r>
        <w:rPr>
          <w:sz w:val="21"/>
        </w:rPr>
        <w:t>paediatric</w:t>
      </w:r>
      <w:proofErr w:type="spellEnd"/>
      <w:r>
        <w:rPr>
          <w:sz w:val="21"/>
        </w:rPr>
        <w:t xml:space="preserve"> palliative care and the diverse settings in which children receive end-of-life care across Australia</w:t>
      </w:r>
    </w:p>
    <w:p w14:paraId="2B6D61D0" w14:textId="77777777" w:rsidR="009D54AF" w:rsidRDefault="00000000">
      <w:pPr>
        <w:pStyle w:val="ListParagraph"/>
        <w:numPr>
          <w:ilvl w:val="0"/>
          <w:numId w:val="31"/>
        </w:numPr>
        <w:tabs>
          <w:tab w:val="left" w:pos="424"/>
          <w:tab w:val="left" w:pos="440"/>
        </w:tabs>
        <w:spacing w:before="56" w:line="278" w:lineRule="auto"/>
        <w:ind w:right="217" w:hanging="284"/>
        <w:rPr>
          <w:sz w:val="21"/>
        </w:rPr>
      </w:pPr>
      <w:r>
        <w:rPr>
          <w:sz w:val="21"/>
        </w:rPr>
        <w:t>developing</w:t>
      </w:r>
      <w:r>
        <w:rPr>
          <w:spacing w:val="-2"/>
          <w:sz w:val="21"/>
        </w:rPr>
        <w:t xml:space="preserve"> </w:t>
      </w:r>
      <w:r>
        <w:rPr>
          <w:sz w:val="21"/>
        </w:rPr>
        <w:t>three</w:t>
      </w:r>
      <w:r>
        <w:rPr>
          <w:spacing w:val="-2"/>
          <w:sz w:val="21"/>
        </w:rPr>
        <w:t xml:space="preserve"> </w:t>
      </w:r>
      <w:r>
        <w:rPr>
          <w:sz w:val="21"/>
        </w:rPr>
        <w:t>new</w:t>
      </w:r>
      <w:r>
        <w:rPr>
          <w:spacing w:val="-2"/>
          <w:sz w:val="21"/>
        </w:rPr>
        <w:t xml:space="preserve"> </w:t>
      </w:r>
      <w:r>
        <w:rPr>
          <w:sz w:val="21"/>
        </w:rPr>
        <w:t>Easy</w:t>
      </w:r>
      <w:r>
        <w:rPr>
          <w:spacing w:val="-2"/>
          <w:sz w:val="21"/>
        </w:rPr>
        <w:t xml:space="preserve"> </w:t>
      </w:r>
      <w:r>
        <w:rPr>
          <w:sz w:val="21"/>
        </w:rPr>
        <w:t>Read</w:t>
      </w:r>
      <w:r>
        <w:rPr>
          <w:spacing w:val="-2"/>
          <w:sz w:val="21"/>
        </w:rPr>
        <w:t xml:space="preserve"> </w:t>
      </w:r>
      <w:r>
        <w:rPr>
          <w:sz w:val="21"/>
        </w:rPr>
        <w:t>documents</w:t>
      </w:r>
      <w:r>
        <w:rPr>
          <w:spacing w:val="-2"/>
          <w:sz w:val="21"/>
        </w:rPr>
        <w:t xml:space="preserve"> </w:t>
      </w:r>
      <w:r>
        <w:rPr>
          <w:sz w:val="21"/>
        </w:rPr>
        <w:t>to</w:t>
      </w:r>
      <w:r>
        <w:rPr>
          <w:spacing w:val="-2"/>
          <w:sz w:val="21"/>
        </w:rPr>
        <w:t xml:space="preserve"> </w:t>
      </w:r>
      <w:r>
        <w:rPr>
          <w:sz w:val="21"/>
        </w:rPr>
        <w:t>support</w:t>
      </w:r>
      <w:r>
        <w:rPr>
          <w:spacing w:val="-2"/>
          <w:sz w:val="21"/>
        </w:rPr>
        <w:t xml:space="preserve"> </w:t>
      </w:r>
      <w:r>
        <w:rPr>
          <w:sz w:val="21"/>
        </w:rPr>
        <w:t>the</w:t>
      </w:r>
      <w:r>
        <w:rPr>
          <w:spacing w:val="-2"/>
          <w:sz w:val="21"/>
        </w:rPr>
        <w:t xml:space="preserve"> </w:t>
      </w:r>
      <w:r>
        <w:rPr>
          <w:i/>
          <w:sz w:val="21"/>
        </w:rPr>
        <w:t>User</w:t>
      </w:r>
      <w:r>
        <w:rPr>
          <w:i/>
          <w:spacing w:val="-2"/>
          <w:sz w:val="21"/>
        </w:rPr>
        <w:t xml:space="preserve"> </w:t>
      </w:r>
      <w:r>
        <w:rPr>
          <w:i/>
          <w:sz w:val="21"/>
        </w:rPr>
        <w:t>Guide</w:t>
      </w:r>
      <w:r>
        <w:rPr>
          <w:i/>
          <w:spacing w:val="-2"/>
          <w:sz w:val="21"/>
        </w:rPr>
        <w:t xml:space="preserve"> </w:t>
      </w:r>
      <w:r>
        <w:rPr>
          <w:i/>
          <w:sz w:val="21"/>
        </w:rPr>
        <w:t>for</w:t>
      </w:r>
      <w:r>
        <w:rPr>
          <w:i/>
          <w:spacing w:val="-2"/>
          <w:sz w:val="21"/>
        </w:rPr>
        <w:t xml:space="preserve"> </w:t>
      </w:r>
      <w:r>
        <w:rPr>
          <w:i/>
          <w:sz w:val="21"/>
        </w:rPr>
        <w:t>the</w:t>
      </w:r>
      <w:r>
        <w:rPr>
          <w:i/>
          <w:spacing w:val="-2"/>
          <w:sz w:val="21"/>
        </w:rPr>
        <w:t xml:space="preserve"> </w:t>
      </w:r>
      <w:r>
        <w:rPr>
          <w:i/>
          <w:sz w:val="21"/>
        </w:rPr>
        <w:t>Health</w:t>
      </w:r>
      <w:r>
        <w:rPr>
          <w:i/>
          <w:spacing w:val="-2"/>
          <w:sz w:val="21"/>
        </w:rPr>
        <w:t xml:space="preserve"> </w:t>
      </w:r>
      <w:r>
        <w:rPr>
          <w:i/>
          <w:sz w:val="21"/>
        </w:rPr>
        <w:t>Care</w:t>
      </w:r>
      <w:r>
        <w:rPr>
          <w:i/>
          <w:spacing w:val="-2"/>
          <w:sz w:val="21"/>
        </w:rPr>
        <w:t xml:space="preserve"> </w:t>
      </w:r>
      <w:r>
        <w:rPr>
          <w:i/>
          <w:sz w:val="21"/>
        </w:rPr>
        <w:t>of</w:t>
      </w:r>
      <w:r>
        <w:rPr>
          <w:i/>
          <w:spacing w:val="-2"/>
          <w:sz w:val="21"/>
        </w:rPr>
        <w:t xml:space="preserve"> </w:t>
      </w:r>
      <w:r>
        <w:rPr>
          <w:i/>
          <w:sz w:val="21"/>
        </w:rPr>
        <w:t>People</w:t>
      </w:r>
      <w:r>
        <w:rPr>
          <w:i/>
          <w:spacing w:val="-2"/>
          <w:sz w:val="21"/>
        </w:rPr>
        <w:t xml:space="preserve"> </w:t>
      </w:r>
      <w:r>
        <w:rPr>
          <w:i/>
          <w:sz w:val="21"/>
        </w:rPr>
        <w:t xml:space="preserve">with Intellectual Disability </w:t>
      </w:r>
      <w:r>
        <w:rPr>
          <w:sz w:val="21"/>
        </w:rPr>
        <w:t xml:space="preserve">to explain the topics of polypharmacy, transitions of care and good communication and positive </w:t>
      </w:r>
      <w:proofErr w:type="spellStart"/>
      <w:r>
        <w:rPr>
          <w:sz w:val="21"/>
        </w:rPr>
        <w:t>behaviour</w:t>
      </w:r>
      <w:proofErr w:type="spellEnd"/>
      <w:r>
        <w:rPr>
          <w:sz w:val="21"/>
        </w:rPr>
        <w:t xml:space="preserve"> support</w:t>
      </w:r>
    </w:p>
    <w:p w14:paraId="3EF2F73F" w14:textId="6BDB1AFF" w:rsidR="009D54AF" w:rsidRPr="008F5B74" w:rsidRDefault="00000000" w:rsidP="008F5B74">
      <w:pPr>
        <w:pStyle w:val="ListParagraph"/>
        <w:numPr>
          <w:ilvl w:val="0"/>
          <w:numId w:val="31"/>
        </w:numPr>
        <w:tabs>
          <w:tab w:val="left" w:pos="424"/>
          <w:tab w:val="left" w:pos="440"/>
        </w:tabs>
        <w:spacing w:before="66" w:line="278" w:lineRule="auto"/>
        <w:ind w:right="546" w:hanging="284"/>
        <w:rPr>
          <w:sz w:val="21"/>
        </w:rPr>
      </w:pPr>
      <w:r w:rsidRPr="008F5B74">
        <w:rPr>
          <w:sz w:val="21"/>
        </w:rPr>
        <w:t>hosting</w:t>
      </w:r>
      <w:r w:rsidRPr="008F5B74">
        <w:rPr>
          <w:spacing w:val="-1"/>
          <w:sz w:val="21"/>
        </w:rPr>
        <w:t xml:space="preserve"> </w:t>
      </w:r>
      <w:r w:rsidRPr="008F5B74">
        <w:rPr>
          <w:sz w:val="21"/>
        </w:rPr>
        <w:t>the</w:t>
      </w:r>
      <w:r w:rsidRPr="008F5B74">
        <w:rPr>
          <w:spacing w:val="-1"/>
          <w:sz w:val="21"/>
        </w:rPr>
        <w:t xml:space="preserve"> </w:t>
      </w:r>
      <w:r w:rsidRPr="008F5B74">
        <w:rPr>
          <w:sz w:val="21"/>
        </w:rPr>
        <w:t>National</w:t>
      </w:r>
      <w:r w:rsidRPr="008F5B74">
        <w:rPr>
          <w:spacing w:val="-1"/>
          <w:sz w:val="21"/>
        </w:rPr>
        <w:t xml:space="preserve"> </w:t>
      </w:r>
      <w:r w:rsidRPr="008F5B74">
        <w:rPr>
          <w:sz w:val="21"/>
        </w:rPr>
        <w:t>Medicines</w:t>
      </w:r>
      <w:r w:rsidRPr="008F5B74">
        <w:rPr>
          <w:spacing w:val="-1"/>
          <w:sz w:val="21"/>
        </w:rPr>
        <w:t xml:space="preserve"> </w:t>
      </w:r>
      <w:r w:rsidRPr="008F5B74">
        <w:rPr>
          <w:sz w:val="21"/>
        </w:rPr>
        <w:t>Symposium</w:t>
      </w:r>
      <w:r w:rsidRPr="008F5B74">
        <w:rPr>
          <w:spacing w:val="-1"/>
          <w:sz w:val="21"/>
        </w:rPr>
        <w:t xml:space="preserve"> </w:t>
      </w:r>
      <w:r w:rsidRPr="008F5B74">
        <w:rPr>
          <w:sz w:val="21"/>
        </w:rPr>
        <w:t>2025</w:t>
      </w:r>
      <w:r w:rsidRPr="008F5B74">
        <w:rPr>
          <w:spacing w:val="-1"/>
          <w:sz w:val="21"/>
        </w:rPr>
        <w:t xml:space="preserve"> </w:t>
      </w:r>
      <w:r w:rsidRPr="008F5B74">
        <w:rPr>
          <w:sz w:val="21"/>
        </w:rPr>
        <w:t>on</w:t>
      </w:r>
      <w:r w:rsidRPr="008F5B74">
        <w:rPr>
          <w:spacing w:val="-1"/>
          <w:sz w:val="21"/>
        </w:rPr>
        <w:t xml:space="preserve"> </w:t>
      </w:r>
      <w:r w:rsidRPr="008F5B74">
        <w:rPr>
          <w:sz w:val="21"/>
        </w:rPr>
        <w:t>the</w:t>
      </w:r>
      <w:r w:rsidRPr="008F5B74">
        <w:rPr>
          <w:spacing w:val="-1"/>
          <w:sz w:val="21"/>
        </w:rPr>
        <w:t xml:space="preserve"> </w:t>
      </w:r>
      <w:r w:rsidRPr="008F5B74">
        <w:rPr>
          <w:sz w:val="21"/>
        </w:rPr>
        <w:t>theme</w:t>
      </w:r>
      <w:r w:rsidRPr="008F5B74">
        <w:rPr>
          <w:spacing w:val="-1"/>
          <w:sz w:val="21"/>
        </w:rPr>
        <w:t xml:space="preserve"> </w:t>
      </w:r>
      <w:r w:rsidRPr="008F5B74">
        <w:rPr>
          <w:sz w:val="21"/>
        </w:rPr>
        <w:t>‘Quality</w:t>
      </w:r>
      <w:r w:rsidRPr="008F5B74">
        <w:rPr>
          <w:spacing w:val="-1"/>
          <w:sz w:val="21"/>
        </w:rPr>
        <w:t xml:space="preserve"> </w:t>
      </w:r>
      <w:r w:rsidRPr="008F5B74">
        <w:rPr>
          <w:sz w:val="21"/>
        </w:rPr>
        <w:t>use</w:t>
      </w:r>
      <w:r w:rsidRPr="008F5B74">
        <w:rPr>
          <w:spacing w:val="-1"/>
          <w:sz w:val="21"/>
        </w:rPr>
        <w:t xml:space="preserve"> </w:t>
      </w:r>
      <w:r w:rsidRPr="008F5B74">
        <w:rPr>
          <w:sz w:val="21"/>
        </w:rPr>
        <w:t>of</w:t>
      </w:r>
      <w:r w:rsidRPr="008F5B74">
        <w:rPr>
          <w:spacing w:val="-1"/>
          <w:sz w:val="21"/>
        </w:rPr>
        <w:t xml:space="preserve"> </w:t>
      </w:r>
      <w:r w:rsidRPr="008F5B74">
        <w:rPr>
          <w:sz w:val="21"/>
        </w:rPr>
        <w:t>medicines</w:t>
      </w:r>
      <w:r w:rsidRPr="008F5B74">
        <w:rPr>
          <w:spacing w:val="-1"/>
          <w:sz w:val="21"/>
        </w:rPr>
        <w:t xml:space="preserve"> </w:t>
      </w:r>
      <w:r w:rsidRPr="008F5B74">
        <w:rPr>
          <w:sz w:val="21"/>
        </w:rPr>
        <w:t>in</w:t>
      </w:r>
      <w:r w:rsidRPr="008F5B74">
        <w:rPr>
          <w:spacing w:val="-1"/>
          <w:sz w:val="21"/>
        </w:rPr>
        <w:t xml:space="preserve"> </w:t>
      </w:r>
      <w:r w:rsidRPr="008F5B74">
        <w:rPr>
          <w:sz w:val="21"/>
        </w:rPr>
        <w:t>people</w:t>
      </w:r>
      <w:r w:rsidRPr="008F5B74">
        <w:rPr>
          <w:spacing w:val="-1"/>
          <w:sz w:val="21"/>
        </w:rPr>
        <w:t xml:space="preserve"> </w:t>
      </w:r>
      <w:r w:rsidRPr="008F5B74">
        <w:rPr>
          <w:sz w:val="21"/>
        </w:rPr>
        <w:t xml:space="preserve">with diabetes’ which explored priorities, challenges and future direction for medicines safety in people with </w:t>
      </w:r>
      <w:r w:rsidRPr="008F5B74">
        <w:rPr>
          <w:spacing w:val="-2"/>
          <w:sz w:val="21"/>
        </w:rPr>
        <w:t>diabetes</w:t>
      </w:r>
      <w:r w:rsidR="008F5B74" w:rsidRPr="008F5B74">
        <w:rPr>
          <w:spacing w:val="-2"/>
          <w:sz w:val="21"/>
        </w:rPr>
        <w:t xml:space="preserve"> </w:t>
      </w:r>
      <w:r w:rsidRPr="008F5B74">
        <w:rPr>
          <w:sz w:val="21"/>
        </w:rPr>
        <w:t xml:space="preserve">release of </w:t>
      </w:r>
      <w:proofErr w:type="spellStart"/>
      <w:r w:rsidRPr="008F5B74">
        <w:rPr>
          <w:i/>
          <w:sz w:val="21"/>
        </w:rPr>
        <w:t>MedicineInsight</w:t>
      </w:r>
      <w:proofErr w:type="spellEnd"/>
      <w:r w:rsidRPr="008F5B74">
        <w:rPr>
          <w:i/>
          <w:sz w:val="21"/>
        </w:rPr>
        <w:t xml:space="preserve"> GP Snapshot: Chronic obstructive pulmonary disease (COPD) – pharmacological management</w:t>
      </w:r>
      <w:r w:rsidRPr="008F5B74">
        <w:rPr>
          <w:sz w:val="21"/>
        </w:rPr>
        <w:t xml:space="preserve">, </w:t>
      </w:r>
      <w:proofErr w:type="spellStart"/>
      <w:r w:rsidRPr="008F5B74">
        <w:rPr>
          <w:sz w:val="21"/>
        </w:rPr>
        <w:t>summarising</w:t>
      </w:r>
      <w:proofErr w:type="spellEnd"/>
      <w:r w:rsidRPr="008F5B74">
        <w:rPr>
          <w:sz w:val="21"/>
        </w:rPr>
        <w:t xml:space="preserve"> national aggregate data on antibiotic prescribing and stepwise</w:t>
      </w:r>
      <w:r w:rsidRPr="008F5B74">
        <w:rPr>
          <w:spacing w:val="-1"/>
          <w:sz w:val="21"/>
        </w:rPr>
        <w:t xml:space="preserve"> </w:t>
      </w:r>
      <w:r w:rsidRPr="008F5B74">
        <w:rPr>
          <w:sz w:val="21"/>
        </w:rPr>
        <w:t>inhaler</w:t>
      </w:r>
      <w:r w:rsidRPr="008F5B74">
        <w:rPr>
          <w:spacing w:val="-1"/>
          <w:sz w:val="21"/>
        </w:rPr>
        <w:t xml:space="preserve"> </w:t>
      </w:r>
      <w:r w:rsidRPr="008F5B74">
        <w:rPr>
          <w:sz w:val="21"/>
        </w:rPr>
        <w:t>therapy</w:t>
      </w:r>
      <w:r w:rsidRPr="008F5B74">
        <w:rPr>
          <w:spacing w:val="-1"/>
          <w:sz w:val="21"/>
        </w:rPr>
        <w:t xml:space="preserve"> </w:t>
      </w:r>
      <w:r w:rsidRPr="008F5B74">
        <w:rPr>
          <w:sz w:val="21"/>
        </w:rPr>
        <w:t>to</w:t>
      </w:r>
      <w:r w:rsidRPr="008F5B74">
        <w:rPr>
          <w:spacing w:val="-1"/>
          <w:sz w:val="21"/>
        </w:rPr>
        <w:t xml:space="preserve"> </w:t>
      </w:r>
      <w:r w:rsidRPr="008F5B74">
        <w:rPr>
          <w:sz w:val="21"/>
        </w:rPr>
        <w:t>support</w:t>
      </w:r>
      <w:r w:rsidRPr="008F5B74">
        <w:rPr>
          <w:spacing w:val="-1"/>
          <w:sz w:val="21"/>
        </w:rPr>
        <w:t xml:space="preserve"> </w:t>
      </w:r>
      <w:r w:rsidRPr="008F5B74">
        <w:rPr>
          <w:sz w:val="21"/>
        </w:rPr>
        <w:t>guideline-aligned</w:t>
      </w:r>
      <w:r w:rsidRPr="008F5B74">
        <w:rPr>
          <w:spacing w:val="-1"/>
          <w:sz w:val="21"/>
        </w:rPr>
        <w:t xml:space="preserve"> </w:t>
      </w:r>
      <w:r w:rsidRPr="008F5B74">
        <w:rPr>
          <w:sz w:val="21"/>
        </w:rPr>
        <w:t>COPD</w:t>
      </w:r>
      <w:r w:rsidRPr="008F5B74">
        <w:rPr>
          <w:spacing w:val="-1"/>
          <w:sz w:val="21"/>
        </w:rPr>
        <w:t xml:space="preserve"> </w:t>
      </w:r>
      <w:r w:rsidRPr="008F5B74">
        <w:rPr>
          <w:sz w:val="21"/>
        </w:rPr>
        <w:t>care,</w:t>
      </w:r>
      <w:r w:rsidRPr="008F5B74">
        <w:rPr>
          <w:spacing w:val="-1"/>
          <w:sz w:val="21"/>
        </w:rPr>
        <w:t xml:space="preserve"> </w:t>
      </w:r>
      <w:r w:rsidRPr="008F5B74">
        <w:rPr>
          <w:sz w:val="21"/>
        </w:rPr>
        <w:t>plus</w:t>
      </w:r>
      <w:r w:rsidRPr="008F5B74">
        <w:rPr>
          <w:spacing w:val="-1"/>
          <w:sz w:val="21"/>
        </w:rPr>
        <w:t xml:space="preserve"> </w:t>
      </w:r>
      <w:r w:rsidRPr="008F5B74">
        <w:rPr>
          <w:sz w:val="21"/>
        </w:rPr>
        <w:t>a</w:t>
      </w:r>
      <w:r w:rsidRPr="008F5B74">
        <w:rPr>
          <w:spacing w:val="-1"/>
          <w:sz w:val="21"/>
        </w:rPr>
        <w:t xml:space="preserve"> </w:t>
      </w:r>
      <w:r w:rsidRPr="008F5B74">
        <w:rPr>
          <w:sz w:val="21"/>
        </w:rPr>
        <w:t>new</w:t>
      </w:r>
      <w:r w:rsidRPr="008F5B74">
        <w:rPr>
          <w:spacing w:val="-1"/>
          <w:sz w:val="21"/>
        </w:rPr>
        <w:t xml:space="preserve"> </w:t>
      </w:r>
      <w:r w:rsidRPr="008F5B74">
        <w:rPr>
          <w:sz w:val="21"/>
        </w:rPr>
        <w:t>resource</w:t>
      </w:r>
      <w:r w:rsidRPr="008F5B74">
        <w:rPr>
          <w:spacing w:val="-1"/>
          <w:sz w:val="21"/>
        </w:rPr>
        <w:t xml:space="preserve"> </w:t>
      </w:r>
      <w:r w:rsidRPr="008F5B74">
        <w:rPr>
          <w:sz w:val="21"/>
        </w:rPr>
        <w:t>to</w:t>
      </w:r>
      <w:r w:rsidRPr="008F5B74">
        <w:rPr>
          <w:spacing w:val="-1"/>
          <w:sz w:val="21"/>
        </w:rPr>
        <w:t xml:space="preserve"> </w:t>
      </w:r>
      <w:r w:rsidRPr="008F5B74">
        <w:rPr>
          <w:sz w:val="21"/>
        </w:rPr>
        <w:t>support</w:t>
      </w:r>
      <w:r w:rsidRPr="008F5B74">
        <w:rPr>
          <w:spacing w:val="-1"/>
          <w:sz w:val="21"/>
        </w:rPr>
        <w:t xml:space="preserve"> </w:t>
      </w:r>
      <w:r w:rsidRPr="008F5B74">
        <w:rPr>
          <w:sz w:val="21"/>
        </w:rPr>
        <w:t>safe spirometry in general practice.</w:t>
      </w:r>
    </w:p>
    <w:p w14:paraId="00C21D23" w14:textId="77777777" w:rsidR="008F5B74" w:rsidRDefault="008F5B74">
      <w:pPr>
        <w:rPr>
          <w:b/>
          <w:bCs/>
          <w:sz w:val="30"/>
          <w:szCs w:val="30"/>
        </w:rPr>
      </w:pPr>
      <w:r>
        <w:br w:type="page"/>
      </w:r>
    </w:p>
    <w:p w14:paraId="0A04061B" w14:textId="094A4191" w:rsidR="009D54AF" w:rsidRDefault="00000000">
      <w:pPr>
        <w:pStyle w:val="Heading5"/>
        <w:spacing w:before="222" w:line="249" w:lineRule="auto"/>
      </w:pPr>
      <w:r>
        <w:lastRenderedPageBreak/>
        <w:t>Performance</w:t>
      </w:r>
      <w:r>
        <w:rPr>
          <w:spacing w:val="-2"/>
        </w:rPr>
        <w:t xml:space="preserve"> </w:t>
      </w:r>
      <w:r>
        <w:t>against</w:t>
      </w:r>
      <w:r>
        <w:rPr>
          <w:spacing w:val="-2"/>
        </w:rPr>
        <w:t xml:space="preserve"> </w:t>
      </w:r>
      <w:r>
        <w:t>the</w:t>
      </w:r>
      <w:r>
        <w:rPr>
          <w:spacing w:val="-2"/>
        </w:rPr>
        <w:t xml:space="preserve"> </w:t>
      </w:r>
      <w:r>
        <w:t>Corporate</w:t>
      </w:r>
      <w:r>
        <w:rPr>
          <w:spacing w:val="-2"/>
        </w:rPr>
        <w:t xml:space="preserve"> </w:t>
      </w:r>
      <w:r>
        <w:t>Plan</w:t>
      </w:r>
      <w:r>
        <w:rPr>
          <w:spacing w:val="-2"/>
        </w:rPr>
        <w:t xml:space="preserve"> </w:t>
      </w:r>
      <w:r>
        <w:t>2025–26</w:t>
      </w:r>
      <w:r>
        <w:rPr>
          <w:spacing w:val="-2"/>
        </w:rPr>
        <w:t xml:space="preserve"> </w:t>
      </w:r>
      <w:r>
        <w:t>and</w:t>
      </w:r>
      <w:r>
        <w:rPr>
          <w:spacing w:val="-2"/>
        </w:rPr>
        <w:t xml:space="preserve"> </w:t>
      </w:r>
      <w:r>
        <w:t>Health</w:t>
      </w:r>
      <w:r>
        <w:rPr>
          <w:spacing w:val="-2"/>
        </w:rPr>
        <w:t xml:space="preserve"> </w:t>
      </w:r>
      <w:r>
        <w:t>Portfolio Budget Statements</w:t>
      </w:r>
    </w:p>
    <w:p w14:paraId="576AE198" w14:textId="77777777" w:rsidR="009D54AF" w:rsidRDefault="00000000">
      <w:pPr>
        <w:spacing w:before="120" w:line="278" w:lineRule="auto"/>
        <w:ind w:left="142"/>
        <w:rPr>
          <w:sz w:val="21"/>
        </w:rPr>
      </w:pPr>
      <w:r>
        <w:rPr>
          <w:spacing w:val="-2"/>
          <w:sz w:val="21"/>
        </w:rPr>
        <w:t>The</w:t>
      </w:r>
      <w:r>
        <w:rPr>
          <w:spacing w:val="-13"/>
          <w:sz w:val="21"/>
        </w:rPr>
        <w:t xml:space="preserve"> </w:t>
      </w:r>
      <w:r>
        <w:rPr>
          <w:spacing w:val="-2"/>
          <w:sz w:val="21"/>
        </w:rPr>
        <w:t>Commission’s</w:t>
      </w:r>
      <w:r>
        <w:rPr>
          <w:spacing w:val="-13"/>
          <w:sz w:val="21"/>
        </w:rPr>
        <w:t xml:space="preserve"> </w:t>
      </w:r>
      <w:r>
        <w:rPr>
          <w:spacing w:val="-2"/>
          <w:sz w:val="21"/>
        </w:rPr>
        <w:t>Corporate</w:t>
      </w:r>
      <w:r>
        <w:rPr>
          <w:spacing w:val="-12"/>
          <w:sz w:val="21"/>
        </w:rPr>
        <w:t xml:space="preserve"> </w:t>
      </w:r>
      <w:r>
        <w:rPr>
          <w:spacing w:val="-2"/>
          <w:sz w:val="21"/>
        </w:rPr>
        <w:t>Plan</w:t>
      </w:r>
      <w:r>
        <w:rPr>
          <w:spacing w:val="-13"/>
          <w:sz w:val="21"/>
        </w:rPr>
        <w:t xml:space="preserve"> </w:t>
      </w:r>
      <w:r>
        <w:rPr>
          <w:spacing w:val="-2"/>
          <w:sz w:val="21"/>
        </w:rPr>
        <w:t>2025–26</w:t>
      </w:r>
      <w:r>
        <w:rPr>
          <w:spacing w:val="-12"/>
          <w:sz w:val="21"/>
        </w:rPr>
        <w:t xml:space="preserve"> </w:t>
      </w:r>
      <w:r>
        <w:rPr>
          <w:spacing w:val="-2"/>
          <w:sz w:val="21"/>
        </w:rPr>
        <w:t>was</w:t>
      </w:r>
      <w:r>
        <w:rPr>
          <w:spacing w:val="-9"/>
          <w:sz w:val="21"/>
        </w:rPr>
        <w:t xml:space="preserve"> </w:t>
      </w:r>
      <w:r>
        <w:rPr>
          <w:spacing w:val="-2"/>
          <w:sz w:val="21"/>
        </w:rPr>
        <w:t>prepared</w:t>
      </w:r>
      <w:r>
        <w:rPr>
          <w:spacing w:val="-4"/>
          <w:sz w:val="21"/>
        </w:rPr>
        <w:t xml:space="preserve"> </w:t>
      </w:r>
      <w:r>
        <w:rPr>
          <w:spacing w:val="-2"/>
          <w:sz w:val="21"/>
        </w:rPr>
        <w:t>under</w:t>
      </w:r>
      <w:r>
        <w:rPr>
          <w:spacing w:val="-4"/>
          <w:sz w:val="21"/>
        </w:rPr>
        <w:t xml:space="preserve"> </w:t>
      </w:r>
      <w:r>
        <w:rPr>
          <w:spacing w:val="-2"/>
          <w:sz w:val="21"/>
        </w:rPr>
        <w:t>subsection</w:t>
      </w:r>
      <w:r>
        <w:rPr>
          <w:spacing w:val="-4"/>
          <w:sz w:val="21"/>
        </w:rPr>
        <w:t xml:space="preserve"> </w:t>
      </w:r>
      <w:r>
        <w:rPr>
          <w:spacing w:val="-2"/>
          <w:sz w:val="21"/>
        </w:rPr>
        <w:t>35(1)(a)</w:t>
      </w:r>
      <w:r>
        <w:rPr>
          <w:spacing w:val="-4"/>
          <w:sz w:val="21"/>
        </w:rPr>
        <w:t xml:space="preserve"> </w:t>
      </w:r>
      <w:r>
        <w:rPr>
          <w:spacing w:val="-2"/>
          <w:sz w:val="21"/>
        </w:rPr>
        <w:t>of</w:t>
      </w:r>
      <w:r>
        <w:rPr>
          <w:spacing w:val="-4"/>
          <w:sz w:val="21"/>
        </w:rPr>
        <w:t xml:space="preserve"> </w:t>
      </w:r>
      <w:r>
        <w:rPr>
          <w:spacing w:val="-2"/>
          <w:sz w:val="21"/>
        </w:rPr>
        <w:t>the</w:t>
      </w:r>
      <w:r>
        <w:rPr>
          <w:spacing w:val="-5"/>
          <w:sz w:val="21"/>
        </w:rPr>
        <w:t xml:space="preserve"> </w:t>
      </w:r>
      <w:r>
        <w:rPr>
          <w:i/>
          <w:spacing w:val="-2"/>
          <w:sz w:val="21"/>
        </w:rPr>
        <w:t>Public</w:t>
      </w:r>
      <w:r>
        <w:rPr>
          <w:i/>
          <w:spacing w:val="-4"/>
          <w:sz w:val="21"/>
        </w:rPr>
        <w:t xml:space="preserve"> </w:t>
      </w:r>
      <w:r>
        <w:rPr>
          <w:i/>
          <w:spacing w:val="-2"/>
          <w:sz w:val="21"/>
        </w:rPr>
        <w:t xml:space="preserve">Governance, </w:t>
      </w:r>
      <w:r>
        <w:rPr>
          <w:i/>
          <w:sz w:val="21"/>
        </w:rPr>
        <w:t>Performance and Accountability Act 2013</w:t>
      </w:r>
      <w:r>
        <w:rPr>
          <w:sz w:val="21"/>
        </w:rPr>
        <w:t>, and published in accordance with section 16E(3) of the Public Governance, Performance</w:t>
      </w:r>
      <w:r>
        <w:rPr>
          <w:spacing w:val="-8"/>
          <w:sz w:val="21"/>
        </w:rPr>
        <w:t xml:space="preserve"> </w:t>
      </w:r>
      <w:r>
        <w:rPr>
          <w:sz w:val="21"/>
        </w:rPr>
        <w:t>and</w:t>
      </w:r>
      <w:r>
        <w:rPr>
          <w:spacing w:val="-8"/>
          <w:sz w:val="21"/>
        </w:rPr>
        <w:t xml:space="preserve"> </w:t>
      </w:r>
      <w:r>
        <w:rPr>
          <w:sz w:val="21"/>
        </w:rPr>
        <w:t>Accountability</w:t>
      </w:r>
      <w:r>
        <w:rPr>
          <w:spacing w:val="-8"/>
          <w:sz w:val="21"/>
        </w:rPr>
        <w:t xml:space="preserve"> </w:t>
      </w:r>
      <w:r>
        <w:rPr>
          <w:sz w:val="21"/>
        </w:rPr>
        <w:t>Rule</w:t>
      </w:r>
      <w:r>
        <w:rPr>
          <w:spacing w:val="-8"/>
          <w:sz w:val="21"/>
        </w:rPr>
        <w:t xml:space="preserve"> </w:t>
      </w:r>
      <w:r>
        <w:rPr>
          <w:sz w:val="21"/>
        </w:rPr>
        <w:t>2014.</w:t>
      </w:r>
    </w:p>
    <w:p w14:paraId="3A5D6F5E" w14:textId="77777777" w:rsidR="009D54AF" w:rsidRDefault="00000000">
      <w:pPr>
        <w:pStyle w:val="BodyText"/>
        <w:spacing w:before="141" w:line="278" w:lineRule="auto"/>
        <w:ind w:left="142" w:right="214"/>
      </w:pPr>
      <w:r>
        <w:t>The Corporate Plan 2025–26 identifies the strategic priorities that drive the Commission’s direction and work for the next four years to 2028–29 and specifies how the Commission will measure its performance during that</w:t>
      </w:r>
      <w:r>
        <w:rPr>
          <w:spacing w:val="-2"/>
        </w:rPr>
        <w:t xml:space="preserve"> </w:t>
      </w:r>
      <w:r>
        <w:t>period.</w:t>
      </w:r>
      <w:r>
        <w:rPr>
          <w:spacing w:val="-2"/>
        </w:rPr>
        <w:t xml:space="preserve"> </w:t>
      </w:r>
      <w:r>
        <w:t>The</w:t>
      </w:r>
      <w:r>
        <w:rPr>
          <w:spacing w:val="-2"/>
        </w:rPr>
        <w:t xml:space="preserve"> </w:t>
      </w:r>
      <w:r>
        <w:t>Corporate</w:t>
      </w:r>
      <w:r>
        <w:rPr>
          <w:spacing w:val="-2"/>
        </w:rPr>
        <w:t xml:space="preserve"> </w:t>
      </w:r>
      <w:r>
        <w:t>Plan</w:t>
      </w:r>
      <w:r>
        <w:rPr>
          <w:spacing w:val="-2"/>
        </w:rPr>
        <w:t xml:space="preserve"> </w:t>
      </w:r>
      <w:r>
        <w:t>is</w:t>
      </w:r>
      <w:r>
        <w:rPr>
          <w:spacing w:val="-2"/>
        </w:rPr>
        <w:t xml:space="preserve"> </w:t>
      </w:r>
      <w:r>
        <w:t>informed</w:t>
      </w:r>
      <w:r>
        <w:rPr>
          <w:spacing w:val="-2"/>
        </w:rPr>
        <w:t xml:space="preserve"> </w:t>
      </w:r>
      <w:r>
        <w:t>by</w:t>
      </w:r>
      <w:r>
        <w:rPr>
          <w:spacing w:val="-2"/>
        </w:rPr>
        <w:t xml:space="preserve"> </w:t>
      </w:r>
      <w:r>
        <w:t>the</w:t>
      </w:r>
      <w:r>
        <w:rPr>
          <w:spacing w:val="-2"/>
        </w:rPr>
        <w:t xml:space="preserve"> </w:t>
      </w:r>
      <w:r>
        <w:t>Commission’s</w:t>
      </w:r>
      <w:r>
        <w:rPr>
          <w:spacing w:val="-2"/>
        </w:rPr>
        <w:t xml:space="preserve"> </w:t>
      </w:r>
      <w:r>
        <w:t>work</w:t>
      </w:r>
      <w:r>
        <w:rPr>
          <w:spacing w:val="-2"/>
        </w:rPr>
        <w:t xml:space="preserve"> </w:t>
      </w:r>
      <w:r>
        <w:t>plan,</w:t>
      </w:r>
      <w:r>
        <w:rPr>
          <w:spacing w:val="-2"/>
        </w:rPr>
        <w:t xml:space="preserve"> </w:t>
      </w:r>
      <w:r>
        <w:t>which</w:t>
      </w:r>
      <w:r>
        <w:rPr>
          <w:spacing w:val="-2"/>
        </w:rPr>
        <w:t xml:space="preserve"> </w:t>
      </w:r>
      <w:r>
        <w:t>is</w:t>
      </w:r>
      <w:r>
        <w:rPr>
          <w:spacing w:val="-2"/>
        </w:rPr>
        <w:t xml:space="preserve"> </w:t>
      </w:r>
      <w:r>
        <w:t>required</w:t>
      </w:r>
      <w:r>
        <w:rPr>
          <w:spacing w:val="-2"/>
        </w:rPr>
        <w:t xml:space="preserve"> </w:t>
      </w:r>
      <w:r>
        <w:t>by</w:t>
      </w:r>
      <w:r>
        <w:rPr>
          <w:spacing w:val="-2"/>
        </w:rPr>
        <w:t xml:space="preserve"> </w:t>
      </w:r>
      <w:r>
        <w:t>the</w:t>
      </w:r>
      <w:r>
        <w:rPr>
          <w:spacing w:val="-3"/>
        </w:rPr>
        <w:t xml:space="preserve"> </w:t>
      </w:r>
      <w:r>
        <w:rPr>
          <w:i/>
        </w:rPr>
        <w:t>National Health Reform Act 2011</w:t>
      </w:r>
      <w:r>
        <w:t xml:space="preserve">. The Corporate Plan can be accessed on the Commission’s website at the following link: </w:t>
      </w:r>
      <w:hyperlink r:id="rId86">
        <w:r>
          <w:rPr>
            <w:u w:val="single"/>
          </w:rPr>
          <w:t>Corporate Plan 2025–26 | Australian Commission on Safety and Quality in Health Care</w:t>
        </w:r>
      </w:hyperlink>
      <w:r>
        <w:t>.</w:t>
      </w:r>
    </w:p>
    <w:p w14:paraId="2D863940" w14:textId="66963C14" w:rsidR="009D54AF" w:rsidRDefault="00000000" w:rsidP="008F5B74">
      <w:pPr>
        <w:pStyle w:val="BodyText"/>
        <w:spacing w:before="180" w:line="278" w:lineRule="auto"/>
        <w:ind w:left="142" w:right="215"/>
      </w:pPr>
      <w:r>
        <w:t xml:space="preserve">The Commission’s performance criteria for 2025–26 were published in the Corporate Plan and formed the basis of the Commission’s entry in the 2025–26 Health Portfolio Budget Statements. Table 1 provides a report against the performance measures set out in the Corporate Plan 2025–26 and Health Portfolio Budget </w:t>
      </w:r>
      <w:r>
        <w:rPr>
          <w:spacing w:val="-2"/>
        </w:rPr>
        <w:t>Statements.</w:t>
      </w:r>
    </w:p>
    <w:p w14:paraId="114F0666" w14:textId="77777777" w:rsidR="009D54AF" w:rsidRDefault="00000000" w:rsidP="009377BE">
      <w:pPr>
        <w:spacing w:before="222" w:after="120" w:line="250" w:lineRule="auto"/>
        <w:ind w:left="142"/>
        <w:rPr>
          <w:sz w:val="19"/>
        </w:rPr>
      </w:pPr>
      <w:r>
        <w:rPr>
          <w:b/>
          <w:sz w:val="19"/>
        </w:rPr>
        <w:t xml:space="preserve">Table 1 </w:t>
      </w:r>
      <w:r>
        <w:rPr>
          <w:sz w:val="19"/>
        </w:rPr>
        <w:t xml:space="preserve">Report against performance criteria and targets in the 2025–26 Corporate Plan and Health Portfolio Budget </w:t>
      </w:r>
      <w:r>
        <w:rPr>
          <w:spacing w:val="-2"/>
          <w:sz w:val="19"/>
        </w:rPr>
        <w:t>Statements</w:t>
      </w:r>
    </w:p>
    <w:tbl>
      <w:tblPr>
        <w:tblW w:w="0" w:type="auto"/>
        <w:tblInd w:w="149"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CellMar>
          <w:left w:w="0" w:type="dxa"/>
          <w:right w:w="0" w:type="dxa"/>
        </w:tblCellMar>
        <w:tblLook w:val="01E0" w:firstRow="1" w:lastRow="1" w:firstColumn="1" w:lastColumn="1" w:noHBand="0" w:noVBand="0"/>
      </w:tblPr>
      <w:tblGrid>
        <w:gridCol w:w="2665"/>
        <w:gridCol w:w="2552"/>
        <w:gridCol w:w="4990"/>
      </w:tblGrid>
      <w:tr w:rsidR="009D54AF" w14:paraId="1D448EE0" w14:textId="77777777" w:rsidTr="00D6288A">
        <w:trPr>
          <w:trHeight w:val="510"/>
          <w:tblHeader/>
        </w:trPr>
        <w:tc>
          <w:tcPr>
            <w:tcW w:w="2665" w:type="dxa"/>
            <w:tcBorders>
              <w:top w:val="nil"/>
              <w:left w:val="nil"/>
              <w:bottom w:val="nil"/>
            </w:tcBorders>
            <w:shd w:val="clear" w:color="auto" w:fill="000000"/>
          </w:tcPr>
          <w:p w14:paraId="03E87830" w14:textId="77777777" w:rsidR="009D54AF" w:rsidRDefault="00000000">
            <w:pPr>
              <w:pStyle w:val="TableParagraph"/>
              <w:spacing w:before="145"/>
              <w:ind w:left="85"/>
              <w:rPr>
                <w:b/>
                <w:sz w:val="19"/>
              </w:rPr>
            </w:pPr>
            <w:r>
              <w:rPr>
                <w:b/>
                <w:color w:val="FFFFFF"/>
                <w:sz w:val="19"/>
              </w:rPr>
              <w:t>Performance</w:t>
            </w:r>
            <w:r>
              <w:rPr>
                <w:b/>
                <w:color w:val="FFFFFF"/>
                <w:spacing w:val="23"/>
                <w:sz w:val="19"/>
              </w:rPr>
              <w:t xml:space="preserve"> </w:t>
            </w:r>
            <w:r>
              <w:rPr>
                <w:b/>
                <w:color w:val="FFFFFF"/>
                <w:spacing w:val="-2"/>
                <w:sz w:val="19"/>
              </w:rPr>
              <w:t>criteria</w:t>
            </w:r>
          </w:p>
        </w:tc>
        <w:tc>
          <w:tcPr>
            <w:tcW w:w="2552" w:type="dxa"/>
            <w:tcBorders>
              <w:top w:val="nil"/>
              <w:bottom w:val="nil"/>
            </w:tcBorders>
            <w:shd w:val="clear" w:color="auto" w:fill="000000"/>
          </w:tcPr>
          <w:p w14:paraId="08576C48" w14:textId="77777777" w:rsidR="009D54AF" w:rsidRDefault="00000000">
            <w:pPr>
              <w:pStyle w:val="TableParagraph"/>
              <w:spacing w:before="145"/>
              <w:ind w:left="79"/>
              <w:rPr>
                <w:b/>
                <w:sz w:val="19"/>
              </w:rPr>
            </w:pPr>
            <w:r>
              <w:rPr>
                <w:b/>
                <w:color w:val="FFFFFF"/>
                <w:sz w:val="19"/>
              </w:rPr>
              <w:t>Target</w:t>
            </w:r>
            <w:r>
              <w:rPr>
                <w:b/>
                <w:color w:val="FFFFFF"/>
                <w:spacing w:val="7"/>
                <w:sz w:val="19"/>
              </w:rPr>
              <w:t xml:space="preserve"> </w:t>
            </w:r>
            <w:r>
              <w:rPr>
                <w:b/>
                <w:color w:val="FFFFFF"/>
                <w:sz w:val="19"/>
              </w:rPr>
              <w:t>2025–</w:t>
            </w:r>
            <w:r>
              <w:rPr>
                <w:b/>
                <w:color w:val="FFFFFF"/>
                <w:spacing w:val="-5"/>
                <w:sz w:val="19"/>
              </w:rPr>
              <w:t>26</w:t>
            </w:r>
          </w:p>
        </w:tc>
        <w:tc>
          <w:tcPr>
            <w:tcW w:w="4990" w:type="dxa"/>
            <w:tcBorders>
              <w:top w:val="nil"/>
              <w:bottom w:val="nil"/>
              <w:right w:val="nil"/>
            </w:tcBorders>
            <w:shd w:val="clear" w:color="auto" w:fill="000000"/>
          </w:tcPr>
          <w:p w14:paraId="1CE1CB64" w14:textId="77777777" w:rsidR="009D54AF" w:rsidRDefault="00000000">
            <w:pPr>
              <w:pStyle w:val="TableParagraph"/>
              <w:spacing w:before="145"/>
              <w:ind w:left="78"/>
              <w:rPr>
                <w:b/>
                <w:sz w:val="19"/>
              </w:rPr>
            </w:pPr>
            <w:r>
              <w:rPr>
                <w:b/>
                <w:color w:val="FFFFFF"/>
                <w:sz w:val="19"/>
              </w:rPr>
              <w:t>Result</w:t>
            </w:r>
            <w:r>
              <w:rPr>
                <w:b/>
                <w:color w:val="FFFFFF"/>
                <w:spacing w:val="14"/>
                <w:sz w:val="19"/>
              </w:rPr>
              <w:t xml:space="preserve"> </w:t>
            </w:r>
            <w:r>
              <w:rPr>
                <w:b/>
                <w:color w:val="FFFFFF"/>
                <w:sz w:val="19"/>
              </w:rPr>
              <w:t>against</w:t>
            </w:r>
            <w:r>
              <w:rPr>
                <w:b/>
                <w:color w:val="FFFFFF"/>
                <w:spacing w:val="14"/>
                <w:sz w:val="19"/>
              </w:rPr>
              <w:t xml:space="preserve"> </w:t>
            </w:r>
            <w:r>
              <w:rPr>
                <w:b/>
                <w:color w:val="FFFFFF"/>
                <w:sz w:val="19"/>
              </w:rPr>
              <w:t>performance</w:t>
            </w:r>
            <w:r>
              <w:rPr>
                <w:b/>
                <w:color w:val="FFFFFF"/>
                <w:spacing w:val="14"/>
                <w:sz w:val="19"/>
              </w:rPr>
              <w:t xml:space="preserve"> </w:t>
            </w:r>
            <w:r>
              <w:rPr>
                <w:b/>
                <w:color w:val="FFFFFF"/>
                <w:spacing w:val="-2"/>
                <w:sz w:val="19"/>
              </w:rPr>
              <w:t>criteria</w:t>
            </w:r>
          </w:p>
        </w:tc>
      </w:tr>
      <w:tr w:rsidR="009D54AF" w14:paraId="49269ABD" w14:textId="77777777">
        <w:trPr>
          <w:trHeight w:val="4720"/>
        </w:trPr>
        <w:tc>
          <w:tcPr>
            <w:tcW w:w="2665" w:type="dxa"/>
            <w:vMerge w:val="restart"/>
            <w:tcBorders>
              <w:top w:val="nil"/>
              <w:left w:val="nil"/>
              <w:bottom w:val="single" w:sz="2" w:space="0" w:color="000000"/>
              <w:right w:val="single" w:sz="2" w:space="0" w:color="000000"/>
            </w:tcBorders>
          </w:tcPr>
          <w:p w14:paraId="6A29EF27" w14:textId="77777777" w:rsidR="009D54AF" w:rsidRDefault="00000000">
            <w:pPr>
              <w:pStyle w:val="TableParagraph"/>
              <w:spacing w:before="47" w:line="220" w:lineRule="auto"/>
              <w:ind w:left="85" w:right="154"/>
              <w:rPr>
                <w:sz w:val="19"/>
              </w:rPr>
            </w:pPr>
            <w:r>
              <w:rPr>
                <w:sz w:val="19"/>
              </w:rPr>
              <w:t>Implement National Safety and</w:t>
            </w:r>
            <w:r>
              <w:rPr>
                <w:spacing w:val="-2"/>
                <w:sz w:val="19"/>
              </w:rPr>
              <w:t xml:space="preserve"> </w:t>
            </w:r>
            <w:r>
              <w:rPr>
                <w:sz w:val="19"/>
              </w:rPr>
              <w:t>Quality</w:t>
            </w:r>
            <w:r>
              <w:rPr>
                <w:spacing w:val="-2"/>
                <w:sz w:val="19"/>
              </w:rPr>
              <w:t xml:space="preserve"> </w:t>
            </w:r>
            <w:r>
              <w:rPr>
                <w:sz w:val="19"/>
              </w:rPr>
              <w:t>Health</w:t>
            </w:r>
            <w:r>
              <w:rPr>
                <w:spacing w:val="-2"/>
                <w:sz w:val="19"/>
              </w:rPr>
              <w:t xml:space="preserve"> </w:t>
            </w:r>
            <w:r>
              <w:rPr>
                <w:sz w:val="19"/>
              </w:rPr>
              <w:t>Service (NSQHS) Standards and coordinate the Australian Health Service Safety</w:t>
            </w:r>
          </w:p>
          <w:p w14:paraId="65C8ABD1" w14:textId="77777777" w:rsidR="009D54AF" w:rsidRDefault="00000000">
            <w:pPr>
              <w:pStyle w:val="TableParagraph"/>
              <w:spacing w:line="220" w:lineRule="auto"/>
              <w:ind w:left="85" w:right="154"/>
              <w:rPr>
                <w:sz w:val="19"/>
              </w:rPr>
            </w:pPr>
            <w:r>
              <w:rPr>
                <w:sz w:val="19"/>
              </w:rPr>
              <w:t>and Quality Accreditation Scheme, while supporting health services, health professionals, patients and consumers</w:t>
            </w:r>
            <w:r>
              <w:rPr>
                <w:spacing w:val="-4"/>
                <w:sz w:val="19"/>
              </w:rPr>
              <w:t xml:space="preserve"> </w:t>
            </w:r>
            <w:r>
              <w:rPr>
                <w:sz w:val="19"/>
              </w:rPr>
              <w:t>to</w:t>
            </w:r>
            <w:r>
              <w:rPr>
                <w:spacing w:val="-4"/>
                <w:sz w:val="19"/>
              </w:rPr>
              <w:t xml:space="preserve"> </w:t>
            </w:r>
            <w:r>
              <w:rPr>
                <w:sz w:val="19"/>
              </w:rPr>
              <w:t>form</w:t>
            </w:r>
            <w:r>
              <w:rPr>
                <w:spacing w:val="-4"/>
                <w:sz w:val="19"/>
              </w:rPr>
              <w:t xml:space="preserve"> </w:t>
            </w:r>
            <w:r>
              <w:rPr>
                <w:sz w:val="19"/>
              </w:rPr>
              <w:t xml:space="preserve">effective </w:t>
            </w:r>
            <w:r>
              <w:rPr>
                <w:spacing w:val="-2"/>
                <w:sz w:val="19"/>
              </w:rPr>
              <w:t>partnerships.</w:t>
            </w:r>
          </w:p>
        </w:tc>
        <w:tc>
          <w:tcPr>
            <w:tcW w:w="2552" w:type="dxa"/>
            <w:tcBorders>
              <w:top w:val="nil"/>
              <w:left w:val="single" w:sz="2" w:space="0" w:color="000000"/>
              <w:bottom w:val="single" w:sz="2" w:space="0" w:color="000000"/>
              <w:right w:val="single" w:sz="2" w:space="0" w:color="000000"/>
            </w:tcBorders>
          </w:tcPr>
          <w:p w14:paraId="5E746C68" w14:textId="77777777" w:rsidR="009D54AF" w:rsidRDefault="00000000">
            <w:pPr>
              <w:pStyle w:val="TableParagraph"/>
              <w:spacing w:before="47" w:line="220" w:lineRule="auto"/>
              <w:ind w:left="82" w:right="428"/>
              <w:rPr>
                <w:sz w:val="19"/>
              </w:rPr>
            </w:pPr>
            <w:r>
              <w:rPr>
                <w:sz w:val="19"/>
              </w:rPr>
              <w:t>Hospitals and day procedure</w:t>
            </w:r>
            <w:r>
              <w:rPr>
                <w:spacing w:val="-5"/>
                <w:sz w:val="19"/>
              </w:rPr>
              <w:t xml:space="preserve"> </w:t>
            </w:r>
            <w:r>
              <w:rPr>
                <w:sz w:val="19"/>
              </w:rPr>
              <w:t>services</w:t>
            </w:r>
            <w:r>
              <w:rPr>
                <w:spacing w:val="-5"/>
                <w:sz w:val="19"/>
              </w:rPr>
              <w:t xml:space="preserve"> </w:t>
            </w:r>
            <w:r>
              <w:rPr>
                <w:sz w:val="19"/>
              </w:rPr>
              <w:t>are assessed against the NSQHS Standards.</w:t>
            </w:r>
          </w:p>
        </w:tc>
        <w:tc>
          <w:tcPr>
            <w:tcW w:w="4990" w:type="dxa"/>
            <w:tcBorders>
              <w:top w:val="nil"/>
              <w:left w:val="single" w:sz="2" w:space="0" w:color="000000"/>
              <w:bottom w:val="single" w:sz="2" w:space="0" w:color="000000"/>
              <w:right w:val="nil"/>
            </w:tcBorders>
          </w:tcPr>
          <w:p w14:paraId="336FB8CF" w14:textId="77777777" w:rsidR="009D54AF" w:rsidRDefault="00000000">
            <w:pPr>
              <w:pStyle w:val="TableParagraph"/>
              <w:spacing w:before="33"/>
              <w:ind w:left="81"/>
              <w:rPr>
                <w:b/>
                <w:sz w:val="19"/>
              </w:rPr>
            </w:pPr>
            <w:r>
              <w:rPr>
                <w:b/>
                <w:spacing w:val="-2"/>
                <w:sz w:val="19"/>
              </w:rPr>
              <w:t>Achieved</w:t>
            </w:r>
          </w:p>
          <w:p w14:paraId="6011ADAC" w14:textId="77777777" w:rsidR="009D54AF" w:rsidRDefault="00000000">
            <w:pPr>
              <w:pStyle w:val="TableParagraph"/>
              <w:spacing w:before="52" w:line="220" w:lineRule="auto"/>
              <w:ind w:left="81" w:right="126"/>
              <w:rPr>
                <w:sz w:val="19"/>
              </w:rPr>
            </w:pPr>
            <w:r>
              <w:rPr>
                <w:sz w:val="19"/>
              </w:rPr>
              <w:t>Hospitals and day procedure services are being assessed against the NSQHS Standards at short notice. Over a 3-year assessment cycle, 1,313 hospitals and day procedure services are required to be assessed against the NSQHS Standards, with 487 assessed in 2025-26. Of these 487 hospitals and day procedure services, 163 (33%) met all actions at the initial assessment, and the remaining 324 (67%) met all actions at the final assessment.</w:t>
            </w:r>
          </w:p>
          <w:p w14:paraId="21407C79" w14:textId="77777777" w:rsidR="009D54AF" w:rsidRDefault="00000000">
            <w:pPr>
              <w:pStyle w:val="TableParagraph"/>
              <w:spacing w:before="48" w:line="220" w:lineRule="auto"/>
              <w:ind w:left="81" w:right="237"/>
              <w:rPr>
                <w:sz w:val="19"/>
              </w:rPr>
            </w:pPr>
            <w:r>
              <w:rPr>
                <w:sz w:val="19"/>
              </w:rPr>
              <w:t>There is ongoing monitoring of the assessment outcomes data by states, territories, the Department of Health, Disability and Ageing and program areas.</w:t>
            </w:r>
          </w:p>
          <w:p w14:paraId="41F3F165" w14:textId="77777777" w:rsidR="009D54AF" w:rsidRDefault="00000000">
            <w:pPr>
              <w:pStyle w:val="TableParagraph"/>
              <w:spacing w:before="53" w:line="220" w:lineRule="auto"/>
              <w:ind w:left="81" w:right="109"/>
              <w:rPr>
                <w:sz w:val="19"/>
              </w:rPr>
            </w:pPr>
            <w:r>
              <w:rPr>
                <w:sz w:val="19"/>
              </w:rPr>
              <w:t>Formal</w:t>
            </w:r>
            <w:r>
              <w:rPr>
                <w:spacing w:val="-1"/>
                <w:sz w:val="19"/>
              </w:rPr>
              <w:t xml:space="preserve"> </w:t>
            </w:r>
            <w:r>
              <w:rPr>
                <w:sz w:val="19"/>
              </w:rPr>
              <w:t>meetings</w:t>
            </w:r>
            <w:r>
              <w:rPr>
                <w:spacing w:val="-1"/>
                <w:sz w:val="19"/>
              </w:rPr>
              <w:t xml:space="preserve"> </w:t>
            </w:r>
            <w:r>
              <w:rPr>
                <w:sz w:val="19"/>
              </w:rPr>
              <w:t>with</w:t>
            </w:r>
            <w:r>
              <w:rPr>
                <w:spacing w:val="-1"/>
                <w:sz w:val="19"/>
              </w:rPr>
              <w:t xml:space="preserve"> </w:t>
            </w:r>
            <w:r>
              <w:rPr>
                <w:sz w:val="19"/>
              </w:rPr>
              <w:t>approved</w:t>
            </w:r>
            <w:r>
              <w:rPr>
                <w:spacing w:val="-1"/>
                <w:sz w:val="19"/>
              </w:rPr>
              <w:t xml:space="preserve"> </w:t>
            </w:r>
            <w:r>
              <w:rPr>
                <w:sz w:val="19"/>
              </w:rPr>
              <w:t>accrediting</w:t>
            </w:r>
            <w:r>
              <w:rPr>
                <w:spacing w:val="-1"/>
                <w:sz w:val="19"/>
              </w:rPr>
              <w:t xml:space="preserve"> </w:t>
            </w:r>
            <w:r>
              <w:rPr>
                <w:sz w:val="19"/>
              </w:rPr>
              <w:t>agencies</w:t>
            </w:r>
            <w:r>
              <w:rPr>
                <w:spacing w:val="-1"/>
                <w:sz w:val="19"/>
              </w:rPr>
              <w:t xml:space="preserve"> </w:t>
            </w:r>
            <w:r>
              <w:rPr>
                <w:sz w:val="19"/>
              </w:rPr>
              <w:t>are held three times per year to address issues identified</w:t>
            </w:r>
            <w:r>
              <w:rPr>
                <w:spacing w:val="40"/>
                <w:sz w:val="19"/>
              </w:rPr>
              <w:t xml:space="preserve"> </w:t>
            </w:r>
            <w:r>
              <w:rPr>
                <w:sz w:val="19"/>
              </w:rPr>
              <w:t xml:space="preserve">with the standards and the scheme as well as to discuss </w:t>
            </w:r>
            <w:r>
              <w:rPr>
                <w:spacing w:val="-2"/>
                <w:sz w:val="19"/>
              </w:rPr>
              <w:t>reforms.</w:t>
            </w:r>
          </w:p>
          <w:p w14:paraId="46807573" w14:textId="77777777" w:rsidR="009D54AF" w:rsidRDefault="00000000">
            <w:pPr>
              <w:pStyle w:val="TableParagraph"/>
              <w:spacing w:before="53" w:line="220" w:lineRule="auto"/>
              <w:ind w:left="81"/>
              <w:rPr>
                <w:sz w:val="19"/>
              </w:rPr>
            </w:pPr>
            <w:r>
              <w:rPr>
                <w:sz w:val="19"/>
              </w:rPr>
              <w:t>Performance reports for, and annual performance meetings with, the seven approved accrediting agencies were conducted in first quarter of 2026. Issues identified during performance assessments will be addressed and form part of the conditions of approval.</w:t>
            </w:r>
          </w:p>
        </w:tc>
      </w:tr>
      <w:tr w:rsidR="009D54AF" w14:paraId="7FF37122" w14:textId="77777777" w:rsidTr="00D6288A">
        <w:trPr>
          <w:trHeight w:val="1639"/>
        </w:trPr>
        <w:tc>
          <w:tcPr>
            <w:tcW w:w="2665" w:type="dxa"/>
            <w:vMerge/>
            <w:tcBorders>
              <w:top w:val="nil"/>
              <w:left w:val="nil"/>
              <w:bottom w:val="nil"/>
              <w:right w:val="single" w:sz="2" w:space="0" w:color="000000"/>
            </w:tcBorders>
          </w:tcPr>
          <w:p w14:paraId="690B15F5" w14:textId="77777777" w:rsidR="009D54AF" w:rsidRDefault="009D54AF">
            <w:pPr>
              <w:rPr>
                <w:sz w:val="2"/>
                <w:szCs w:val="2"/>
              </w:rPr>
            </w:pPr>
          </w:p>
        </w:tc>
        <w:tc>
          <w:tcPr>
            <w:tcW w:w="2552" w:type="dxa"/>
            <w:tcBorders>
              <w:top w:val="single" w:sz="2" w:space="0" w:color="000000"/>
              <w:left w:val="single" w:sz="2" w:space="0" w:color="000000"/>
              <w:bottom w:val="single" w:sz="2" w:space="0" w:color="000000"/>
              <w:right w:val="single" w:sz="2" w:space="0" w:color="000000"/>
            </w:tcBorders>
          </w:tcPr>
          <w:p w14:paraId="695634EA" w14:textId="77777777" w:rsidR="009D54AF" w:rsidRDefault="00000000">
            <w:pPr>
              <w:pStyle w:val="TableParagraph"/>
              <w:spacing w:before="54" w:line="220" w:lineRule="auto"/>
              <w:ind w:left="82" w:right="428"/>
              <w:rPr>
                <w:sz w:val="19"/>
              </w:rPr>
            </w:pPr>
            <w:r>
              <w:rPr>
                <w:sz w:val="19"/>
              </w:rPr>
              <w:t>Develop</w:t>
            </w:r>
            <w:r>
              <w:rPr>
                <w:spacing w:val="-12"/>
                <w:sz w:val="19"/>
              </w:rPr>
              <w:t xml:space="preserve"> </w:t>
            </w:r>
            <w:r>
              <w:rPr>
                <w:sz w:val="19"/>
              </w:rPr>
              <w:t>5</w:t>
            </w:r>
            <w:r>
              <w:rPr>
                <w:spacing w:val="-12"/>
                <w:sz w:val="19"/>
              </w:rPr>
              <w:t xml:space="preserve"> </w:t>
            </w:r>
            <w:r>
              <w:rPr>
                <w:sz w:val="19"/>
              </w:rPr>
              <w:t>publications or other resources to provide guidance to</w:t>
            </w:r>
          </w:p>
          <w:p w14:paraId="2B38D7D7" w14:textId="77777777" w:rsidR="009D54AF" w:rsidRDefault="00000000">
            <w:pPr>
              <w:pStyle w:val="TableParagraph"/>
              <w:spacing w:line="220" w:lineRule="auto"/>
              <w:ind w:left="82" w:right="77"/>
              <w:rPr>
                <w:sz w:val="19"/>
              </w:rPr>
            </w:pPr>
            <w:r>
              <w:rPr>
                <w:sz w:val="19"/>
              </w:rPr>
              <w:t>support</w:t>
            </w:r>
            <w:r>
              <w:rPr>
                <w:spacing w:val="-7"/>
                <w:sz w:val="19"/>
              </w:rPr>
              <w:t xml:space="preserve"> </w:t>
            </w:r>
            <w:r>
              <w:rPr>
                <w:sz w:val="19"/>
              </w:rPr>
              <w:t>implementation</w:t>
            </w:r>
            <w:r>
              <w:rPr>
                <w:spacing w:val="-7"/>
                <w:sz w:val="19"/>
              </w:rPr>
              <w:t xml:space="preserve"> </w:t>
            </w:r>
            <w:r>
              <w:rPr>
                <w:sz w:val="19"/>
              </w:rPr>
              <w:t>of the second edition of the NSQHS Standards.</w:t>
            </w:r>
          </w:p>
        </w:tc>
        <w:tc>
          <w:tcPr>
            <w:tcW w:w="4990" w:type="dxa"/>
            <w:tcBorders>
              <w:top w:val="single" w:sz="2" w:space="0" w:color="000000"/>
              <w:left w:val="single" w:sz="2" w:space="0" w:color="000000"/>
              <w:bottom w:val="single" w:sz="2" w:space="0" w:color="000000"/>
              <w:right w:val="nil"/>
            </w:tcBorders>
          </w:tcPr>
          <w:p w14:paraId="3EBD1CFC" w14:textId="77777777" w:rsidR="009D54AF" w:rsidRDefault="00000000">
            <w:pPr>
              <w:pStyle w:val="TableParagraph"/>
              <w:spacing w:before="40"/>
              <w:ind w:left="81"/>
              <w:rPr>
                <w:b/>
                <w:sz w:val="19"/>
              </w:rPr>
            </w:pPr>
            <w:r>
              <w:rPr>
                <w:b/>
                <w:spacing w:val="-2"/>
                <w:sz w:val="19"/>
              </w:rPr>
              <w:t>Achieved</w:t>
            </w:r>
          </w:p>
          <w:p w14:paraId="780DCD21" w14:textId="77777777" w:rsidR="009D54AF" w:rsidRDefault="00000000">
            <w:pPr>
              <w:pStyle w:val="TableParagraph"/>
              <w:spacing w:before="52" w:line="220" w:lineRule="auto"/>
              <w:ind w:left="81" w:right="126"/>
              <w:rPr>
                <w:sz w:val="19"/>
              </w:rPr>
            </w:pPr>
            <w:r>
              <w:rPr>
                <w:sz w:val="19"/>
              </w:rPr>
              <w:t>The Commission has developed and maintained more than 10 publications and other resources to support the implementation of the standards including:</w:t>
            </w:r>
          </w:p>
          <w:p w14:paraId="4483662C" w14:textId="77777777" w:rsidR="009D54AF" w:rsidRDefault="00000000">
            <w:pPr>
              <w:pStyle w:val="TableParagraph"/>
              <w:numPr>
                <w:ilvl w:val="0"/>
                <w:numId w:val="30"/>
              </w:numPr>
              <w:tabs>
                <w:tab w:val="left" w:pos="249"/>
                <w:tab w:val="left" w:pos="251"/>
              </w:tabs>
              <w:spacing w:before="54" w:line="220" w:lineRule="auto"/>
              <w:ind w:right="2728"/>
              <w:rPr>
                <w:sz w:val="19"/>
              </w:rPr>
            </w:pPr>
            <w:r>
              <w:rPr>
                <w:sz w:val="19"/>
              </w:rPr>
              <w:t>updated Advisories on</w:t>
            </w:r>
            <w:r>
              <w:rPr>
                <w:spacing w:val="40"/>
                <w:sz w:val="19"/>
              </w:rPr>
              <w:t xml:space="preserve"> </w:t>
            </w:r>
            <w:r>
              <w:rPr>
                <w:sz w:val="19"/>
              </w:rPr>
              <w:t>–</w:t>
            </w:r>
            <w:r>
              <w:rPr>
                <w:spacing w:val="-6"/>
                <w:sz w:val="19"/>
              </w:rPr>
              <w:t xml:space="preserve"> </w:t>
            </w:r>
            <w:r>
              <w:rPr>
                <w:sz w:val="19"/>
              </w:rPr>
              <w:t>not</w:t>
            </w:r>
            <w:r>
              <w:rPr>
                <w:spacing w:val="-6"/>
                <w:sz w:val="19"/>
              </w:rPr>
              <w:t xml:space="preserve"> </w:t>
            </w:r>
            <w:r>
              <w:rPr>
                <w:sz w:val="19"/>
              </w:rPr>
              <w:t>applicable</w:t>
            </w:r>
            <w:r>
              <w:rPr>
                <w:spacing w:val="-6"/>
                <w:sz w:val="19"/>
              </w:rPr>
              <w:t xml:space="preserve"> </w:t>
            </w:r>
            <w:r>
              <w:rPr>
                <w:sz w:val="19"/>
              </w:rPr>
              <w:t>actions</w:t>
            </w:r>
          </w:p>
        </w:tc>
      </w:tr>
      <w:tr w:rsidR="00D6288A" w14:paraId="3703782B" w14:textId="77777777" w:rsidTr="009377BE">
        <w:trPr>
          <w:trHeight w:val="1639"/>
        </w:trPr>
        <w:tc>
          <w:tcPr>
            <w:tcW w:w="2665" w:type="dxa"/>
            <w:tcBorders>
              <w:top w:val="nil"/>
              <w:left w:val="nil"/>
              <w:bottom w:val="nil"/>
              <w:right w:val="single" w:sz="2" w:space="0" w:color="000000"/>
            </w:tcBorders>
          </w:tcPr>
          <w:p w14:paraId="54CA1CE0" w14:textId="77777777" w:rsidR="00D6288A" w:rsidRDefault="00D6288A" w:rsidP="00D6288A">
            <w:pPr>
              <w:rPr>
                <w:sz w:val="2"/>
                <w:szCs w:val="2"/>
              </w:rPr>
            </w:pPr>
          </w:p>
        </w:tc>
        <w:tc>
          <w:tcPr>
            <w:tcW w:w="2552" w:type="dxa"/>
            <w:tcBorders>
              <w:top w:val="single" w:sz="2" w:space="0" w:color="000000"/>
              <w:left w:val="single" w:sz="2" w:space="0" w:color="000000"/>
              <w:bottom w:val="single" w:sz="2" w:space="0" w:color="000000"/>
              <w:right w:val="single" w:sz="2" w:space="0" w:color="000000"/>
            </w:tcBorders>
          </w:tcPr>
          <w:p w14:paraId="68C29723" w14:textId="77777777" w:rsidR="00D6288A" w:rsidRDefault="00D6288A" w:rsidP="00D6288A">
            <w:pPr>
              <w:pStyle w:val="TableParagraph"/>
              <w:spacing w:before="54" w:line="220" w:lineRule="auto"/>
              <w:ind w:left="82" w:right="428"/>
              <w:rPr>
                <w:sz w:val="19"/>
              </w:rPr>
            </w:pPr>
          </w:p>
        </w:tc>
        <w:tc>
          <w:tcPr>
            <w:tcW w:w="4990" w:type="dxa"/>
            <w:tcBorders>
              <w:top w:val="single" w:sz="2" w:space="0" w:color="000000"/>
              <w:left w:val="single" w:sz="2" w:space="0" w:color="000000"/>
              <w:bottom w:val="single" w:sz="2" w:space="0" w:color="000000"/>
              <w:right w:val="nil"/>
            </w:tcBorders>
          </w:tcPr>
          <w:p w14:paraId="4717491F" w14:textId="77777777" w:rsidR="00D6288A" w:rsidRDefault="00D6288A" w:rsidP="00D6288A">
            <w:pPr>
              <w:pStyle w:val="TableParagraph"/>
              <w:numPr>
                <w:ilvl w:val="0"/>
                <w:numId w:val="29"/>
              </w:numPr>
              <w:tabs>
                <w:tab w:val="left" w:pos="409"/>
              </w:tabs>
              <w:spacing w:before="54" w:line="220" w:lineRule="auto"/>
              <w:ind w:right="128"/>
              <w:rPr>
                <w:sz w:val="19"/>
              </w:rPr>
            </w:pPr>
            <w:r>
              <w:rPr>
                <w:sz w:val="19"/>
              </w:rPr>
              <w:t>requirements for health services following significant safety and quality review</w:t>
            </w:r>
          </w:p>
          <w:p w14:paraId="635D1089" w14:textId="77777777" w:rsidR="00D6288A" w:rsidRDefault="00D6288A" w:rsidP="00D6288A">
            <w:pPr>
              <w:pStyle w:val="TableParagraph"/>
              <w:numPr>
                <w:ilvl w:val="0"/>
                <w:numId w:val="29"/>
              </w:numPr>
              <w:tabs>
                <w:tab w:val="left" w:pos="409"/>
              </w:tabs>
              <w:spacing w:line="193" w:lineRule="exact"/>
              <w:ind w:hanging="158"/>
              <w:rPr>
                <w:sz w:val="19"/>
              </w:rPr>
            </w:pPr>
            <w:r>
              <w:rPr>
                <w:sz w:val="19"/>
              </w:rPr>
              <w:t>transferring</w:t>
            </w:r>
            <w:r>
              <w:rPr>
                <w:spacing w:val="6"/>
                <w:sz w:val="19"/>
              </w:rPr>
              <w:t xml:space="preserve"> </w:t>
            </w:r>
            <w:r>
              <w:rPr>
                <w:sz w:val="19"/>
              </w:rPr>
              <w:t>between</w:t>
            </w:r>
            <w:r>
              <w:rPr>
                <w:spacing w:val="7"/>
                <w:sz w:val="19"/>
              </w:rPr>
              <w:t xml:space="preserve"> </w:t>
            </w:r>
            <w:r>
              <w:rPr>
                <w:sz w:val="19"/>
              </w:rPr>
              <w:t>accrediting</w:t>
            </w:r>
            <w:r>
              <w:rPr>
                <w:spacing w:val="7"/>
                <w:sz w:val="19"/>
              </w:rPr>
              <w:t xml:space="preserve"> </w:t>
            </w:r>
            <w:r>
              <w:rPr>
                <w:spacing w:val="-2"/>
                <w:sz w:val="19"/>
              </w:rPr>
              <w:t>agencies</w:t>
            </w:r>
          </w:p>
          <w:p w14:paraId="045055A7" w14:textId="77777777" w:rsidR="00D6288A" w:rsidRDefault="00D6288A" w:rsidP="00D6288A">
            <w:pPr>
              <w:pStyle w:val="TableParagraph"/>
              <w:numPr>
                <w:ilvl w:val="0"/>
                <w:numId w:val="29"/>
              </w:numPr>
              <w:tabs>
                <w:tab w:val="left" w:pos="409"/>
              </w:tabs>
              <w:spacing w:before="5" w:line="220" w:lineRule="auto"/>
              <w:ind w:right="813"/>
              <w:rPr>
                <w:sz w:val="19"/>
              </w:rPr>
            </w:pPr>
            <w:r>
              <w:rPr>
                <w:sz w:val="19"/>
              </w:rPr>
              <w:t>implementing</w:t>
            </w:r>
            <w:r>
              <w:rPr>
                <w:spacing w:val="-1"/>
                <w:sz w:val="19"/>
              </w:rPr>
              <w:t xml:space="preserve"> </w:t>
            </w:r>
            <w:r>
              <w:rPr>
                <w:sz w:val="19"/>
              </w:rPr>
              <w:t>the</w:t>
            </w:r>
            <w:r>
              <w:rPr>
                <w:spacing w:val="-1"/>
                <w:sz w:val="19"/>
              </w:rPr>
              <w:t xml:space="preserve"> </w:t>
            </w:r>
            <w:r>
              <w:rPr>
                <w:sz w:val="19"/>
              </w:rPr>
              <w:t>Colonoscopy</w:t>
            </w:r>
            <w:r>
              <w:rPr>
                <w:spacing w:val="-1"/>
                <w:sz w:val="19"/>
              </w:rPr>
              <w:t xml:space="preserve"> </w:t>
            </w:r>
            <w:r>
              <w:rPr>
                <w:sz w:val="19"/>
              </w:rPr>
              <w:t>Clinical</w:t>
            </w:r>
            <w:r>
              <w:rPr>
                <w:spacing w:val="-1"/>
                <w:sz w:val="19"/>
              </w:rPr>
              <w:t xml:space="preserve"> </w:t>
            </w:r>
            <w:r>
              <w:rPr>
                <w:sz w:val="19"/>
              </w:rPr>
              <w:t xml:space="preserve">Care </w:t>
            </w:r>
            <w:r>
              <w:rPr>
                <w:spacing w:val="-2"/>
                <w:sz w:val="19"/>
              </w:rPr>
              <w:t>Standard</w:t>
            </w:r>
          </w:p>
          <w:p w14:paraId="18F2A124" w14:textId="77777777" w:rsidR="00D6288A" w:rsidRDefault="00D6288A" w:rsidP="00D6288A">
            <w:pPr>
              <w:pStyle w:val="TableParagraph"/>
              <w:numPr>
                <w:ilvl w:val="0"/>
                <w:numId w:val="29"/>
              </w:numPr>
              <w:tabs>
                <w:tab w:val="left" w:pos="409"/>
              </w:tabs>
              <w:spacing w:line="220" w:lineRule="auto"/>
              <w:ind w:right="582"/>
              <w:rPr>
                <w:sz w:val="19"/>
              </w:rPr>
            </w:pPr>
            <w:r>
              <w:rPr>
                <w:sz w:val="19"/>
              </w:rPr>
              <w:t xml:space="preserve">mandatory reporting of medical device adverse </w:t>
            </w:r>
            <w:r>
              <w:rPr>
                <w:spacing w:val="-2"/>
                <w:sz w:val="19"/>
              </w:rPr>
              <w:t>events</w:t>
            </w:r>
          </w:p>
          <w:p w14:paraId="2F1CA1C5" w14:textId="77777777" w:rsidR="00D6288A" w:rsidRDefault="00D6288A" w:rsidP="00D6288A">
            <w:pPr>
              <w:pStyle w:val="TableParagraph"/>
              <w:numPr>
                <w:ilvl w:val="0"/>
                <w:numId w:val="28"/>
              </w:numPr>
              <w:tabs>
                <w:tab w:val="left" w:pos="249"/>
                <w:tab w:val="left" w:pos="251"/>
              </w:tabs>
              <w:spacing w:line="220" w:lineRule="auto"/>
              <w:ind w:right="399"/>
              <w:rPr>
                <w:sz w:val="19"/>
              </w:rPr>
            </w:pPr>
            <w:r>
              <w:rPr>
                <w:sz w:val="19"/>
              </w:rPr>
              <w:t>updated fact sheets and Advisories for the National Clinical Trials Governance Framework including</w:t>
            </w:r>
          </w:p>
          <w:p w14:paraId="7876C52D" w14:textId="77777777" w:rsidR="00D6288A" w:rsidRDefault="00D6288A" w:rsidP="00D6288A">
            <w:pPr>
              <w:pStyle w:val="TableParagraph"/>
              <w:numPr>
                <w:ilvl w:val="1"/>
                <w:numId w:val="28"/>
              </w:numPr>
              <w:tabs>
                <w:tab w:val="left" w:pos="409"/>
              </w:tabs>
              <w:spacing w:line="193" w:lineRule="exact"/>
              <w:ind w:hanging="158"/>
              <w:rPr>
                <w:sz w:val="19"/>
              </w:rPr>
            </w:pPr>
            <w:r>
              <w:rPr>
                <w:sz w:val="19"/>
              </w:rPr>
              <w:t>maturity</w:t>
            </w:r>
            <w:r>
              <w:rPr>
                <w:spacing w:val="4"/>
                <w:sz w:val="19"/>
              </w:rPr>
              <w:t xml:space="preserve"> </w:t>
            </w:r>
            <w:r>
              <w:rPr>
                <w:sz w:val="19"/>
              </w:rPr>
              <w:t>rating</w:t>
            </w:r>
            <w:r>
              <w:rPr>
                <w:spacing w:val="4"/>
                <w:sz w:val="19"/>
              </w:rPr>
              <w:t xml:space="preserve"> </w:t>
            </w:r>
            <w:r>
              <w:rPr>
                <w:sz w:val="19"/>
              </w:rPr>
              <w:t>scale</w:t>
            </w:r>
            <w:r>
              <w:rPr>
                <w:spacing w:val="4"/>
                <w:sz w:val="19"/>
              </w:rPr>
              <w:t xml:space="preserve"> </w:t>
            </w:r>
            <w:r>
              <w:rPr>
                <w:spacing w:val="-2"/>
                <w:sz w:val="19"/>
              </w:rPr>
              <w:t>extensions</w:t>
            </w:r>
          </w:p>
          <w:p w14:paraId="7F773B8A" w14:textId="77777777" w:rsidR="00D6288A" w:rsidRDefault="00D6288A" w:rsidP="00D6288A">
            <w:pPr>
              <w:pStyle w:val="TableParagraph"/>
              <w:numPr>
                <w:ilvl w:val="1"/>
                <w:numId w:val="28"/>
              </w:numPr>
              <w:tabs>
                <w:tab w:val="left" w:pos="409"/>
              </w:tabs>
              <w:spacing w:line="200" w:lineRule="exact"/>
              <w:ind w:hanging="158"/>
              <w:rPr>
                <w:sz w:val="19"/>
              </w:rPr>
            </w:pPr>
            <w:r>
              <w:rPr>
                <w:sz w:val="19"/>
              </w:rPr>
              <w:t>not</w:t>
            </w:r>
            <w:r>
              <w:rPr>
                <w:spacing w:val="4"/>
                <w:sz w:val="19"/>
              </w:rPr>
              <w:t xml:space="preserve"> </w:t>
            </w:r>
            <w:r>
              <w:rPr>
                <w:sz w:val="19"/>
              </w:rPr>
              <w:t>applicable</w:t>
            </w:r>
            <w:r>
              <w:rPr>
                <w:spacing w:val="5"/>
                <w:sz w:val="19"/>
              </w:rPr>
              <w:t xml:space="preserve"> </w:t>
            </w:r>
            <w:r>
              <w:rPr>
                <w:spacing w:val="-2"/>
                <w:sz w:val="19"/>
              </w:rPr>
              <w:t>actions</w:t>
            </w:r>
          </w:p>
          <w:p w14:paraId="1C34286D" w14:textId="77777777" w:rsidR="00D6288A" w:rsidRDefault="00D6288A" w:rsidP="00D6288A">
            <w:pPr>
              <w:pStyle w:val="TableParagraph"/>
              <w:numPr>
                <w:ilvl w:val="1"/>
                <w:numId w:val="28"/>
              </w:numPr>
              <w:tabs>
                <w:tab w:val="left" w:pos="409"/>
              </w:tabs>
              <w:spacing w:line="200" w:lineRule="exact"/>
              <w:ind w:hanging="158"/>
              <w:rPr>
                <w:sz w:val="19"/>
              </w:rPr>
            </w:pPr>
            <w:r>
              <w:rPr>
                <w:sz w:val="19"/>
              </w:rPr>
              <w:t>incident</w:t>
            </w:r>
            <w:r>
              <w:rPr>
                <w:spacing w:val="2"/>
                <w:sz w:val="19"/>
              </w:rPr>
              <w:t xml:space="preserve"> </w:t>
            </w:r>
            <w:r>
              <w:rPr>
                <w:spacing w:val="-2"/>
                <w:sz w:val="19"/>
              </w:rPr>
              <w:t>management</w:t>
            </w:r>
          </w:p>
          <w:p w14:paraId="17FFAADA" w14:textId="77777777" w:rsidR="00D6288A" w:rsidRDefault="00D6288A" w:rsidP="00D6288A">
            <w:pPr>
              <w:pStyle w:val="TableParagraph"/>
              <w:numPr>
                <w:ilvl w:val="0"/>
                <w:numId w:val="28"/>
              </w:numPr>
              <w:tabs>
                <w:tab w:val="left" w:pos="249"/>
                <w:tab w:val="left" w:pos="251"/>
              </w:tabs>
              <w:spacing w:before="1" w:line="220" w:lineRule="auto"/>
              <w:ind w:right="371"/>
              <w:rPr>
                <w:sz w:val="19"/>
              </w:rPr>
            </w:pPr>
            <w:r>
              <w:rPr>
                <w:sz w:val="19"/>
              </w:rPr>
              <w:t>release</w:t>
            </w:r>
            <w:r>
              <w:rPr>
                <w:spacing w:val="-1"/>
                <w:sz w:val="19"/>
              </w:rPr>
              <w:t xml:space="preserve"> </w:t>
            </w:r>
            <w:r>
              <w:rPr>
                <w:sz w:val="19"/>
              </w:rPr>
              <w:t>of</w:t>
            </w:r>
            <w:r>
              <w:rPr>
                <w:spacing w:val="-1"/>
                <w:sz w:val="19"/>
              </w:rPr>
              <w:t xml:space="preserve"> </w:t>
            </w:r>
            <w:r>
              <w:rPr>
                <w:sz w:val="19"/>
              </w:rPr>
              <w:t>assessment</w:t>
            </w:r>
            <w:r>
              <w:rPr>
                <w:spacing w:val="-1"/>
                <w:sz w:val="19"/>
              </w:rPr>
              <w:t xml:space="preserve"> </w:t>
            </w:r>
            <w:r>
              <w:rPr>
                <w:sz w:val="19"/>
              </w:rPr>
              <w:t>outcome</w:t>
            </w:r>
            <w:r>
              <w:rPr>
                <w:spacing w:val="-1"/>
                <w:sz w:val="19"/>
              </w:rPr>
              <w:t xml:space="preserve"> </w:t>
            </w:r>
            <w:r>
              <w:rPr>
                <w:sz w:val="19"/>
              </w:rPr>
              <w:t>data</w:t>
            </w:r>
            <w:r>
              <w:rPr>
                <w:spacing w:val="-1"/>
                <w:sz w:val="19"/>
              </w:rPr>
              <w:t xml:space="preserve"> </w:t>
            </w:r>
            <w:r>
              <w:rPr>
                <w:sz w:val="19"/>
              </w:rPr>
              <w:t>dashboard</w:t>
            </w:r>
            <w:r>
              <w:rPr>
                <w:spacing w:val="-1"/>
                <w:sz w:val="19"/>
              </w:rPr>
              <w:t xml:space="preserve"> </w:t>
            </w:r>
            <w:r>
              <w:rPr>
                <w:sz w:val="19"/>
              </w:rPr>
              <w:t>for clinical trials</w:t>
            </w:r>
          </w:p>
          <w:p w14:paraId="464A2B16" w14:textId="77777777" w:rsidR="00D6288A" w:rsidRDefault="00D6288A" w:rsidP="00D6288A">
            <w:pPr>
              <w:pStyle w:val="TableParagraph"/>
              <w:numPr>
                <w:ilvl w:val="0"/>
                <w:numId w:val="28"/>
              </w:numPr>
              <w:tabs>
                <w:tab w:val="left" w:pos="249"/>
                <w:tab w:val="left" w:pos="251"/>
              </w:tabs>
              <w:spacing w:line="220" w:lineRule="auto"/>
              <w:ind w:right="322"/>
              <w:rPr>
                <w:sz w:val="19"/>
              </w:rPr>
            </w:pPr>
            <w:r>
              <w:rPr>
                <w:sz w:val="19"/>
              </w:rPr>
              <w:t>updated fact sheets and advisories to support assessment</w:t>
            </w:r>
            <w:r>
              <w:rPr>
                <w:spacing w:val="-2"/>
                <w:sz w:val="19"/>
              </w:rPr>
              <w:t xml:space="preserve"> </w:t>
            </w:r>
            <w:r>
              <w:rPr>
                <w:sz w:val="19"/>
              </w:rPr>
              <w:t>of</w:t>
            </w:r>
            <w:r>
              <w:rPr>
                <w:spacing w:val="-2"/>
                <w:sz w:val="19"/>
              </w:rPr>
              <w:t xml:space="preserve"> </w:t>
            </w:r>
            <w:r>
              <w:rPr>
                <w:sz w:val="19"/>
              </w:rPr>
              <w:t>the</w:t>
            </w:r>
            <w:r>
              <w:rPr>
                <w:spacing w:val="-2"/>
                <w:sz w:val="19"/>
              </w:rPr>
              <w:t xml:space="preserve"> </w:t>
            </w:r>
            <w:r>
              <w:rPr>
                <w:sz w:val="19"/>
              </w:rPr>
              <w:t>Integrated</w:t>
            </w:r>
            <w:r>
              <w:rPr>
                <w:spacing w:val="-2"/>
                <w:sz w:val="19"/>
              </w:rPr>
              <w:t xml:space="preserve"> </w:t>
            </w:r>
            <w:r>
              <w:rPr>
                <w:sz w:val="19"/>
              </w:rPr>
              <w:t>Health</w:t>
            </w:r>
            <w:r>
              <w:rPr>
                <w:spacing w:val="-2"/>
                <w:sz w:val="19"/>
              </w:rPr>
              <w:t xml:space="preserve"> </w:t>
            </w:r>
            <w:r>
              <w:rPr>
                <w:sz w:val="19"/>
              </w:rPr>
              <w:t>and</w:t>
            </w:r>
            <w:r>
              <w:rPr>
                <w:spacing w:val="-2"/>
                <w:sz w:val="19"/>
              </w:rPr>
              <w:t xml:space="preserve"> </w:t>
            </w:r>
            <w:r>
              <w:rPr>
                <w:sz w:val="19"/>
              </w:rPr>
              <w:t>Aged</w:t>
            </w:r>
            <w:r>
              <w:rPr>
                <w:spacing w:val="-2"/>
                <w:sz w:val="19"/>
              </w:rPr>
              <w:t xml:space="preserve"> </w:t>
            </w:r>
            <w:r>
              <w:rPr>
                <w:sz w:val="19"/>
              </w:rPr>
              <w:t>Care Service Module.</w:t>
            </w:r>
          </w:p>
          <w:p w14:paraId="2663C62F" w14:textId="77777777" w:rsidR="00D6288A" w:rsidRDefault="00D6288A" w:rsidP="00D6288A">
            <w:pPr>
              <w:pStyle w:val="TableParagraph"/>
              <w:spacing w:before="52" w:line="220" w:lineRule="auto"/>
              <w:ind w:left="81" w:right="237"/>
              <w:rPr>
                <w:sz w:val="19"/>
              </w:rPr>
            </w:pPr>
            <w:r>
              <w:rPr>
                <w:sz w:val="19"/>
              </w:rPr>
              <w:t>The</w:t>
            </w:r>
            <w:r>
              <w:rPr>
                <w:spacing w:val="-1"/>
                <w:sz w:val="19"/>
              </w:rPr>
              <w:t xml:space="preserve"> </w:t>
            </w:r>
            <w:r>
              <w:rPr>
                <w:sz w:val="19"/>
              </w:rPr>
              <w:t>Commission</w:t>
            </w:r>
            <w:r>
              <w:rPr>
                <w:spacing w:val="-1"/>
                <w:sz w:val="19"/>
              </w:rPr>
              <w:t xml:space="preserve"> </w:t>
            </w:r>
            <w:r>
              <w:rPr>
                <w:sz w:val="19"/>
              </w:rPr>
              <w:t>is</w:t>
            </w:r>
            <w:r>
              <w:rPr>
                <w:spacing w:val="-1"/>
                <w:sz w:val="19"/>
              </w:rPr>
              <w:t xml:space="preserve"> </w:t>
            </w:r>
            <w:r>
              <w:rPr>
                <w:sz w:val="19"/>
              </w:rPr>
              <w:t>also</w:t>
            </w:r>
            <w:r>
              <w:rPr>
                <w:spacing w:val="-1"/>
                <w:sz w:val="19"/>
              </w:rPr>
              <w:t xml:space="preserve"> </w:t>
            </w:r>
            <w:r>
              <w:rPr>
                <w:sz w:val="19"/>
              </w:rPr>
              <w:t>in</w:t>
            </w:r>
            <w:r>
              <w:rPr>
                <w:spacing w:val="-1"/>
                <w:sz w:val="19"/>
              </w:rPr>
              <w:t xml:space="preserve"> </w:t>
            </w:r>
            <w:r>
              <w:rPr>
                <w:sz w:val="19"/>
              </w:rPr>
              <w:t>the</w:t>
            </w:r>
            <w:r>
              <w:rPr>
                <w:spacing w:val="-1"/>
                <w:sz w:val="19"/>
              </w:rPr>
              <w:t xml:space="preserve"> </w:t>
            </w:r>
            <w:r>
              <w:rPr>
                <w:sz w:val="19"/>
              </w:rPr>
              <w:t>process</w:t>
            </w:r>
            <w:r>
              <w:rPr>
                <w:spacing w:val="-1"/>
                <w:sz w:val="19"/>
              </w:rPr>
              <w:t xml:space="preserve"> </w:t>
            </w:r>
            <w:r>
              <w:rPr>
                <w:sz w:val="19"/>
              </w:rPr>
              <w:t>of</w:t>
            </w:r>
            <w:r>
              <w:rPr>
                <w:spacing w:val="-1"/>
                <w:sz w:val="19"/>
              </w:rPr>
              <w:t xml:space="preserve"> </w:t>
            </w:r>
            <w:r>
              <w:rPr>
                <w:sz w:val="19"/>
              </w:rPr>
              <w:t>developing fact sheets on:</w:t>
            </w:r>
          </w:p>
          <w:p w14:paraId="5CB6AEB9" w14:textId="77777777" w:rsidR="00D6288A" w:rsidRDefault="00D6288A" w:rsidP="00D6288A">
            <w:pPr>
              <w:pStyle w:val="TableParagraph"/>
              <w:numPr>
                <w:ilvl w:val="0"/>
                <w:numId w:val="28"/>
              </w:numPr>
              <w:tabs>
                <w:tab w:val="left" w:pos="250"/>
              </w:tabs>
              <w:spacing w:before="40" w:line="209" w:lineRule="exact"/>
              <w:ind w:left="250" w:hanging="169"/>
              <w:rPr>
                <w:sz w:val="19"/>
              </w:rPr>
            </w:pPr>
            <w:r>
              <w:rPr>
                <w:sz w:val="19"/>
              </w:rPr>
              <w:t>requests</w:t>
            </w:r>
            <w:r>
              <w:rPr>
                <w:spacing w:val="4"/>
                <w:sz w:val="19"/>
              </w:rPr>
              <w:t xml:space="preserve"> </w:t>
            </w:r>
            <w:r>
              <w:rPr>
                <w:sz w:val="19"/>
              </w:rPr>
              <w:t>for</w:t>
            </w:r>
            <w:r>
              <w:rPr>
                <w:spacing w:val="4"/>
                <w:sz w:val="19"/>
              </w:rPr>
              <w:t xml:space="preserve"> </w:t>
            </w:r>
            <w:r>
              <w:rPr>
                <w:sz w:val="19"/>
              </w:rPr>
              <w:t>accreditation</w:t>
            </w:r>
            <w:r>
              <w:rPr>
                <w:spacing w:val="5"/>
                <w:sz w:val="19"/>
              </w:rPr>
              <w:t xml:space="preserve"> </w:t>
            </w:r>
            <w:r>
              <w:rPr>
                <w:spacing w:val="-2"/>
                <w:sz w:val="19"/>
              </w:rPr>
              <w:t>extensions</w:t>
            </w:r>
          </w:p>
          <w:p w14:paraId="6759CB24" w14:textId="77777777" w:rsidR="00D6288A" w:rsidRDefault="00D6288A" w:rsidP="00D6288A">
            <w:pPr>
              <w:pStyle w:val="TableParagraph"/>
              <w:numPr>
                <w:ilvl w:val="0"/>
                <w:numId w:val="28"/>
              </w:numPr>
              <w:tabs>
                <w:tab w:val="left" w:pos="249"/>
                <w:tab w:val="left" w:pos="251"/>
              </w:tabs>
              <w:spacing w:before="5" w:line="220" w:lineRule="auto"/>
              <w:ind w:right="598"/>
              <w:rPr>
                <w:sz w:val="19"/>
              </w:rPr>
            </w:pPr>
            <w:r>
              <w:rPr>
                <w:sz w:val="19"/>
              </w:rPr>
              <w:t>requests for hybrid and virtual assessment to the NSQHS Standards</w:t>
            </w:r>
          </w:p>
          <w:p w14:paraId="7AD31F68" w14:textId="77777777" w:rsidR="00D6288A" w:rsidRDefault="00D6288A" w:rsidP="00D6288A">
            <w:pPr>
              <w:pStyle w:val="TableParagraph"/>
              <w:numPr>
                <w:ilvl w:val="0"/>
                <w:numId w:val="28"/>
              </w:numPr>
              <w:tabs>
                <w:tab w:val="left" w:pos="249"/>
                <w:tab w:val="left" w:pos="251"/>
              </w:tabs>
              <w:spacing w:line="220" w:lineRule="auto"/>
              <w:ind w:right="328"/>
              <w:rPr>
                <w:sz w:val="19"/>
              </w:rPr>
            </w:pPr>
            <w:r>
              <w:rPr>
                <w:sz w:val="19"/>
              </w:rPr>
              <w:t>assessor skills, recency of assessment practice and continuing professional development</w:t>
            </w:r>
          </w:p>
          <w:p w14:paraId="0C2D0AC9" w14:textId="1068D83D" w:rsidR="00D6288A" w:rsidRDefault="00D6288A" w:rsidP="00D6288A">
            <w:pPr>
              <w:pStyle w:val="TableParagraph"/>
              <w:spacing w:before="40"/>
              <w:ind w:left="81"/>
              <w:rPr>
                <w:b/>
                <w:spacing w:val="-2"/>
                <w:sz w:val="19"/>
              </w:rPr>
            </w:pPr>
            <w:r>
              <w:rPr>
                <w:sz w:val="19"/>
              </w:rPr>
              <w:t>models</w:t>
            </w:r>
            <w:r>
              <w:rPr>
                <w:spacing w:val="-1"/>
                <w:sz w:val="19"/>
              </w:rPr>
              <w:t xml:space="preserve"> </w:t>
            </w:r>
            <w:r>
              <w:rPr>
                <w:sz w:val="19"/>
              </w:rPr>
              <w:t>of</w:t>
            </w:r>
            <w:r>
              <w:rPr>
                <w:spacing w:val="-1"/>
                <w:sz w:val="19"/>
              </w:rPr>
              <w:t xml:space="preserve"> </w:t>
            </w:r>
            <w:r>
              <w:rPr>
                <w:sz w:val="19"/>
              </w:rPr>
              <w:t>care</w:t>
            </w:r>
            <w:r>
              <w:rPr>
                <w:spacing w:val="-1"/>
                <w:sz w:val="19"/>
              </w:rPr>
              <w:t xml:space="preserve"> </w:t>
            </w:r>
            <w:r>
              <w:rPr>
                <w:sz w:val="19"/>
              </w:rPr>
              <w:t>and</w:t>
            </w:r>
            <w:r>
              <w:rPr>
                <w:spacing w:val="-1"/>
                <w:sz w:val="19"/>
              </w:rPr>
              <w:t xml:space="preserve"> </w:t>
            </w:r>
            <w:r>
              <w:rPr>
                <w:sz w:val="19"/>
              </w:rPr>
              <w:t>governance</w:t>
            </w:r>
            <w:r>
              <w:rPr>
                <w:spacing w:val="-1"/>
                <w:sz w:val="19"/>
              </w:rPr>
              <w:t xml:space="preserve"> </w:t>
            </w:r>
            <w:r>
              <w:rPr>
                <w:sz w:val="19"/>
              </w:rPr>
              <w:t>arrangements</w:t>
            </w:r>
            <w:r>
              <w:rPr>
                <w:spacing w:val="-1"/>
                <w:sz w:val="19"/>
              </w:rPr>
              <w:t xml:space="preserve"> </w:t>
            </w:r>
            <w:r>
              <w:rPr>
                <w:sz w:val="19"/>
              </w:rPr>
              <w:t>that meet the criteria to become accredited.</w:t>
            </w:r>
          </w:p>
        </w:tc>
      </w:tr>
      <w:tr w:rsidR="009377BE" w14:paraId="016FA60B" w14:textId="77777777" w:rsidTr="009377BE">
        <w:trPr>
          <w:trHeight w:val="1639"/>
        </w:trPr>
        <w:tc>
          <w:tcPr>
            <w:tcW w:w="2665" w:type="dxa"/>
            <w:tcBorders>
              <w:top w:val="nil"/>
              <w:left w:val="nil"/>
              <w:bottom w:val="nil"/>
              <w:right w:val="single" w:sz="2" w:space="0" w:color="000000"/>
            </w:tcBorders>
          </w:tcPr>
          <w:p w14:paraId="4436A3CA" w14:textId="77777777" w:rsidR="009377BE" w:rsidRDefault="009377BE" w:rsidP="009377BE">
            <w:pPr>
              <w:rPr>
                <w:sz w:val="2"/>
                <w:szCs w:val="2"/>
              </w:rPr>
            </w:pPr>
          </w:p>
        </w:tc>
        <w:tc>
          <w:tcPr>
            <w:tcW w:w="2552" w:type="dxa"/>
            <w:tcBorders>
              <w:top w:val="single" w:sz="2" w:space="0" w:color="000000"/>
              <w:left w:val="single" w:sz="2" w:space="0" w:color="000000"/>
              <w:bottom w:val="single" w:sz="2" w:space="0" w:color="000000"/>
              <w:right w:val="single" w:sz="2" w:space="0" w:color="000000"/>
            </w:tcBorders>
          </w:tcPr>
          <w:p w14:paraId="7F3662F5" w14:textId="51B7B593" w:rsidR="009377BE" w:rsidRDefault="009377BE" w:rsidP="009377BE">
            <w:pPr>
              <w:pStyle w:val="TableParagraph"/>
              <w:spacing w:before="54" w:line="220" w:lineRule="auto"/>
              <w:ind w:left="82" w:right="428"/>
              <w:rPr>
                <w:sz w:val="19"/>
              </w:rPr>
            </w:pPr>
            <w:r>
              <w:rPr>
                <w:sz w:val="19"/>
              </w:rPr>
              <w:t>Accrediting agencies are approved</w:t>
            </w:r>
            <w:r>
              <w:rPr>
                <w:spacing w:val="-9"/>
                <w:sz w:val="19"/>
              </w:rPr>
              <w:t xml:space="preserve"> </w:t>
            </w:r>
            <w:r>
              <w:rPr>
                <w:sz w:val="19"/>
              </w:rPr>
              <w:t>to</w:t>
            </w:r>
            <w:r>
              <w:rPr>
                <w:spacing w:val="-9"/>
                <w:sz w:val="19"/>
              </w:rPr>
              <w:t xml:space="preserve"> </w:t>
            </w:r>
            <w:r>
              <w:rPr>
                <w:sz w:val="19"/>
              </w:rPr>
              <w:t>assess</w:t>
            </w:r>
            <w:r>
              <w:rPr>
                <w:spacing w:val="-9"/>
                <w:sz w:val="19"/>
              </w:rPr>
              <w:t xml:space="preserve"> </w:t>
            </w:r>
            <w:r>
              <w:rPr>
                <w:sz w:val="19"/>
              </w:rPr>
              <w:t xml:space="preserve">health services to the NSQHS </w:t>
            </w:r>
            <w:r>
              <w:rPr>
                <w:spacing w:val="-2"/>
                <w:sz w:val="19"/>
              </w:rPr>
              <w:t>Standards.</w:t>
            </w:r>
          </w:p>
        </w:tc>
        <w:tc>
          <w:tcPr>
            <w:tcW w:w="4990" w:type="dxa"/>
            <w:tcBorders>
              <w:top w:val="single" w:sz="2" w:space="0" w:color="000000"/>
              <w:left w:val="single" w:sz="2" w:space="0" w:color="000000"/>
              <w:bottom w:val="single" w:sz="2" w:space="0" w:color="000000"/>
              <w:right w:val="nil"/>
            </w:tcBorders>
          </w:tcPr>
          <w:p w14:paraId="0FBDA9D0" w14:textId="77777777" w:rsidR="009377BE" w:rsidRDefault="009377BE" w:rsidP="009377BE">
            <w:pPr>
              <w:pStyle w:val="TableParagraph"/>
              <w:spacing w:before="40"/>
              <w:ind w:left="81"/>
              <w:rPr>
                <w:b/>
                <w:sz w:val="19"/>
              </w:rPr>
            </w:pPr>
            <w:r>
              <w:rPr>
                <w:b/>
                <w:spacing w:val="-2"/>
                <w:sz w:val="19"/>
              </w:rPr>
              <w:t>Achieved</w:t>
            </w:r>
          </w:p>
          <w:p w14:paraId="7A284921" w14:textId="77777777" w:rsidR="009377BE" w:rsidRDefault="009377BE" w:rsidP="009377BE">
            <w:pPr>
              <w:pStyle w:val="TableParagraph"/>
              <w:spacing w:before="52" w:line="220" w:lineRule="auto"/>
              <w:ind w:left="81" w:right="596"/>
              <w:rPr>
                <w:sz w:val="19"/>
              </w:rPr>
            </w:pPr>
            <w:r>
              <w:rPr>
                <w:sz w:val="19"/>
              </w:rPr>
              <w:t>Approval of the accrediting agencies assessing national safety and quality standards reviewed to ensure compliance with the requirements outlined in the Australian Health Service Safety and Quality</w:t>
            </w:r>
          </w:p>
          <w:p w14:paraId="768A7C82" w14:textId="77777777" w:rsidR="009377BE" w:rsidRDefault="009377BE" w:rsidP="009377BE">
            <w:pPr>
              <w:pStyle w:val="TableParagraph"/>
              <w:spacing w:line="220" w:lineRule="auto"/>
              <w:ind w:left="81" w:right="246"/>
              <w:rPr>
                <w:sz w:val="19"/>
              </w:rPr>
            </w:pPr>
            <w:r>
              <w:rPr>
                <w:sz w:val="19"/>
              </w:rPr>
              <w:t>(AHSSQA)</w:t>
            </w:r>
            <w:r>
              <w:rPr>
                <w:spacing w:val="-1"/>
                <w:sz w:val="19"/>
              </w:rPr>
              <w:t xml:space="preserve"> </w:t>
            </w:r>
            <w:r>
              <w:rPr>
                <w:sz w:val="19"/>
              </w:rPr>
              <w:t>Scheme</w:t>
            </w:r>
            <w:r>
              <w:rPr>
                <w:spacing w:val="-1"/>
                <w:sz w:val="19"/>
              </w:rPr>
              <w:t xml:space="preserve"> </w:t>
            </w:r>
            <w:r>
              <w:rPr>
                <w:sz w:val="19"/>
              </w:rPr>
              <w:t>Policy.</w:t>
            </w:r>
            <w:r>
              <w:rPr>
                <w:spacing w:val="-1"/>
                <w:sz w:val="19"/>
              </w:rPr>
              <w:t xml:space="preserve"> </w:t>
            </w:r>
            <w:r>
              <w:rPr>
                <w:sz w:val="19"/>
              </w:rPr>
              <w:t>In</w:t>
            </w:r>
            <w:r>
              <w:rPr>
                <w:spacing w:val="-1"/>
                <w:sz w:val="19"/>
              </w:rPr>
              <w:t xml:space="preserve"> </w:t>
            </w:r>
            <w:r>
              <w:rPr>
                <w:sz w:val="19"/>
              </w:rPr>
              <w:t>conducting</w:t>
            </w:r>
            <w:r>
              <w:rPr>
                <w:spacing w:val="-1"/>
                <w:sz w:val="19"/>
              </w:rPr>
              <w:t xml:space="preserve"> </w:t>
            </w:r>
            <w:r>
              <w:rPr>
                <w:sz w:val="19"/>
              </w:rPr>
              <w:t>assessments using the Scheme (including the relevant standards),</w:t>
            </w:r>
            <w:r>
              <w:rPr>
                <w:spacing w:val="40"/>
                <w:sz w:val="19"/>
              </w:rPr>
              <w:t xml:space="preserve"> </w:t>
            </w:r>
            <w:r>
              <w:rPr>
                <w:sz w:val="19"/>
              </w:rPr>
              <w:t>an accrediting agency must properly and effectively</w:t>
            </w:r>
          </w:p>
          <w:p w14:paraId="39D77B71" w14:textId="77777777" w:rsidR="009377BE" w:rsidRDefault="009377BE" w:rsidP="009377BE">
            <w:pPr>
              <w:pStyle w:val="TableParagraph"/>
              <w:spacing w:line="220" w:lineRule="auto"/>
              <w:ind w:left="81"/>
              <w:rPr>
                <w:sz w:val="19"/>
              </w:rPr>
            </w:pPr>
            <w:r>
              <w:rPr>
                <w:sz w:val="19"/>
              </w:rPr>
              <w:t>implement</w:t>
            </w:r>
            <w:r>
              <w:rPr>
                <w:spacing w:val="-1"/>
                <w:sz w:val="19"/>
              </w:rPr>
              <w:t xml:space="preserve"> </w:t>
            </w:r>
            <w:r>
              <w:rPr>
                <w:sz w:val="19"/>
              </w:rPr>
              <w:t>all</w:t>
            </w:r>
            <w:r>
              <w:rPr>
                <w:spacing w:val="-1"/>
                <w:sz w:val="19"/>
              </w:rPr>
              <w:t xml:space="preserve"> </w:t>
            </w:r>
            <w:r>
              <w:rPr>
                <w:sz w:val="19"/>
              </w:rPr>
              <w:t>provisions</w:t>
            </w:r>
            <w:r>
              <w:rPr>
                <w:spacing w:val="-1"/>
                <w:sz w:val="19"/>
              </w:rPr>
              <w:t xml:space="preserve"> </w:t>
            </w:r>
            <w:r>
              <w:rPr>
                <w:sz w:val="19"/>
              </w:rPr>
              <w:t>and</w:t>
            </w:r>
            <w:r>
              <w:rPr>
                <w:spacing w:val="-1"/>
                <w:sz w:val="19"/>
              </w:rPr>
              <w:t xml:space="preserve"> </w:t>
            </w:r>
            <w:r>
              <w:rPr>
                <w:sz w:val="19"/>
              </w:rPr>
              <w:t>components</w:t>
            </w:r>
            <w:r>
              <w:rPr>
                <w:spacing w:val="-1"/>
                <w:sz w:val="19"/>
              </w:rPr>
              <w:t xml:space="preserve"> </w:t>
            </w:r>
            <w:r>
              <w:rPr>
                <w:sz w:val="19"/>
              </w:rPr>
              <w:t>of</w:t>
            </w:r>
            <w:r>
              <w:rPr>
                <w:spacing w:val="-1"/>
                <w:sz w:val="19"/>
              </w:rPr>
              <w:t xml:space="preserve"> </w:t>
            </w:r>
            <w:r>
              <w:rPr>
                <w:sz w:val="19"/>
              </w:rPr>
              <w:t>the</w:t>
            </w:r>
            <w:r>
              <w:rPr>
                <w:spacing w:val="-1"/>
                <w:sz w:val="19"/>
              </w:rPr>
              <w:t xml:space="preserve"> </w:t>
            </w:r>
            <w:r>
              <w:rPr>
                <w:sz w:val="19"/>
              </w:rPr>
              <w:t xml:space="preserve">Scheme </w:t>
            </w:r>
            <w:r>
              <w:rPr>
                <w:spacing w:val="-2"/>
                <w:sz w:val="19"/>
              </w:rPr>
              <w:t>including:</w:t>
            </w:r>
          </w:p>
          <w:p w14:paraId="1AA76D67" w14:textId="77777777" w:rsidR="009377BE" w:rsidRDefault="009377BE" w:rsidP="009377BE">
            <w:pPr>
              <w:pStyle w:val="TableParagraph"/>
              <w:numPr>
                <w:ilvl w:val="0"/>
                <w:numId w:val="27"/>
              </w:numPr>
              <w:tabs>
                <w:tab w:val="left" w:pos="249"/>
                <w:tab w:val="left" w:pos="251"/>
              </w:tabs>
              <w:spacing w:before="48" w:line="220" w:lineRule="auto"/>
              <w:ind w:right="459"/>
              <w:rPr>
                <w:sz w:val="19"/>
              </w:rPr>
            </w:pPr>
            <w:r>
              <w:rPr>
                <w:sz w:val="19"/>
              </w:rPr>
              <w:t>any orientation or training programs assessors are required by the Commission to undertake</w:t>
            </w:r>
          </w:p>
          <w:p w14:paraId="241CC99C" w14:textId="77777777" w:rsidR="009377BE" w:rsidRDefault="009377BE" w:rsidP="009377BE">
            <w:pPr>
              <w:pStyle w:val="TableParagraph"/>
              <w:numPr>
                <w:ilvl w:val="0"/>
                <w:numId w:val="27"/>
              </w:numPr>
              <w:tabs>
                <w:tab w:val="left" w:pos="250"/>
              </w:tabs>
              <w:spacing w:line="193" w:lineRule="exact"/>
              <w:ind w:left="250" w:hanging="169"/>
              <w:rPr>
                <w:sz w:val="19"/>
              </w:rPr>
            </w:pPr>
            <w:r>
              <w:rPr>
                <w:sz w:val="19"/>
              </w:rPr>
              <w:t>the</w:t>
            </w:r>
            <w:r>
              <w:rPr>
                <w:spacing w:val="4"/>
                <w:sz w:val="19"/>
              </w:rPr>
              <w:t xml:space="preserve"> </w:t>
            </w:r>
            <w:r>
              <w:rPr>
                <w:sz w:val="19"/>
              </w:rPr>
              <w:t>data</w:t>
            </w:r>
            <w:r>
              <w:rPr>
                <w:spacing w:val="5"/>
                <w:sz w:val="19"/>
              </w:rPr>
              <w:t xml:space="preserve"> </w:t>
            </w:r>
            <w:r>
              <w:rPr>
                <w:sz w:val="19"/>
              </w:rPr>
              <w:t>specifications</w:t>
            </w:r>
            <w:r>
              <w:rPr>
                <w:spacing w:val="4"/>
                <w:sz w:val="19"/>
              </w:rPr>
              <w:t xml:space="preserve"> </w:t>
            </w:r>
            <w:r>
              <w:rPr>
                <w:sz w:val="19"/>
              </w:rPr>
              <w:t>and</w:t>
            </w:r>
            <w:r>
              <w:rPr>
                <w:spacing w:val="5"/>
                <w:sz w:val="19"/>
              </w:rPr>
              <w:t xml:space="preserve"> </w:t>
            </w:r>
            <w:r>
              <w:rPr>
                <w:sz w:val="19"/>
              </w:rPr>
              <w:t>processes</w:t>
            </w:r>
            <w:r>
              <w:rPr>
                <w:spacing w:val="4"/>
                <w:sz w:val="19"/>
              </w:rPr>
              <w:t xml:space="preserve"> </w:t>
            </w:r>
            <w:r>
              <w:rPr>
                <w:sz w:val="19"/>
              </w:rPr>
              <w:t>for</w:t>
            </w:r>
            <w:r>
              <w:rPr>
                <w:spacing w:val="5"/>
                <w:sz w:val="19"/>
              </w:rPr>
              <w:t xml:space="preserve"> </w:t>
            </w:r>
            <w:r>
              <w:rPr>
                <w:sz w:val="19"/>
              </w:rPr>
              <w:t>the</w:t>
            </w:r>
            <w:r>
              <w:rPr>
                <w:spacing w:val="5"/>
                <w:sz w:val="19"/>
              </w:rPr>
              <w:t xml:space="preserve"> </w:t>
            </w:r>
            <w:r>
              <w:rPr>
                <w:spacing w:val="-2"/>
                <w:sz w:val="19"/>
              </w:rPr>
              <w:t>Scheme</w:t>
            </w:r>
          </w:p>
          <w:p w14:paraId="7F6F1A31" w14:textId="77777777" w:rsidR="009377BE" w:rsidRDefault="009377BE" w:rsidP="009377BE">
            <w:pPr>
              <w:pStyle w:val="TableParagraph"/>
              <w:numPr>
                <w:ilvl w:val="0"/>
                <w:numId w:val="27"/>
              </w:numPr>
              <w:tabs>
                <w:tab w:val="left" w:pos="249"/>
                <w:tab w:val="left" w:pos="251"/>
              </w:tabs>
              <w:spacing w:before="5" w:line="220" w:lineRule="auto"/>
              <w:ind w:right="772"/>
              <w:rPr>
                <w:sz w:val="19"/>
              </w:rPr>
            </w:pPr>
            <w:r>
              <w:rPr>
                <w:sz w:val="19"/>
              </w:rPr>
              <w:t>the</w:t>
            </w:r>
            <w:r>
              <w:rPr>
                <w:spacing w:val="-1"/>
                <w:sz w:val="19"/>
              </w:rPr>
              <w:t xml:space="preserve"> </w:t>
            </w:r>
            <w:r>
              <w:rPr>
                <w:sz w:val="19"/>
              </w:rPr>
              <w:t>Commission’s</w:t>
            </w:r>
            <w:r>
              <w:rPr>
                <w:spacing w:val="-1"/>
                <w:sz w:val="19"/>
              </w:rPr>
              <w:t xml:space="preserve"> </w:t>
            </w:r>
            <w:r>
              <w:rPr>
                <w:sz w:val="19"/>
              </w:rPr>
              <w:t>rating</w:t>
            </w:r>
            <w:r>
              <w:rPr>
                <w:spacing w:val="-1"/>
                <w:sz w:val="19"/>
              </w:rPr>
              <w:t xml:space="preserve"> </w:t>
            </w:r>
            <w:r>
              <w:rPr>
                <w:sz w:val="19"/>
              </w:rPr>
              <w:t>scale</w:t>
            </w:r>
            <w:r>
              <w:rPr>
                <w:spacing w:val="-1"/>
                <w:sz w:val="19"/>
              </w:rPr>
              <w:t xml:space="preserve"> </w:t>
            </w:r>
            <w:r>
              <w:rPr>
                <w:sz w:val="19"/>
              </w:rPr>
              <w:t>for</w:t>
            </w:r>
            <w:r>
              <w:rPr>
                <w:spacing w:val="-1"/>
                <w:sz w:val="19"/>
              </w:rPr>
              <w:t xml:space="preserve"> </w:t>
            </w:r>
            <w:r>
              <w:rPr>
                <w:sz w:val="19"/>
              </w:rPr>
              <w:t xml:space="preserve">accreditation </w:t>
            </w:r>
            <w:r>
              <w:rPr>
                <w:spacing w:val="-2"/>
                <w:sz w:val="19"/>
              </w:rPr>
              <w:t>assessments</w:t>
            </w:r>
          </w:p>
          <w:p w14:paraId="644CD6AA" w14:textId="77777777" w:rsidR="009377BE" w:rsidRDefault="009377BE" w:rsidP="009377BE">
            <w:pPr>
              <w:pStyle w:val="TableParagraph"/>
              <w:numPr>
                <w:ilvl w:val="0"/>
                <w:numId w:val="27"/>
              </w:numPr>
              <w:tabs>
                <w:tab w:val="left" w:pos="249"/>
                <w:tab w:val="left" w:pos="251"/>
              </w:tabs>
              <w:spacing w:line="220" w:lineRule="auto"/>
              <w:ind w:right="525"/>
              <w:rPr>
                <w:sz w:val="19"/>
              </w:rPr>
            </w:pPr>
            <w:r>
              <w:rPr>
                <w:sz w:val="19"/>
              </w:rPr>
              <w:t>the</w:t>
            </w:r>
            <w:r>
              <w:rPr>
                <w:spacing w:val="-2"/>
                <w:sz w:val="19"/>
              </w:rPr>
              <w:t xml:space="preserve"> </w:t>
            </w:r>
            <w:r>
              <w:rPr>
                <w:sz w:val="19"/>
              </w:rPr>
              <w:t>Commission’s</w:t>
            </w:r>
            <w:r>
              <w:rPr>
                <w:spacing w:val="-2"/>
                <w:sz w:val="19"/>
              </w:rPr>
              <w:t xml:space="preserve"> </w:t>
            </w:r>
            <w:r>
              <w:rPr>
                <w:sz w:val="19"/>
              </w:rPr>
              <w:t>requirements</w:t>
            </w:r>
            <w:r>
              <w:rPr>
                <w:spacing w:val="-2"/>
                <w:sz w:val="19"/>
              </w:rPr>
              <w:t xml:space="preserve"> </w:t>
            </w:r>
            <w:r>
              <w:rPr>
                <w:sz w:val="19"/>
              </w:rPr>
              <w:t>for</w:t>
            </w:r>
            <w:r>
              <w:rPr>
                <w:spacing w:val="-2"/>
                <w:sz w:val="19"/>
              </w:rPr>
              <w:t xml:space="preserve"> </w:t>
            </w:r>
            <w:r>
              <w:rPr>
                <w:sz w:val="19"/>
              </w:rPr>
              <w:t>the</w:t>
            </w:r>
            <w:r>
              <w:rPr>
                <w:spacing w:val="-2"/>
                <w:sz w:val="19"/>
              </w:rPr>
              <w:t xml:space="preserve"> </w:t>
            </w:r>
            <w:r>
              <w:rPr>
                <w:sz w:val="19"/>
              </w:rPr>
              <w:t>conduct</w:t>
            </w:r>
            <w:r>
              <w:rPr>
                <w:spacing w:val="-2"/>
                <w:sz w:val="19"/>
              </w:rPr>
              <w:t xml:space="preserve"> </w:t>
            </w:r>
            <w:r>
              <w:rPr>
                <w:sz w:val="19"/>
              </w:rPr>
              <w:t>of short notice assessment</w:t>
            </w:r>
          </w:p>
          <w:p w14:paraId="72D4242D" w14:textId="77777777" w:rsidR="009377BE" w:rsidRDefault="009377BE" w:rsidP="009377BE">
            <w:pPr>
              <w:pStyle w:val="TableParagraph"/>
              <w:numPr>
                <w:ilvl w:val="0"/>
                <w:numId w:val="27"/>
              </w:numPr>
              <w:tabs>
                <w:tab w:val="left" w:pos="249"/>
                <w:tab w:val="left" w:pos="251"/>
              </w:tabs>
              <w:spacing w:line="220" w:lineRule="auto"/>
              <w:ind w:right="166"/>
              <w:rPr>
                <w:sz w:val="19"/>
              </w:rPr>
            </w:pPr>
            <w:r>
              <w:rPr>
                <w:sz w:val="19"/>
              </w:rPr>
              <w:t>membership and terms of reference of the Accrediting Agencies Working Group.</w:t>
            </w:r>
          </w:p>
          <w:p w14:paraId="647F4464" w14:textId="4F7CCC2E" w:rsidR="009377BE" w:rsidRDefault="009377BE" w:rsidP="009377BE">
            <w:pPr>
              <w:pStyle w:val="TableParagraph"/>
              <w:numPr>
                <w:ilvl w:val="0"/>
                <w:numId w:val="29"/>
              </w:numPr>
              <w:tabs>
                <w:tab w:val="left" w:pos="409"/>
              </w:tabs>
              <w:spacing w:before="54" w:line="220" w:lineRule="auto"/>
              <w:ind w:right="128"/>
              <w:rPr>
                <w:sz w:val="19"/>
              </w:rPr>
            </w:pPr>
            <w:r>
              <w:rPr>
                <w:sz w:val="19"/>
              </w:rPr>
              <w:t>All</w:t>
            </w:r>
            <w:r>
              <w:rPr>
                <w:spacing w:val="-2"/>
                <w:sz w:val="19"/>
              </w:rPr>
              <w:t xml:space="preserve"> </w:t>
            </w:r>
            <w:r>
              <w:rPr>
                <w:sz w:val="19"/>
              </w:rPr>
              <w:t>agencies</w:t>
            </w:r>
            <w:r>
              <w:rPr>
                <w:spacing w:val="-2"/>
                <w:sz w:val="19"/>
              </w:rPr>
              <w:t xml:space="preserve"> </w:t>
            </w:r>
            <w:r>
              <w:rPr>
                <w:sz w:val="19"/>
              </w:rPr>
              <w:t>with</w:t>
            </w:r>
            <w:r>
              <w:rPr>
                <w:spacing w:val="-2"/>
                <w:sz w:val="19"/>
              </w:rPr>
              <w:t xml:space="preserve"> </w:t>
            </w:r>
            <w:r>
              <w:rPr>
                <w:sz w:val="19"/>
              </w:rPr>
              <w:t>approval</w:t>
            </w:r>
            <w:r>
              <w:rPr>
                <w:spacing w:val="-2"/>
                <w:sz w:val="19"/>
              </w:rPr>
              <w:t xml:space="preserve"> </w:t>
            </w:r>
            <w:r>
              <w:rPr>
                <w:sz w:val="19"/>
              </w:rPr>
              <w:t>dates</w:t>
            </w:r>
            <w:r>
              <w:rPr>
                <w:spacing w:val="-2"/>
                <w:sz w:val="19"/>
              </w:rPr>
              <w:t xml:space="preserve"> </w:t>
            </w:r>
            <w:r>
              <w:rPr>
                <w:sz w:val="19"/>
              </w:rPr>
              <w:t>expiring</w:t>
            </w:r>
            <w:r>
              <w:rPr>
                <w:spacing w:val="-2"/>
                <w:sz w:val="19"/>
              </w:rPr>
              <w:t xml:space="preserve"> </w:t>
            </w:r>
            <w:r>
              <w:rPr>
                <w:sz w:val="19"/>
              </w:rPr>
              <w:t>have</w:t>
            </w:r>
            <w:r>
              <w:rPr>
                <w:spacing w:val="-2"/>
                <w:sz w:val="19"/>
              </w:rPr>
              <w:t xml:space="preserve"> </w:t>
            </w:r>
            <w:r>
              <w:rPr>
                <w:sz w:val="19"/>
              </w:rPr>
              <w:t>been reviewed and extended.</w:t>
            </w:r>
          </w:p>
        </w:tc>
      </w:tr>
      <w:tr w:rsidR="009377BE" w14:paraId="6167E17F" w14:textId="77777777" w:rsidTr="009377BE">
        <w:trPr>
          <w:trHeight w:val="1639"/>
        </w:trPr>
        <w:tc>
          <w:tcPr>
            <w:tcW w:w="2665" w:type="dxa"/>
            <w:tcBorders>
              <w:top w:val="nil"/>
              <w:left w:val="nil"/>
              <w:bottom w:val="single" w:sz="4" w:space="0" w:color="auto"/>
              <w:right w:val="single" w:sz="2" w:space="0" w:color="000000"/>
            </w:tcBorders>
          </w:tcPr>
          <w:p w14:paraId="7C051917" w14:textId="77777777" w:rsidR="009377BE" w:rsidRDefault="009377BE" w:rsidP="009377BE">
            <w:pPr>
              <w:rPr>
                <w:sz w:val="2"/>
                <w:szCs w:val="2"/>
              </w:rPr>
            </w:pPr>
          </w:p>
        </w:tc>
        <w:tc>
          <w:tcPr>
            <w:tcW w:w="2552" w:type="dxa"/>
            <w:tcBorders>
              <w:top w:val="single" w:sz="2" w:space="0" w:color="000000"/>
              <w:left w:val="single" w:sz="2" w:space="0" w:color="000000"/>
              <w:bottom w:val="single" w:sz="2" w:space="0" w:color="000000"/>
              <w:right w:val="single" w:sz="2" w:space="0" w:color="000000"/>
            </w:tcBorders>
          </w:tcPr>
          <w:p w14:paraId="6AA07D46" w14:textId="77777777" w:rsidR="009377BE" w:rsidRDefault="009377BE" w:rsidP="009377BE">
            <w:pPr>
              <w:pStyle w:val="TableParagraph"/>
              <w:spacing w:before="54" w:line="220" w:lineRule="auto"/>
              <w:ind w:left="82" w:right="428"/>
              <w:rPr>
                <w:sz w:val="19"/>
              </w:rPr>
            </w:pPr>
          </w:p>
        </w:tc>
        <w:tc>
          <w:tcPr>
            <w:tcW w:w="4990" w:type="dxa"/>
            <w:tcBorders>
              <w:top w:val="single" w:sz="2" w:space="0" w:color="000000"/>
              <w:left w:val="single" w:sz="2" w:space="0" w:color="000000"/>
              <w:bottom w:val="single" w:sz="2" w:space="0" w:color="000000"/>
              <w:right w:val="nil"/>
            </w:tcBorders>
          </w:tcPr>
          <w:p w14:paraId="5AE54923" w14:textId="77777777" w:rsidR="009377BE" w:rsidRDefault="009377BE" w:rsidP="009377BE">
            <w:pPr>
              <w:pStyle w:val="TableParagraph"/>
              <w:spacing w:before="54" w:line="220" w:lineRule="auto"/>
              <w:ind w:left="81"/>
              <w:rPr>
                <w:sz w:val="19"/>
              </w:rPr>
            </w:pPr>
            <w:r>
              <w:rPr>
                <w:sz w:val="19"/>
              </w:rPr>
              <w:t>Agencies</w:t>
            </w:r>
            <w:r>
              <w:rPr>
                <w:spacing w:val="-2"/>
                <w:sz w:val="19"/>
              </w:rPr>
              <w:t xml:space="preserve"> </w:t>
            </w:r>
            <w:r>
              <w:rPr>
                <w:sz w:val="19"/>
              </w:rPr>
              <w:t>seeking</w:t>
            </w:r>
            <w:r>
              <w:rPr>
                <w:spacing w:val="-2"/>
                <w:sz w:val="19"/>
              </w:rPr>
              <w:t xml:space="preserve"> </w:t>
            </w:r>
            <w:r>
              <w:rPr>
                <w:sz w:val="19"/>
              </w:rPr>
              <w:t>to</w:t>
            </w:r>
            <w:r>
              <w:rPr>
                <w:spacing w:val="-2"/>
                <w:sz w:val="19"/>
              </w:rPr>
              <w:t xml:space="preserve"> </w:t>
            </w:r>
            <w:r>
              <w:rPr>
                <w:sz w:val="19"/>
              </w:rPr>
              <w:t>expand</w:t>
            </w:r>
            <w:r>
              <w:rPr>
                <w:spacing w:val="-2"/>
                <w:sz w:val="19"/>
              </w:rPr>
              <w:t xml:space="preserve"> </w:t>
            </w:r>
            <w:r>
              <w:rPr>
                <w:sz w:val="19"/>
              </w:rPr>
              <w:t>their</w:t>
            </w:r>
            <w:r>
              <w:rPr>
                <w:spacing w:val="-2"/>
                <w:sz w:val="19"/>
              </w:rPr>
              <w:t xml:space="preserve"> </w:t>
            </w:r>
            <w:r>
              <w:rPr>
                <w:sz w:val="19"/>
              </w:rPr>
              <w:t>approvals</w:t>
            </w:r>
            <w:r>
              <w:rPr>
                <w:spacing w:val="-2"/>
                <w:sz w:val="19"/>
              </w:rPr>
              <w:t xml:space="preserve"> </w:t>
            </w:r>
            <w:r>
              <w:rPr>
                <w:sz w:val="19"/>
              </w:rPr>
              <w:t>to</w:t>
            </w:r>
            <w:r>
              <w:rPr>
                <w:spacing w:val="-2"/>
                <w:sz w:val="19"/>
              </w:rPr>
              <w:t xml:space="preserve"> </w:t>
            </w:r>
            <w:r>
              <w:rPr>
                <w:sz w:val="19"/>
              </w:rPr>
              <w:t xml:space="preserve">include aged care have been reviewed and notified of the </w:t>
            </w:r>
            <w:r>
              <w:rPr>
                <w:spacing w:val="-2"/>
                <w:sz w:val="19"/>
              </w:rPr>
              <w:t>outcomes.</w:t>
            </w:r>
          </w:p>
          <w:p w14:paraId="2933ACB1" w14:textId="77777777" w:rsidR="009377BE" w:rsidRDefault="009377BE" w:rsidP="009377BE">
            <w:pPr>
              <w:pStyle w:val="TableParagraph"/>
              <w:numPr>
                <w:ilvl w:val="0"/>
                <w:numId w:val="26"/>
              </w:numPr>
              <w:tabs>
                <w:tab w:val="left" w:pos="249"/>
                <w:tab w:val="left" w:pos="251"/>
              </w:tabs>
              <w:spacing w:before="54" w:line="220" w:lineRule="auto"/>
              <w:ind w:right="241"/>
              <w:rPr>
                <w:sz w:val="19"/>
              </w:rPr>
            </w:pPr>
            <w:r>
              <w:rPr>
                <w:sz w:val="19"/>
              </w:rPr>
              <w:t xml:space="preserve">National Safety and Quality Health Service (NSQHS) </w:t>
            </w:r>
            <w:r>
              <w:rPr>
                <w:spacing w:val="-2"/>
                <w:sz w:val="19"/>
              </w:rPr>
              <w:t>Standards</w:t>
            </w:r>
          </w:p>
          <w:p w14:paraId="3E74C822" w14:textId="77777777" w:rsidR="009377BE" w:rsidRDefault="009377BE" w:rsidP="009377BE">
            <w:pPr>
              <w:pStyle w:val="TableParagraph"/>
              <w:numPr>
                <w:ilvl w:val="0"/>
                <w:numId w:val="26"/>
              </w:numPr>
              <w:tabs>
                <w:tab w:val="left" w:pos="249"/>
                <w:tab w:val="left" w:pos="251"/>
              </w:tabs>
              <w:spacing w:line="220" w:lineRule="auto"/>
              <w:ind w:right="746"/>
              <w:rPr>
                <w:sz w:val="19"/>
              </w:rPr>
            </w:pPr>
            <w:r>
              <w:rPr>
                <w:sz w:val="19"/>
              </w:rPr>
              <w:t>National</w:t>
            </w:r>
            <w:r>
              <w:rPr>
                <w:spacing w:val="-5"/>
                <w:sz w:val="19"/>
              </w:rPr>
              <w:t xml:space="preserve"> </w:t>
            </w:r>
            <w:r>
              <w:rPr>
                <w:sz w:val="19"/>
              </w:rPr>
              <w:t>Clinical</w:t>
            </w:r>
            <w:r>
              <w:rPr>
                <w:spacing w:val="-5"/>
                <w:sz w:val="19"/>
              </w:rPr>
              <w:t xml:space="preserve"> </w:t>
            </w:r>
            <w:r>
              <w:rPr>
                <w:sz w:val="19"/>
              </w:rPr>
              <w:t>Trials</w:t>
            </w:r>
            <w:r>
              <w:rPr>
                <w:spacing w:val="-5"/>
                <w:sz w:val="19"/>
              </w:rPr>
              <w:t xml:space="preserve"> </w:t>
            </w:r>
            <w:r>
              <w:rPr>
                <w:sz w:val="19"/>
              </w:rPr>
              <w:t>Governance</w:t>
            </w:r>
            <w:r>
              <w:rPr>
                <w:spacing w:val="-5"/>
                <w:sz w:val="19"/>
              </w:rPr>
              <w:t xml:space="preserve"> </w:t>
            </w:r>
            <w:r>
              <w:rPr>
                <w:sz w:val="19"/>
              </w:rPr>
              <w:t xml:space="preserve">Framework </w:t>
            </w:r>
            <w:r>
              <w:rPr>
                <w:spacing w:val="-2"/>
                <w:sz w:val="19"/>
              </w:rPr>
              <w:t>(NCTGF)</w:t>
            </w:r>
          </w:p>
          <w:p w14:paraId="212EA548" w14:textId="77777777" w:rsidR="009377BE" w:rsidRDefault="009377BE" w:rsidP="009377BE">
            <w:pPr>
              <w:pStyle w:val="TableParagraph"/>
              <w:numPr>
                <w:ilvl w:val="0"/>
                <w:numId w:val="26"/>
              </w:numPr>
              <w:tabs>
                <w:tab w:val="left" w:pos="249"/>
                <w:tab w:val="left" w:pos="251"/>
              </w:tabs>
              <w:spacing w:line="220" w:lineRule="auto"/>
              <w:ind w:right="291"/>
              <w:rPr>
                <w:sz w:val="19"/>
              </w:rPr>
            </w:pPr>
            <w:r>
              <w:rPr>
                <w:sz w:val="19"/>
              </w:rPr>
              <w:t>National Safety and Quality Primary and Community Healthcare (NSQPCH) Standards</w:t>
            </w:r>
          </w:p>
          <w:p w14:paraId="15878856" w14:textId="77777777" w:rsidR="009377BE" w:rsidRDefault="009377BE" w:rsidP="009377BE">
            <w:pPr>
              <w:pStyle w:val="TableParagraph"/>
              <w:numPr>
                <w:ilvl w:val="0"/>
                <w:numId w:val="26"/>
              </w:numPr>
              <w:tabs>
                <w:tab w:val="left" w:pos="249"/>
                <w:tab w:val="left" w:pos="251"/>
              </w:tabs>
              <w:spacing w:line="220" w:lineRule="auto"/>
              <w:ind w:right="467"/>
              <w:rPr>
                <w:sz w:val="19"/>
              </w:rPr>
            </w:pPr>
            <w:r>
              <w:rPr>
                <w:sz w:val="19"/>
              </w:rPr>
              <w:t xml:space="preserve">National Safety and Quality Mental Health Standards for Community Managed </w:t>
            </w:r>
            <w:proofErr w:type="spellStart"/>
            <w:r>
              <w:rPr>
                <w:sz w:val="19"/>
              </w:rPr>
              <w:t>Organisations</w:t>
            </w:r>
            <w:proofErr w:type="spellEnd"/>
            <w:r>
              <w:rPr>
                <w:sz w:val="19"/>
              </w:rPr>
              <w:t xml:space="preserve"> </w:t>
            </w:r>
            <w:r>
              <w:rPr>
                <w:spacing w:val="-2"/>
                <w:sz w:val="19"/>
              </w:rPr>
              <w:t>(NSQMHCMO)</w:t>
            </w:r>
          </w:p>
          <w:p w14:paraId="0B86022B" w14:textId="77777777" w:rsidR="009377BE" w:rsidRDefault="009377BE" w:rsidP="009377BE">
            <w:pPr>
              <w:pStyle w:val="TableParagraph"/>
              <w:numPr>
                <w:ilvl w:val="0"/>
                <w:numId w:val="26"/>
              </w:numPr>
              <w:tabs>
                <w:tab w:val="left" w:pos="249"/>
                <w:tab w:val="left" w:pos="251"/>
              </w:tabs>
              <w:spacing w:line="220" w:lineRule="auto"/>
              <w:ind w:right="675"/>
              <w:rPr>
                <w:sz w:val="19"/>
              </w:rPr>
            </w:pPr>
            <w:r>
              <w:rPr>
                <w:sz w:val="19"/>
              </w:rPr>
              <w:t>Integrated</w:t>
            </w:r>
            <w:r>
              <w:rPr>
                <w:spacing w:val="-2"/>
                <w:sz w:val="19"/>
              </w:rPr>
              <w:t xml:space="preserve"> </w:t>
            </w:r>
            <w:r>
              <w:rPr>
                <w:sz w:val="19"/>
              </w:rPr>
              <w:t>Health</w:t>
            </w:r>
            <w:r>
              <w:rPr>
                <w:spacing w:val="-2"/>
                <w:sz w:val="19"/>
              </w:rPr>
              <w:t xml:space="preserve"> </w:t>
            </w:r>
            <w:r>
              <w:rPr>
                <w:sz w:val="19"/>
              </w:rPr>
              <w:t>and</w:t>
            </w:r>
            <w:r>
              <w:rPr>
                <w:spacing w:val="-2"/>
                <w:sz w:val="19"/>
              </w:rPr>
              <w:t xml:space="preserve"> </w:t>
            </w:r>
            <w:r>
              <w:rPr>
                <w:sz w:val="19"/>
              </w:rPr>
              <w:t>Aged</w:t>
            </w:r>
            <w:r>
              <w:rPr>
                <w:spacing w:val="-2"/>
                <w:sz w:val="19"/>
              </w:rPr>
              <w:t xml:space="preserve"> </w:t>
            </w:r>
            <w:r>
              <w:rPr>
                <w:sz w:val="19"/>
              </w:rPr>
              <w:t>Care</w:t>
            </w:r>
            <w:r>
              <w:rPr>
                <w:spacing w:val="-2"/>
                <w:sz w:val="19"/>
              </w:rPr>
              <w:t xml:space="preserve"> </w:t>
            </w:r>
            <w:r>
              <w:rPr>
                <w:sz w:val="19"/>
              </w:rPr>
              <w:t>Module</w:t>
            </w:r>
            <w:r>
              <w:rPr>
                <w:spacing w:val="-2"/>
                <w:sz w:val="19"/>
              </w:rPr>
              <w:t xml:space="preserve"> </w:t>
            </w:r>
            <w:r>
              <w:rPr>
                <w:sz w:val="19"/>
              </w:rPr>
              <w:t xml:space="preserve">(IHAC </w:t>
            </w:r>
            <w:r>
              <w:rPr>
                <w:spacing w:val="-2"/>
                <w:sz w:val="19"/>
              </w:rPr>
              <w:t>Module)</w:t>
            </w:r>
          </w:p>
          <w:p w14:paraId="29F2C477" w14:textId="2F0DE491" w:rsidR="009377BE" w:rsidRDefault="009377BE" w:rsidP="009377BE">
            <w:pPr>
              <w:pStyle w:val="TableParagraph"/>
              <w:spacing w:before="40"/>
              <w:ind w:left="81"/>
              <w:rPr>
                <w:b/>
                <w:spacing w:val="-2"/>
                <w:sz w:val="19"/>
              </w:rPr>
            </w:pPr>
            <w:r>
              <w:rPr>
                <w:sz w:val="19"/>
              </w:rPr>
              <w:t>National Safety and Quality Cosmetic Surgery (NSQCS) Standards</w:t>
            </w:r>
          </w:p>
        </w:tc>
      </w:tr>
      <w:tr w:rsidR="009377BE" w14:paraId="72E480D7" w14:textId="77777777" w:rsidTr="009377BE">
        <w:trPr>
          <w:trHeight w:val="1639"/>
        </w:trPr>
        <w:tc>
          <w:tcPr>
            <w:tcW w:w="2665" w:type="dxa"/>
            <w:tcBorders>
              <w:top w:val="single" w:sz="4" w:space="0" w:color="auto"/>
              <w:left w:val="nil"/>
              <w:bottom w:val="nil"/>
              <w:right w:val="single" w:sz="2" w:space="0" w:color="000000"/>
            </w:tcBorders>
          </w:tcPr>
          <w:p w14:paraId="4AE7EB0B" w14:textId="77777777" w:rsidR="009377BE" w:rsidRDefault="009377BE" w:rsidP="009377BE">
            <w:pPr>
              <w:rPr>
                <w:sz w:val="2"/>
                <w:szCs w:val="2"/>
              </w:rPr>
            </w:pPr>
          </w:p>
        </w:tc>
        <w:tc>
          <w:tcPr>
            <w:tcW w:w="2552" w:type="dxa"/>
            <w:tcBorders>
              <w:top w:val="single" w:sz="2" w:space="0" w:color="000000"/>
              <w:left w:val="single" w:sz="2" w:space="0" w:color="000000"/>
              <w:bottom w:val="single" w:sz="2" w:space="0" w:color="000000"/>
              <w:right w:val="single" w:sz="2" w:space="0" w:color="000000"/>
            </w:tcBorders>
          </w:tcPr>
          <w:p w14:paraId="3E30EF52" w14:textId="0510CAE5" w:rsidR="009377BE" w:rsidRDefault="009377BE" w:rsidP="009377BE">
            <w:pPr>
              <w:pStyle w:val="TableParagraph"/>
              <w:spacing w:before="54" w:line="220" w:lineRule="auto"/>
              <w:ind w:left="82" w:right="428"/>
              <w:rPr>
                <w:sz w:val="19"/>
              </w:rPr>
            </w:pPr>
            <w:r>
              <w:rPr>
                <w:sz w:val="19"/>
              </w:rPr>
              <w:t>Develop 5 publications or other resources to provide guidance</w:t>
            </w:r>
            <w:r>
              <w:rPr>
                <w:spacing w:val="-5"/>
                <w:sz w:val="19"/>
              </w:rPr>
              <w:t xml:space="preserve"> </w:t>
            </w:r>
            <w:r>
              <w:rPr>
                <w:sz w:val="19"/>
              </w:rPr>
              <w:t>to</w:t>
            </w:r>
            <w:r>
              <w:rPr>
                <w:spacing w:val="-5"/>
                <w:sz w:val="19"/>
              </w:rPr>
              <w:t xml:space="preserve"> </w:t>
            </w:r>
            <w:r>
              <w:rPr>
                <w:sz w:val="19"/>
              </w:rPr>
              <w:t>health</w:t>
            </w:r>
            <w:r>
              <w:rPr>
                <w:spacing w:val="-5"/>
                <w:sz w:val="19"/>
              </w:rPr>
              <w:t xml:space="preserve"> </w:t>
            </w:r>
            <w:r>
              <w:rPr>
                <w:sz w:val="19"/>
              </w:rPr>
              <w:t>services, health professionals and consumers about forming effective partnerships.</w:t>
            </w:r>
          </w:p>
        </w:tc>
        <w:tc>
          <w:tcPr>
            <w:tcW w:w="4990" w:type="dxa"/>
            <w:tcBorders>
              <w:top w:val="single" w:sz="2" w:space="0" w:color="000000"/>
              <w:left w:val="single" w:sz="2" w:space="0" w:color="000000"/>
              <w:bottom w:val="single" w:sz="2" w:space="0" w:color="000000"/>
              <w:right w:val="nil"/>
            </w:tcBorders>
          </w:tcPr>
          <w:p w14:paraId="7044768D" w14:textId="77777777" w:rsidR="009377BE" w:rsidRDefault="009377BE" w:rsidP="009377BE">
            <w:pPr>
              <w:pStyle w:val="TableParagraph"/>
              <w:spacing w:before="40"/>
              <w:ind w:left="81"/>
              <w:rPr>
                <w:b/>
                <w:sz w:val="19"/>
              </w:rPr>
            </w:pPr>
            <w:r>
              <w:rPr>
                <w:b/>
                <w:spacing w:val="-2"/>
                <w:sz w:val="19"/>
              </w:rPr>
              <w:t>Achieved</w:t>
            </w:r>
          </w:p>
          <w:p w14:paraId="0D84E461" w14:textId="77777777" w:rsidR="009377BE" w:rsidRDefault="009377BE" w:rsidP="009377BE">
            <w:pPr>
              <w:pStyle w:val="TableParagraph"/>
              <w:spacing w:before="38"/>
              <w:ind w:left="81"/>
              <w:rPr>
                <w:sz w:val="19"/>
              </w:rPr>
            </w:pPr>
            <w:r>
              <w:rPr>
                <w:sz w:val="19"/>
              </w:rPr>
              <w:t>Several</w:t>
            </w:r>
            <w:r>
              <w:rPr>
                <w:spacing w:val="-2"/>
                <w:sz w:val="19"/>
              </w:rPr>
              <w:t xml:space="preserve"> </w:t>
            </w:r>
            <w:r>
              <w:rPr>
                <w:sz w:val="19"/>
              </w:rPr>
              <w:t>publications</w:t>
            </w:r>
            <w:r>
              <w:rPr>
                <w:spacing w:val="1"/>
                <w:sz w:val="19"/>
              </w:rPr>
              <w:t xml:space="preserve"> </w:t>
            </w:r>
            <w:r>
              <w:rPr>
                <w:sz w:val="19"/>
              </w:rPr>
              <w:t>have been</w:t>
            </w:r>
            <w:r>
              <w:rPr>
                <w:spacing w:val="1"/>
                <w:sz w:val="19"/>
              </w:rPr>
              <w:t xml:space="preserve"> </w:t>
            </w:r>
            <w:r>
              <w:rPr>
                <w:sz w:val="19"/>
              </w:rPr>
              <w:t>developed</w:t>
            </w:r>
            <w:r>
              <w:rPr>
                <w:spacing w:val="1"/>
                <w:sz w:val="19"/>
              </w:rPr>
              <w:t xml:space="preserve"> </w:t>
            </w:r>
            <w:r>
              <w:rPr>
                <w:spacing w:val="-2"/>
                <w:sz w:val="19"/>
              </w:rPr>
              <w:t>including:</w:t>
            </w:r>
          </w:p>
          <w:p w14:paraId="3E3A191B" w14:textId="77777777" w:rsidR="009377BE" w:rsidRDefault="009377BE" w:rsidP="009377BE">
            <w:pPr>
              <w:pStyle w:val="TableParagraph"/>
              <w:numPr>
                <w:ilvl w:val="0"/>
                <w:numId w:val="25"/>
              </w:numPr>
              <w:tabs>
                <w:tab w:val="left" w:pos="249"/>
                <w:tab w:val="left" w:pos="251"/>
              </w:tabs>
              <w:spacing w:before="53" w:line="220" w:lineRule="auto"/>
              <w:ind w:right="309"/>
              <w:rPr>
                <w:i/>
                <w:sz w:val="19"/>
              </w:rPr>
            </w:pPr>
            <w:r>
              <w:rPr>
                <w:sz w:val="19"/>
              </w:rPr>
              <w:t>three Easy Read fact sheets to support the NSQHS Standards</w:t>
            </w:r>
            <w:r>
              <w:rPr>
                <w:spacing w:val="-1"/>
                <w:sz w:val="19"/>
              </w:rPr>
              <w:t xml:space="preserve"> </w:t>
            </w:r>
            <w:r>
              <w:rPr>
                <w:i/>
                <w:sz w:val="19"/>
              </w:rPr>
              <w:t>User</w:t>
            </w:r>
            <w:r>
              <w:rPr>
                <w:i/>
                <w:spacing w:val="-1"/>
                <w:sz w:val="19"/>
              </w:rPr>
              <w:t xml:space="preserve"> </w:t>
            </w:r>
            <w:r>
              <w:rPr>
                <w:i/>
                <w:sz w:val="19"/>
              </w:rPr>
              <w:t>Guide</w:t>
            </w:r>
            <w:r>
              <w:rPr>
                <w:i/>
                <w:spacing w:val="-1"/>
                <w:sz w:val="19"/>
              </w:rPr>
              <w:t xml:space="preserve"> </w:t>
            </w:r>
            <w:r>
              <w:rPr>
                <w:i/>
                <w:sz w:val="19"/>
              </w:rPr>
              <w:t>for</w:t>
            </w:r>
            <w:r>
              <w:rPr>
                <w:i/>
                <w:spacing w:val="-1"/>
                <w:sz w:val="19"/>
              </w:rPr>
              <w:t xml:space="preserve"> </w:t>
            </w:r>
            <w:r>
              <w:rPr>
                <w:i/>
                <w:sz w:val="19"/>
              </w:rPr>
              <w:t>the</w:t>
            </w:r>
            <w:r>
              <w:rPr>
                <w:i/>
                <w:spacing w:val="-1"/>
                <w:sz w:val="19"/>
              </w:rPr>
              <w:t xml:space="preserve"> </w:t>
            </w:r>
            <w:r>
              <w:rPr>
                <w:i/>
                <w:sz w:val="19"/>
              </w:rPr>
              <w:t>Health</w:t>
            </w:r>
            <w:r>
              <w:rPr>
                <w:i/>
                <w:spacing w:val="-1"/>
                <w:sz w:val="19"/>
              </w:rPr>
              <w:t xml:space="preserve"> </w:t>
            </w:r>
            <w:r>
              <w:rPr>
                <w:i/>
                <w:sz w:val="19"/>
              </w:rPr>
              <w:t>Care</w:t>
            </w:r>
            <w:r>
              <w:rPr>
                <w:i/>
                <w:spacing w:val="-1"/>
                <w:sz w:val="19"/>
              </w:rPr>
              <w:t xml:space="preserve"> </w:t>
            </w:r>
            <w:r>
              <w:rPr>
                <w:i/>
                <w:sz w:val="19"/>
              </w:rPr>
              <w:t>of</w:t>
            </w:r>
            <w:r>
              <w:rPr>
                <w:i/>
                <w:spacing w:val="-1"/>
                <w:sz w:val="19"/>
              </w:rPr>
              <w:t xml:space="preserve"> </w:t>
            </w:r>
            <w:r>
              <w:rPr>
                <w:i/>
                <w:sz w:val="19"/>
              </w:rPr>
              <w:t>People with Intellectual Disability</w:t>
            </w:r>
          </w:p>
          <w:p w14:paraId="55E1FFAB" w14:textId="77777777" w:rsidR="009377BE" w:rsidRDefault="009377BE" w:rsidP="009377BE">
            <w:pPr>
              <w:pStyle w:val="TableParagraph"/>
              <w:numPr>
                <w:ilvl w:val="0"/>
                <w:numId w:val="25"/>
              </w:numPr>
              <w:tabs>
                <w:tab w:val="left" w:pos="249"/>
                <w:tab w:val="left" w:pos="251"/>
              </w:tabs>
              <w:spacing w:line="220" w:lineRule="auto"/>
              <w:ind w:right="393"/>
              <w:rPr>
                <w:sz w:val="19"/>
              </w:rPr>
            </w:pPr>
            <w:r>
              <w:rPr>
                <w:sz w:val="19"/>
              </w:rPr>
              <w:t>one</w:t>
            </w:r>
            <w:r>
              <w:rPr>
                <w:spacing w:val="-1"/>
                <w:sz w:val="19"/>
              </w:rPr>
              <w:t xml:space="preserve"> </w:t>
            </w:r>
            <w:r>
              <w:rPr>
                <w:sz w:val="19"/>
              </w:rPr>
              <w:t>Easy</w:t>
            </w:r>
            <w:r>
              <w:rPr>
                <w:spacing w:val="-1"/>
                <w:sz w:val="19"/>
              </w:rPr>
              <w:t xml:space="preserve"> </w:t>
            </w:r>
            <w:r>
              <w:rPr>
                <w:sz w:val="19"/>
              </w:rPr>
              <w:t>Read</w:t>
            </w:r>
            <w:r>
              <w:rPr>
                <w:spacing w:val="-1"/>
                <w:sz w:val="19"/>
              </w:rPr>
              <w:t xml:space="preserve"> </w:t>
            </w:r>
            <w:r>
              <w:rPr>
                <w:sz w:val="19"/>
              </w:rPr>
              <w:t>fact</w:t>
            </w:r>
            <w:r>
              <w:rPr>
                <w:spacing w:val="-1"/>
                <w:sz w:val="19"/>
              </w:rPr>
              <w:t xml:space="preserve"> </w:t>
            </w:r>
            <w:r>
              <w:rPr>
                <w:sz w:val="19"/>
              </w:rPr>
              <w:t>sheet</w:t>
            </w:r>
            <w:r>
              <w:rPr>
                <w:spacing w:val="-1"/>
                <w:sz w:val="19"/>
              </w:rPr>
              <w:t xml:space="preserve"> </w:t>
            </w:r>
            <w:r>
              <w:rPr>
                <w:sz w:val="19"/>
              </w:rPr>
              <w:t>to</w:t>
            </w:r>
            <w:r>
              <w:rPr>
                <w:spacing w:val="-1"/>
                <w:sz w:val="19"/>
              </w:rPr>
              <w:t xml:space="preserve"> </w:t>
            </w:r>
            <w:r>
              <w:rPr>
                <w:sz w:val="19"/>
              </w:rPr>
              <w:t>support</w:t>
            </w:r>
            <w:r>
              <w:rPr>
                <w:spacing w:val="-1"/>
                <w:sz w:val="19"/>
              </w:rPr>
              <w:t xml:space="preserve"> </w:t>
            </w:r>
            <w:r>
              <w:rPr>
                <w:sz w:val="19"/>
              </w:rPr>
              <w:t>people</w:t>
            </w:r>
            <w:r>
              <w:rPr>
                <w:spacing w:val="-1"/>
                <w:sz w:val="19"/>
              </w:rPr>
              <w:t xml:space="preserve"> </w:t>
            </w:r>
            <w:r>
              <w:rPr>
                <w:sz w:val="19"/>
              </w:rPr>
              <w:t>with</w:t>
            </w:r>
            <w:r>
              <w:rPr>
                <w:spacing w:val="-1"/>
                <w:sz w:val="19"/>
              </w:rPr>
              <w:t xml:space="preserve"> </w:t>
            </w:r>
            <w:r>
              <w:rPr>
                <w:sz w:val="19"/>
              </w:rPr>
              <w:t>or caring for someone with sepsis</w:t>
            </w:r>
          </w:p>
          <w:p w14:paraId="5A1A1B4F" w14:textId="77777777" w:rsidR="009377BE" w:rsidRDefault="009377BE" w:rsidP="009377BE">
            <w:pPr>
              <w:pStyle w:val="TableParagraph"/>
              <w:numPr>
                <w:ilvl w:val="0"/>
                <w:numId w:val="25"/>
              </w:numPr>
              <w:tabs>
                <w:tab w:val="left" w:pos="249"/>
                <w:tab w:val="left" w:pos="251"/>
              </w:tabs>
              <w:spacing w:line="220" w:lineRule="auto"/>
              <w:ind w:right="287"/>
              <w:rPr>
                <w:sz w:val="19"/>
              </w:rPr>
            </w:pPr>
            <w:r>
              <w:rPr>
                <w:sz w:val="19"/>
              </w:rPr>
              <w:t xml:space="preserve">publication of co-design fact sheet and resources on </w:t>
            </w:r>
            <w:r>
              <w:rPr>
                <w:spacing w:val="-2"/>
                <w:sz w:val="19"/>
              </w:rPr>
              <w:t>website</w:t>
            </w:r>
          </w:p>
          <w:p w14:paraId="36969DE3" w14:textId="77777777" w:rsidR="009377BE" w:rsidRDefault="009377BE" w:rsidP="009377BE">
            <w:pPr>
              <w:pStyle w:val="TableParagraph"/>
              <w:numPr>
                <w:ilvl w:val="0"/>
                <w:numId w:val="25"/>
              </w:numPr>
              <w:tabs>
                <w:tab w:val="left" w:pos="249"/>
                <w:tab w:val="left" w:pos="251"/>
              </w:tabs>
              <w:spacing w:line="220" w:lineRule="auto"/>
              <w:ind w:right="342"/>
              <w:rPr>
                <w:sz w:val="19"/>
              </w:rPr>
            </w:pPr>
            <w:r>
              <w:rPr>
                <w:sz w:val="19"/>
              </w:rPr>
              <w:t xml:space="preserve">publication of three fact sheets on informed consent (for clinicians, consumers and substitute decision </w:t>
            </w:r>
            <w:r>
              <w:rPr>
                <w:spacing w:val="-2"/>
                <w:sz w:val="19"/>
              </w:rPr>
              <w:t>makers)</w:t>
            </w:r>
          </w:p>
          <w:p w14:paraId="4B33CE6D" w14:textId="77777777" w:rsidR="009377BE" w:rsidRDefault="009377BE" w:rsidP="009377BE">
            <w:pPr>
              <w:pStyle w:val="TableParagraph"/>
              <w:numPr>
                <w:ilvl w:val="0"/>
                <w:numId w:val="25"/>
              </w:numPr>
              <w:tabs>
                <w:tab w:val="left" w:pos="249"/>
                <w:tab w:val="left" w:pos="251"/>
              </w:tabs>
              <w:spacing w:line="220" w:lineRule="auto"/>
              <w:ind w:right="124"/>
              <w:rPr>
                <w:i/>
                <w:sz w:val="19"/>
              </w:rPr>
            </w:pPr>
            <w:r>
              <w:rPr>
                <w:sz w:val="19"/>
              </w:rPr>
              <w:t xml:space="preserve">progress report – </w:t>
            </w:r>
            <w:r>
              <w:rPr>
                <w:i/>
                <w:sz w:val="19"/>
              </w:rPr>
              <w:t>Joint Statement on the inappropriate use of psychotropic medicines.</w:t>
            </w:r>
          </w:p>
          <w:p w14:paraId="1D8317F2" w14:textId="77777777" w:rsidR="009377BE" w:rsidRDefault="009377BE" w:rsidP="009377BE">
            <w:pPr>
              <w:pStyle w:val="TableParagraph"/>
              <w:spacing w:before="101" w:line="220" w:lineRule="auto"/>
              <w:ind w:left="81"/>
              <w:rPr>
                <w:sz w:val="19"/>
              </w:rPr>
            </w:pPr>
            <w:r>
              <w:rPr>
                <w:sz w:val="19"/>
              </w:rPr>
              <w:t>In</w:t>
            </w:r>
            <w:r>
              <w:rPr>
                <w:spacing w:val="-2"/>
                <w:sz w:val="19"/>
              </w:rPr>
              <w:t xml:space="preserve"> </w:t>
            </w:r>
            <w:r>
              <w:rPr>
                <w:sz w:val="19"/>
              </w:rPr>
              <w:t>addition,</w:t>
            </w:r>
            <w:r>
              <w:rPr>
                <w:spacing w:val="-2"/>
                <w:sz w:val="19"/>
              </w:rPr>
              <w:t xml:space="preserve"> </w:t>
            </w:r>
            <w:r>
              <w:rPr>
                <w:sz w:val="19"/>
              </w:rPr>
              <w:t>the</w:t>
            </w:r>
            <w:r>
              <w:rPr>
                <w:spacing w:val="-2"/>
                <w:sz w:val="19"/>
              </w:rPr>
              <w:t xml:space="preserve"> </w:t>
            </w:r>
            <w:r>
              <w:rPr>
                <w:sz w:val="19"/>
              </w:rPr>
              <w:t>following</w:t>
            </w:r>
            <w:r>
              <w:rPr>
                <w:spacing w:val="-2"/>
                <w:sz w:val="19"/>
              </w:rPr>
              <w:t xml:space="preserve"> </w:t>
            </w:r>
            <w:r>
              <w:rPr>
                <w:sz w:val="19"/>
              </w:rPr>
              <w:t>resources</w:t>
            </w:r>
            <w:r>
              <w:rPr>
                <w:spacing w:val="-2"/>
                <w:sz w:val="19"/>
              </w:rPr>
              <w:t xml:space="preserve"> </w:t>
            </w:r>
            <w:r>
              <w:rPr>
                <w:sz w:val="19"/>
              </w:rPr>
              <w:t>have</w:t>
            </w:r>
            <w:r>
              <w:rPr>
                <w:spacing w:val="-2"/>
                <w:sz w:val="19"/>
              </w:rPr>
              <w:t xml:space="preserve"> </w:t>
            </w:r>
            <w:r>
              <w:rPr>
                <w:sz w:val="19"/>
              </w:rPr>
              <w:t>been</w:t>
            </w:r>
            <w:r>
              <w:rPr>
                <w:spacing w:val="-2"/>
                <w:sz w:val="19"/>
              </w:rPr>
              <w:t xml:space="preserve"> </w:t>
            </w:r>
            <w:r>
              <w:rPr>
                <w:sz w:val="19"/>
              </w:rPr>
              <w:t xml:space="preserve">made </w:t>
            </w:r>
            <w:r>
              <w:rPr>
                <w:spacing w:val="-2"/>
                <w:sz w:val="19"/>
              </w:rPr>
              <w:t>available:</w:t>
            </w:r>
          </w:p>
          <w:p w14:paraId="493A6B6A" w14:textId="77777777" w:rsidR="009377BE" w:rsidRDefault="009377BE" w:rsidP="009377BE">
            <w:pPr>
              <w:pStyle w:val="TableParagraph"/>
              <w:numPr>
                <w:ilvl w:val="0"/>
                <w:numId w:val="25"/>
              </w:numPr>
              <w:tabs>
                <w:tab w:val="left" w:pos="249"/>
                <w:tab w:val="left" w:pos="251"/>
              </w:tabs>
              <w:spacing w:before="55" w:line="220" w:lineRule="auto"/>
              <w:ind w:right="136"/>
              <w:rPr>
                <w:sz w:val="19"/>
              </w:rPr>
            </w:pPr>
            <w:r>
              <w:rPr>
                <w:sz w:val="19"/>
              </w:rPr>
              <w:t>three person-</w:t>
            </w:r>
            <w:proofErr w:type="spellStart"/>
            <w:r>
              <w:rPr>
                <w:sz w:val="19"/>
              </w:rPr>
              <w:t>centred</w:t>
            </w:r>
            <w:proofErr w:type="spellEnd"/>
            <w:r>
              <w:rPr>
                <w:sz w:val="19"/>
              </w:rPr>
              <w:t xml:space="preserve"> care webinars including one scheduled</w:t>
            </w:r>
            <w:r>
              <w:rPr>
                <w:spacing w:val="-1"/>
                <w:sz w:val="19"/>
              </w:rPr>
              <w:t xml:space="preserve"> </w:t>
            </w:r>
            <w:r>
              <w:rPr>
                <w:sz w:val="19"/>
              </w:rPr>
              <w:t>to</w:t>
            </w:r>
            <w:r>
              <w:rPr>
                <w:spacing w:val="-1"/>
                <w:sz w:val="19"/>
              </w:rPr>
              <w:t xml:space="preserve"> </w:t>
            </w:r>
            <w:r>
              <w:rPr>
                <w:sz w:val="19"/>
              </w:rPr>
              <w:t>coincide</w:t>
            </w:r>
            <w:r>
              <w:rPr>
                <w:spacing w:val="-1"/>
                <w:sz w:val="19"/>
              </w:rPr>
              <w:t xml:space="preserve"> </w:t>
            </w:r>
            <w:r>
              <w:rPr>
                <w:sz w:val="19"/>
              </w:rPr>
              <w:t>with</w:t>
            </w:r>
            <w:r>
              <w:rPr>
                <w:spacing w:val="-1"/>
                <w:sz w:val="19"/>
              </w:rPr>
              <w:t xml:space="preserve"> </w:t>
            </w:r>
            <w:r>
              <w:rPr>
                <w:sz w:val="19"/>
              </w:rPr>
              <w:t>International</w:t>
            </w:r>
            <w:r>
              <w:rPr>
                <w:spacing w:val="-1"/>
                <w:sz w:val="19"/>
              </w:rPr>
              <w:t xml:space="preserve"> </w:t>
            </w:r>
            <w:r>
              <w:rPr>
                <w:sz w:val="19"/>
              </w:rPr>
              <w:t>Day</w:t>
            </w:r>
            <w:r>
              <w:rPr>
                <w:spacing w:val="-1"/>
                <w:sz w:val="19"/>
              </w:rPr>
              <w:t xml:space="preserve"> </w:t>
            </w:r>
            <w:r>
              <w:rPr>
                <w:sz w:val="19"/>
              </w:rPr>
              <w:t>of</w:t>
            </w:r>
            <w:r>
              <w:rPr>
                <w:spacing w:val="-1"/>
                <w:sz w:val="19"/>
              </w:rPr>
              <w:t xml:space="preserve"> </w:t>
            </w:r>
            <w:r>
              <w:rPr>
                <w:sz w:val="19"/>
              </w:rPr>
              <w:t>People with Disability</w:t>
            </w:r>
          </w:p>
          <w:p w14:paraId="7659ECF6" w14:textId="6137ACCE" w:rsidR="009377BE" w:rsidRDefault="009377BE" w:rsidP="009377BE">
            <w:pPr>
              <w:pStyle w:val="TableParagraph"/>
              <w:spacing w:before="54" w:line="220" w:lineRule="auto"/>
              <w:ind w:left="81"/>
              <w:rPr>
                <w:sz w:val="19"/>
              </w:rPr>
            </w:pPr>
            <w:r>
              <w:rPr>
                <w:sz w:val="19"/>
              </w:rPr>
              <w:t>two person-</w:t>
            </w:r>
            <w:proofErr w:type="spellStart"/>
            <w:r>
              <w:rPr>
                <w:sz w:val="19"/>
              </w:rPr>
              <w:t>centred</w:t>
            </w:r>
            <w:proofErr w:type="spellEnd"/>
            <w:r>
              <w:rPr>
                <w:sz w:val="19"/>
              </w:rPr>
              <w:t xml:space="preserve"> care in practice newsletters distributed to a network of over 6,000 subscribers.</w:t>
            </w:r>
          </w:p>
        </w:tc>
      </w:tr>
      <w:tr w:rsidR="009377BE" w14:paraId="3B34C5CA" w14:textId="77777777" w:rsidTr="009377BE">
        <w:trPr>
          <w:trHeight w:val="1639"/>
        </w:trPr>
        <w:tc>
          <w:tcPr>
            <w:tcW w:w="2665" w:type="dxa"/>
            <w:tcBorders>
              <w:top w:val="nil"/>
              <w:left w:val="nil"/>
              <w:bottom w:val="nil"/>
              <w:right w:val="single" w:sz="2" w:space="0" w:color="000000"/>
            </w:tcBorders>
          </w:tcPr>
          <w:p w14:paraId="563EF655" w14:textId="6E5EE230" w:rsidR="009377BE" w:rsidRDefault="009377BE" w:rsidP="009377BE">
            <w:pPr>
              <w:pStyle w:val="TableParagraph"/>
              <w:spacing w:before="54" w:line="220" w:lineRule="auto"/>
              <w:ind w:left="85" w:right="170"/>
              <w:rPr>
                <w:sz w:val="2"/>
                <w:szCs w:val="2"/>
              </w:rPr>
            </w:pPr>
            <w:r>
              <w:rPr>
                <w:sz w:val="19"/>
              </w:rPr>
              <w:t>Examine healthcare variation</w:t>
            </w:r>
            <w:r>
              <w:rPr>
                <w:spacing w:val="-5"/>
                <w:sz w:val="19"/>
              </w:rPr>
              <w:t xml:space="preserve"> </w:t>
            </w:r>
            <w:r>
              <w:rPr>
                <w:sz w:val="19"/>
              </w:rPr>
              <w:t>and</w:t>
            </w:r>
            <w:r>
              <w:rPr>
                <w:spacing w:val="-5"/>
                <w:sz w:val="19"/>
              </w:rPr>
              <w:t xml:space="preserve"> </w:t>
            </w:r>
            <w:r>
              <w:rPr>
                <w:sz w:val="19"/>
              </w:rPr>
              <w:t>work</w:t>
            </w:r>
            <w:r>
              <w:rPr>
                <w:spacing w:val="-5"/>
                <w:sz w:val="19"/>
              </w:rPr>
              <w:t xml:space="preserve"> </w:t>
            </w:r>
            <w:r>
              <w:rPr>
                <w:sz w:val="19"/>
              </w:rPr>
              <w:t>to</w:t>
            </w:r>
            <w:r>
              <w:rPr>
                <w:spacing w:val="-5"/>
                <w:sz w:val="19"/>
              </w:rPr>
              <w:t xml:space="preserve"> </w:t>
            </w:r>
            <w:r>
              <w:rPr>
                <w:sz w:val="19"/>
              </w:rPr>
              <w:t>reduce unwarranted variation</w:t>
            </w:r>
            <w:r>
              <w:rPr>
                <w:sz w:val="19"/>
              </w:rPr>
              <w:t xml:space="preserve"> </w:t>
            </w:r>
            <w:r>
              <w:rPr>
                <w:sz w:val="19"/>
              </w:rPr>
              <w:t>to improve quality and appropriateness</w:t>
            </w:r>
            <w:r>
              <w:rPr>
                <w:spacing w:val="-6"/>
                <w:sz w:val="19"/>
              </w:rPr>
              <w:t xml:space="preserve"> </w:t>
            </w:r>
            <w:r>
              <w:rPr>
                <w:sz w:val="19"/>
              </w:rPr>
              <w:t>of</w:t>
            </w:r>
            <w:r>
              <w:rPr>
                <w:spacing w:val="-6"/>
                <w:sz w:val="19"/>
              </w:rPr>
              <w:t xml:space="preserve"> </w:t>
            </w:r>
            <w:r>
              <w:rPr>
                <w:sz w:val="19"/>
              </w:rPr>
              <w:t>care</w:t>
            </w:r>
            <w:r>
              <w:rPr>
                <w:spacing w:val="-6"/>
                <w:sz w:val="19"/>
              </w:rPr>
              <w:t xml:space="preserve"> </w:t>
            </w:r>
            <w:r>
              <w:rPr>
                <w:sz w:val="19"/>
              </w:rPr>
              <w:t>for all Australians.</w:t>
            </w:r>
          </w:p>
        </w:tc>
        <w:tc>
          <w:tcPr>
            <w:tcW w:w="2552" w:type="dxa"/>
            <w:tcBorders>
              <w:top w:val="single" w:sz="2" w:space="0" w:color="000000"/>
              <w:left w:val="single" w:sz="2" w:space="0" w:color="000000"/>
              <w:bottom w:val="single" w:sz="2" w:space="0" w:color="000000"/>
              <w:right w:val="single" w:sz="2" w:space="0" w:color="000000"/>
            </w:tcBorders>
          </w:tcPr>
          <w:p w14:paraId="487D079A" w14:textId="7664E9D9" w:rsidR="009377BE" w:rsidRDefault="009377BE" w:rsidP="009377BE">
            <w:pPr>
              <w:pStyle w:val="TableParagraph"/>
              <w:spacing w:before="54" w:line="220" w:lineRule="auto"/>
              <w:ind w:left="82" w:right="428"/>
              <w:rPr>
                <w:sz w:val="19"/>
              </w:rPr>
            </w:pPr>
            <w:r>
              <w:rPr>
                <w:sz w:val="19"/>
              </w:rPr>
              <w:t>Produce</w:t>
            </w:r>
            <w:r>
              <w:rPr>
                <w:spacing w:val="-7"/>
                <w:sz w:val="19"/>
              </w:rPr>
              <w:t xml:space="preserve"> </w:t>
            </w:r>
            <w:r>
              <w:rPr>
                <w:sz w:val="19"/>
              </w:rPr>
              <w:t>a</w:t>
            </w:r>
            <w:r>
              <w:rPr>
                <w:spacing w:val="-7"/>
                <w:sz w:val="19"/>
              </w:rPr>
              <w:t xml:space="preserve"> </w:t>
            </w:r>
            <w:r>
              <w:rPr>
                <w:sz w:val="19"/>
              </w:rPr>
              <w:t>rolling</w:t>
            </w:r>
            <w:r>
              <w:rPr>
                <w:spacing w:val="-7"/>
                <w:sz w:val="19"/>
              </w:rPr>
              <w:t xml:space="preserve"> </w:t>
            </w:r>
            <w:r>
              <w:rPr>
                <w:sz w:val="19"/>
              </w:rPr>
              <w:t xml:space="preserve">program of reports and guidance with time series data on healthcare variation in </w:t>
            </w:r>
            <w:r>
              <w:rPr>
                <w:spacing w:val="-2"/>
                <w:sz w:val="19"/>
              </w:rPr>
              <w:t>Australia.</w:t>
            </w:r>
          </w:p>
        </w:tc>
        <w:tc>
          <w:tcPr>
            <w:tcW w:w="4990" w:type="dxa"/>
            <w:tcBorders>
              <w:top w:val="single" w:sz="2" w:space="0" w:color="000000"/>
              <w:left w:val="single" w:sz="2" w:space="0" w:color="000000"/>
              <w:bottom w:val="single" w:sz="2" w:space="0" w:color="000000"/>
              <w:right w:val="nil"/>
            </w:tcBorders>
          </w:tcPr>
          <w:p w14:paraId="186C2AF0" w14:textId="77777777" w:rsidR="009377BE" w:rsidRDefault="009377BE" w:rsidP="009377BE">
            <w:pPr>
              <w:pStyle w:val="TableParagraph"/>
              <w:spacing w:before="40"/>
              <w:ind w:left="81"/>
              <w:rPr>
                <w:b/>
                <w:sz w:val="19"/>
              </w:rPr>
            </w:pPr>
            <w:r>
              <w:rPr>
                <w:b/>
                <w:spacing w:val="-2"/>
                <w:sz w:val="19"/>
              </w:rPr>
              <w:t>Achieved</w:t>
            </w:r>
          </w:p>
          <w:p w14:paraId="08B7EB78" w14:textId="77777777" w:rsidR="009377BE" w:rsidRDefault="009377BE" w:rsidP="009377BE">
            <w:pPr>
              <w:pStyle w:val="TableParagraph"/>
              <w:spacing w:before="52" w:line="220" w:lineRule="auto"/>
              <w:ind w:left="81" w:right="126"/>
              <w:rPr>
                <w:sz w:val="19"/>
              </w:rPr>
            </w:pPr>
            <w:r>
              <w:rPr>
                <w:i/>
                <w:sz w:val="19"/>
              </w:rPr>
              <w:t xml:space="preserve">Atlas Focus Report: Colonoscopy </w:t>
            </w:r>
            <w:r>
              <w:rPr>
                <w:sz w:val="19"/>
              </w:rPr>
              <w:t>was produced alongside</w:t>
            </w:r>
            <w:r>
              <w:rPr>
                <w:spacing w:val="-1"/>
                <w:sz w:val="19"/>
              </w:rPr>
              <w:t xml:space="preserve"> </w:t>
            </w:r>
            <w:r>
              <w:rPr>
                <w:sz w:val="19"/>
              </w:rPr>
              <w:t>the</w:t>
            </w:r>
            <w:r>
              <w:rPr>
                <w:spacing w:val="-1"/>
                <w:sz w:val="19"/>
              </w:rPr>
              <w:t xml:space="preserve"> </w:t>
            </w:r>
            <w:r>
              <w:rPr>
                <w:sz w:val="19"/>
              </w:rPr>
              <w:t>updated</w:t>
            </w:r>
            <w:r>
              <w:rPr>
                <w:spacing w:val="-1"/>
                <w:sz w:val="19"/>
              </w:rPr>
              <w:t xml:space="preserve"> </w:t>
            </w:r>
            <w:r>
              <w:rPr>
                <w:sz w:val="19"/>
              </w:rPr>
              <w:t>Colonoscopy</w:t>
            </w:r>
            <w:r>
              <w:rPr>
                <w:spacing w:val="-1"/>
                <w:sz w:val="19"/>
              </w:rPr>
              <w:t xml:space="preserve"> </w:t>
            </w:r>
            <w:r>
              <w:rPr>
                <w:sz w:val="19"/>
              </w:rPr>
              <w:t>Clinical</w:t>
            </w:r>
            <w:r>
              <w:rPr>
                <w:spacing w:val="-1"/>
                <w:sz w:val="19"/>
              </w:rPr>
              <w:t xml:space="preserve"> </w:t>
            </w:r>
            <w:r>
              <w:rPr>
                <w:sz w:val="19"/>
              </w:rPr>
              <w:t>Care Standard in September 2025.</w:t>
            </w:r>
          </w:p>
          <w:p w14:paraId="7F9967EC" w14:textId="12D10980" w:rsidR="009377BE" w:rsidRDefault="009377BE" w:rsidP="009377BE">
            <w:pPr>
              <w:pStyle w:val="TableParagraph"/>
              <w:spacing w:before="40"/>
              <w:ind w:left="81"/>
              <w:rPr>
                <w:b/>
                <w:spacing w:val="-2"/>
                <w:sz w:val="19"/>
              </w:rPr>
            </w:pPr>
            <w:r>
              <w:rPr>
                <w:sz w:val="19"/>
              </w:rPr>
              <w:t xml:space="preserve">The </w:t>
            </w:r>
            <w:r>
              <w:rPr>
                <w:i/>
                <w:sz w:val="19"/>
              </w:rPr>
              <w:t xml:space="preserve">Atlas Focus Report: Osteoarthritis of the knee </w:t>
            </w:r>
            <w:r>
              <w:rPr>
                <w:sz w:val="19"/>
              </w:rPr>
              <w:t>will be released in November 2026.</w:t>
            </w:r>
          </w:p>
        </w:tc>
      </w:tr>
      <w:tr w:rsidR="009377BE" w14:paraId="2BADF932" w14:textId="77777777" w:rsidTr="009377BE">
        <w:trPr>
          <w:trHeight w:val="1639"/>
        </w:trPr>
        <w:tc>
          <w:tcPr>
            <w:tcW w:w="2665" w:type="dxa"/>
            <w:tcBorders>
              <w:top w:val="nil"/>
              <w:left w:val="nil"/>
              <w:bottom w:val="nil"/>
              <w:right w:val="single" w:sz="2" w:space="0" w:color="000000"/>
            </w:tcBorders>
          </w:tcPr>
          <w:p w14:paraId="11CE07E0" w14:textId="77777777" w:rsidR="009377BE" w:rsidRDefault="009377BE" w:rsidP="009377BE">
            <w:pPr>
              <w:pStyle w:val="TableParagraph"/>
              <w:spacing w:before="54" w:line="220" w:lineRule="auto"/>
              <w:ind w:left="85" w:right="170"/>
              <w:rPr>
                <w:sz w:val="19"/>
              </w:rPr>
            </w:pPr>
          </w:p>
        </w:tc>
        <w:tc>
          <w:tcPr>
            <w:tcW w:w="2552" w:type="dxa"/>
            <w:tcBorders>
              <w:top w:val="single" w:sz="2" w:space="0" w:color="000000"/>
              <w:left w:val="single" w:sz="2" w:space="0" w:color="000000"/>
              <w:bottom w:val="single" w:sz="2" w:space="0" w:color="000000"/>
              <w:right w:val="single" w:sz="2" w:space="0" w:color="000000"/>
            </w:tcBorders>
          </w:tcPr>
          <w:p w14:paraId="2810CD01" w14:textId="5CD4BF0B" w:rsidR="009377BE" w:rsidRDefault="009377BE" w:rsidP="009377BE">
            <w:pPr>
              <w:pStyle w:val="TableParagraph"/>
              <w:spacing w:before="54" w:line="220" w:lineRule="auto"/>
              <w:ind w:left="82" w:right="428"/>
              <w:rPr>
                <w:sz w:val="19"/>
              </w:rPr>
            </w:pPr>
            <w:r>
              <w:rPr>
                <w:sz w:val="19"/>
              </w:rPr>
              <w:t>Produce clinical care standards and other resources focusing on high-impact, high-burden and</w:t>
            </w:r>
            <w:r>
              <w:rPr>
                <w:spacing w:val="-7"/>
                <w:sz w:val="19"/>
              </w:rPr>
              <w:t xml:space="preserve"> </w:t>
            </w:r>
            <w:r>
              <w:rPr>
                <w:sz w:val="19"/>
              </w:rPr>
              <w:t>high-variation</w:t>
            </w:r>
            <w:r>
              <w:rPr>
                <w:spacing w:val="-7"/>
                <w:sz w:val="19"/>
              </w:rPr>
              <w:t xml:space="preserve"> </w:t>
            </w:r>
            <w:r>
              <w:rPr>
                <w:sz w:val="19"/>
              </w:rPr>
              <w:t>areas</w:t>
            </w:r>
            <w:r>
              <w:rPr>
                <w:spacing w:val="-7"/>
                <w:sz w:val="19"/>
              </w:rPr>
              <w:t xml:space="preserve"> </w:t>
            </w:r>
            <w:r>
              <w:rPr>
                <w:sz w:val="19"/>
              </w:rPr>
              <w:t>of clinical care.</w:t>
            </w:r>
          </w:p>
        </w:tc>
        <w:tc>
          <w:tcPr>
            <w:tcW w:w="4990" w:type="dxa"/>
            <w:tcBorders>
              <w:top w:val="single" w:sz="2" w:space="0" w:color="000000"/>
              <w:left w:val="single" w:sz="2" w:space="0" w:color="000000"/>
              <w:bottom w:val="single" w:sz="2" w:space="0" w:color="000000"/>
              <w:right w:val="nil"/>
            </w:tcBorders>
          </w:tcPr>
          <w:p w14:paraId="68B1E96D" w14:textId="77777777" w:rsidR="009377BE" w:rsidRDefault="009377BE" w:rsidP="009377BE">
            <w:pPr>
              <w:pStyle w:val="TableParagraph"/>
              <w:spacing w:before="40"/>
              <w:ind w:left="81"/>
              <w:rPr>
                <w:b/>
                <w:sz w:val="19"/>
              </w:rPr>
            </w:pPr>
            <w:r>
              <w:rPr>
                <w:b/>
                <w:spacing w:val="-2"/>
                <w:sz w:val="19"/>
              </w:rPr>
              <w:t>Achieved</w:t>
            </w:r>
          </w:p>
          <w:p w14:paraId="0C54F209" w14:textId="77777777" w:rsidR="009377BE" w:rsidRDefault="009377BE" w:rsidP="009377BE">
            <w:pPr>
              <w:pStyle w:val="TableParagraph"/>
              <w:spacing w:before="52" w:line="220" w:lineRule="auto"/>
              <w:ind w:left="81" w:right="237"/>
              <w:rPr>
                <w:sz w:val="19"/>
              </w:rPr>
            </w:pPr>
            <w:r>
              <w:rPr>
                <w:sz w:val="19"/>
              </w:rPr>
              <w:t>The Emergency Laparotomy Clinical Care Standard was</w:t>
            </w:r>
            <w:r>
              <w:rPr>
                <w:spacing w:val="-3"/>
                <w:sz w:val="19"/>
              </w:rPr>
              <w:t xml:space="preserve"> </w:t>
            </w:r>
            <w:r>
              <w:rPr>
                <w:sz w:val="19"/>
              </w:rPr>
              <w:t>completed</w:t>
            </w:r>
            <w:r>
              <w:rPr>
                <w:spacing w:val="-3"/>
                <w:sz w:val="19"/>
              </w:rPr>
              <w:t xml:space="preserve"> </w:t>
            </w:r>
            <w:r>
              <w:rPr>
                <w:sz w:val="19"/>
              </w:rPr>
              <w:t>and</w:t>
            </w:r>
            <w:r>
              <w:rPr>
                <w:spacing w:val="-3"/>
                <w:sz w:val="19"/>
              </w:rPr>
              <w:t xml:space="preserve"> </w:t>
            </w:r>
            <w:r>
              <w:rPr>
                <w:sz w:val="19"/>
              </w:rPr>
              <w:t>launched</w:t>
            </w:r>
            <w:r>
              <w:rPr>
                <w:spacing w:val="-3"/>
                <w:sz w:val="19"/>
              </w:rPr>
              <w:t xml:space="preserve"> </w:t>
            </w:r>
            <w:r>
              <w:rPr>
                <w:sz w:val="19"/>
              </w:rPr>
              <w:t>in</w:t>
            </w:r>
            <w:r>
              <w:rPr>
                <w:spacing w:val="-3"/>
                <w:sz w:val="19"/>
              </w:rPr>
              <w:t xml:space="preserve"> </w:t>
            </w:r>
            <w:r>
              <w:rPr>
                <w:sz w:val="19"/>
              </w:rPr>
              <w:t>May</w:t>
            </w:r>
            <w:r>
              <w:rPr>
                <w:spacing w:val="-3"/>
                <w:sz w:val="19"/>
              </w:rPr>
              <w:t xml:space="preserve"> </w:t>
            </w:r>
            <w:r>
              <w:rPr>
                <w:sz w:val="19"/>
              </w:rPr>
              <w:t>2026</w:t>
            </w:r>
            <w:r>
              <w:rPr>
                <w:spacing w:val="-3"/>
                <w:sz w:val="19"/>
              </w:rPr>
              <w:t xml:space="preserve"> </w:t>
            </w:r>
            <w:r>
              <w:rPr>
                <w:sz w:val="19"/>
              </w:rPr>
              <w:t>at</w:t>
            </w:r>
            <w:r>
              <w:rPr>
                <w:spacing w:val="-3"/>
                <w:sz w:val="19"/>
              </w:rPr>
              <w:t xml:space="preserve"> </w:t>
            </w:r>
            <w:r>
              <w:rPr>
                <w:sz w:val="19"/>
              </w:rPr>
              <w:t>the</w:t>
            </w:r>
            <w:r>
              <w:rPr>
                <w:spacing w:val="-3"/>
                <w:sz w:val="19"/>
              </w:rPr>
              <w:t xml:space="preserve"> </w:t>
            </w:r>
            <w:r>
              <w:rPr>
                <w:sz w:val="19"/>
              </w:rPr>
              <w:t>Royal Australasian College of Surgeons Annual Scientific Congress in May 2026.</w:t>
            </w:r>
          </w:p>
          <w:p w14:paraId="279574C9" w14:textId="31D60B47" w:rsidR="009377BE" w:rsidRDefault="009377BE" w:rsidP="009377BE">
            <w:pPr>
              <w:pStyle w:val="TableParagraph"/>
              <w:spacing w:before="40"/>
              <w:ind w:left="81"/>
              <w:rPr>
                <w:b/>
                <w:spacing w:val="-2"/>
                <w:sz w:val="19"/>
              </w:rPr>
            </w:pPr>
            <w:r>
              <w:rPr>
                <w:sz w:val="19"/>
              </w:rPr>
              <w:t>Development</w:t>
            </w:r>
            <w:r>
              <w:rPr>
                <w:spacing w:val="-1"/>
                <w:sz w:val="19"/>
              </w:rPr>
              <w:t xml:space="preserve"> </w:t>
            </w:r>
            <w:r>
              <w:rPr>
                <w:sz w:val="19"/>
              </w:rPr>
              <w:t>of</w:t>
            </w:r>
            <w:r>
              <w:rPr>
                <w:spacing w:val="-1"/>
                <w:sz w:val="19"/>
              </w:rPr>
              <w:t xml:space="preserve"> </w:t>
            </w:r>
            <w:r>
              <w:rPr>
                <w:sz w:val="19"/>
              </w:rPr>
              <w:t>the</w:t>
            </w:r>
            <w:r>
              <w:rPr>
                <w:spacing w:val="-1"/>
                <w:sz w:val="19"/>
              </w:rPr>
              <w:t xml:space="preserve"> </w:t>
            </w:r>
            <w:r>
              <w:rPr>
                <w:sz w:val="19"/>
              </w:rPr>
              <w:t>Osteoporosis</w:t>
            </w:r>
            <w:r>
              <w:rPr>
                <w:spacing w:val="-1"/>
                <w:sz w:val="19"/>
              </w:rPr>
              <w:t xml:space="preserve"> </w:t>
            </w:r>
            <w:r>
              <w:rPr>
                <w:sz w:val="19"/>
              </w:rPr>
              <w:t>Clinical</w:t>
            </w:r>
            <w:r>
              <w:rPr>
                <w:spacing w:val="-1"/>
                <w:sz w:val="19"/>
              </w:rPr>
              <w:t xml:space="preserve"> </w:t>
            </w:r>
            <w:r>
              <w:rPr>
                <w:sz w:val="19"/>
              </w:rPr>
              <w:t>Care</w:t>
            </w:r>
            <w:r>
              <w:rPr>
                <w:spacing w:val="-1"/>
                <w:sz w:val="19"/>
              </w:rPr>
              <w:t xml:space="preserve"> </w:t>
            </w:r>
            <w:r>
              <w:rPr>
                <w:sz w:val="19"/>
              </w:rPr>
              <w:t>Standard began, and a topic working group was established and met to discuss the scope and focus of the Standard.</w:t>
            </w:r>
          </w:p>
        </w:tc>
      </w:tr>
      <w:tr w:rsidR="009377BE" w14:paraId="42FAE80E" w14:textId="77777777" w:rsidTr="009377BE">
        <w:trPr>
          <w:trHeight w:val="1639"/>
        </w:trPr>
        <w:tc>
          <w:tcPr>
            <w:tcW w:w="2665" w:type="dxa"/>
            <w:tcBorders>
              <w:top w:val="nil"/>
              <w:left w:val="nil"/>
              <w:bottom w:val="nil"/>
              <w:right w:val="single" w:sz="2" w:space="0" w:color="000000"/>
            </w:tcBorders>
          </w:tcPr>
          <w:p w14:paraId="2D85EEAB" w14:textId="77777777" w:rsidR="009377BE" w:rsidRDefault="009377BE" w:rsidP="009377BE">
            <w:pPr>
              <w:pStyle w:val="TableParagraph"/>
              <w:spacing w:before="54" w:line="220" w:lineRule="auto"/>
              <w:ind w:left="85" w:right="170"/>
              <w:rPr>
                <w:sz w:val="19"/>
              </w:rPr>
            </w:pPr>
          </w:p>
        </w:tc>
        <w:tc>
          <w:tcPr>
            <w:tcW w:w="2552" w:type="dxa"/>
            <w:tcBorders>
              <w:top w:val="single" w:sz="2" w:space="0" w:color="000000"/>
              <w:left w:val="single" w:sz="2" w:space="0" w:color="000000"/>
              <w:bottom w:val="single" w:sz="2" w:space="0" w:color="000000"/>
              <w:right w:val="single" w:sz="2" w:space="0" w:color="000000"/>
            </w:tcBorders>
          </w:tcPr>
          <w:p w14:paraId="0621D537" w14:textId="7B7B6B9F" w:rsidR="009377BE" w:rsidRDefault="009377BE" w:rsidP="009377BE">
            <w:pPr>
              <w:pStyle w:val="TableParagraph"/>
              <w:spacing w:before="54" w:line="220" w:lineRule="auto"/>
              <w:ind w:left="82" w:right="428"/>
              <w:rPr>
                <w:sz w:val="19"/>
              </w:rPr>
            </w:pPr>
            <w:r>
              <w:rPr>
                <w:sz w:val="19"/>
              </w:rPr>
              <w:t>Review and revise previously</w:t>
            </w:r>
            <w:r>
              <w:rPr>
                <w:spacing w:val="-10"/>
                <w:sz w:val="19"/>
              </w:rPr>
              <w:t xml:space="preserve"> </w:t>
            </w:r>
            <w:r>
              <w:rPr>
                <w:sz w:val="19"/>
              </w:rPr>
              <w:t>released</w:t>
            </w:r>
            <w:r>
              <w:rPr>
                <w:spacing w:val="-10"/>
                <w:sz w:val="19"/>
              </w:rPr>
              <w:t xml:space="preserve"> </w:t>
            </w:r>
            <w:r>
              <w:rPr>
                <w:sz w:val="19"/>
              </w:rPr>
              <w:t>Clinical Care Standards.</w:t>
            </w:r>
          </w:p>
        </w:tc>
        <w:tc>
          <w:tcPr>
            <w:tcW w:w="4990" w:type="dxa"/>
            <w:tcBorders>
              <w:top w:val="single" w:sz="2" w:space="0" w:color="000000"/>
              <w:left w:val="single" w:sz="2" w:space="0" w:color="000000"/>
              <w:bottom w:val="single" w:sz="2" w:space="0" w:color="000000"/>
              <w:right w:val="nil"/>
            </w:tcBorders>
          </w:tcPr>
          <w:p w14:paraId="48DCA1E1" w14:textId="77777777" w:rsidR="009377BE" w:rsidRDefault="009377BE" w:rsidP="009377BE">
            <w:pPr>
              <w:pStyle w:val="TableParagraph"/>
              <w:spacing w:before="40"/>
              <w:ind w:left="81"/>
              <w:rPr>
                <w:b/>
                <w:sz w:val="19"/>
              </w:rPr>
            </w:pPr>
            <w:r>
              <w:rPr>
                <w:b/>
                <w:spacing w:val="-2"/>
                <w:sz w:val="19"/>
              </w:rPr>
              <w:t>Achieved</w:t>
            </w:r>
          </w:p>
          <w:p w14:paraId="533B1CF6" w14:textId="77777777" w:rsidR="009377BE" w:rsidRDefault="009377BE" w:rsidP="009377BE">
            <w:pPr>
              <w:pStyle w:val="TableParagraph"/>
              <w:spacing w:before="52" w:line="220" w:lineRule="auto"/>
              <w:ind w:left="81" w:right="237"/>
              <w:rPr>
                <w:sz w:val="19"/>
              </w:rPr>
            </w:pPr>
            <w:r>
              <w:rPr>
                <w:sz w:val="19"/>
              </w:rPr>
              <w:t>The review of the Stroke Clinical Care Standard (formerly</w:t>
            </w:r>
            <w:r>
              <w:rPr>
                <w:spacing w:val="-2"/>
                <w:sz w:val="19"/>
              </w:rPr>
              <w:t xml:space="preserve"> </w:t>
            </w:r>
            <w:r>
              <w:rPr>
                <w:sz w:val="19"/>
              </w:rPr>
              <w:t>the</w:t>
            </w:r>
            <w:r>
              <w:rPr>
                <w:spacing w:val="-2"/>
                <w:sz w:val="19"/>
              </w:rPr>
              <w:t xml:space="preserve"> </w:t>
            </w:r>
            <w:r>
              <w:rPr>
                <w:sz w:val="19"/>
              </w:rPr>
              <w:t>Acute</w:t>
            </w:r>
            <w:r>
              <w:rPr>
                <w:spacing w:val="-2"/>
                <w:sz w:val="19"/>
              </w:rPr>
              <w:t xml:space="preserve"> </w:t>
            </w:r>
            <w:r>
              <w:rPr>
                <w:sz w:val="19"/>
              </w:rPr>
              <w:t>Stroke</w:t>
            </w:r>
            <w:r>
              <w:rPr>
                <w:spacing w:val="-2"/>
                <w:sz w:val="19"/>
              </w:rPr>
              <w:t xml:space="preserve"> </w:t>
            </w:r>
            <w:r>
              <w:rPr>
                <w:sz w:val="19"/>
              </w:rPr>
              <w:t>Clinical</w:t>
            </w:r>
            <w:r>
              <w:rPr>
                <w:spacing w:val="-2"/>
                <w:sz w:val="19"/>
              </w:rPr>
              <w:t xml:space="preserve"> </w:t>
            </w:r>
            <w:r>
              <w:rPr>
                <w:sz w:val="19"/>
              </w:rPr>
              <w:t>Care</w:t>
            </w:r>
            <w:r>
              <w:rPr>
                <w:spacing w:val="-2"/>
                <w:sz w:val="19"/>
              </w:rPr>
              <w:t xml:space="preserve"> </w:t>
            </w:r>
            <w:r>
              <w:rPr>
                <w:sz w:val="19"/>
              </w:rPr>
              <w:t>Standard)</w:t>
            </w:r>
            <w:r>
              <w:rPr>
                <w:spacing w:val="-2"/>
                <w:sz w:val="19"/>
              </w:rPr>
              <w:t xml:space="preserve"> </w:t>
            </w:r>
            <w:r>
              <w:rPr>
                <w:sz w:val="19"/>
              </w:rPr>
              <w:t>was completed, and the updated Standard was launched in June 2026.</w:t>
            </w:r>
          </w:p>
          <w:p w14:paraId="1DD2FC9C" w14:textId="77777777" w:rsidR="009377BE" w:rsidRDefault="009377BE" w:rsidP="009377BE">
            <w:pPr>
              <w:pStyle w:val="TableParagraph"/>
              <w:spacing w:before="53" w:line="220" w:lineRule="auto"/>
              <w:ind w:left="81"/>
              <w:rPr>
                <w:sz w:val="19"/>
              </w:rPr>
            </w:pPr>
            <w:r>
              <w:rPr>
                <w:sz w:val="19"/>
              </w:rPr>
              <w:t>The updated Colonoscopy Clinical Care Standard was launched</w:t>
            </w:r>
            <w:r>
              <w:rPr>
                <w:spacing w:val="-1"/>
                <w:sz w:val="19"/>
              </w:rPr>
              <w:t xml:space="preserve"> </w:t>
            </w:r>
            <w:r>
              <w:rPr>
                <w:sz w:val="19"/>
              </w:rPr>
              <w:t>in</w:t>
            </w:r>
            <w:r>
              <w:rPr>
                <w:spacing w:val="-1"/>
                <w:sz w:val="19"/>
              </w:rPr>
              <w:t xml:space="preserve"> </w:t>
            </w:r>
            <w:r>
              <w:rPr>
                <w:sz w:val="19"/>
              </w:rPr>
              <w:t>September</w:t>
            </w:r>
            <w:r>
              <w:rPr>
                <w:spacing w:val="-1"/>
                <w:sz w:val="19"/>
              </w:rPr>
              <w:t xml:space="preserve"> </w:t>
            </w:r>
            <w:r>
              <w:rPr>
                <w:sz w:val="19"/>
              </w:rPr>
              <w:t>2025</w:t>
            </w:r>
            <w:r>
              <w:rPr>
                <w:spacing w:val="-1"/>
                <w:sz w:val="19"/>
              </w:rPr>
              <w:t xml:space="preserve"> </w:t>
            </w:r>
            <w:r>
              <w:rPr>
                <w:sz w:val="19"/>
              </w:rPr>
              <w:t>at</w:t>
            </w:r>
            <w:r>
              <w:rPr>
                <w:spacing w:val="-1"/>
                <w:sz w:val="19"/>
              </w:rPr>
              <w:t xml:space="preserve"> </w:t>
            </w:r>
            <w:r>
              <w:rPr>
                <w:sz w:val="19"/>
              </w:rPr>
              <w:t>the</w:t>
            </w:r>
            <w:r>
              <w:rPr>
                <w:spacing w:val="-1"/>
                <w:sz w:val="19"/>
              </w:rPr>
              <w:t xml:space="preserve"> </w:t>
            </w:r>
            <w:r>
              <w:rPr>
                <w:sz w:val="19"/>
              </w:rPr>
              <w:t>World</w:t>
            </w:r>
            <w:r>
              <w:rPr>
                <w:spacing w:val="-1"/>
                <w:sz w:val="19"/>
              </w:rPr>
              <w:t xml:space="preserve"> </w:t>
            </w:r>
            <w:r>
              <w:rPr>
                <w:sz w:val="19"/>
              </w:rPr>
              <w:t>Congress</w:t>
            </w:r>
            <w:r>
              <w:rPr>
                <w:spacing w:val="-1"/>
                <w:sz w:val="19"/>
              </w:rPr>
              <w:t xml:space="preserve"> </w:t>
            </w:r>
            <w:r>
              <w:rPr>
                <w:sz w:val="19"/>
              </w:rPr>
              <w:t xml:space="preserve">of Gastroenterology during Australian Gastroenterology </w:t>
            </w:r>
            <w:r>
              <w:rPr>
                <w:spacing w:val="-2"/>
                <w:sz w:val="19"/>
              </w:rPr>
              <w:t>Week.</w:t>
            </w:r>
          </w:p>
          <w:p w14:paraId="4231AE16" w14:textId="77777777" w:rsidR="009377BE" w:rsidRDefault="009377BE" w:rsidP="009377BE">
            <w:pPr>
              <w:pStyle w:val="TableParagraph"/>
              <w:spacing w:before="53" w:line="220" w:lineRule="auto"/>
              <w:ind w:left="81" w:right="126"/>
              <w:rPr>
                <w:sz w:val="19"/>
              </w:rPr>
            </w:pPr>
            <w:r>
              <w:rPr>
                <w:sz w:val="19"/>
              </w:rPr>
              <w:t>The review of the Acute Coronary Syndromes Clinical Care Standard began.</w:t>
            </w:r>
          </w:p>
          <w:p w14:paraId="5AFD5035" w14:textId="06F04B6D" w:rsidR="009377BE" w:rsidRDefault="009377BE" w:rsidP="009377BE">
            <w:pPr>
              <w:pStyle w:val="TableParagraph"/>
              <w:spacing w:before="40"/>
              <w:ind w:left="81"/>
              <w:rPr>
                <w:b/>
                <w:spacing w:val="-2"/>
                <w:sz w:val="19"/>
              </w:rPr>
            </w:pPr>
            <w:r>
              <w:rPr>
                <w:sz w:val="19"/>
              </w:rPr>
              <w:t>The</w:t>
            </w:r>
            <w:r>
              <w:rPr>
                <w:spacing w:val="-4"/>
                <w:sz w:val="19"/>
              </w:rPr>
              <w:t xml:space="preserve"> </w:t>
            </w:r>
            <w:r>
              <w:rPr>
                <w:sz w:val="19"/>
              </w:rPr>
              <w:t>review</w:t>
            </w:r>
            <w:r>
              <w:rPr>
                <w:spacing w:val="-4"/>
                <w:sz w:val="19"/>
              </w:rPr>
              <w:t xml:space="preserve"> </w:t>
            </w:r>
            <w:r>
              <w:rPr>
                <w:sz w:val="19"/>
              </w:rPr>
              <w:t>of</w:t>
            </w:r>
            <w:r>
              <w:rPr>
                <w:spacing w:val="-4"/>
                <w:sz w:val="19"/>
              </w:rPr>
              <w:t xml:space="preserve"> </w:t>
            </w:r>
            <w:r>
              <w:rPr>
                <w:sz w:val="19"/>
              </w:rPr>
              <w:t>the</w:t>
            </w:r>
            <w:r>
              <w:rPr>
                <w:spacing w:val="-4"/>
                <w:sz w:val="19"/>
              </w:rPr>
              <w:t xml:space="preserve"> </w:t>
            </w:r>
            <w:r>
              <w:rPr>
                <w:sz w:val="19"/>
              </w:rPr>
              <w:t>Venous</w:t>
            </w:r>
            <w:r>
              <w:rPr>
                <w:spacing w:val="-4"/>
                <w:sz w:val="19"/>
              </w:rPr>
              <w:t xml:space="preserve"> </w:t>
            </w:r>
            <w:r>
              <w:rPr>
                <w:sz w:val="19"/>
              </w:rPr>
              <w:t>Thromboembolism</w:t>
            </w:r>
            <w:r>
              <w:rPr>
                <w:spacing w:val="-4"/>
                <w:sz w:val="19"/>
              </w:rPr>
              <w:t xml:space="preserve"> </w:t>
            </w:r>
            <w:r>
              <w:rPr>
                <w:sz w:val="19"/>
              </w:rPr>
              <w:t>Prevention Clinical Care Standard began.</w:t>
            </w:r>
          </w:p>
        </w:tc>
      </w:tr>
      <w:tr w:rsidR="009377BE" w14:paraId="623B70ED" w14:textId="77777777" w:rsidTr="009377BE">
        <w:trPr>
          <w:trHeight w:val="1639"/>
        </w:trPr>
        <w:tc>
          <w:tcPr>
            <w:tcW w:w="2665" w:type="dxa"/>
            <w:tcBorders>
              <w:top w:val="nil"/>
              <w:left w:val="nil"/>
              <w:bottom w:val="nil"/>
              <w:right w:val="single" w:sz="2" w:space="0" w:color="000000"/>
            </w:tcBorders>
          </w:tcPr>
          <w:p w14:paraId="1CD9A2EA" w14:textId="0EFB20B5" w:rsidR="009377BE" w:rsidRDefault="009377BE" w:rsidP="009377BE">
            <w:pPr>
              <w:pStyle w:val="TableParagraph"/>
              <w:spacing w:before="54" w:line="220" w:lineRule="auto"/>
              <w:ind w:left="85" w:right="170"/>
              <w:rPr>
                <w:sz w:val="19"/>
              </w:rPr>
            </w:pPr>
            <w:r>
              <w:rPr>
                <w:sz w:val="19"/>
              </w:rPr>
              <w:t>Evaluate to improve stakeholders’</w:t>
            </w:r>
            <w:r>
              <w:rPr>
                <w:spacing w:val="-14"/>
                <w:sz w:val="19"/>
              </w:rPr>
              <w:t xml:space="preserve"> </w:t>
            </w:r>
            <w:r>
              <w:rPr>
                <w:sz w:val="19"/>
              </w:rPr>
              <w:t xml:space="preserve">experience of working with the </w:t>
            </w:r>
            <w:r>
              <w:rPr>
                <w:spacing w:val="-2"/>
                <w:sz w:val="19"/>
              </w:rPr>
              <w:t>Commission.</w:t>
            </w:r>
          </w:p>
        </w:tc>
        <w:tc>
          <w:tcPr>
            <w:tcW w:w="2552" w:type="dxa"/>
            <w:tcBorders>
              <w:top w:val="single" w:sz="2" w:space="0" w:color="000000"/>
              <w:left w:val="single" w:sz="2" w:space="0" w:color="000000"/>
              <w:bottom w:val="single" w:sz="2" w:space="0" w:color="000000"/>
              <w:right w:val="single" w:sz="2" w:space="0" w:color="000000"/>
            </w:tcBorders>
          </w:tcPr>
          <w:p w14:paraId="644BA8F9" w14:textId="53227627" w:rsidR="009377BE" w:rsidRDefault="009377BE" w:rsidP="009377BE">
            <w:pPr>
              <w:pStyle w:val="TableParagraph"/>
              <w:spacing w:before="54" w:line="220" w:lineRule="auto"/>
              <w:ind w:left="82" w:right="428"/>
              <w:rPr>
                <w:sz w:val="19"/>
              </w:rPr>
            </w:pPr>
            <w:r>
              <w:rPr>
                <w:sz w:val="19"/>
              </w:rPr>
              <w:t>Use/maintain systems</w:t>
            </w:r>
            <w:r>
              <w:rPr>
                <w:spacing w:val="80"/>
                <w:sz w:val="19"/>
              </w:rPr>
              <w:t xml:space="preserve"> </w:t>
            </w:r>
            <w:r>
              <w:rPr>
                <w:sz w:val="19"/>
              </w:rPr>
              <w:t>and</w:t>
            </w:r>
            <w:r>
              <w:rPr>
                <w:spacing w:val="-9"/>
                <w:sz w:val="19"/>
              </w:rPr>
              <w:t xml:space="preserve"> </w:t>
            </w:r>
            <w:r>
              <w:rPr>
                <w:sz w:val="19"/>
              </w:rPr>
              <w:t>processes</w:t>
            </w:r>
            <w:r>
              <w:rPr>
                <w:spacing w:val="-9"/>
                <w:sz w:val="19"/>
              </w:rPr>
              <w:t xml:space="preserve"> </w:t>
            </w:r>
            <w:r>
              <w:rPr>
                <w:sz w:val="19"/>
              </w:rPr>
              <w:t>to</w:t>
            </w:r>
            <w:r>
              <w:rPr>
                <w:spacing w:val="-9"/>
                <w:sz w:val="19"/>
              </w:rPr>
              <w:t xml:space="preserve"> </w:t>
            </w:r>
            <w:r>
              <w:rPr>
                <w:sz w:val="19"/>
              </w:rPr>
              <w:t xml:space="preserve">evaluate and improve stakeholder consultation and advisory </w:t>
            </w:r>
            <w:r>
              <w:rPr>
                <w:spacing w:val="-2"/>
                <w:sz w:val="19"/>
              </w:rPr>
              <w:t>mechanisms.</w:t>
            </w:r>
          </w:p>
        </w:tc>
        <w:tc>
          <w:tcPr>
            <w:tcW w:w="4990" w:type="dxa"/>
            <w:tcBorders>
              <w:top w:val="single" w:sz="2" w:space="0" w:color="000000"/>
              <w:left w:val="single" w:sz="2" w:space="0" w:color="000000"/>
              <w:bottom w:val="single" w:sz="2" w:space="0" w:color="000000"/>
              <w:right w:val="nil"/>
            </w:tcBorders>
          </w:tcPr>
          <w:p w14:paraId="6C1B8B0F" w14:textId="77777777" w:rsidR="009377BE" w:rsidRDefault="009377BE" w:rsidP="009377BE">
            <w:pPr>
              <w:pStyle w:val="TableParagraph"/>
              <w:spacing w:before="40"/>
              <w:ind w:left="81"/>
              <w:rPr>
                <w:b/>
                <w:sz w:val="19"/>
              </w:rPr>
            </w:pPr>
            <w:r>
              <w:rPr>
                <w:b/>
                <w:spacing w:val="-2"/>
                <w:sz w:val="19"/>
              </w:rPr>
              <w:t>Achieved</w:t>
            </w:r>
          </w:p>
          <w:p w14:paraId="77B2B6EE" w14:textId="77777777" w:rsidR="009377BE" w:rsidRDefault="009377BE" w:rsidP="009377BE">
            <w:pPr>
              <w:pStyle w:val="TableParagraph"/>
              <w:spacing w:before="53" w:line="220" w:lineRule="auto"/>
              <w:ind w:left="81" w:right="126"/>
              <w:rPr>
                <w:sz w:val="19"/>
              </w:rPr>
            </w:pPr>
            <w:r>
              <w:rPr>
                <w:sz w:val="19"/>
              </w:rPr>
              <w:t>The Commission has been consulting stakeholders and committee members and gaining feedback to improve their experience.</w:t>
            </w:r>
          </w:p>
          <w:p w14:paraId="459E3A9D" w14:textId="1E20CBAA" w:rsidR="009377BE" w:rsidRDefault="009377BE" w:rsidP="009377BE">
            <w:pPr>
              <w:pStyle w:val="TableParagraph"/>
              <w:spacing w:before="40"/>
              <w:ind w:left="81"/>
              <w:rPr>
                <w:b/>
                <w:spacing w:val="-2"/>
                <w:sz w:val="19"/>
              </w:rPr>
            </w:pPr>
            <w:r>
              <w:rPr>
                <w:sz w:val="19"/>
              </w:rPr>
              <w:t>An annual all-staff stakeholder engagement workshop was held in May 2026, and information on key issues was shared with the leadership team in June 2026.</w:t>
            </w:r>
          </w:p>
        </w:tc>
      </w:tr>
      <w:tr w:rsidR="009377BE" w14:paraId="5DA912A6" w14:textId="77777777" w:rsidTr="009377BE">
        <w:trPr>
          <w:trHeight w:val="1639"/>
        </w:trPr>
        <w:tc>
          <w:tcPr>
            <w:tcW w:w="2665" w:type="dxa"/>
            <w:tcBorders>
              <w:top w:val="nil"/>
              <w:left w:val="nil"/>
              <w:bottom w:val="nil"/>
              <w:right w:val="single" w:sz="2" w:space="0" w:color="000000"/>
            </w:tcBorders>
          </w:tcPr>
          <w:p w14:paraId="0E26D1A0" w14:textId="318D9CB6" w:rsidR="009377BE" w:rsidRDefault="009377BE" w:rsidP="009377BE">
            <w:pPr>
              <w:pStyle w:val="TableParagraph"/>
              <w:spacing w:before="54" w:line="220" w:lineRule="auto"/>
              <w:ind w:left="85" w:right="170"/>
              <w:rPr>
                <w:sz w:val="19"/>
              </w:rPr>
            </w:pPr>
            <w:r>
              <w:rPr>
                <w:sz w:val="19"/>
              </w:rPr>
              <w:lastRenderedPageBreak/>
              <w:t>Identify, specify and refine clinical</w:t>
            </w:r>
            <w:r>
              <w:rPr>
                <w:spacing w:val="-4"/>
                <w:sz w:val="19"/>
              </w:rPr>
              <w:t xml:space="preserve"> </w:t>
            </w:r>
            <w:r>
              <w:rPr>
                <w:sz w:val="19"/>
              </w:rPr>
              <w:t>and</w:t>
            </w:r>
            <w:r>
              <w:rPr>
                <w:spacing w:val="-4"/>
                <w:sz w:val="19"/>
              </w:rPr>
              <w:t xml:space="preserve"> </w:t>
            </w:r>
            <w:r>
              <w:rPr>
                <w:sz w:val="19"/>
              </w:rPr>
              <w:t>patient</w:t>
            </w:r>
            <w:r>
              <w:rPr>
                <w:spacing w:val="-4"/>
                <w:sz w:val="19"/>
              </w:rPr>
              <w:t xml:space="preserve"> </w:t>
            </w:r>
            <w:r>
              <w:rPr>
                <w:sz w:val="19"/>
              </w:rPr>
              <w:t>reported measures and safety and quality indicators to enable health services to monitor and improve the safety and quality of care.</w:t>
            </w:r>
          </w:p>
        </w:tc>
        <w:tc>
          <w:tcPr>
            <w:tcW w:w="2552" w:type="dxa"/>
            <w:tcBorders>
              <w:top w:val="single" w:sz="2" w:space="0" w:color="000000"/>
              <w:left w:val="single" w:sz="2" w:space="0" w:color="000000"/>
              <w:bottom w:val="single" w:sz="2" w:space="0" w:color="000000"/>
              <w:right w:val="single" w:sz="2" w:space="0" w:color="000000"/>
            </w:tcBorders>
          </w:tcPr>
          <w:p w14:paraId="20C1BA80" w14:textId="77777777" w:rsidR="009377BE" w:rsidRDefault="009377BE" w:rsidP="009377BE">
            <w:pPr>
              <w:pStyle w:val="TableParagraph"/>
              <w:spacing w:before="54" w:line="220" w:lineRule="auto"/>
              <w:ind w:left="82" w:right="232"/>
              <w:rPr>
                <w:sz w:val="19"/>
              </w:rPr>
            </w:pPr>
            <w:r>
              <w:rPr>
                <w:sz w:val="19"/>
              </w:rPr>
              <w:t>Provide and maintain nationally agreed health information standards, measures</w:t>
            </w:r>
            <w:r>
              <w:rPr>
                <w:spacing w:val="-11"/>
                <w:sz w:val="19"/>
              </w:rPr>
              <w:t xml:space="preserve"> </w:t>
            </w:r>
            <w:r>
              <w:rPr>
                <w:sz w:val="19"/>
              </w:rPr>
              <w:t>and</w:t>
            </w:r>
            <w:r>
              <w:rPr>
                <w:spacing w:val="-11"/>
                <w:sz w:val="19"/>
              </w:rPr>
              <w:t xml:space="preserve"> </w:t>
            </w:r>
            <w:r>
              <w:rPr>
                <w:sz w:val="19"/>
              </w:rPr>
              <w:t xml:space="preserve">indicators for safety and quality, </w:t>
            </w:r>
            <w:r>
              <w:rPr>
                <w:spacing w:val="-2"/>
                <w:sz w:val="19"/>
              </w:rPr>
              <w:t>including:</w:t>
            </w:r>
          </w:p>
          <w:p w14:paraId="431C85CF" w14:textId="77777777" w:rsidR="009377BE" w:rsidRDefault="009377BE" w:rsidP="009377BE">
            <w:pPr>
              <w:pStyle w:val="TableParagraph"/>
              <w:numPr>
                <w:ilvl w:val="0"/>
                <w:numId w:val="24"/>
              </w:numPr>
              <w:tabs>
                <w:tab w:val="left" w:pos="250"/>
                <w:tab w:val="left" w:pos="252"/>
              </w:tabs>
              <w:spacing w:before="51" w:line="220" w:lineRule="auto"/>
              <w:ind w:right="83"/>
              <w:rPr>
                <w:sz w:val="19"/>
              </w:rPr>
            </w:pPr>
            <w:r>
              <w:rPr>
                <w:sz w:val="19"/>
              </w:rPr>
              <w:t>support and measure performance</w:t>
            </w:r>
            <w:r>
              <w:rPr>
                <w:spacing w:val="-8"/>
                <w:sz w:val="19"/>
              </w:rPr>
              <w:t xml:space="preserve"> </w:t>
            </w:r>
            <w:r>
              <w:rPr>
                <w:sz w:val="19"/>
              </w:rPr>
              <w:t>towards</w:t>
            </w:r>
            <w:r>
              <w:rPr>
                <w:spacing w:val="-8"/>
                <w:sz w:val="19"/>
              </w:rPr>
              <w:t xml:space="preserve"> </w:t>
            </w:r>
            <w:r>
              <w:rPr>
                <w:sz w:val="19"/>
              </w:rPr>
              <w:t>new Clinical Care Standards</w:t>
            </w:r>
          </w:p>
          <w:p w14:paraId="02449E20" w14:textId="384630B7" w:rsidR="009377BE" w:rsidRDefault="009377BE" w:rsidP="009377BE">
            <w:pPr>
              <w:pStyle w:val="TableParagraph"/>
              <w:spacing w:before="54" w:line="220" w:lineRule="auto"/>
              <w:ind w:left="82" w:right="428"/>
              <w:rPr>
                <w:sz w:val="19"/>
              </w:rPr>
            </w:pPr>
            <w:r>
              <w:rPr>
                <w:sz w:val="19"/>
              </w:rPr>
              <w:t>support and measure performance</w:t>
            </w:r>
            <w:r>
              <w:rPr>
                <w:spacing w:val="-7"/>
                <w:sz w:val="19"/>
              </w:rPr>
              <w:t xml:space="preserve"> </w:t>
            </w:r>
            <w:r>
              <w:rPr>
                <w:sz w:val="19"/>
              </w:rPr>
              <w:t>towards</w:t>
            </w:r>
            <w:r>
              <w:rPr>
                <w:spacing w:val="-7"/>
                <w:sz w:val="19"/>
              </w:rPr>
              <w:t xml:space="preserve"> </w:t>
            </w:r>
            <w:r>
              <w:rPr>
                <w:sz w:val="19"/>
              </w:rPr>
              <w:t xml:space="preserve">an enhanced patient safety </w:t>
            </w:r>
            <w:r>
              <w:rPr>
                <w:spacing w:val="-2"/>
                <w:sz w:val="19"/>
              </w:rPr>
              <w:t>culture.</w:t>
            </w:r>
          </w:p>
        </w:tc>
        <w:tc>
          <w:tcPr>
            <w:tcW w:w="4990" w:type="dxa"/>
            <w:tcBorders>
              <w:top w:val="single" w:sz="2" w:space="0" w:color="000000"/>
              <w:left w:val="single" w:sz="2" w:space="0" w:color="000000"/>
              <w:bottom w:val="single" w:sz="2" w:space="0" w:color="000000"/>
              <w:right w:val="nil"/>
            </w:tcBorders>
          </w:tcPr>
          <w:p w14:paraId="77C7A023" w14:textId="77777777" w:rsidR="009377BE" w:rsidRDefault="009377BE" w:rsidP="009377BE">
            <w:pPr>
              <w:pStyle w:val="TableParagraph"/>
              <w:spacing w:before="40"/>
              <w:ind w:left="81"/>
              <w:rPr>
                <w:b/>
                <w:sz w:val="19"/>
              </w:rPr>
            </w:pPr>
            <w:r>
              <w:rPr>
                <w:b/>
                <w:spacing w:val="-2"/>
                <w:sz w:val="19"/>
              </w:rPr>
              <w:t>Achieved</w:t>
            </w:r>
          </w:p>
          <w:p w14:paraId="40575FBE" w14:textId="77777777" w:rsidR="009377BE" w:rsidRDefault="009377BE" w:rsidP="009377BE">
            <w:pPr>
              <w:pStyle w:val="TableParagraph"/>
              <w:spacing w:before="52" w:line="220" w:lineRule="auto"/>
              <w:ind w:left="81" w:right="126"/>
              <w:rPr>
                <w:sz w:val="19"/>
              </w:rPr>
            </w:pPr>
            <w:r>
              <w:rPr>
                <w:sz w:val="19"/>
              </w:rPr>
              <w:t>There has been continued activity to support measurement</w:t>
            </w:r>
            <w:r>
              <w:rPr>
                <w:spacing w:val="-1"/>
                <w:sz w:val="19"/>
              </w:rPr>
              <w:t xml:space="preserve"> </w:t>
            </w:r>
            <w:r>
              <w:rPr>
                <w:sz w:val="19"/>
              </w:rPr>
              <w:t>of</w:t>
            </w:r>
            <w:r>
              <w:rPr>
                <w:spacing w:val="-1"/>
                <w:sz w:val="19"/>
              </w:rPr>
              <w:t xml:space="preserve"> </w:t>
            </w:r>
            <w:r>
              <w:rPr>
                <w:sz w:val="19"/>
              </w:rPr>
              <w:t>the</w:t>
            </w:r>
            <w:r>
              <w:rPr>
                <w:spacing w:val="-1"/>
                <w:sz w:val="19"/>
              </w:rPr>
              <w:t xml:space="preserve"> </w:t>
            </w:r>
            <w:r>
              <w:rPr>
                <w:sz w:val="19"/>
              </w:rPr>
              <w:t>Clinical</w:t>
            </w:r>
            <w:r>
              <w:rPr>
                <w:spacing w:val="-1"/>
                <w:sz w:val="19"/>
              </w:rPr>
              <w:t xml:space="preserve"> </w:t>
            </w:r>
            <w:r>
              <w:rPr>
                <w:sz w:val="19"/>
              </w:rPr>
              <w:t>Care</w:t>
            </w:r>
            <w:r>
              <w:rPr>
                <w:spacing w:val="-1"/>
                <w:sz w:val="19"/>
              </w:rPr>
              <w:t xml:space="preserve"> </w:t>
            </w:r>
            <w:r>
              <w:rPr>
                <w:sz w:val="19"/>
              </w:rPr>
              <w:t>Standards</w:t>
            </w:r>
            <w:r>
              <w:rPr>
                <w:spacing w:val="-1"/>
                <w:sz w:val="19"/>
              </w:rPr>
              <w:t xml:space="preserve"> </w:t>
            </w:r>
            <w:r>
              <w:rPr>
                <w:sz w:val="19"/>
              </w:rPr>
              <w:t>and</w:t>
            </w:r>
            <w:r>
              <w:rPr>
                <w:spacing w:val="-1"/>
                <w:sz w:val="19"/>
              </w:rPr>
              <w:t xml:space="preserve"> </w:t>
            </w:r>
            <w:r>
              <w:rPr>
                <w:sz w:val="19"/>
              </w:rPr>
              <w:t>safety culture including:</w:t>
            </w:r>
          </w:p>
          <w:p w14:paraId="7300CDC4" w14:textId="77777777" w:rsidR="009377BE" w:rsidRDefault="009377BE" w:rsidP="009377BE">
            <w:pPr>
              <w:pStyle w:val="TableParagraph"/>
              <w:numPr>
                <w:ilvl w:val="0"/>
                <w:numId w:val="23"/>
              </w:numPr>
              <w:tabs>
                <w:tab w:val="left" w:pos="249"/>
                <w:tab w:val="left" w:pos="251"/>
              </w:tabs>
              <w:spacing w:before="54" w:line="220" w:lineRule="auto"/>
              <w:ind w:right="197"/>
              <w:rPr>
                <w:sz w:val="19"/>
              </w:rPr>
            </w:pPr>
            <w:r>
              <w:rPr>
                <w:sz w:val="19"/>
              </w:rPr>
              <w:t>indicators for the Acute Stroke Clinical Care Standard have been updated and published</w:t>
            </w:r>
          </w:p>
          <w:p w14:paraId="00E2DEEE" w14:textId="77777777" w:rsidR="009377BE" w:rsidRDefault="009377BE" w:rsidP="009377BE">
            <w:pPr>
              <w:pStyle w:val="TableParagraph"/>
              <w:numPr>
                <w:ilvl w:val="0"/>
                <w:numId w:val="23"/>
              </w:numPr>
              <w:tabs>
                <w:tab w:val="left" w:pos="249"/>
                <w:tab w:val="left" w:pos="251"/>
              </w:tabs>
              <w:spacing w:before="27" w:line="220" w:lineRule="auto"/>
              <w:ind w:right="94"/>
              <w:rPr>
                <w:sz w:val="19"/>
              </w:rPr>
            </w:pPr>
            <w:r>
              <w:rPr>
                <w:sz w:val="19"/>
              </w:rPr>
              <w:t>indicators for the Emergency Laparotomy Clinical Care Standard were developed and published</w:t>
            </w:r>
          </w:p>
          <w:p w14:paraId="1A8EF45B" w14:textId="77777777" w:rsidR="009377BE" w:rsidRDefault="009377BE" w:rsidP="009377BE">
            <w:pPr>
              <w:pStyle w:val="TableParagraph"/>
              <w:numPr>
                <w:ilvl w:val="0"/>
                <w:numId w:val="23"/>
              </w:numPr>
              <w:tabs>
                <w:tab w:val="left" w:pos="249"/>
                <w:tab w:val="left" w:pos="251"/>
              </w:tabs>
              <w:spacing w:line="220" w:lineRule="auto"/>
              <w:ind w:right="211"/>
              <w:rPr>
                <w:sz w:val="19"/>
              </w:rPr>
            </w:pPr>
            <w:r>
              <w:rPr>
                <w:sz w:val="19"/>
              </w:rPr>
              <w:t>the review of indicators for the Venous Thromboembolism</w:t>
            </w:r>
            <w:r>
              <w:rPr>
                <w:spacing w:val="-1"/>
                <w:sz w:val="19"/>
              </w:rPr>
              <w:t xml:space="preserve"> </w:t>
            </w:r>
            <w:r>
              <w:rPr>
                <w:sz w:val="19"/>
              </w:rPr>
              <w:t>Prevention</w:t>
            </w:r>
            <w:r>
              <w:rPr>
                <w:spacing w:val="-1"/>
                <w:sz w:val="19"/>
              </w:rPr>
              <w:t xml:space="preserve"> </w:t>
            </w:r>
            <w:r>
              <w:rPr>
                <w:sz w:val="19"/>
              </w:rPr>
              <w:t>Clinical</w:t>
            </w:r>
            <w:r>
              <w:rPr>
                <w:spacing w:val="-1"/>
                <w:sz w:val="19"/>
              </w:rPr>
              <w:t xml:space="preserve"> </w:t>
            </w:r>
            <w:r>
              <w:rPr>
                <w:sz w:val="19"/>
              </w:rPr>
              <w:t>Care</w:t>
            </w:r>
            <w:r>
              <w:rPr>
                <w:spacing w:val="-1"/>
                <w:sz w:val="19"/>
              </w:rPr>
              <w:t xml:space="preserve"> </w:t>
            </w:r>
            <w:r>
              <w:rPr>
                <w:sz w:val="19"/>
              </w:rPr>
              <w:t>Standard has begun</w:t>
            </w:r>
          </w:p>
          <w:p w14:paraId="7940FAC2" w14:textId="77777777" w:rsidR="009377BE" w:rsidRDefault="009377BE" w:rsidP="009377BE">
            <w:pPr>
              <w:pStyle w:val="TableParagraph"/>
              <w:numPr>
                <w:ilvl w:val="0"/>
                <w:numId w:val="23"/>
              </w:numPr>
              <w:tabs>
                <w:tab w:val="left" w:pos="249"/>
                <w:tab w:val="left" w:pos="251"/>
              </w:tabs>
              <w:spacing w:line="220" w:lineRule="auto"/>
              <w:ind w:right="790"/>
              <w:rPr>
                <w:sz w:val="19"/>
              </w:rPr>
            </w:pPr>
            <w:r>
              <w:rPr>
                <w:sz w:val="19"/>
              </w:rPr>
              <w:t>the review of indicators for the Acute Coronary Syndromes Clinical Care Standard has begun</w:t>
            </w:r>
          </w:p>
          <w:p w14:paraId="4CE0D68E" w14:textId="77777777" w:rsidR="009377BE" w:rsidRDefault="009377BE" w:rsidP="009377BE">
            <w:pPr>
              <w:pStyle w:val="TableParagraph"/>
              <w:numPr>
                <w:ilvl w:val="0"/>
                <w:numId w:val="23"/>
              </w:numPr>
              <w:tabs>
                <w:tab w:val="left" w:pos="249"/>
                <w:tab w:val="left" w:pos="251"/>
              </w:tabs>
              <w:spacing w:line="220" w:lineRule="auto"/>
              <w:ind w:right="158"/>
              <w:rPr>
                <w:sz w:val="19"/>
              </w:rPr>
            </w:pPr>
            <w:r>
              <w:rPr>
                <w:sz w:val="19"/>
              </w:rPr>
              <w:t>initial scoping has begun on the development of indicators for the Osteoporosis Clinical Care Standard</w:t>
            </w:r>
          </w:p>
          <w:p w14:paraId="1D72F18B" w14:textId="6893E15F" w:rsidR="009377BE" w:rsidRDefault="009377BE" w:rsidP="009377BE">
            <w:pPr>
              <w:pStyle w:val="TableParagraph"/>
              <w:spacing w:before="40"/>
              <w:ind w:left="81"/>
              <w:rPr>
                <w:b/>
                <w:spacing w:val="-2"/>
                <w:sz w:val="19"/>
              </w:rPr>
            </w:pPr>
            <w:r>
              <w:rPr>
                <w:sz w:val="19"/>
              </w:rPr>
              <w:t>continued to provide advice to services, states and territories on implementation of projects to measure patient safety culture</w:t>
            </w:r>
          </w:p>
        </w:tc>
      </w:tr>
      <w:tr w:rsidR="009377BE" w14:paraId="5D433F8B" w14:textId="77777777" w:rsidTr="009377BE">
        <w:trPr>
          <w:trHeight w:val="1639"/>
        </w:trPr>
        <w:tc>
          <w:tcPr>
            <w:tcW w:w="2665" w:type="dxa"/>
            <w:tcBorders>
              <w:top w:val="nil"/>
              <w:left w:val="nil"/>
              <w:bottom w:val="nil"/>
              <w:right w:val="single" w:sz="2" w:space="0" w:color="000000"/>
            </w:tcBorders>
          </w:tcPr>
          <w:p w14:paraId="08687149" w14:textId="77777777" w:rsidR="009377BE" w:rsidRDefault="009377BE" w:rsidP="009377BE">
            <w:pPr>
              <w:pStyle w:val="TableParagraph"/>
              <w:spacing w:before="54" w:line="220" w:lineRule="auto"/>
              <w:ind w:left="85" w:right="170"/>
              <w:rPr>
                <w:sz w:val="19"/>
              </w:rPr>
            </w:pPr>
          </w:p>
        </w:tc>
        <w:tc>
          <w:tcPr>
            <w:tcW w:w="2552" w:type="dxa"/>
            <w:tcBorders>
              <w:top w:val="single" w:sz="2" w:space="0" w:color="000000"/>
              <w:left w:val="single" w:sz="2" w:space="0" w:color="000000"/>
              <w:bottom w:val="single" w:sz="2" w:space="0" w:color="000000"/>
              <w:right w:val="single" w:sz="2" w:space="0" w:color="000000"/>
            </w:tcBorders>
          </w:tcPr>
          <w:p w14:paraId="29CEA47C" w14:textId="77777777" w:rsidR="009377BE" w:rsidRDefault="009377BE" w:rsidP="009377BE">
            <w:pPr>
              <w:pStyle w:val="TableParagraph"/>
              <w:spacing w:before="54" w:line="220" w:lineRule="auto"/>
              <w:ind w:left="82" w:right="232"/>
              <w:rPr>
                <w:sz w:val="19"/>
              </w:rPr>
            </w:pPr>
          </w:p>
        </w:tc>
        <w:tc>
          <w:tcPr>
            <w:tcW w:w="4990" w:type="dxa"/>
            <w:tcBorders>
              <w:top w:val="single" w:sz="2" w:space="0" w:color="000000"/>
              <w:left w:val="single" w:sz="2" w:space="0" w:color="000000"/>
              <w:bottom w:val="single" w:sz="2" w:space="0" w:color="000000"/>
              <w:right w:val="nil"/>
            </w:tcBorders>
          </w:tcPr>
          <w:p w14:paraId="07F13D6F" w14:textId="77777777" w:rsidR="009377BE" w:rsidRDefault="009377BE" w:rsidP="009377BE">
            <w:pPr>
              <w:pStyle w:val="TableParagraph"/>
              <w:numPr>
                <w:ilvl w:val="0"/>
                <w:numId w:val="22"/>
              </w:numPr>
              <w:tabs>
                <w:tab w:val="left" w:pos="249"/>
                <w:tab w:val="left" w:pos="251"/>
              </w:tabs>
              <w:spacing w:before="54" w:line="220" w:lineRule="auto"/>
              <w:ind w:right="347"/>
              <w:rPr>
                <w:sz w:val="19"/>
              </w:rPr>
            </w:pPr>
            <w:r>
              <w:rPr>
                <w:sz w:val="19"/>
              </w:rPr>
              <w:t>a</w:t>
            </w:r>
            <w:r>
              <w:rPr>
                <w:spacing w:val="-2"/>
                <w:sz w:val="19"/>
              </w:rPr>
              <w:t xml:space="preserve"> </w:t>
            </w:r>
            <w:r>
              <w:rPr>
                <w:sz w:val="19"/>
              </w:rPr>
              <w:t>literature</w:t>
            </w:r>
            <w:r>
              <w:rPr>
                <w:spacing w:val="-2"/>
                <w:sz w:val="19"/>
              </w:rPr>
              <w:t xml:space="preserve"> </w:t>
            </w:r>
            <w:r>
              <w:rPr>
                <w:sz w:val="19"/>
              </w:rPr>
              <w:t>review</w:t>
            </w:r>
            <w:r>
              <w:rPr>
                <w:spacing w:val="-2"/>
                <w:sz w:val="19"/>
              </w:rPr>
              <w:t xml:space="preserve"> </w:t>
            </w:r>
            <w:r>
              <w:rPr>
                <w:sz w:val="19"/>
              </w:rPr>
              <w:t>and</w:t>
            </w:r>
            <w:r>
              <w:rPr>
                <w:spacing w:val="-2"/>
                <w:sz w:val="19"/>
              </w:rPr>
              <w:t xml:space="preserve"> </w:t>
            </w:r>
            <w:r>
              <w:rPr>
                <w:sz w:val="19"/>
              </w:rPr>
              <w:t>environmental</w:t>
            </w:r>
            <w:r>
              <w:rPr>
                <w:spacing w:val="-2"/>
                <w:sz w:val="19"/>
              </w:rPr>
              <w:t xml:space="preserve"> </w:t>
            </w:r>
            <w:r>
              <w:rPr>
                <w:sz w:val="19"/>
              </w:rPr>
              <w:t>scan</w:t>
            </w:r>
            <w:r>
              <w:rPr>
                <w:spacing w:val="-2"/>
                <w:sz w:val="19"/>
              </w:rPr>
              <w:t xml:space="preserve"> </w:t>
            </w:r>
            <w:r>
              <w:rPr>
                <w:sz w:val="19"/>
              </w:rPr>
              <w:t>to</w:t>
            </w:r>
            <w:r>
              <w:rPr>
                <w:spacing w:val="-2"/>
                <w:sz w:val="19"/>
              </w:rPr>
              <w:t xml:space="preserve"> </w:t>
            </w:r>
            <w:r>
              <w:rPr>
                <w:sz w:val="19"/>
              </w:rPr>
              <w:t>inform future Commission work, and implementation resources to support measurement of patient safety culture, are complete</w:t>
            </w:r>
          </w:p>
          <w:p w14:paraId="7788FC48" w14:textId="4CCE74D6" w:rsidR="009377BE" w:rsidRDefault="009377BE" w:rsidP="009377BE">
            <w:pPr>
              <w:pStyle w:val="TableParagraph"/>
              <w:spacing w:before="40"/>
              <w:ind w:left="81"/>
              <w:rPr>
                <w:b/>
                <w:spacing w:val="-2"/>
                <w:sz w:val="19"/>
              </w:rPr>
            </w:pPr>
            <w:r>
              <w:rPr>
                <w:sz w:val="19"/>
              </w:rPr>
              <w:t>development of short patient safety culture survey is complete. A pilot</w:t>
            </w:r>
            <w:r>
              <w:rPr>
                <w:spacing w:val="-1"/>
                <w:sz w:val="19"/>
              </w:rPr>
              <w:t xml:space="preserve"> </w:t>
            </w:r>
            <w:r>
              <w:rPr>
                <w:sz w:val="19"/>
              </w:rPr>
              <w:t>of the survey</w:t>
            </w:r>
            <w:r>
              <w:rPr>
                <w:spacing w:val="-1"/>
                <w:sz w:val="19"/>
              </w:rPr>
              <w:t xml:space="preserve"> </w:t>
            </w:r>
            <w:r>
              <w:rPr>
                <w:sz w:val="19"/>
              </w:rPr>
              <w:t>with the first</w:t>
            </w:r>
            <w:r>
              <w:rPr>
                <w:spacing w:val="-1"/>
                <w:sz w:val="19"/>
              </w:rPr>
              <w:t xml:space="preserve"> </w:t>
            </w:r>
            <w:r>
              <w:rPr>
                <w:sz w:val="19"/>
              </w:rPr>
              <w:t>tranche of sites is underway.</w:t>
            </w:r>
          </w:p>
        </w:tc>
      </w:tr>
      <w:tr w:rsidR="009377BE" w14:paraId="62969819" w14:textId="77777777" w:rsidTr="009377BE">
        <w:trPr>
          <w:trHeight w:val="1639"/>
        </w:trPr>
        <w:tc>
          <w:tcPr>
            <w:tcW w:w="2665" w:type="dxa"/>
            <w:tcBorders>
              <w:top w:val="nil"/>
              <w:left w:val="nil"/>
              <w:bottom w:val="nil"/>
              <w:right w:val="single" w:sz="2" w:space="0" w:color="000000"/>
            </w:tcBorders>
          </w:tcPr>
          <w:p w14:paraId="582F2040" w14:textId="77777777" w:rsidR="009377BE" w:rsidRDefault="009377BE" w:rsidP="009377BE">
            <w:pPr>
              <w:pStyle w:val="TableParagraph"/>
              <w:spacing w:before="54" w:line="220" w:lineRule="auto"/>
              <w:ind w:left="85" w:right="170"/>
              <w:rPr>
                <w:sz w:val="19"/>
              </w:rPr>
            </w:pPr>
          </w:p>
        </w:tc>
        <w:tc>
          <w:tcPr>
            <w:tcW w:w="2552" w:type="dxa"/>
            <w:tcBorders>
              <w:top w:val="single" w:sz="2" w:space="0" w:color="000000"/>
              <w:left w:val="single" w:sz="2" w:space="0" w:color="000000"/>
              <w:bottom w:val="single" w:sz="2" w:space="0" w:color="000000"/>
              <w:right w:val="single" w:sz="2" w:space="0" w:color="000000"/>
            </w:tcBorders>
          </w:tcPr>
          <w:p w14:paraId="22F52639" w14:textId="27650159" w:rsidR="009377BE" w:rsidRDefault="009377BE" w:rsidP="009377BE">
            <w:pPr>
              <w:pStyle w:val="TableParagraph"/>
              <w:spacing w:before="54" w:line="220" w:lineRule="auto"/>
              <w:ind w:left="82" w:right="232"/>
              <w:rPr>
                <w:sz w:val="19"/>
              </w:rPr>
            </w:pPr>
            <w:r>
              <w:rPr>
                <w:sz w:val="19"/>
              </w:rPr>
              <w:t>Provide further guidance and tools for health services to support the local</w:t>
            </w:r>
            <w:r>
              <w:rPr>
                <w:spacing w:val="-4"/>
                <w:sz w:val="19"/>
              </w:rPr>
              <w:t xml:space="preserve"> </w:t>
            </w:r>
            <w:r>
              <w:rPr>
                <w:sz w:val="19"/>
              </w:rPr>
              <w:t>use</w:t>
            </w:r>
            <w:r>
              <w:rPr>
                <w:spacing w:val="-4"/>
                <w:sz w:val="19"/>
              </w:rPr>
              <w:t xml:space="preserve"> </w:t>
            </w:r>
            <w:r>
              <w:rPr>
                <w:sz w:val="19"/>
              </w:rPr>
              <w:t>of</w:t>
            </w:r>
            <w:r>
              <w:rPr>
                <w:spacing w:val="-4"/>
                <w:sz w:val="19"/>
              </w:rPr>
              <w:t xml:space="preserve"> </w:t>
            </w:r>
            <w:r>
              <w:rPr>
                <w:sz w:val="19"/>
              </w:rPr>
              <w:t>data</w:t>
            </w:r>
            <w:r>
              <w:rPr>
                <w:spacing w:val="-4"/>
                <w:sz w:val="19"/>
              </w:rPr>
              <w:t xml:space="preserve"> </w:t>
            </w:r>
            <w:r>
              <w:rPr>
                <w:sz w:val="19"/>
              </w:rPr>
              <w:t>for</w:t>
            </w:r>
            <w:r>
              <w:rPr>
                <w:spacing w:val="-4"/>
                <w:sz w:val="19"/>
              </w:rPr>
              <w:t xml:space="preserve"> </w:t>
            </w:r>
            <w:r>
              <w:rPr>
                <w:sz w:val="19"/>
              </w:rPr>
              <w:t>safety and quality improvement.</w:t>
            </w:r>
          </w:p>
        </w:tc>
        <w:tc>
          <w:tcPr>
            <w:tcW w:w="4990" w:type="dxa"/>
            <w:tcBorders>
              <w:top w:val="single" w:sz="2" w:space="0" w:color="000000"/>
              <w:left w:val="single" w:sz="2" w:space="0" w:color="000000"/>
              <w:bottom w:val="single" w:sz="2" w:space="0" w:color="000000"/>
              <w:right w:val="nil"/>
            </w:tcBorders>
          </w:tcPr>
          <w:p w14:paraId="68F1715F" w14:textId="77777777" w:rsidR="009377BE" w:rsidRDefault="009377BE" w:rsidP="009377BE">
            <w:pPr>
              <w:pStyle w:val="TableParagraph"/>
              <w:spacing w:before="40"/>
              <w:ind w:left="81"/>
              <w:rPr>
                <w:b/>
                <w:sz w:val="19"/>
              </w:rPr>
            </w:pPr>
            <w:r>
              <w:rPr>
                <w:b/>
                <w:spacing w:val="-2"/>
                <w:sz w:val="19"/>
              </w:rPr>
              <w:t>Achieved</w:t>
            </w:r>
          </w:p>
          <w:p w14:paraId="119732A4" w14:textId="77777777" w:rsidR="009377BE" w:rsidRDefault="009377BE" w:rsidP="009377BE">
            <w:pPr>
              <w:pStyle w:val="TableParagraph"/>
              <w:spacing w:before="52" w:line="220" w:lineRule="auto"/>
              <w:ind w:left="81" w:right="314"/>
              <w:rPr>
                <w:sz w:val="19"/>
              </w:rPr>
            </w:pPr>
            <w:r>
              <w:rPr>
                <w:sz w:val="19"/>
              </w:rPr>
              <w:t>A comprehensive definition of high-quality care and</w:t>
            </w:r>
            <w:r>
              <w:rPr>
                <w:spacing w:val="40"/>
                <w:sz w:val="19"/>
              </w:rPr>
              <w:t xml:space="preserve"> </w:t>
            </w:r>
            <w:r>
              <w:rPr>
                <w:sz w:val="19"/>
              </w:rPr>
              <w:t xml:space="preserve">the domains that constitute high-quality care has been published as part of the </w:t>
            </w:r>
            <w:r>
              <w:rPr>
                <w:i/>
                <w:sz w:val="19"/>
              </w:rPr>
              <w:t xml:space="preserve">National Model for Clinical </w:t>
            </w:r>
            <w:r>
              <w:rPr>
                <w:i/>
                <w:spacing w:val="-2"/>
                <w:sz w:val="19"/>
              </w:rPr>
              <w:t>Governance</w:t>
            </w:r>
            <w:r>
              <w:rPr>
                <w:spacing w:val="-2"/>
                <w:sz w:val="19"/>
              </w:rPr>
              <w:t>.</w:t>
            </w:r>
          </w:p>
          <w:p w14:paraId="707E6AFB" w14:textId="77777777" w:rsidR="009377BE" w:rsidRDefault="009377BE" w:rsidP="009377BE">
            <w:pPr>
              <w:pStyle w:val="TableParagraph"/>
              <w:spacing w:before="53" w:line="220" w:lineRule="auto"/>
              <w:ind w:left="81" w:right="126"/>
              <w:rPr>
                <w:sz w:val="19"/>
              </w:rPr>
            </w:pPr>
            <w:r>
              <w:rPr>
                <w:sz w:val="19"/>
              </w:rPr>
              <w:t xml:space="preserve">Continued support of local use of patient reported outcome and experience measures (PROMs and </w:t>
            </w:r>
            <w:r>
              <w:rPr>
                <w:spacing w:val="-2"/>
                <w:sz w:val="19"/>
              </w:rPr>
              <w:t>PREMs):</w:t>
            </w:r>
          </w:p>
          <w:p w14:paraId="3CDB223C" w14:textId="77777777" w:rsidR="009377BE" w:rsidRDefault="009377BE" w:rsidP="009377BE">
            <w:pPr>
              <w:pStyle w:val="TableParagraph"/>
              <w:numPr>
                <w:ilvl w:val="0"/>
                <w:numId w:val="21"/>
              </w:numPr>
              <w:tabs>
                <w:tab w:val="left" w:pos="249"/>
                <w:tab w:val="left" w:pos="251"/>
              </w:tabs>
              <w:spacing w:before="54" w:line="220" w:lineRule="auto"/>
              <w:ind w:right="322"/>
              <w:rPr>
                <w:sz w:val="19"/>
              </w:rPr>
            </w:pPr>
            <w:r>
              <w:rPr>
                <w:sz w:val="19"/>
              </w:rPr>
              <w:t>Work</w:t>
            </w:r>
            <w:r>
              <w:rPr>
                <w:spacing w:val="-1"/>
                <w:sz w:val="19"/>
              </w:rPr>
              <w:t xml:space="preserve"> </w:t>
            </w:r>
            <w:r>
              <w:rPr>
                <w:sz w:val="19"/>
              </w:rPr>
              <w:t>is</w:t>
            </w:r>
            <w:r>
              <w:rPr>
                <w:spacing w:val="-1"/>
                <w:sz w:val="19"/>
              </w:rPr>
              <w:t xml:space="preserve"> </w:t>
            </w:r>
            <w:r>
              <w:rPr>
                <w:sz w:val="19"/>
              </w:rPr>
              <w:t>progressing</w:t>
            </w:r>
            <w:r>
              <w:rPr>
                <w:spacing w:val="-1"/>
                <w:sz w:val="19"/>
              </w:rPr>
              <w:t xml:space="preserve"> </w:t>
            </w:r>
            <w:r>
              <w:rPr>
                <w:sz w:val="19"/>
              </w:rPr>
              <w:t>to</w:t>
            </w:r>
            <w:r>
              <w:rPr>
                <w:spacing w:val="-1"/>
                <w:sz w:val="19"/>
              </w:rPr>
              <w:t xml:space="preserve"> </w:t>
            </w:r>
            <w:r>
              <w:rPr>
                <w:sz w:val="19"/>
              </w:rPr>
              <w:t>develop</w:t>
            </w:r>
            <w:r>
              <w:rPr>
                <w:spacing w:val="-1"/>
                <w:sz w:val="19"/>
              </w:rPr>
              <w:t xml:space="preserve"> </w:t>
            </w:r>
            <w:r>
              <w:rPr>
                <w:sz w:val="19"/>
              </w:rPr>
              <w:t>the</w:t>
            </w:r>
            <w:r>
              <w:rPr>
                <w:spacing w:val="-1"/>
                <w:sz w:val="19"/>
              </w:rPr>
              <w:t xml:space="preserve"> </w:t>
            </w:r>
            <w:r>
              <w:rPr>
                <w:sz w:val="19"/>
              </w:rPr>
              <w:t>domains</w:t>
            </w:r>
            <w:r>
              <w:rPr>
                <w:spacing w:val="-1"/>
                <w:sz w:val="19"/>
              </w:rPr>
              <w:t xml:space="preserve"> </w:t>
            </w:r>
            <w:r>
              <w:rPr>
                <w:sz w:val="19"/>
              </w:rPr>
              <w:t>of</w:t>
            </w:r>
            <w:r>
              <w:rPr>
                <w:spacing w:val="-1"/>
                <w:sz w:val="19"/>
              </w:rPr>
              <w:t xml:space="preserve"> </w:t>
            </w:r>
            <w:r>
              <w:rPr>
                <w:sz w:val="19"/>
              </w:rPr>
              <w:t>high-quality health care into a measurement framework.</w:t>
            </w:r>
          </w:p>
          <w:p w14:paraId="3DBD25CC" w14:textId="77777777" w:rsidR="009377BE" w:rsidRDefault="009377BE" w:rsidP="009377BE">
            <w:pPr>
              <w:pStyle w:val="TableParagraph"/>
              <w:numPr>
                <w:ilvl w:val="0"/>
                <w:numId w:val="21"/>
              </w:numPr>
              <w:tabs>
                <w:tab w:val="left" w:pos="249"/>
                <w:tab w:val="left" w:pos="251"/>
              </w:tabs>
              <w:spacing w:line="220" w:lineRule="auto"/>
              <w:ind w:right="107"/>
              <w:rPr>
                <w:sz w:val="19"/>
              </w:rPr>
            </w:pPr>
            <w:r>
              <w:rPr>
                <w:sz w:val="19"/>
              </w:rPr>
              <w:t>Completion of the first cycle of the OECD Patient-Reported Indicator Surveys, which collects information about patient-reported measures for people living</w:t>
            </w:r>
          </w:p>
          <w:p w14:paraId="1C5FE053" w14:textId="77777777" w:rsidR="009377BE" w:rsidRDefault="009377BE" w:rsidP="009377BE">
            <w:pPr>
              <w:pStyle w:val="TableParagraph"/>
              <w:spacing w:line="220" w:lineRule="auto"/>
              <w:ind w:left="251"/>
              <w:rPr>
                <w:sz w:val="19"/>
              </w:rPr>
            </w:pPr>
            <w:r>
              <w:rPr>
                <w:sz w:val="19"/>
              </w:rPr>
              <w:t>with chronic conditions in primary care; including engagement with general practices.</w:t>
            </w:r>
          </w:p>
          <w:p w14:paraId="31C80C8F" w14:textId="252D8222" w:rsidR="009377BE" w:rsidRDefault="009377BE" w:rsidP="009377BE">
            <w:pPr>
              <w:pStyle w:val="TableParagraph"/>
              <w:spacing w:before="40"/>
              <w:ind w:left="81"/>
              <w:rPr>
                <w:b/>
                <w:spacing w:val="-2"/>
                <w:sz w:val="19"/>
              </w:rPr>
            </w:pPr>
            <w:r>
              <w:rPr>
                <w:sz w:val="19"/>
              </w:rPr>
              <w:t xml:space="preserve">A fact sheet was released in June 2026 to support health service </w:t>
            </w:r>
            <w:proofErr w:type="spellStart"/>
            <w:r>
              <w:rPr>
                <w:sz w:val="19"/>
              </w:rPr>
              <w:t>organisations</w:t>
            </w:r>
            <w:proofErr w:type="spellEnd"/>
            <w:r>
              <w:rPr>
                <w:sz w:val="19"/>
              </w:rPr>
              <w:t xml:space="preserve"> in </w:t>
            </w:r>
            <w:proofErr w:type="spellStart"/>
            <w:r>
              <w:rPr>
                <w:sz w:val="19"/>
              </w:rPr>
              <w:t>analysing</w:t>
            </w:r>
            <w:proofErr w:type="spellEnd"/>
            <w:r>
              <w:rPr>
                <w:sz w:val="19"/>
              </w:rPr>
              <w:t xml:space="preserve"> and using healthcare-associated infection surveillance data to inform</w:t>
            </w:r>
            <w:r>
              <w:rPr>
                <w:spacing w:val="-1"/>
                <w:sz w:val="19"/>
              </w:rPr>
              <w:t xml:space="preserve"> </w:t>
            </w:r>
            <w:r>
              <w:rPr>
                <w:sz w:val="19"/>
              </w:rPr>
              <w:t>infection</w:t>
            </w:r>
            <w:r>
              <w:rPr>
                <w:spacing w:val="-1"/>
                <w:sz w:val="19"/>
              </w:rPr>
              <w:t xml:space="preserve"> </w:t>
            </w:r>
            <w:r>
              <w:rPr>
                <w:sz w:val="19"/>
              </w:rPr>
              <w:t>prevention</w:t>
            </w:r>
            <w:r>
              <w:rPr>
                <w:spacing w:val="-1"/>
                <w:sz w:val="19"/>
              </w:rPr>
              <w:t xml:space="preserve"> </w:t>
            </w:r>
            <w:r>
              <w:rPr>
                <w:sz w:val="19"/>
              </w:rPr>
              <w:t>and</w:t>
            </w:r>
            <w:r>
              <w:rPr>
                <w:spacing w:val="-1"/>
                <w:sz w:val="19"/>
              </w:rPr>
              <w:t xml:space="preserve"> </w:t>
            </w:r>
            <w:r>
              <w:rPr>
                <w:sz w:val="19"/>
              </w:rPr>
              <w:t>control</w:t>
            </w:r>
            <w:r>
              <w:rPr>
                <w:spacing w:val="-1"/>
                <w:sz w:val="19"/>
              </w:rPr>
              <w:t xml:space="preserve"> </w:t>
            </w:r>
            <w:r>
              <w:rPr>
                <w:sz w:val="19"/>
              </w:rPr>
              <w:t>strategies</w:t>
            </w:r>
            <w:r>
              <w:rPr>
                <w:spacing w:val="-1"/>
                <w:sz w:val="19"/>
              </w:rPr>
              <w:t xml:space="preserve"> </w:t>
            </w:r>
            <w:r>
              <w:rPr>
                <w:sz w:val="19"/>
              </w:rPr>
              <w:t>and quality improvement activities, and improve patient safety outcomes.</w:t>
            </w:r>
          </w:p>
        </w:tc>
      </w:tr>
      <w:tr w:rsidR="009377BE" w14:paraId="6E4F52B6" w14:textId="77777777" w:rsidTr="00426F87">
        <w:trPr>
          <w:trHeight w:val="4460"/>
        </w:trPr>
        <w:tc>
          <w:tcPr>
            <w:tcW w:w="2665" w:type="dxa"/>
            <w:tcBorders>
              <w:top w:val="nil"/>
              <w:left w:val="nil"/>
              <w:bottom w:val="single" w:sz="4" w:space="0" w:color="000000"/>
              <w:right w:val="single" w:sz="2" w:space="0" w:color="000000"/>
            </w:tcBorders>
          </w:tcPr>
          <w:p w14:paraId="7D730F0C" w14:textId="77777777" w:rsidR="009377BE" w:rsidRDefault="009377BE" w:rsidP="009377BE">
            <w:pPr>
              <w:pStyle w:val="TableParagraph"/>
              <w:spacing w:before="54" w:line="220" w:lineRule="auto"/>
              <w:ind w:left="85" w:right="170"/>
              <w:rPr>
                <w:sz w:val="19"/>
              </w:rPr>
            </w:pPr>
          </w:p>
        </w:tc>
        <w:tc>
          <w:tcPr>
            <w:tcW w:w="2552" w:type="dxa"/>
            <w:tcBorders>
              <w:top w:val="single" w:sz="2" w:space="0" w:color="000000"/>
              <w:left w:val="single" w:sz="2" w:space="0" w:color="000000"/>
              <w:bottom w:val="single" w:sz="4" w:space="0" w:color="000000"/>
              <w:right w:val="single" w:sz="2" w:space="0" w:color="000000"/>
            </w:tcBorders>
          </w:tcPr>
          <w:p w14:paraId="4215299C" w14:textId="5DE60BBF" w:rsidR="009377BE" w:rsidRDefault="009377BE" w:rsidP="009377BE">
            <w:pPr>
              <w:pStyle w:val="TableParagraph"/>
              <w:spacing w:before="54" w:line="220" w:lineRule="auto"/>
              <w:ind w:left="82" w:right="232"/>
              <w:rPr>
                <w:sz w:val="19"/>
              </w:rPr>
            </w:pPr>
            <w:r>
              <w:rPr>
                <w:sz w:val="19"/>
              </w:rPr>
              <w:t>Maintain guidance and tools for adverse patient safety</w:t>
            </w:r>
            <w:r>
              <w:rPr>
                <w:spacing w:val="-7"/>
                <w:sz w:val="19"/>
              </w:rPr>
              <w:t xml:space="preserve"> </w:t>
            </w:r>
            <w:r>
              <w:rPr>
                <w:sz w:val="19"/>
              </w:rPr>
              <w:t>events</w:t>
            </w:r>
            <w:r>
              <w:rPr>
                <w:spacing w:val="-7"/>
                <w:sz w:val="19"/>
              </w:rPr>
              <w:t xml:space="preserve"> </w:t>
            </w:r>
            <w:r>
              <w:rPr>
                <w:sz w:val="19"/>
              </w:rPr>
              <w:t>and</w:t>
            </w:r>
            <w:r>
              <w:rPr>
                <w:spacing w:val="-7"/>
                <w:sz w:val="19"/>
              </w:rPr>
              <w:t xml:space="preserve"> </w:t>
            </w:r>
            <w:r>
              <w:rPr>
                <w:sz w:val="19"/>
              </w:rPr>
              <w:t>hospital-acquired complications.</w:t>
            </w:r>
          </w:p>
        </w:tc>
        <w:tc>
          <w:tcPr>
            <w:tcW w:w="4990" w:type="dxa"/>
            <w:tcBorders>
              <w:top w:val="single" w:sz="2" w:space="0" w:color="000000"/>
              <w:left w:val="single" w:sz="2" w:space="0" w:color="000000"/>
              <w:bottom w:val="single" w:sz="4" w:space="0" w:color="000000"/>
              <w:right w:val="nil"/>
            </w:tcBorders>
          </w:tcPr>
          <w:p w14:paraId="5D5D7D78" w14:textId="77777777" w:rsidR="009377BE" w:rsidRDefault="009377BE" w:rsidP="009377BE">
            <w:pPr>
              <w:pStyle w:val="TableParagraph"/>
              <w:spacing w:before="40"/>
              <w:ind w:left="81"/>
              <w:rPr>
                <w:b/>
                <w:sz w:val="19"/>
              </w:rPr>
            </w:pPr>
            <w:r>
              <w:rPr>
                <w:b/>
                <w:spacing w:val="-2"/>
                <w:sz w:val="19"/>
              </w:rPr>
              <w:t>Achieved</w:t>
            </w:r>
          </w:p>
          <w:p w14:paraId="66A351B0" w14:textId="77777777" w:rsidR="009377BE" w:rsidRDefault="009377BE" w:rsidP="009377BE">
            <w:pPr>
              <w:pStyle w:val="TableParagraph"/>
              <w:spacing w:before="52" w:line="220" w:lineRule="auto"/>
              <w:ind w:left="81" w:right="126"/>
              <w:rPr>
                <w:sz w:val="19"/>
              </w:rPr>
            </w:pPr>
            <w:r>
              <w:rPr>
                <w:sz w:val="19"/>
              </w:rPr>
              <w:t>The Commission continues to maintain the hospital-acquired</w:t>
            </w:r>
            <w:r>
              <w:rPr>
                <w:spacing w:val="-2"/>
                <w:sz w:val="19"/>
              </w:rPr>
              <w:t xml:space="preserve"> </w:t>
            </w:r>
            <w:r>
              <w:rPr>
                <w:sz w:val="19"/>
              </w:rPr>
              <w:t>complications</w:t>
            </w:r>
            <w:r>
              <w:rPr>
                <w:spacing w:val="-2"/>
                <w:sz w:val="19"/>
              </w:rPr>
              <w:t xml:space="preserve"> </w:t>
            </w:r>
            <w:r>
              <w:rPr>
                <w:sz w:val="19"/>
              </w:rPr>
              <w:t>(HACs)</w:t>
            </w:r>
            <w:r>
              <w:rPr>
                <w:spacing w:val="-2"/>
                <w:sz w:val="19"/>
              </w:rPr>
              <w:t xml:space="preserve"> </w:t>
            </w:r>
            <w:r>
              <w:rPr>
                <w:sz w:val="19"/>
              </w:rPr>
              <w:t>and</w:t>
            </w:r>
            <w:r>
              <w:rPr>
                <w:spacing w:val="-2"/>
                <w:sz w:val="19"/>
              </w:rPr>
              <w:t xml:space="preserve"> </w:t>
            </w:r>
            <w:r>
              <w:rPr>
                <w:sz w:val="19"/>
              </w:rPr>
              <w:t>avoidable</w:t>
            </w:r>
            <w:r>
              <w:rPr>
                <w:spacing w:val="-2"/>
                <w:sz w:val="19"/>
              </w:rPr>
              <w:t xml:space="preserve"> </w:t>
            </w:r>
            <w:r>
              <w:rPr>
                <w:sz w:val="19"/>
              </w:rPr>
              <w:t>hospital readmissions (AHRs) lists and consider queries and suggested revisions with the Independent Health and Aged Care Pricing Authority on pricing models.</w:t>
            </w:r>
          </w:p>
          <w:p w14:paraId="2281B8C3" w14:textId="77777777" w:rsidR="009377BE" w:rsidRDefault="009377BE" w:rsidP="009377BE">
            <w:pPr>
              <w:pStyle w:val="TableParagraph"/>
              <w:spacing w:before="52" w:line="220" w:lineRule="auto"/>
              <w:ind w:left="81" w:right="378"/>
              <w:jc w:val="both"/>
              <w:rPr>
                <w:sz w:val="19"/>
              </w:rPr>
            </w:pPr>
            <w:r>
              <w:rPr>
                <w:sz w:val="19"/>
              </w:rPr>
              <w:t>The Commission continues to maintain the Australian Sentinel</w:t>
            </w:r>
            <w:r>
              <w:rPr>
                <w:spacing w:val="-1"/>
                <w:sz w:val="19"/>
              </w:rPr>
              <w:t xml:space="preserve"> </w:t>
            </w:r>
            <w:r>
              <w:rPr>
                <w:sz w:val="19"/>
              </w:rPr>
              <w:t>Events</w:t>
            </w:r>
            <w:r>
              <w:rPr>
                <w:spacing w:val="-1"/>
                <w:sz w:val="19"/>
              </w:rPr>
              <w:t xml:space="preserve"> </w:t>
            </w:r>
            <w:r>
              <w:rPr>
                <w:sz w:val="19"/>
              </w:rPr>
              <w:t>List</w:t>
            </w:r>
            <w:r>
              <w:rPr>
                <w:spacing w:val="40"/>
                <w:sz w:val="19"/>
              </w:rPr>
              <w:t xml:space="preserve"> </w:t>
            </w:r>
            <w:r>
              <w:rPr>
                <w:sz w:val="19"/>
              </w:rPr>
              <w:t>and</w:t>
            </w:r>
            <w:r>
              <w:rPr>
                <w:spacing w:val="-1"/>
                <w:sz w:val="19"/>
              </w:rPr>
              <w:t xml:space="preserve"> </w:t>
            </w:r>
            <w:r>
              <w:rPr>
                <w:sz w:val="19"/>
              </w:rPr>
              <w:t>respond</w:t>
            </w:r>
            <w:r>
              <w:rPr>
                <w:spacing w:val="-1"/>
                <w:sz w:val="19"/>
              </w:rPr>
              <w:t xml:space="preserve"> </w:t>
            </w:r>
            <w:r>
              <w:rPr>
                <w:sz w:val="19"/>
              </w:rPr>
              <w:t>to</w:t>
            </w:r>
            <w:r>
              <w:rPr>
                <w:spacing w:val="-1"/>
                <w:sz w:val="19"/>
              </w:rPr>
              <w:t xml:space="preserve"> </w:t>
            </w:r>
            <w:r>
              <w:rPr>
                <w:sz w:val="19"/>
              </w:rPr>
              <w:t>queries</w:t>
            </w:r>
            <w:r>
              <w:rPr>
                <w:spacing w:val="-1"/>
                <w:sz w:val="19"/>
              </w:rPr>
              <w:t xml:space="preserve"> </w:t>
            </w:r>
            <w:r>
              <w:rPr>
                <w:sz w:val="19"/>
              </w:rPr>
              <w:t>received from states and territories.</w:t>
            </w:r>
          </w:p>
          <w:p w14:paraId="6599D2ED" w14:textId="77777777" w:rsidR="009377BE" w:rsidRDefault="009377BE" w:rsidP="009377BE">
            <w:pPr>
              <w:pStyle w:val="TableParagraph"/>
              <w:spacing w:before="54" w:line="220" w:lineRule="auto"/>
              <w:ind w:left="81"/>
              <w:rPr>
                <w:sz w:val="19"/>
              </w:rPr>
            </w:pPr>
            <w:r>
              <w:rPr>
                <w:sz w:val="19"/>
              </w:rPr>
              <w:t>To support health services in local safety and quality monitoring, the Commission has completed the work to update the:</w:t>
            </w:r>
          </w:p>
          <w:p w14:paraId="593DAFE1" w14:textId="77777777" w:rsidR="009377BE" w:rsidRDefault="009377BE" w:rsidP="009377BE">
            <w:pPr>
              <w:pStyle w:val="TableParagraph"/>
              <w:numPr>
                <w:ilvl w:val="0"/>
                <w:numId w:val="20"/>
              </w:numPr>
              <w:tabs>
                <w:tab w:val="left" w:pos="249"/>
                <w:tab w:val="left" w:pos="251"/>
              </w:tabs>
              <w:spacing w:before="54" w:line="220" w:lineRule="auto"/>
              <w:ind w:right="251"/>
              <w:rPr>
                <w:sz w:val="19"/>
              </w:rPr>
            </w:pPr>
            <w:r>
              <w:rPr>
                <w:sz w:val="19"/>
              </w:rPr>
              <w:t xml:space="preserve">HAC goal rates with the updated results and </w:t>
            </w:r>
            <w:proofErr w:type="spellStart"/>
            <w:r>
              <w:rPr>
                <w:sz w:val="19"/>
              </w:rPr>
              <w:t>visualisation</w:t>
            </w:r>
            <w:proofErr w:type="spellEnd"/>
            <w:r>
              <w:rPr>
                <w:spacing w:val="-1"/>
                <w:sz w:val="19"/>
              </w:rPr>
              <w:t xml:space="preserve"> </w:t>
            </w:r>
            <w:r>
              <w:rPr>
                <w:sz w:val="19"/>
              </w:rPr>
              <w:t>published</w:t>
            </w:r>
            <w:r>
              <w:rPr>
                <w:spacing w:val="-1"/>
                <w:sz w:val="19"/>
              </w:rPr>
              <w:t xml:space="preserve"> </w:t>
            </w:r>
            <w:r>
              <w:rPr>
                <w:sz w:val="19"/>
              </w:rPr>
              <w:t>in</w:t>
            </w:r>
            <w:r>
              <w:rPr>
                <w:spacing w:val="-1"/>
                <w:sz w:val="19"/>
              </w:rPr>
              <w:t xml:space="preserve"> </w:t>
            </w:r>
            <w:r>
              <w:rPr>
                <w:sz w:val="19"/>
              </w:rPr>
              <w:t>April</w:t>
            </w:r>
            <w:r>
              <w:rPr>
                <w:spacing w:val="-1"/>
                <w:sz w:val="19"/>
              </w:rPr>
              <w:t xml:space="preserve"> </w:t>
            </w:r>
            <w:r>
              <w:rPr>
                <w:sz w:val="19"/>
              </w:rPr>
              <w:t>2026;</w:t>
            </w:r>
            <w:r>
              <w:rPr>
                <w:spacing w:val="-1"/>
                <w:sz w:val="19"/>
              </w:rPr>
              <w:t xml:space="preserve"> </w:t>
            </w:r>
            <w:r>
              <w:rPr>
                <w:sz w:val="19"/>
              </w:rPr>
              <w:t>this</w:t>
            </w:r>
            <w:r>
              <w:rPr>
                <w:spacing w:val="-1"/>
                <w:sz w:val="19"/>
              </w:rPr>
              <w:t xml:space="preserve"> </w:t>
            </w:r>
            <w:r>
              <w:rPr>
                <w:sz w:val="19"/>
              </w:rPr>
              <w:t>update</w:t>
            </w:r>
            <w:r>
              <w:rPr>
                <w:spacing w:val="-1"/>
                <w:sz w:val="19"/>
              </w:rPr>
              <w:t xml:space="preserve"> </w:t>
            </w:r>
            <w:r>
              <w:rPr>
                <w:sz w:val="19"/>
              </w:rPr>
              <w:t>also includes</w:t>
            </w:r>
            <w:r>
              <w:rPr>
                <w:spacing w:val="2"/>
                <w:sz w:val="19"/>
              </w:rPr>
              <w:t xml:space="preserve"> </w:t>
            </w:r>
            <w:r>
              <w:rPr>
                <w:sz w:val="19"/>
              </w:rPr>
              <w:t>refinements</w:t>
            </w:r>
            <w:r>
              <w:rPr>
                <w:spacing w:val="3"/>
                <w:sz w:val="19"/>
              </w:rPr>
              <w:t xml:space="preserve"> </w:t>
            </w:r>
            <w:r>
              <w:rPr>
                <w:sz w:val="19"/>
              </w:rPr>
              <w:t>based</w:t>
            </w:r>
            <w:r>
              <w:rPr>
                <w:spacing w:val="3"/>
                <w:sz w:val="19"/>
              </w:rPr>
              <w:t xml:space="preserve"> </w:t>
            </w:r>
            <w:r>
              <w:rPr>
                <w:sz w:val="19"/>
              </w:rPr>
              <w:t>on</w:t>
            </w:r>
            <w:r>
              <w:rPr>
                <w:spacing w:val="3"/>
                <w:sz w:val="19"/>
              </w:rPr>
              <w:t xml:space="preserve"> </w:t>
            </w:r>
            <w:r>
              <w:rPr>
                <w:sz w:val="19"/>
              </w:rPr>
              <w:t>stakeholder</w:t>
            </w:r>
            <w:r>
              <w:rPr>
                <w:spacing w:val="3"/>
                <w:sz w:val="19"/>
              </w:rPr>
              <w:t xml:space="preserve"> </w:t>
            </w:r>
            <w:r>
              <w:rPr>
                <w:spacing w:val="-2"/>
                <w:sz w:val="19"/>
              </w:rPr>
              <w:t>feedback</w:t>
            </w:r>
          </w:p>
          <w:p w14:paraId="2E912627" w14:textId="77777777" w:rsidR="009377BE" w:rsidRDefault="009377BE" w:rsidP="009377BE">
            <w:pPr>
              <w:pStyle w:val="TableParagraph"/>
              <w:numPr>
                <w:ilvl w:val="0"/>
                <w:numId w:val="20"/>
              </w:numPr>
              <w:tabs>
                <w:tab w:val="left" w:pos="249"/>
                <w:tab w:val="left" w:pos="251"/>
              </w:tabs>
              <w:spacing w:line="220" w:lineRule="auto"/>
              <w:ind w:right="279"/>
              <w:rPr>
                <w:sz w:val="19"/>
              </w:rPr>
            </w:pPr>
            <w:r>
              <w:rPr>
                <w:sz w:val="19"/>
              </w:rPr>
              <w:t>CHBOI</w:t>
            </w:r>
            <w:r>
              <w:rPr>
                <w:spacing w:val="-1"/>
                <w:sz w:val="19"/>
              </w:rPr>
              <w:t xml:space="preserve"> </w:t>
            </w:r>
            <w:r>
              <w:rPr>
                <w:sz w:val="19"/>
              </w:rPr>
              <w:t>toolkit</w:t>
            </w:r>
            <w:r>
              <w:rPr>
                <w:spacing w:val="-1"/>
                <w:sz w:val="19"/>
              </w:rPr>
              <w:t xml:space="preserve"> </w:t>
            </w:r>
            <w:r>
              <w:rPr>
                <w:sz w:val="19"/>
              </w:rPr>
              <w:t>(a</w:t>
            </w:r>
            <w:r>
              <w:rPr>
                <w:spacing w:val="-1"/>
                <w:sz w:val="19"/>
              </w:rPr>
              <w:t xml:space="preserve"> </w:t>
            </w:r>
            <w:r>
              <w:rPr>
                <w:sz w:val="19"/>
              </w:rPr>
              <w:t>set</w:t>
            </w:r>
            <w:r>
              <w:rPr>
                <w:spacing w:val="-1"/>
                <w:sz w:val="19"/>
              </w:rPr>
              <w:t xml:space="preserve"> </w:t>
            </w:r>
            <w:r>
              <w:rPr>
                <w:sz w:val="19"/>
              </w:rPr>
              <w:t>of</w:t>
            </w:r>
            <w:r>
              <w:rPr>
                <w:spacing w:val="-1"/>
                <w:sz w:val="19"/>
              </w:rPr>
              <w:t xml:space="preserve"> </w:t>
            </w:r>
            <w:r>
              <w:rPr>
                <w:sz w:val="19"/>
              </w:rPr>
              <w:t>mortality</w:t>
            </w:r>
            <w:r>
              <w:rPr>
                <w:spacing w:val="-1"/>
                <w:sz w:val="19"/>
              </w:rPr>
              <w:t xml:space="preserve"> </w:t>
            </w:r>
            <w:r>
              <w:rPr>
                <w:sz w:val="19"/>
              </w:rPr>
              <w:t>indicators)</w:t>
            </w:r>
            <w:r>
              <w:rPr>
                <w:spacing w:val="-1"/>
                <w:sz w:val="19"/>
              </w:rPr>
              <w:t xml:space="preserve"> </w:t>
            </w:r>
            <w:r>
              <w:rPr>
                <w:sz w:val="19"/>
              </w:rPr>
              <w:t>based</w:t>
            </w:r>
            <w:r>
              <w:rPr>
                <w:spacing w:val="-1"/>
                <w:sz w:val="19"/>
              </w:rPr>
              <w:t xml:space="preserve"> </w:t>
            </w:r>
            <w:r>
              <w:rPr>
                <w:sz w:val="19"/>
              </w:rPr>
              <w:t>on national hospital data to 2023–24</w:t>
            </w:r>
          </w:p>
          <w:p w14:paraId="40EA0F07" w14:textId="117170BA" w:rsidR="009377BE" w:rsidRDefault="009377BE" w:rsidP="009377BE">
            <w:pPr>
              <w:pStyle w:val="TableParagraph"/>
              <w:spacing w:before="40"/>
              <w:ind w:left="81"/>
              <w:rPr>
                <w:b/>
                <w:spacing w:val="-2"/>
                <w:sz w:val="19"/>
              </w:rPr>
            </w:pPr>
            <w:r>
              <w:rPr>
                <w:sz w:val="19"/>
              </w:rPr>
              <w:t>Classification of Hospital Acquired Diagnosis (</w:t>
            </w:r>
            <w:proofErr w:type="spellStart"/>
            <w:r>
              <w:rPr>
                <w:sz w:val="19"/>
              </w:rPr>
              <w:t>CHADx</w:t>
            </w:r>
            <w:proofErr w:type="spellEnd"/>
            <w:r>
              <w:rPr>
                <w:sz w:val="19"/>
              </w:rPr>
              <w:t>) specification to 13th edition ICD10AM.</w:t>
            </w:r>
          </w:p>
        </w:tc>
      </w:tr>
    </w:tbl>
    <w:p w14:paraId="62667653" w14:textId="77777777" w:rsidR="00426F87" w:rsidRDefault="00426F87" w:rsidP="00426F87">
      <w:pPr>
        <w:spacing w:before="81" w:line="220" w:lineRule="auto"/>
        <w:ind w:left="142" w:right="829"/>
        <w:jc w:val="both"/>
        <w:rPr>
          <w:sz w:val="17"/>
        </w:rPr>
      </w:pPr>
      <w:r>
        <w:rPr>
          <w:sz w:val="17"/>
        </w:rPr>
        <w:t xml:space="preserve">Note: Wording for the performance criteria and targets reflect the Commission’s Corporate Plan 2025–26. The Commission’s performance criteria are on pages 17-19 of the Corporate Plan 2025–26 and pages 155-160 of the 2025–26 Portfolio Budget </w:t>
      </w:r>
      <w:r>
        <w:rPr>
          <w:spacing w:val="-2"/>
          <w:sz w:val="17"/>
        </w:rPr>
        <w:t>Statements</w:t>
      </w:r>
    </w:p>
    <w:p w14:paraId="0FD63016" w14:textId="77777777" w:rsidR="00426F87" w:rsidRDefault="00426F87" w:rsidP="00426F87">
      <w:pPr>
        <w:pStyle w:val="TableParagraph"/>
        <w:spacing w:before="40"/>
        <w:ind w:left="142"/>
        <w:rPr>
          <w:b/>
          <w:spacing w:val="-2"/>
          <w:sz w:val="19"/>
        </w:rPr>
      </w:pPr>
    </w:p>
    <w:p w14:paraId="39482CAC" w14:textId="77777777" w:rsidR="009D54AF" w:rsidRDefault="009D54AF">
      <w:pPr>
        <w:pStyle w:val="TableParagraph"/>
        <w:spacing w:line="220" w:lineRule="auto"/>
        <w:rPr>
          <w:sz w:val="19"/>
        </w:rPr>
        <w:sectPr w:rsidR="009D54AF">
          <w:pgSz w:w="11910" w:h="16840"/>
          <w:pgMar w:top="720" w:right="708" w:bottom="2334" w:left="708" w:header="720" w:footer="720" w:gutter="0"/>
          <w:cols w:space="720"/>
        </w:sectPr>
      </w:pPr>
    </w:p>
    <w:p w14:paraId="56ED8820" w14:textId="77777777" w:rsidR="009D54AF" w:rsidRDefault="00000000">
      <w:pPr>
        <w:pStyle w:val="ListParagraph"/>
        <w:numPr>
          <w:ilvl w:val="0"/>
          <w:numId w:val="38"/>
        </w:numPr>
        <w:tabs>
          <w:tab w:val="left" w:pos="714"/>
        </w:tabs>
        <w:spacing w:before="57"/>
        <w:ind w:left="714" w:hanging="572"/>
        <w:rPr>
          <w:sz w:val="52"/>
        </w:rPr>
      </w:pPr>
      <w:r>
        <w:rPr>
          <w:sz w:val="52"/>
        </w:rPr>
        <w:lastRenderedPageBreak/>
        <w:t>Corporate</w:t>
      </w:r>
      <w:r>
        <w:rPr>
          <w:spacing w:val="-35"/>
          <w:sz w:val="52"/>
        </w:rPr>
        <w:t xml:space="preserve"> </w:t>
      </w:r>
      <w:r>
        <w:rPr>
          <w:sz w:val="52"/>
        </w:rPr>
        <w:t>governance</w:t>
      </w:r>
      <w:r>
        <w:rPr>
          <w:spacing w:val="-33"/>
          <w:sz w:val="52"/>
        </w:rPr>
        <w:t xml:space="preserve"> </w:t>
      </w:r>
      <w:r>
        <w:rPr>
          <w:sz w:val="52"/>
        </w:rPr>
        <w:t>and</w:t>
      </w:r>
      <w:r>
        <w:rPr>
          <w:spacing w:val="-33"/>
          <w:sz w:val="52"/>
        </w:rPr>
        <w:t xml:space="preserve"> </w:t>
      </w:r>
      <w:r>
        <w:rPr>
          <w:spacing w:val="-2"/>
          <w:sz w:val="52"/>
        </w:rPr>
        <w:t>accountability</w:t>
      </w:r>
    </w:p>
    <w:p w14:paraId="718C1002" w14:textId="77777777" w:rsidR="009D54AF" w:rsidRDefault="00000000">
      <w:pPr>
        <w:pStyle w:val="Heading9"/>
        <w:spacing w:before="315" w:line="268" w:lineRule="auto"/>
        <w:ind w:right="285"/>
      </w:pPr>
      <w:r>
        <w:t>This section outlines the Commission’s legislative requirements, corporate governance and accountability</w:t>
      </w:r>
      <w:r>
        <w:rPr>
          <w:spacing w:val="-13"/>
        </w:rPr>
        <w:t xml:space="preserve"> </w:t>
      </w:r>
      <w:r>
        <w:t>processes,</w:t>
      </w:r>
      <w:r>
        <w:rPr>
          <w:spacing w:val="-13"/>
        </w:rPr>
        <w:t xml:space="preserve"> </w:t>
      </w:r>
      <w:r>
        <w:t>including</w:t>
      </w:r>
      <w:r>
        <w:rPr>
          <w:spacing w:val="-13"/>
        </w:rPr>
        <w:t xml:space="preserve"> </w:t>
      </w:r>
      <w:r>
        <w:t>internal</w:t>
      </w:r>
      <w:r>
        <w:rPr>
          <w:spacing w:val="-13"/>
        </w:rPr>
        <w:t xml:space="preserve"> </w:t>
      </w:r>
      <w:r>
        <w:t>and</w:t>
      </w:r>
      <w:r>
        <w:rPr>
          <w:spacing w:val="-13"/>
        </w:rPr>
        <w:t xml:space="preserve"> </w:t>
      </w:r>
      <w:r>
        <w:t>external</w:t>
      </w:r>
      <w:r>
        <w:rPr>
          <w:spacing w:val="-13"/>
        </w:rPr>
        <w:t xml:space="preserve"> </w:t>
      </w:r>
      <w:r>
        <w:t>scrutiny</w:t>
      </w:r>
      <w:r>
        <w:rPr>
          <w:spacing w:val="-13"/>
        </w:rPr>
        <w:t xml:space="preserve"> </w:t>
      </w:r>
      <w:r>
        <w:t>arrangements</w:t>
      </w:r>
      <w:r>
        <w:rPr>
          <w:spacing w:val="-13"/>
        </w:rPr>
        <w:t xml:space="preserve"> </w:t>
      </w:r>
      <w:r>
        <w:t>and</w:t>
      </w:r>
      <w:r>
        <w:rPr>
          <w:spacing w:val="-13"/>
        </w:rPr>
        <w:t xml:space="preserve"> </w:t>
      </w:r>
      <w:r>
        <w:t>procedures for</w:t>
      </w:r>
      <w:r>
        <w:rPr>
          <w:spacing w:val="-2"/>
        </w:rPr>
        <w:t xml:space="preserve"> </w:t>
      </w:r>
      <w:r>
        <w:t>risk</w:t>
      </w:r>
      <w:r>
        <w:rPr>
          <w:spacing w:val="-2"/>
        </w:rPr>
        <w:t xml:space="preserve"> </w:t>
      </w:r>
      <w:r>
        <w:t>management</w:t>
      </w:r>
      <w:r>
        <w:rPr>
          <w:spacing w:val="-2"/>
        </w:rPr>
        <w:t xml:space="preserve"> </w:t>
      </w:r>
      <w:r>
        <w:t>and</w:t>
      </w:r>
      <w:r>
        <w:rPr>
          <w:spacing w:val="-2"/>
        </w:rPr>
        <w:t xml:space="preserve"> </w:t>
      </w:r>
      <w:r>
        <w:t>fraud</w:t>
      </w:r>
      <w:r>
        <w:rPr>
          <w:spacing w:val="-2"/>
        </w:rPr>
        <w:t xml:space="preserve"> </w:t>
      </w:r>
      <w:r>
        <w:t>control.</w:t>
      </w:r>
      <w:r>
        <w:rPr>
          <w:spacing w:val="-2"/>
        </w:rPr>
        <w:t xml:space="preserve"> </w:t>
      </w:r>
      <w:r>
        <w:t>It</w:t>
      </w:r>
      <w:r>
        <w:rPr>
          <w:spacing w:val="-2"/>
        </w:rPr>
        <w:t xml:space="preserve"> </w:t>
      </w:r>
      <w:r>
        <w:t>also</w:t>
      </w:r>
      <w:r>
        <w:rPr>
          <w:spacing w:val="-2"/>
        </w:rPr>
        <w:t xml:space="preserve"> </w:t>
      </w:r>
      <w:r>
        <w:t>includes</w:t>
      </w:r>
      <w:r>
        <w:rPr>
          <w:spacing w:val="-2"/>
        </w:rPr>
        <w:t xml:space="preserve"> </w:t>
      </w:r>
      <w:r>
        <w:t>profiles</w:t>
      </w:r>
      <w:r>
        <w:rPr>
          <w:spacing w:val="-2"/>
        </w:rPr>
        <w:t xml:space="preserve"> </w:t>
      </w:r>
      <w:r>
        <w:t>of</w:t>
      </w:r>
      <w:r>
        <w:rPr>
          <w:spacing w:val="-2"/>
        </w:rPr>
        <w:t xml:space="preserve"> </w:t>
      </w:r>
      <w:r>
        <w:t>the</w:t>
      </w:r>
      <w:r>
        <w:rPr>
          <w:spacing w:val="-2"/>
        </w:rPr>
        <w:t xml:space="preserve"> </w:t>
      </w:r>
      <w:r>
        <w:t>Commission’s</w:t>
      </w:r>
      <w:r>
        <w:rPr>
          <w:spacing w:val="-2"/>
        </w:rPr>
        <w:t xml:space="preserve"> </w:t>
      </w:r>
      <w:r>
        <w:t>Board</w:t>
      </w:r>
      <w:r>
        <w:rPr>
          <w:spacing w:val="-2"/>
        </w:rPr>
        <w:t xml:space="preserve"> </w:t>
      </w:r>
      <w:r>
        <w:t>and committee members.</w:t>
      </w:r>
    </w:p>
    <w:p w14:paraId="254F1B82" w14:textId="4101962D" w:rsidR="009D54AF" w:rsidRDefault="00000000">
      <w:pPr>
        <w:tabs>
          <w:tab w:val="right" w:pos="5528"/>
        </w:tabs>
        <w:spacing w:before="351"/>
        <w:ind w:left="142"/>
        <w:rPr>
          <w:sz w:val="20"/>
        </w:rPr>
      </w:pPr>
      <w:hyperlink w:anchor="_Legislation_and_requirements" w:history="1">
        <w:r w:rsidR="008F5B74">
          <w:rPr>
            <w:spacing w:val="-5"/>
            <w:sz w:val="20"/>
          </w:rPr>
          <w:t>Legislation and requirements</w:t>
        </w:r>
      </w:hyperlink>
    </w:p>
    <w:p w14:paraId="66DF0A97" w14:textId="06C7F91F" w:rsidR="009D54AF" w:rsidRDefault="00000000">
      <w:pPr>
        <w:tabs>
          <w:tab w:val="right" w:pos="5528"/>
        </w:tabs>
        <w:spacing w:before="220"/>
        <w:ind w:left="142"/>
        <w:rPr>
          <w:sz w:val="20"/>
        </w:rPr>
      </w:pPr>
      <w:hyperlink w:anchor="_The_Commission’s_Board" w:history="1">
        <w:r w:rsidR="008F5B74">
          <w:rPr>
            <w:spacing w:val="-5"/>
            <w:sz w:val="20"/>
          </w:rPr>
          <w:t>The Commission’s Board</w:t>
        </w:r>
      </w:hyperlink>
    </w:p>
    <w:p w14:paraId="15A61DD2" w14:textId="20888834" w:rsidR="009D54AF" w:rsidRDefault="00000000">
      <w:pPr>
        <w:tabs>
          <w:tab w:val="right" w:pos="5528"/>
        </w:tabs>
        <w:spacing w:before="220"/>
        <w:ind w:left="142"/>
        <w:rPr>
          <w:sz w:val="20"/>
        </w:rPr>
      </w:pPr>
      <w:hyperlink w:anchor="_Committees" w:history="1">
        <w:r w:rsidR="008F5B74">
          <w:rPr>
            <w:spacing w:val="-5"/>
            <w:sz w:val="20"/>
          </w:rPr>
          <w:t>Committees</w:t>
        </w:r>
      </w:hyperlink>
    </w:p>
    <w:p w14:paraId="20D2C866" w14:textId="7201A085" w:rsidR="009D54AF" w:rsidRDefault="00000000">
      <w:pPr>
        <w:tabs>
          <w:tab w:val="right" w:pos="5528"/>
        </w:tabs>
        <w:spacing w:before="220"/>
        <w:ind w:left="142"/>
        <w:rPr>
          <w:sz w:val="20"/>
        </w:rPr>
      </w:pPr>
      <w:hyperlink w:anchor="_Internal_governance_arrangements" w:history="1">
        <w:r w:rsidR="008F5B74">
          <w:rPr>
            <w:spacing w:val="-5"/>
            <w:sz w:val="20"/>
          </w:rPr>
          <w:t>Internal governance arrangements</w:t>
        </w:r>
      </w:hyperlink>
    </w:p>
    <w:p w14:paraId="515EB2FE" w14:textId="19C81C22" w:rsidR="009D54AF" w:rsidRDefault="00000000">
      <w:pPr>
        <w:tabs>
          <w:tab w:val="right" w:pos="5528"/>
        </w:tabs>
        <w:spacing w:before="220"/>
        <w:ind w:left="142"/>
        <w:rPr>
          <w:sz w:val="20"/>
        </w:rPr>
      </w:pPr>
      <w:hyperlink w:anchor="_External_scrutiny" w:history="1">
        <w:r w:rsidR="008F5B74">
          <w:rPr>
            <w:spacing w:val="-5"/>
            <w:sz w:val="20"/>
          </w:rPr>
          <w:t>External scrutiny</w:t>
        </w:r>
      </w:hyperlink>
    </w:p>
    <w:p w14:paraId="39058E1E" w14:textId="77777777" w:rsidR="009D54AF" w:rsidRDefault="00000000">
      <w:pPr>
        <w:pStyle w:val="Heading1"/>
        <w:spacing w:before="193"/>
      </w:pPr>
      <w:bookmarkStart w:id="42" w:name="_Legislation_and_requirements"/>
      <w:bookmarkStart w:id="43" w:name="_Toc243037279"/>
      <w:bookmarkEnd w:id="42"/>
      <w:r>
        <w:rPr>
          <w:spacing w:val="-2"/>
        </w:rPr>
        <w:t>Legislation</w:t>
      </w:r>
      <w:r>
        <w:rPr>
          <w:spacing w:val="-18"/>
        </w:rPr>
        <w:t xml:space="preserve"> </w:t>
      </w:r>
      <w:r>
        <w:rPr>
          <w:spacing w:val="-2"/>
        </w:rPr>
        <w:t>and</w:t>
      </w:r>
      <w:r>
        <w:rPr>
          <w:spacing w:val="-17"/>
        </w:rPr>
        <w:t xml:space="preserve"> </w:t>
      </w:r>
      <w:r>
        <w:rPr>
          <w:spacing w:val="-2"/>
        </w:rPr>
        <w:t>requirements</w:t>
      </w:r>
      <w:bookmarkEnd w:id="43"/>
    </w:p>
    <w:p w14:paraId="2529F88E" w14:textId="77777777" w:rsidR="009D54AF" w:rsidRDefault="00000000">
      <w:pPr>
        <w:pStyle w:val="Heading9"/>
        <w:spacing w:line="268" w:lineRule="auto"/>
      </w:pPr>
      <w:r>
        <w:t>The Commission is a corporate Commonwealth entity of the Australian Government. It is accountable</w:t>
      </w:r>
      <w:r>
        <w:rPr>
          <w:spacing w:val="-12"/>
        </w:rPr>
        <w:t xml:space="preserve"> </w:t>
      </w:r>
      <w:r>
        <w:t>to</w:t>
      </w:r>
      <w:r>
        <w:rPr>
          <w:spacing w:val="-12"/>
        </w:rPr>
        <w:t xml:space="preserve"> </w:t>
      </w:r>
      <w:r>
        <w:t>the</w:t>
      </w:r>
      <w:r>
        <w:rPr>
          <w:spacing w:val="-12"/>
        </w:rPr>
        <w:t xml:space="preserve"> </w:t>
      </w:r>
      <w:r>
        <w:t>Australian</w:t>
      </w:r>
      <w:r>
        <w:rPr>
          <w:spacing w:val="-12"/>
        </w:rPr>
        <w:t xml:space="preserve"> </w:t>
      </w:r>
      <w:r>
        <w:t>Parliament</w:t>
      </w:r>
      <w:r>
        <w:rPr>
          <w:spacing w:val="-12"/>
        </w:rPr>
        <w:t xml:space="preserve"> </w:t>
      </w:r>
      <w:r>
        <w:t>and</w:t>
      </w:r>
      <w:r>
        <w:rPr>
          <w:spacing w:val="-12"/>
        </w:rPr>
        <w:t xml:space="preserve"> </w:t>
      </w:r>
      <w:r>
        <w:t>the</w:t>
      </w:r>
      <w:r>
        <w:rPr>
          <w:spacing w:val="-12"/>
        </w:rPr>
        <w:t xml:space="preserve"> </w:t>
      </w:r>
      <w:r>
        <w:t>Australian</w:t>
      </w:r>
      <w:r>
        <w:rPr>
          <w:spacing w:val="-12"/>
        </w:rPr>
        <w:t xml:space="preserve"> </w:t>
      </w:r>
      <w:r>
        <w:t>Government</w:t>
      </w:r>
      <w:r>
        <w:rPr>
          <w:spacing w:val="-12"/>
        </w:rPr>
        <w:t xml:space="preserve"> </w:t>
      </w:r>
      <w:r>
        <w:t>Minister</w:t>
      </w:r>
      <w:r>
        <w:rPr>
          <w:spacing w:val="-12"/>
        </w:rPr>
        <w:t xml:space="preserve"> </w:t>
      </w:r>
      <w:r>
        <w:t>for</w:t>
      </w:r>
      <w:r>
        <w:rPr>
          <w:spacing w:val="-12"/>
        </w:rPr>
        <w:t xml:space="preserve"> </w:t>
      </w:r>
      <w:r>
        <w:t>Health</w:t>
      </w:r>
      <w:r>
        <w:rPr>
          <w:spacing w:val="-12"/>
        </w:rPr>
        <w:t xml:space="preserve"> </w:t>
      </w:r>
      <w:r>
        <w:t xml:space="preserve">and </w:t>
      </w:r>
      <w:r>
        <w:rPr>
          <w:spacing w:val="-2"/>
        </w:rPr>
        <w:t>Ageing.</w:t>
      </w:r>
    </w:p>
    <w:p w14:paraId="56312964" w14:textId="77777777" w:rsidR="009D54AF" w:rsidRDefault="009D54AF">
      <w:pPr>
        <w:pStyle w:val="BodyText"/>
        <w:spacing w:before="8"/>
        <w:rPr>
          <w:sz w:val="24"/>
        </w:rPr>
      </w:pPr>
    </w:p>
    <w:p w14:paraId="370DB7F2" w14:textId="77777777" w:rsidR="009D54AF" w:rsidRDefault="00000000">
      <w:pPr>
        <w:pStyle w:val="BodyText"/>
        <w:spacing w:line="278" w:lineRule="auto"/>
        <w:ind w:left="142" w:right="285"/>
      </w:pPr>
      <w:r>
        <w:t xml:space="preserve">The Commission’s principal legislative basis is the </w:t>
      </w:r>
      <w:r>
        <w:rPr>
          <w:i/>
        </w:rPr>
        <w:t>National Health Reform Act</w:t>
      </w:r>
      <w:r>
        <w:rPr>
          <w:i/>
          <w:spacing w:val="-8"/>
        </w:rPr>
        <w:t xml:space="preserve"> </w:t>
      </w:r>
      <w:r>
        <w:rPr>
          <w:i/>
        </w:rPr>
        <w:t>2011</w:t>
      </w:r>
      <w:r>
        <w:t>,</w:t>
      </w:r>
      <w:r>
        <w:rPr>
          <w:spacing w:val="-8"/>
        </w:rPr>
        <w:t xml:space="preserve"> </w:t>
      </w:r>
      <w:r>
        <w:t>which</w:t>
      </w:r>
      <w:r>
        <w:rPr>
          <w:spacing w:val="-8"/>
        </w:rPr>
        <w:t xml:space="preserve"> </w:t>
      </w:r>
      <w:r>
        <w:t>sets</w:t>
      </w:r>
      <w:r>
        <w:rPr>
          <w:spacing w:val="-8"/>
        </w:rPr>
        <w:t xml:space="preserve"> </w:t>
      </w:r>
      <w:r>
        <w:t>out</w:t>
      </w:r>
      <w:r>
        <w:rPr>
          <w:spacing w:val="-8"/>
        </w:rPr>
        <w:t xml:space="preserve"> </w:t>
      </w:r>
      <w:r>
        <w:t xml:space="preserve">the </w:t>
      </w:r>
      <w:r>
        <w:rPr>
          <w:spacing w:val="-2"/>
        </w:rPr>
        <w:t>Commission’s</w:t>
      </w:r>
      <w:r>
        <w:rPr>
          <w:spacing w:val="-8"/>
        </w:rPr>
        <w:t xml:space="preserve"> </w:t>
      </w:r>
      <w:r>
        <w:rPr>
          <w:spacing w:val="-2"/>
        </w:rPr>
        <w:t>purpose, powers, functions, and administrative and operational arrangements.</w:t>
      </w:r>
      <w:r>
        <w:rPr>
          <w:spacing w:val="-8"/>
        </w:rPr>
        <w:t xml:space="preserve"> </w:t>
      </w:r>
      <w:r>
        <w:rPr>
          <w:spacing w:val="-2"/>
        </w:rPr>
        <w:t>The</w:t>
      </w:r>
      <w:r>
        <w:rPr>
          <w:spacing w:val="-8"/>
        </w:rPr>
        <w:t xml:space="preserve"> </w:t>
      </w:r>
      <w:r>
        <w:rPr>
          <w:i/>
          <w:spacing w:val="-2"/>
        </w:rPr>
        <w:t xml:space="preserve">National </w:t>
      </w:r>
      <w:r>
        <w:rPr>
          <w:i/>
        </w:rPr>
        <w:t>Health</w:t>
      </w:r>
      <w:r>
        <w:rPr>
          <w:i/>
          <w:spacing w:val="-5"/>
        </w:rPr>
        <w:t xml:space="preserve"> </w:t>
      </w:r>
      <w:r>
        <w:rPr>
          <w:i/>
        </w:rPr>
        <w:t>Reform</w:t>
      </w:r>
      <w:r>
        <w:rPr>
          <w:i/>
          <w:spacing w:val="-5"/>
        </w:rPr>
        <w:t xml:space="preserve"> </w:t>
      </w:r>
      <w:r>
        <w:rPr>
          <w:i/>
        </w:rPr>
        <w:t xml:space="preserve">Act 2011 </w:t>
      </w:r>
      <w:r>
        <w:t>also sets out the Commission’s Constitution and the processes for appointing members of the Board, appointing the Chief Executive Officer (CEO), and operating Board meetings.</w:t>
      </w:r>
    </w:p>
    <w:p w14:paraId="245697DB" w14:textId="77777777" w:rsidR="009D54AF" w:rsidRDefault="00000000">
      <w:pPr>
        <w:pStyle w:val="BodyText"/>
        <w:spacing w:before="142" w:line="278" w:lineRule="auto"/>
        <w:ind w:left="142" w:right="448"/>
      </w:pPr>
      <w:r>
        <w:t xml:space="preserve">The Commission must fulfil the requirements of the </w:t>
      </w:r>
      <w:r>
        <w:rPr>
          <w:i/>
        </w:rPr>
        <w:t>Public Governance, Performance and Accountability Act 2013</w:t>
      </w:r>
      <w:r>
        <w:t>, which regulates certain aspects of the financial affairs of Commonwealth entities, including their obligations</w:t>
      </w:r>
      <w:r>
        <w:rPr>
          <w:spacing w:val="-2"/>
        </w:rPr>
        <w:t xml:space="preserve"> </w:t>
      </w:r>
      <w:r>
        <w:t>relating</w:t>
      </w:r>
      <w:r>
        <w:rPr>
          <w:spacing w:val="-2"/>
        </w:rPr>
        <w:t xml:space="preserve"> </w:t>
      </w:r>
      <w:r>
        <w:t>to</w:t>
      </w:r>
      <w:r>
        <w:rPr>
          <w:spacing w:val="-2"/>
        </w:rPr>
        <w:t xml:space="preserve"> </w:t>
      </w:r>
      <w:r>
        <w:t>financial</w:t>
      </w:r>
      <w:r>
        <w:rPr>
          <w:spacing w:val="-2"/>
        </w:rPr>
        <w:t xml:space="preserve"> </w:t>
      </w:r>
      <w:r>
        <w:t>and</w:t>
      </w:r>
      <w:r>
        <w:rPr>
          <w:spacing w:val="-2"/>
        </w:rPr>
        <w:t xml:space="preserve"> </w:t>
      </w:r>
      <w:r>
        <w:t>performance</w:t>
      </w:r>
      <w:r>
        <w:rPr>
          <w:spacing w:val="-2"/>
        </w:rPr>
        <w:t xml:space="preserve"> </w:t>
      </w:r>
      <w:r>
        <w:t>reporting,</w:t>
      </w:r>
      <w:r>
        <w:rPr>
          <w:spacing w:val="-2"/>
        </w:rPr>
        <w:t xml:space="preserve"> </w:t>
      </w:r>
      <w:r>
        <w:t>accountability,</w:t>
      </w:r>
      <w:r>
        <w:rPr>
          <w:spacing w:val="-2"/>
        </w:rPr>
        <w:t xml:space="preserve"> </w:t>
      </w:r>
      <w:r>
        <w:t>banking</w:t>
      </w:r>
      <w:r>
        <w:rPr>
          <w:spacing w:val="-2"/>
        </w:rPr>
        <w:t xml:space="preserve"> </w:t>
      </w:r>
      <w:r>
        <w:t>and</w:t>
      </w:r>
      <w:r>
        <w:rPr>
          <w:spacing w:val="-2"/>
        </w:rPr>
        <w:t xml:space="preserve"> </w:t>
      </w:r>
      <w:r>
        <w:t>investment</w:t>
      </w:r>
      <w:r>
        <w:rPr>
          <w:spacing w:val="-2"/>
        </w:rPr>
        <w:t xml:space="preserve"> </w:t>
      </w:r>
      <w:r>
        <w:t>and</w:t>
      </w:r>
      <w:r>
        <w:rPr>
          <w:spacing w:val="-2"/>
        </w:rPr>
        <w:t xml:space="preserve"> </w:t>
      </w:r>
      <w:r>
        <w:t>the conduct of their accountable authorities and officials.</w:t>
      </w:r>
    </w:p>
    <w:p w14:paraId="290C7757" w14:textId="77777777" w:rsidR="009D54AF" w:rsidRDefault="009D54AF">
      <w:pPr>
        <w:pStyle w:val="BodyText"/>
        <w:spacing w:before="65"/>
      </w:pPr>
    </w:p>
    <w:p w14:paraId="5E4B02B8" w14:textId="77777777" w:rsidR="009D54AF" w:rsidRDefault="00000000">
      <w:pPr>
        <w:pStyle w:val="Heading5"/>
      </w:pPr>
      <w:r>
        <w:t>Compliance</w:t>
      </w:r>
      <w:r>
        <w:rPr>
          <w:spacing w:val="-3"/>
        </w:rPr>
        <w:t xml:space="preserve"> </w:t>
      </w:r>
      <w:r>
        <w:t>with</w:t>
      </w:r>
      <w:r>
        <w:rPr>
          <w:spacing w:val="-3"/>
        </w:rPr>
        <w:t xml:space="preserve"> </w:t>
      </w:r>
      <w:r>
        <w:rPr>
          <w:spacing w:val="-2"/>
        </w:rPr>
        <w:t>legislation</w:t>
      </w:r>
    </w:p>
    <w:p w14:paraId="7EB43CEF" w14:textId="77777777" w:rsidR="009D54AF" w:rsidRDefault="00000000">
      <w:pPr>
        <w:pStyle w:val="BodyText"/>
        <w:spacing w:before="133"/>
        <w:ind w:left="142"/>
      </w:pPr>
      <w:r>
        <w:t>The</w:t>
      </w:r>
      <w:r>
        <w:rPr>
          <w:spacing w:val="-2"/>
        </w:rPr>
        <w:t xml:space="preserve"> </w:t>
      </w:r>
      <w:r>
        <w:t>Commission</w:t>
      </w:r>
      <w:r>
        <w:rPr>
          <w:spacing w:val="-1"/>
        </w:rPr>
        <w:t xml:space="preserve"> </w:t>
      </w:r>
      <w:r>
        <w:t>has</w:t>
      </w:r>
      <w:r>
        <w:rPr>
          <w:spacing w:val="-2"/>
        </w:rPr>
        <w:t xml:space="preserve"> </w:t>
      </w:r>
      <w:r>
        <w:t>complied</w:t>
      </w:r>
      <w:r>
        <w:rPr>
          <w:spacing w:val="-1"/>
        </w:rPr>
        <w:t xml:space="preserve"> </w:t>
      </w:r>
      <w:r>
        <w:t>with</w:t>
      </w:r>
      <w:r>
        <w:rPr>
          <w:spacing w:val="-2"/>
        </w:rPr>
        <w:t xml:space="preserve"> </w:t>
      </w:r>
      <w:r>
        <w:t>the</w:t>
      </w:r>
      <w:r>
        <w:rPr>
          <w:spacing w:val="-1"/>
        </w:rPr>
        <w:t xml:space="preserve"> </w:t>
      </w:r>
      <w:r>
        <w:t>provisions</w:t>
      </w:r>
      <w:r>
        <w:rPr>
          <w:spacing w:val="-2"/>
        </w:rPr>
        <w:t xml:space="preserve"> </w:t>
      </w:r>
      <w:r>
        <w:t>and</w:t>
      </w:r>
      <w:r>
        <w:rPr>
          <w:spacing w:val="-1"/>
        </w:rPr>
        <w:t xml:space="preserve"> </w:t>
      </w:r>
      <w:r>
        <w:t>requirements</w:t>
      </w:r>
      <w:r>
        <w:rPr>
          <w:spacing w:val="-2"/>
        </w:rPr>
        <w:t xml:space="preserve"> </w:t>
      </w:r>
      <w:r>
        <w:t>of</w:t>
      </w:r>
      <w:r>
        <w:rPr>
          <w:spacing w:val="-1"/>
        </w:rPr>
        <w:t xml:space="preserve"> </w:t>
      </w:r>
      <w:r>
        <w:rPr>
          <w:spacing w:val="-4"/>
        </w:rPr>
        <w:t>the:</w:t>
      </w:r>
    </w:p>
    <w:p w14:paraId="639292D6" w14:textId="77777777" w:rsidR="009D54AF" w:rsidRDefault="00000000">
      <w:pPr>
        <w:pStyle w:val="ListParagraph"/>
        <w:numPr>
          <w:ilvl w:val="0"/>
          <w:numId w:val="19"/>
        </w:numPr>
        <w:tabs>
          <w:tab w:val="left" w:pos="424"/>
        </w:tabs>
        <w:ind w:left="424" w:hanging="268"/>
        <w:rPr>
          <w:i/>
          <w:sz w:val="21"/>
        </w:rPr>
      </w:pPr>
      <w:r>
        <w:rPr>
          <w:i/>
          <w:sz w:val="21"/>
        </w:rPr>
        <w:t>Public</w:t>
      </w:r>
      <w:r>
        <w:rPr>
          <w:i/>
          <w:spacing w:val="-1"/>
          <w:sz w:val="21"/>
        </w:rPr>
        <w:t xml:space="preserve"> </w:t>
      </w:r>
      <w:r>
        <w:rPr>
          <w:i/>
          <w:sz w:val="21"/>
        </w:rPr>
        <w:t>Governance,</w:t>
      </w:r>
      <w:r>
        <w:rPr>
          <w:i/>
          <w:spacing w:val="-1"/>
          <w:sz w:val="21"/>
        </w:rPr>
        <w:t xml:space="preserve"> </w:t>
      </w:r>
      <w:r>
        <w:rPr>
          <w:i/>
          <w:sz w:val="21"/>
        </w:rPr>
        <w:t>Performance</w:t>
      </w:r>
      <w:r>
        <w:rPr>
          <w:i/>
          <w:spacing w:val="-1"/>
          <w:sz w:val="21"/>
        </w:rPr>
        <w:t xml:space="preserve"> </w:t>
      </w:r>
      <w:r>
        <w:rPr>
          <w:i/>
          <w:sz w:val="21"/>
        </w:rPr>
        <w:t>and</w:t>
      </w:r>
      <w:r>
        <w:rPr>
          <w:i/>
          <w:spacing w:val="-1"/>
          <w:sz w:val="21"/>
        </w:rPr>
        <w:t xml:space="preserve"> </w:t>
      </w:r>
      <w:r>
        <w:rPr>
          <w:i/>
          <w:sz w:val="21"/>
        </w:rPr>
        <w:t>Accountability</w:t>
      </w:r>
      <w:r>
        <w:rPr>
          <w:i/>
          <w:spacing w:val="-1"/>
          <w:sz w:val="21"/>
        </w:rPr>
        <w:t xml:space="preserve"> </w:t>
      </w:r>
      <w:r>
        <w:rPr>
          <w:i/>
          <w:sz w:val="21"/>
        </w:rPr>
        <w:t>Act</w:t>
      </w:r>
      <w:r>
        <w:rPr>
          <w:i/>
          <w:spacing w:val="-1"/>
          <w:sz w:val="21"/>
        </w:rPr>
        <w:t xml:space="preserve"> </w:t>
      </w:r>
      <w:r>
        <w:rPr>
          <w:i/>
          <w:spacing w:val="-4"/>
          <w:sz w:val="21"/>
        </w:rPr>
        <w:t>2013</w:t>
      </w:r>
    </w:p>
    <w:p w14:paraId="0917F8E2" w14:textId="77777777" w:rsidR="009D54AF" w:rsidRDefault="00000000">
      <w:pPr>
        <w:pStyle w:val="ListParagraph"/>
        <w:numPr>
          <w:ilvl w:val="0"/>
          <w:numId w:val="19"/>
        </w:numPr>
        <w:tabs>
          <w:tab w:val="left" w:pos="424"/>
        </w:tabs>
        <w:ind w:left="424" w:hanging="268"/>
        <w:rPr>
          <w:sz w:val="21"/>
        </w:rPr>
      </w:pPr>
      <w:r>
        <w:rPr>
          <w:sz w:val="21"/>
        </w:rPr>
        <w:t>Public</w:t>
      </w:r>
      <w:r>
        <w:rPr>
          <w:spacing w:val="-1"/>
          <w:sz w:val="21"/>
        </w:rPr>
        <w:t xml:space="preserve"> </w:t>
      </w:r>
      <w:r>
        <w:rPr>
          <w:sz w:val="21"/>
        </w:rPr>
        <w:t>Governance,</w:t>
      </w:r>
      <w:r>
        <w:rPr>
          <w:spacing w:val="-1"/>
          <w:sz w:val="21"/>
        </w:rPr>
        <w:t xml:space="preserve"> </w:t>
      </w:r>
      <w:r>
        <w:rPr>
          <w:sz w:val="21"/>
        </w:rPr>
        <w:t>Performance</w:t>
      </w:r>
      <w:r>
        <w:rPr>
          <w:spacing w:val="-1"/>
          <w:sz w:val="21"/>
        </w:rPr>
        <w:t xml:space="preserve"> </w:t>
      </w:r>
      <w:r>
        <w:rPr>
          <w:sz w:val="21"/>
        </w:rPr>
        <w:t>and</w:t>
      </w:r>
      <w:r>
        <w:rPr>
          <w:spacing w:val="-1"/>
          <w:sz w:val="21"/>
        </w:rPr>
        <w:t xml:space="preserve"> </w:t>
      </w:r>
      <w:r>
        <w:rPr>
          <w:sz w:val="21"/>
        </w:rPr>
        <w:t>Accountability</w:t>
      </w:r>
      <w:r>
        <w:rPr>
          <w:spacing w:val="-1"/>
          <w:sz w:val="21"/>
        </w:rPr>
        <w:t xml:space="preserve"> </w:t>
      </w:r>
      <w:r>
        <w:rPr>
          <w:sz w:val="21"/>
        </w:rPr>
        <w:t>Rule</w:t>
      </w:r>
      <w:r>
        <w:rPr>
          <w:spacing w:val="-1"/>
          <w:sz w:val="21"/>
        </w:rPr>
        <w:t xml:space="preserve"> </w:t>
      </w:r>
      <w:r>
        <w:rPr>
          <w:spacing w:val="-4"/>
          <w:sz w:val="21"/>
        </w:rPr>
        <w:t>2014</w:t>
      </w:r>
    </w:p>
    <w:p w14:paraId="77B3A11B" w14:textId="77777777" w:rsidR="009D54AF" w:rsidRDefault="00000000">
      <w:pPr>
        <w:pStyle w:val="ListParagraph"/>
        <w:numPr>
          <w:ilvl w:val="0"/>
          <w:numId w:val="19"/>
        </w:numPr>
        <w:tabs>
          <w:tab w:val="left" w:pos="424"/>
        </w:tabs>
        <w:spacing w:before="96"/>
        <w:ind w:left="424" w:hanging="268"/>
        <w:rPr>
          <w:sz w:val="21"/>
        </w:rPr>
      </w:pPr>
      <w:r>
        <w:rPr>
          <w:sz w:val="21"/>
        </w:rPr>
        <w:t>Appropriation</w:t>
      </w:r>
      <w:r>
        <w:rPr>
          <w:spacing w:val="2"/>
          <w:sz w:val="21"/>
        </w:rPr>
        <w:t xml:space="preserve"> </w:t>
      </w:r>
      <w:r>
        <w:rPr>
          <w:spacing w:val="-4"/>
          <w:sz w:val="21"/>
        </w:rPr>
        <w:t>Acts</w:t>
      </w:r>
    </w:p>
    <w:p w14:paraId="4138930D" w14:textId="77777777" w:rsidR="009D54AF" w:rsidRDefault="00000000">
      <w:pPr>
        <w:pStyle w:val="ListParagraph"/>
        <w:numPr>
          <w:ilvl w:val="0"/>
          <w:numId w:val="19"/>
        </w:numPr>
        <w:tabs>
          <w:tab w:val="left" w:pos="424"/>
        </w:tabs>
        <w:ind w:left="424" w:hanging="268"/>
        <w:rPr>
          <w:sz w:val="21"/>
        </w:rPr>
      </w:pPr>
      <w:r>
        <w:rPr>
          <w:sz w:val="21"/>
        </w:rPr>
        <w:t>other</w:t>
      </w:r>
      <w:r>
        <w:rPr>
          <w:spacing w:val="-6"/>
          <w:sz w:val="21"/>
        </w:rPr>
        <w:t xml:space="preserve"> </w:t>
      </w:r>
      <w:r>
        <w:rPr>
          <w:sz w:val="21"/>
        </w:rPr>
        <w:t>instruments</w:t>
      </w:r>
      <w:r>
        <w:rPr>
          <w:spacing w:val="-3"/>
          <w:sz w:val="21"/>
        </w:rPr>
        <w:t xml:space="preserve"> </w:t>
      </w:r>
      <w:r>
        <w:rPr>
          <w:sz w:val="21"/>
        </w:rPr>
        <w:t>defined</w:t>
      </w:r>
      <w:r>
        <w:rPr>
          <w:spacing w:val="-3"/>
          <w:sz w:val="21"/>
        </w:rPr>
        <w:t xml:space="preserve"> </w:t>
      </w:r>
      <w:r>
        <w:rPr>
          <w:sz w:val="21"/>
        </w:rPr>
        <w:t>as</w:t>
      </w:r>
      <w:r>
        <w:rPr>
          <w:spacing w:val="-3"/>
          <w:sz w:val="21"/>
        </w:rPr>
        <w:t xml:space="preserve"> </w:t>
      </w:r>
      <w:r>
        <w:rPr>
          <w:sz w:val="21"/>
        </w:rPr>
        <w:t>‘finance</w:t>
      </w:r>
      <w:r>
        <w:rPr>
          <w:spacing w:val="-3"/>
          <w:sz w:val="21"/>
        </w:rPr>
        <w:t xml:space="preserve"> </w:t>
      </w:r>
      <w:r>
        <w:rPr>
          <w:sz w:val="21"/>
        </w:rPr>
        <w:t>law’,</w:t>
      </w:r>
      <w:r>
        <w:rPr>
          <w:spacing w:val="-3"/>
          <w:sz w:val="21"/>
        </w:rPr>
        <w:t xml:space="preserve"> </w:t>
      </w:r>
      <w:r>
        <w:rPr>
          <w:sz w:val="21"/>
        </w:rPr>
        <w:t>including</w:t>
      </w:r>
      <w:r>
        <w:rPr>
          <w:spacing w:val="-3"/>
          <w:sz w:val="21"/>
        </w:rPr>
        <w:t xml:space="preserve"> </w:t>
      </w:r>
      <w:r>
        <w:rPr>
          <w:sz w:val="21"/>
        </w:rPr>
        <w:t>relevant</w:t>
      </w:r>
      <w:r>
        <w:rPr>
          <w:spacing w:val="-3"/>
          <w:sz w:val="21"/>
        </w:rPr>
        <w:t xml:space="preserve"> </w:t>
      </w:r>
      <w:r>
        <w:rPr>
          <w:sz w:val="21"/>
        </w:rPr>
        <w:t>ministerial</w:t>
      </w:r>
      <w:r>
        <w:rPr>
          <w:spacing w:val="-3"/>
          <w:sz w:val="21"/>
        </w:rPr>
        <w:t xml:space="preserve"> </w:t>
      </w:r>
      <w:r>
        <w:rPr>
          <w:spacing w:val="-2"/>
          <w:sz w:val="21"/>
        </w:rPr>
        <w:t>directions.</w:t>
      </w:r>
    </w:p>
    <w:p w14:paraId="326E3882" w14:textId="77777777" w:rsidR="009D54AF" w:rsidRDefault="009D54AF">
      <w:pPr>
        <w:pStyle w:val="BodyText"/>
        <w:spacing w:before="132"/>
      </w:pPr>
    </w:p>
    <w:p w14:paraId="497AA473" w14:textId="77777777" w:rsidR="009D54AF" w:rsidRDefault="00000000">
      <w:pPr>
        <w:pStyle w:val="Heading5"/>
        <w:spacing w:before="1"/>
      </w:pPr>
      <w:r>
        <w:t>Strategic</w:t>
      </w:r>
      <w:r>
        <w:rPr>
          <w:spacing w:val="-3"/>
        </w:rPr>
        <w:t xml:space="preserve"> </w:t>
      </w:r>
      <w:r>
        <w:rPr>
          <w:spacing w:val="-2"/>
        </w:rPr>
        <w:t>planning</w:t>
      </w:r>
    </w:p>
    <w:p w14:paraId="0103A5B9" w14:textId="77777777" w:rsidR="009D54AF" w:rsidRDefault="00000000">
      <w:pPr>
        <w:pStyle w:val="BodyText"/>
        <w:spacing w:before="132"/>
        <w:ind w:left="142"/>
      </w:pPr>
      <w:r>
        <w:t>The</w:t>
      </w:r>
      <w:r>
        <w:rPr>
          <w:spacing w:val="-3"/>
        </w:rPr>
        <w:t xml:space="preserve"> </w:t>
      </w:r>
      <w:r>
        <w:t>Commission’s</w:t>
      </w:r>
      <w:r>
        <w:rPr>
          <w:spacing w:val="-1"/>
        </w:rPr>
        <w:t xml:space="preserve"> </w:t>
      </w:r>
      <w:r>
        <w:t>Strategic</w:t>
      </w:r>
      <w:r>
        <w:rPr>
          <w:spacing w:val="-1"/>
        </w:rPr>
        <w:t xml:space="preserve"> </w:t>
      </w:r>
      <w:r>
        <w:t>Plan</w:t>
      </w:r>
      <w:r>
        <w:rPr>
          <w:spacing w:val="-1"/>
        </w:rPr>
        <w:t xml:space="preserve"> </w:t>
      </w:r>
      <w:r>
        <w:t>2025–2030 outlines</w:t>
      </w:r>
      <w:r>
        <w:rPr>
          <w:spacing w:val="-1"/>
        </w:rPr>
        <w:t xml:space="preserve"> </w:t>
      </w:r>
      <w:r>
        <w:t>four</w:t>
      </w:r>
      <w:r>
        <w:rPr>
          <w:spacing w:val="-1"/>
        </w:rPr>
        <w:t xml:space="preserve"> </w:t>
      </w:r>
      <w:r>
        <w:t>priority</w:t>
      </w:r>
      <w:r>
        <w:rPr>
          <w:spacing w:val="-1"/>
        </w:rPr>
        <w:t xml:space="preserve"> </w:t>
      </w:r>
      <w:r>
        <w:t>areas</w:t>
      </w:r>
      <w:r>
        <w:rPr>
          <w:spacing w:val="-1"/>
        </w:rPr>
        <w:t xml:space="preserve"> </w:t>
      </w:r>
      <w:r>
        <w:t xml:space="preserve">of </w:t>
      </w:r>
      <w:r>
        <w:rPr>
          <w:spacing w:val="-2"/>
        </w:rPr>
        <w:t>focus.</w:t>
      </w:r>
    </w:p>
    <w:p w14:paraId="03F96ACD" w14:textId="77777777" w:rsidR="009D54AF" w:rsidRDefault="00000000">
      <w:pPr>
        <w:pStyle w:val="ListParagraph"/>
        <w:numPr>
          <w:ilvl w:val="0"/>
          <w:numId w:val="19"/>
        </w:numPr>
        <w:tabs>
          <w:tab w:val="left" w:pos="424"/>
          <w:tab w:val="left" w:pos="440"/>
        </w:tabs>
        <w:spacing w:before="181" w:line="278" w:lineRule="auto"/>
        <w:ind w:right="856" w:hanging="284"/>
        <w:rPr>
          <w:sz w:val="21"/>
        </w:rPr>
      </w:pPr>
      <w:r>
        <w:rPr>
          <w:b/>
          <w:sz w:val="21"/>
        </w:rPr>
        <w:t xml:space="preserve">Strategic Priority 1: High-quality care in an evolving environment </w:t>
      </w:r>
      <w:r>
        <w:rPr>
          <w:sz w:val="21"/>
        </w:rPr>
        <w:t>– High-quality health care is delivered consistently, reliably and equitably for all Australians.</w:t>
      </w:r>
    </w:p>
    <w:p w14:paraId="1282DD9E" w14:textId="77777777" w:rsidR="009D54AF" w:rsidRDefault="00000000">
      <w:pPr>
        <w:pStyle w:val="ListParagraph"/>
        <w:numPr>
          <w:ilvl w:val="0"/>
          <w:numId w:val="19"/>
        </w:numPr>
        <w:tabs>
          <w:tab w:val="left" w:pos="424"/>
          <w:tab w:val="left" w:pos="440"/>
        </w:tabs>
        <w:spacing w:before="56" w:line="278" w:lineRule="auto"/>
        <w:ind w:right="384" w:hanging="284"/>
        <w:rPr>
          <w:sz w:val="21"/>
        </w:rPr>
      </w:pPr>
      <w:r>
        <w:rPr>
          <w:b/>
          <w:sz w:val="21"/>
        </w:rPr>
        <w:t xml:space="preserve">Strategic Priority 2: Strong outcome-focused clinical governance </w:t>
      </w:r>
      <w:r>
        <w:rPr>
          <w:sz w:val="21"/>
        </w:rPr>
        <w:t>– Clinical governance, integrated standards and accreditation drive better patient outcomes.</w:t>
      </w:r>
    </w:p>
    <w:p w14:paraId="417CBCA4" w14:textId="77777777" w:rsidR="009D54AF" w:rsidRDefault="00000000">
      <w:pPr>
        <w:pStyle w:val="ListParagraph"/>
        <w:numPr>
          <w:ilvl w:val="0"/>
          <w:numId w:val="19"/>
        </w:numPr>
        <w:tabs>
          <w:tab w:val="left" w:pos="424"/>
          <w:tab w:val="left" w:pos="440"/>
        </w:tabs>
        <w:spacing w:before="57" w:line="278" w:lineRule="auto"/>
        <w:ind w:right="558" w:hanging="284"/>
        <w:rPr>
          <w:sz w:val="21"/>
        </w:rPr>
      </w:pPr>
      <w:r>
        <w:rPr>
          <w:b/>
          <w:sz w:val="21"/>
        </w:rPr>
        <w:t xml:space="preserve">Strategic Priority 3: Empowered patients, carers and communities </w:t>
      </w:r>
      <w:r>
        <w:rPr>
          <w:sz w:val="21"/>
        </w:rPr>
        <w:t>– Health care is designed and delivered with patients and communities.</w:t>
      </w:r>
    </w:p>
    <w:p w14:paraId="695DA9A9" w14:textId="77777777" w:rsidR="009D54AF" w:rsidRDefault="00000000">
      <w:pPr>
        <w:pStyle w:val="ListParagraph"/>
        <w:numPr>
          <w:ilvl w:val="0"/>
          <w:numId w:val="19"/>
        </w:numPr>
        <w:tabs>
          <w:tab w:val="left" w:pos="424"/>
          <w:tab w:val="left" w:pos="440"/>
        </w:tabs>
        <w:spacing w:before="56" w:line="278" w:lineRule="auto"/>
        <w:ind w:right="650" w:hanging="284"/>
        <w:rPr>
          <w:sz w:val="21"/>
        </w:rPr>
      </w:pPr>
      <w:r>
        <w:rPr>
          <w:b/>
          <w:sz w:val="21"/>
        </w:rPr>
        <w:t xml:space="preserve">Strategic Priority 4: An improvement-driven workforce culture </w:t>
      </w:r>
      <w:r>
        <w:rPr>
          <w:sz w:val="21"/>
        </w:rPr>
        <w:t>– Better health care is everyone’s responsibility, every day.</w:t>
      </w:r>
    </w:p>
    <w:p w14:paraId="4942B2C1" w14:textId="77777777" w:rsidR="009D54AF" w:rsidRDefault="009D54AF">
      <w:pPr>
        <w:pStyle w:val="ListParagraph"/>
        <w:spacing w:line="278" w:lineRule="auto"/>
        <w:rPr>
          <w:sz w:val="21"/>
        </w:rPr>
        <w:sectPr w:rsidR="009D54AF">
          <w:pgSz w:w="11910" w:h="16840"/>
          <w:pgMar w:top="660" w:right="708" w:bottom="280" w:left="708" w:header="720" w:footer="720" w:gutter="0"/>
          <w:cols w:space="720"/>
        </w:sectPr>
      </w:pPr>
    </w:p>
    <w:p w14:paraId="1ED06158" w14:textId="77777777" w:rsidR="009D54AF" w:rsidRDefault="00000000">
      <w:pPr>
        <w:pStyle w:val="Heading5"/>
        <w:spacing w:before="66"/>
      </w:pPr>
      <w:r>
        <w:lastRenderedPageBreak/>
        <w:t>Ministerial</w:t>
      </w:r>
      <w:r>
        <w:rPr>
          <w:spacing w:val="-9"/>
        </w:rPr>
        <w:t xml:space="preserve"> </w:t>
      </w:r>
      <w:r>
        <w:rPr>
          <w:spacing w:val="-2"/>
        </w:rPr>
        <w:t>directions</w:t>
      </w:r>
    </w:p>
    <w:p w14:paraId="3B332E88" w14:textId="77777777" w:rsidR="009D54AF" w:rsidRDefault="00000000">
      <w:pPr>
        <w:pStyle w:val="BodyText"/>
        <w:spacing w:before="132" w:line="278" w:lineRule="auto"/>
        <w:ind w:left="142"/>
      </w:pPr>
      <w:r>
        <w:t xml:space="preserve">Section 16 of the </w:t>
      </w:r>
      <w:r>
        <w:rPr>
          <w:i/>
        </w:rPr>
        <w:t xml:space="preserve">National Health Reform Act 2011 </w:t>
      </w:r>
      <w:r>
        <w:t>empowers the Australian Government Minister for Health, Disability</w:t>
      </w:r>
      <w:r>
        <w:rPr>
          <w:spacing w:val="-2"/>
        </w:rPr>
        <w:t xml:space="preserve"> </w:t>
      </w:r>
      <w:r>
        <w:t>and</w:t>
      </w:r>
      <w:r>
        <w:rPr>
          <w:spacing w:val="-2"/>
        </w:rPr>
        <w:t xml:space="preserve"> </w:t>
      </w:r>
      <w:r>
        <w:t>Ageing</w:t>
      </w:r>
      <w:r>
        <w:rPr>
          <w:spacing w:val="-2"/>
        </w:rPr>
        <w:t xml:space="preserve"> </w:t>
      </w:r>
      <w:r>
        <w:t>to</w:t>
      </w:r>
      <w:r>
        <w:rPr>
          <w:spacing w:val="-2"/>
        </w:rPr>
        <w:t xml:space="preserve"> </w:t>
      </w:r>
      <w:r>
        <w:t>make</w:t>
      </w:r>
      <w:r>
        <w:rPr>
          <w:spacing w:val="-2"/>
        </w:rPr>
        <w:t xml:space="preserve"> </w:t>
      </w:r>
      <w:r>
        <w:t>directions</w:t>
      </w:r>
      <w:r>
        <w:rPr>
          <w:spacing w:val="-2"/>
        </w:rPr>
        <w:t xml:space="preserve"> </w:t>
      </w:r>
      <w:r>
        <w:t>with</w:t>
      </w:r>
      <w:r>
        <w:rPr>
          <w:spacing w:val="-2"/>
        </w:rPr>
        <w:t xml:space="preserve"> </w:t>
      </w:r>
      <w:r>
        <w:t>which</w:t>
      </w:r>
      <w:r>
        <w:rPr>
          <w:spacing w:val="-2"/>
        </w:rPr>
        <w:t xml:space="preserve"> </w:t>
      </w:r>
      <w:r>
        <w:t>the</w:t>
      </w:r>
      <w:r>
        <w:rPr>
          <w:spacing w:val="-2"/>
        </w:rPr>
        <w:t xml:space="preserve"> </w:t>
      </w:r>
      <w:r>
        <w:t>Commission</w:t>
      </w:r>
      <w:r>
        <w:rPr>
          <w:spacing w:val="-2"/>
        </w:rPr>
        <w:t xml:space="preserve"> </w:t>
      </w:r>
      <w:r>
        <w:t>must</w:t>
      </w:r>
      <w:r>
        <w:rPr>
          <w:spacing w:val="-2"/>
        </w:rPr>
        <w:t xml:space="preserve"> </w:t>
      </w:r>
      <w:r>
        <w:t>comply.</w:t>
      </w:r>
      <w:r>
        <w:rPr>
          <w:spacing w:val="-2"/>
        </w:rPr>
        <w:t xml:space="preserve"> </w:t>
      </w:r>
      <w:r>
        <w:t>The</w:t>
      </w:r>
      <w:r>
        <w:rPr>
          <w:spacing w:val="-2"/>
        </w:rPr>
        <w:t xml:space="preserve"> </w:t>
      </w:r>
      <w:r>
        <w:t>Minister</w:t>
      </w:r>
      <w:r>
        <w:rPr>
          <w:spacing w:val="-2"/>
        </w:rPr>
        <w:t xml:space="preserve"> </w:t>
      </w:r>
      <w:r>
        <w:t>for</w:t>
      </w:r>
      <w:r>
        <w:rPr>
          <w:spacing w:val="-2"/>
        </w:rPr>
        <w:t xml:space="preserve"> </w:t>
      </w:r>
      <w:r>
        <w:t>Health</w:t>
      </w:r>
      <w:r>
        <w:rPr>
          <w:spacing w:val="-2"/>
        </w:rPr>
        <w:t xml:space="preserve"> </w:t>
      </w:r>
      <w:r>
        <w:t>and Ageing made no such directions during the 2025–26 reporting period.</w:t>
      </w:r>
    </w:p>
    <w:p w14:paraId="358CEEC6" w14:textId="77777777" w:rsidR="009D54AF" w:rsidRDefault="00000000">
      <w:pPr>
        <w:pStyle w:val="Heading1"/>
        <w:spacing w:before="124"/>
      </w:pPr>
      <w:bookmarkStart w:id="44" w:name="_The_Commission’s_Board"/>
      <w:bookmarkStart w:id="45" w:name="_Toc243037280"/>
      <w:bookmarkEnd w:id="44"/>
      <w:r>
        <w:rPr>
          <w:spacing w:val="-4"/>
        </w:rPr>
        <w:t>The</w:t>
      </w:r>
      <w:r>
        <w:rPr>
          <w:spacing w:val="-17"/>
        </w:rPr>
        <w:t xml:space="preserve"> </w:t>
      </w:r>
      <w:r>
        <w:rPr>
          <w:spacing w:val="-4"/>
        </w:rPr>
        <w:t>Commission’s</w:t>
      </w:r>
      <w:r>
        <w:rPr>
          <w:spacing w:val="-16"/>
        </w:rPr>
        <w:t xml:space="preserve"> </w:t>
      </w:r>
      <w:r>
        <w:rPr>
          <w:spacing w:val="-4"/>
        </w:rPr>
        <w:t>Board</w:t>
      </w:r>
      <w:bookmarkEnd w:id="45"/>
    </w:p>
    <w:p w14:paraId="7AB0F3D3" w14:textId="77777777" w:rsidR="009D54AF" w:rsidRDefault="00000000">
      <w:pPr>
        <w:pStyle w:val="Heading9"/>
        <w:spacing w:line="268" w:lineRule="auto"/>
      </w:pPr>
      <w:r>
        <w:t>The</w:t>
      </w:r>
      <w:r>
        <w:rPr>
          <w:spacing w:val="-9"/>
        </w:rPr>
        <w:t xml:space="preserve"> </w:t>
      </w:r>
      <w:r>
        <w:t>Commission’s</w:t>
      </w:r>
      <w:r>
        <w:rPr>
          <w:spacing w:val="-9"/>
        </w:rPr>
        <w:t xml:space="preserve"> </w:t>
      </w:r>
      <w:r>
        <w:t>Board</w:t>
      </w:r>
      <w:r>
        <w:rPr>
          <w:spacing w:val="-9"/>
        </w:rPr>
        <w:t xml:space="preserve"> </w:t>
      </w:r>
      <w:r>
        <w:t>governs</w:t>
      </w:r>
      <w:r>
        <w:rPr>
          <w:spacing w:val="-9"/>
        </w:rPr>
        <w:t xml:space="preserve"> </w:t>
      </w:r>
      <w:r>
        <w:t>the</w:t>
      </w:r>
      <w:r>
        <w:rPr>
          <w:spacing w:val="-9"/>
        </w:rPr>
        <w:t xml:space="preserve"> </w:t>
      </w:r>
      <w:proofErr w:type="spellStart"/>
      <w:r>
        <w:t>organisation</w:t>
      </w:r>
      <w:proofErr w:type="spellEnd"/>
      <w:r>
        <w:rPr>
          <w:spacing w:val="-9"/>
        </w:rPr>
        <w:t xml:space="preserve"> </w:t>
      </w:r>
      <w:r>
        <w:t>and</w:t>
      </w:r>
      <w:r>
        <w:rPr>
          <w:spacing w:val="-9"/>
        </w:rPr>
        <w:t xml:space="preserve"> </w:t>
      </w:r>
      <w:r>
        <w:t>is</w:t>
      </w:r>
      <w:r>
        <w:rPr>
          <w:spacing w:val="-9"/>
        </w:rPr>
        <w:t xml:space="preserve"> </w:t>
      </w:r>
      <w:r>
        <w:t>responsible</w:t>
      </w:r>
      <w:r>
        <w:rPr>
          <w:spacing w:val="-9"/>
        </w:rPr>
        <w:t xml:space="preserve"> </w:t>
      </w:r>
      <w:r>
        <w:t>for</w:t>
      </w:r>
      <w:r>
        <w:rPr>
          <w:spacing w:val="-9"/>
        </w:rPr>
        <w:t xml:space="preserve"> </w:t>
      </w:r>
      <w:r>
        <w:t>the</w:t>
      </w:r>
      <w:r>
        <w:rPr>
          <w:spacing w:val="-9"/>
        </w:rPr>
        <w:t xml:space="preserve"> </w:t>
      </w:r>
      <w:r>
        <w:t>proper</w:t>
      </w:r>
      <w:r>
        <w:rPr>
          <w:spacing w:val="-9"/>
        </w:rPr>
        <w:t xml:space="preserve"> </w:t>
      </w:r>
      <w:r>
        <w:t>and</w:t>
      </w:r>
      <w:r>
        <w:rPr>
          <w:spacing w:val="-9"/>
        </w:rPr>
        <w:t xml:space="preserve"> </w:t>
      </w:r>
      <w:r>
        <w:t>efficient performance of its functions. The Board establishes the Commission’s strategic direction, including directing and approving its strategic plan and monitoring its implementation.</w:t>
      </w:r>
    </w:p>
    <w:p w14:paraId="7186D3F2" w14:textId="77777777" w:rsidR="009D54AF" w:rsidRDefault="009D54AF">
      <w:pPr>
        <w:pStyle w:val="BodyText"/>
        <w:spacing w:before="8"/>
        <w:rPr>
          <w:sz w:val="24"/>
        </w:rPr>
      </w:pPr>
    </w:p>
    <w:p w14:paraId="5C7DD323" w14:textId="77777777" w:rsidR="009D54AF" w:rsidRDefault="00000000">
      <w:pPr>
        <w:pStyle w:val="BodyText"/>
        <w:spacing w:line="278" w:lineRule="auto"/>
        <w:ind w:left="142" w:right="214"/>
      </w:pPr>
      <w:r>
        <w:t>The Board also oversees the Commission’s operations. It ensures that appropriate systems and processes are</w:t>
      </w:r>
      <w:r>
        <w:rPr>
          <w:spacing w:val="-3"/>
        </w:rPr>
        <w:t xml:space="preserve"> </w:t>
      </w:r>
      <w:r>
        <w:t>in</w:t>
      </w:r>
      <w:r>
        <w:rPr>
          <w:spacing w:val="-3"/>
        </w:rPr>
        <w:t xml:space="preserve"> </w:t>
      </w:r>
      <w:r>
        <w:t>place</w:t>
      </w:r>
      <w:r>
        <w:rPr>
          <w:spacing w:val="-3"/>
        </w:rPr>
        <w:t xml:space="preserve"> </w:t>
      </w:r>
      <w:r>
        <w:t>to</w:t>
      </w:r>
      <w:r>
        <w:rPr>
          <w:spacing w:val="-3"/>
        </w:rPr>
        <w:t xml:space="preserve"> </w:t>
      </w:r>
      <w:r>
        <w:t>ensure</w:t>
      </w:r>
      <w:r>
        <w:rPr>
          <w:spacing w:val="-3"/>
        </w:rPr>
        <w:t xml:space="preserve"> </w:t>
      </w:r>
      <w:r>
        <w:t>the</w:t>
      </w:r>
      <w:r>
        <w:rPr>
          <w:spacing w:val="-3"/>
        </w:rPr>
        <w:t xml:space="preserve"> </w:t>
      </w:r>
      <w:r>
        <w:t>Commission</w:t>
      </w:r>
      <w:r>
        <w:rPr>
          <w:spacing w:val="-3"/>
        </w:rPr>
        <w:t xml:space="preserve"> </w:t>
      </w:r>
      <w:r>
        <w:t>operates</w:t>
      </w:r>
      <w:r>
        <w:rPr>
          <w:spacing w:val="-3"/>
        </w:rPr>
        <w:t xml:space="preserve"> </w:t>
      </w:r>
      <w:r>
        <w:t>in</w:t>
      </w:r>
      <w:r>
        <w:rPr>
          <w:spacing w:val="-3"/>
        </w:rPr>
        <w:t xml:space="preserve"> </w:t>
      </w:r>
      <w:r>
        <w:t>a</w:t>
      </w:r>
      <w:r>
        <w:rPr>
          <w:spacing w:val="-3"/>
        </w:rPr>
        <w:t xml:space="preserve"> </w:t>
      </w:r>
      <w:r>
        <w:t>safe,</w:t>
      </w:r>
      <w:r>
        <w:rPr>
          <w:spacing w:val="-3"/>
        </w:rPr>
        <w:t xml:space="preserve"> </w:t>
      </w:r>
      <w:r>
        <w:t>responsible</w:t>
      </w:r>
      <w:r>
        <w:rPr>
          <w:spacing w:val="-3"/>
        </w:rPr>
        <w:t xml:space="preserve"> </w:t>
      </w:r>
      <w:r>
        <w:t>and</w:t>
      </w:r>
      <w:r>
        <w:rPr>
          <w:spacing w:val="-3"/>
        </w:rPr>
        <w:t xml:space="preserve"> </w:t>
      </w:r>
      <w:r>
        <w:t>ethical</w:t>
      </w:r>
      <w:r>
        <w:rPr>
          <w:spacing w:val="-3"/>
        </w:rPr>
        <w:t xml:space="preserve"> </w:t>
      </w:r>
      <w:r>
        <w:t>manner,</w:t>
      </w:r>
      <w:r>
        <w:rPr>
          <w:spacing w:val="-3"/>
        </w:rPr>
        <w:t xml:space="preserve"> </w:t>
      </w:r>
      <w:r>
        <w:t>consistent</w:t>
      </w:r>
      <w:r>
        <w:rPr>
          <w:spacing w:val="-3"/>
        </w:rPr>
        <w:t xml:space="preserve"> </w:t>
      </w:r>
      <w:r>
        <w:t>with</w:t>
      </w:r>
      <w:r>
        <w:rPr>
          <w:spacing w:val="-3"/>
        </w:rPr>
        <w:t xml:space="preserve"> </w:t>
      </w:r>
      <w:r>
        <w:t>its regulatory requirements.</w:t>
      </w:r>
    </w:p>
    <w:p w14:paraId="6219D907" w14:textId="77777777" w:rsidR="009D54AF" w:rsidRDefault="00000000">
      <w:pPr>
        <w:spacing w:before="142"/>
        <w:ind w:left="142"/>
        <w:rPr>
          <w:sz w:val="21"/>
        </w:rPr>
      </w:pPr>
      <w:r>
        <w:rPr>
          <w:sz w:val="21"/>
        </w:rPr>
        <w:t>The</w:t>
      </w:r>
      <w:r>
        <w:rPr>
          <w:spacing w:val="-3"/>
          <w:sz w:val="21"/>
        </w:rPr>
        <w:t xml:space="preserve"> </w:t>
      </w:r>
      <w:r>
        <w:rPr>
          <w:sz w:val="21"/>
        </w:rPr>
        <w:t>Board</w:t>
      </w:r>
      <w:r>
        <w:rPr>
          <w:spacing w:val="-3"/>
          <w:sz w:val="21"/>
        </w:rPr>
        <w:t xml:space="preserve"> </w:t>
      </w:r>
      <w:r>
        <w:rPr>
          <w:sz w:val="21"/>
        </w:rPr>
        <w:t>is</w:t>
      </w:r>
      <w:r>
        <w:rPr>
          <w:spacing w:val="-2"/>
          <w:sz w:val="21"/>
        </w:rPr>
        <w:t xml:space="preserve"> </w:t>
      </w:r>
      <w:r>
        <w:rPr>
          <w:sz w:val="21"/>
        </w:rPr>
        <w:t>established</w:t>
      </w:r>
      <w:r>
        <w:rPr>
          <w:spacing w:val="-3"/>
          <w:sz w:val="21"/>
        </w:rPr>
        <w:t xml:space="preserve"> </w:t>
      </w:r>
      <w:r>
        <w:rPr>
          <w:sz w:val="21"/>
        </w:rPr>
        <w:t>and</w:t>
      </w:r>
      <w:r>
        <w:rPr>
          <w:spacing w:val="-3"/>
          <w:sz w:val="21"/>
        </w:rPr>
        <w:t xml:space="preserve"> </w:t>
      </w:r>
      <w:r>
        <w:rPr>
          <w:sz w:val="21"/>
        </w:rPr>
        <w:t>governed</w:t>
      </w:r>
      <w:r>
        <w:rPr>
          <w:spacing w:val="-2"/>
          <w:sz w:val="21"/>
        </w:rPr>
        <w:t xml:space="preserve"> </w:t>
      </w:r>
      <w:r>
        <w:rPr>
          <w:sz w:val="21"/>
        </w:rPr>
        <w:t>by</w:t>
      </w:r>
      <w:r>
        <w:rPr>
          <w:spacing w:val="-3"/>
          <w:sz w:val="21"/>
        </w:rPr>
        <w:t xml:space="preserve"> </w:t>
      </w:r>
      <w:r>
        <w:rPr>
          <w:sz w:val="21"/>
        </w:rPr>
        <w:t>the</w:t>
      </w:r>
      <w:r>
        <w:rPr>
          <w:spacing w:val="-3"/>
          <w:sz w:val="21"/>
        </w:rPr>
        <w:t xml:space="preserve"> </w:t>
      </w:r>
      <w:r>
        <w:rPr>
          <w:sz w:val="21"/>
        </w:rPr>
        <w:t>provisions</w:t>
      </w:r>
      <w:r>
        <w:rPr>
          <w:spacing w:val="-2"/>
          <w:sz w:val="21"/>
        </w:rPr>
        <w:t xml:space="preserve"> </w:t>
      </w:r>
      <w:r>
        <w:rPr>
          <w:sz w:val="21"/>
        </w:rPr>
        <w:t>of</w:t>
      </w:r>
      <w:r>
        <w:rPr>
          <w:spacing w:val="-3"/>
          <w:sz w:val="21"/>
        </w:rPr>
        <w:t xml:space="preserve"> </w:t>
      </w:r>
      <w:r>
        <w:rPr>
          <w:sz w:val="21"/>
        </w:rPr>
        <w:t>the</w:t>
      </w:r>
      <w:r>
        <w:rPr>
          <w:spacing w:val="-4"/>
          <w:sz w:val="21"/>
        </w:rPr>
        <w:t xml:space="preserve"> </w:t>
      </w:r>
      <w:r>
        <w:rPr>
          <w:i/>
          <w:sz w:val="21"/>
        </w:rPr>
        <w:t>National</w:t>
      </w:r>
      <w:r>
        <w:rPr>
          <w:i/>
          <w:spacing w:val="-2"/>
          <w:sz w:val="21"/>
        </w:rPr>
        <w:t xml:space="preserve"> </w:t>
      </w:r>
      <w:r>
        <w:rPr>
          <w:i/>
          <w:sz w:val="21"/>
        </w:rPr>
        <w:t>Health</w:t>
      </w:r>
      <w:r>
        <w:rPr>
          <w:i/>
          <w:spacing w:val="-3"/>
          <w:sz w:val="21"/>
        </w:rPr>
        <w:t xml:space="preserve"> </w:t>
      </w:r>
      <w:r>
        <w:rPr>
          <w:i/>
          <w:sz w:val="21"/>
        </w:rPr>
        <w:t>Reform</w:t>
      </w:r>
      <w:r>
        <w:rPr>
          <w:i/>
          <w:spacing w:val="-3"/>
          <w:sz w:val="21"/>
        </w:rPr>
        <w:t xml:space="preserve"> </w:t>
      </w:r>
      <w:r>
        <w:rPr>
          <w:i/>
          <w:sz w:val="21"/>
        </w:rPr>
        <w:t>Act</w:t>
      </w:r>
      <w:r>
        <w:rPr>
          <w:i/>
          <w:spacing w:val="-2"/>
          <w:sz w:val="21"/>
        </w:rPr>
        <w:t xml:space="preserve"> </w:t>
      </w:r>
      <w:r>
        <w:rPr>
          <w:i/>
          <w:sz w:val="21"/>
        </w:rPr>
        <w:t>2011</w:t>
      </w:r>
      <w:r>
        <w:rPr>
          <w:i/>
          <w:spacing w:val="-3"/>
          <w:sz w:val="21"/>
        </w:rPr>
        <w:t xml:space="preserve"> </w:t>
      </w:r>
      <w:r>
        <w:rPr>
          <w:sz w:val="21"/>
        </w:rPr>
        <w:t>and</w:t>
      </w:r>
      <w:r>
        <w:rPr>
          <w:spacing w:val="-2"/>
          <w:sz w:val="21"/>
        </w:rPr>
        <w:t xml:space="preserve"> </w:t>
      </w:r>
      <w:r>
        <w:rPr>
          <w:spacing w:val="-5"/>
          <w:sz w:val="21"/>
        </w:rPr>
        <w:t>the</w:t>
      </w:r>
    </w:p>
    <w:p w14:paraId="14A7D04A" w14:textId="77777777" w:rsidR="009D54AF" w:rsidRDefault="00000000">
      <w:pPr>
        <w:spacing w:before="38"/>
        <w:ind w:left="142"/>
        <w:rPr>
          <w:sz w:val="21"/>
        </w:rPr>
      </w:pPr>
      <w:r>
        <w:rPr>
          <w:i/>
          <w:sz w:val="21"/>
        </w:rPr>
        <w:t>Public</w:t>
      </w:r>
      <w:r>
        <w:rPr>
          <w:i/>
          <w:spacing w:val="-3"/>
          <w:sz w:val="21"/>
        </w:rPr>
        <w:t xml:space="preserve"> </w:t>
      </w:r>
      <w:r>
        <w:rPr>
          <w:i/>
          <w:sz w:val="21"/>
        </w:rPr>
        <w:t>Governance,</w:t>
      </w:r>
      <w:r>
        <w:rPr>
          <w:i/>
          <w:spacing w:val="-1"/>
          <w:sz w:val="21"/>
        </w:rPr>
        <w:t xml:space="preserve"> </w:t>
      </w:r>
      <w:r>
        <w:rPr>
          <w:i/>
          <w:sz w:val="21"/>
        </w:rPr>
        <w:t>Performance</w:t>
      </w:r>
      <w:r>
        <w:rPr>
          <w:i/>
          <w:spacing w:val="-1"/>
          <w:sz w:val="21"/>
        </w:rPr>
        <w:t xml:space="preserve"> </w:t>
      </w:r>
      <w:r>
        <w:rPr>
          <w:i/>
          <w:sz w:val="21"/>
        </w:rPr>
        <w:t>and</w:t>
      </w:r>
      <w:r>
        <w:rPr>
          <w:i/>
          <w:spacing w:val="-1"/>
          <w:sz w:val="21"/>
        </w:rPr>
        <w:t xml:space="preserve"> </w:t>
      </w:r>
      <w:r>
        <w:rPr>
          <w:i/>
          <w:sz w:val="21"/>
        </w:rPr>
        <w:t>Accountability</w:t>
      </w:r>
      <w:r>
        <w:rPr>
          <w:i/>
          <w:spacing w:val="-1"/>
          <w:sz w:val="21"/>
        </w:rPr>
        <w:t xml:space="preserve"> </w:t>
      </w:r>
      <w:r>
        <w:rPr>
          <w:i/>
          <w:sz w:val="21"/>
        </w:rPr>
        <w:t>Act</w:t>
      </w:r>
      <w:r>
        <w:rPr>
          <w:i/>
          <w:spacing w:val="-1"/>
          <w:sz w:val="21"/>
        </w:rPr>
        <w:t xml:space="preserve"> </w:t>
      </w:r>
      <w:r>
        <w:rPr>
          <w:i/>
          <w:spacing w:val="-2"/>
          <w:sz w:val="21"/>
        </w:rPr>
        <w:t>2013</w:t>
      </w:r>
      <w:r>
        <w:rPr>
          <w:spacing w:val="-2"/>
          <w:sz w:val="21"/>
        </w:rPr>
        <w:t>.</w:t>
      </w:r>
    </w:p>
    <w:p w14:paraId="04EE6C32" w14:textId="77777777" w:rsidR="009D54AF" w:rsidRDefault="009D54AF">
      <w:pPr>
        <w:pStyle w:val="BodyText"/>
        <w:spacing w:before="104"/>
      </w:pPr>
    </w:p>
    <w:p w14:paraId="49B96E50" w14:textId="77777777" w:rsidR="009D54AF" w:rsidRDefault="00000000">
      <w:pPr>
        <w:pStyle w:val="Heading5"/>
        <w:spacing w:before="1"/>
      </w:pPr>
      <w:r>
        <w:t>Related-entity</w:t>
      </w:r>
      <w:r>
        <w:rPr>
          <w:spacing w:val="17"/>
        </w:rPr>
        <w:t xml:space="preserve"> </w:t>
      </w:r>
      <w:r>
        <w:rPr>
          <w:spacing w:val="-2"/>
        </w:rPr>
        <w:t>transactions</w:t>
      </w:r>
    </w:p>
    <w:p w14:paraId="69C9DD15" w14:textId="77777777" w:rsidR="009D54AF" w:rsidRDefault="00000000">
      <w:pPr>
        <w:spacing w:before="132" w:line="278" w:lineRule="auto"/>
        <w:ind w:left="142" w:right="246"/>
        <w:rPr>
          <w:sz w:val="21"/>
        </w:rPr>
      </w:pPr>
      <w:r>
        <w:rPr>
          <w:sz w:val="21"/>
        </w:rPr>
        <w:t>In accordance with the requirements prescribed by section 17BE of the Public Governance, Performance</w:t>
      </w:r>
      <w:r>
        <w:rPr>
          <w:spacing w:val="40"/>
          <w:sz w:val="21"/>
        </w:rPr>
        <w:t xml:space="preserve"> </w:t>
      </w:r>
      <w:r>
        <w:rPr>
          <w:sz w:val="21"/>
        </w:rPr>
        <w:t>and</w:t>
      </w:r>
      <w:r>
        <w:rPr>
          <w:spacing w:val="-3"/>
          <w:sz w:val="21"/>
        </w:rPr>
        <w:t xml:space="preserve"> </w:t>
      </w:r>
      <w:r>
        <w:rPr>
          <w:sz w:val="21"/>
        </w:rPr>
        <w:t>Accountability</w:t>
      </w:r>
      <w:r>
        <w:rPr>
          <w:spacing w:val="-3"/>
          <w:sz w:val="21"/>
        </w:rPr>
        <w:t xml:space="preserve"> </w:t>
      </w:r>
      <w:r>
        <w:rPr>
          <w:sz w:val="21"/>
        </w:rPr>
        <w:t>Rule</w:t>
      </w:r>
      <w:r>
        <w:rPr>
          <w:spacing w:val="-3"/>
          <w:sz w:val="21"/>
        </w:rPr>
        <w:t xml:space="preserve"> </w:t>
      </w:r>
      <w:r>
        <w:rPr>
          <w:sz w:val="21"/>
        </w:rPr>
        <w:t>2014</w:t>
      </w:r>
      <w:r>
        <w:rPr>
          <w:spacing w:val="-3"/>
          <w:sz w:val="21"/>
        </w:rPr>
        <w:t xml:space="preserve"> </w:t>
      </w:r>
      <w:r>
        <w:rPr>
          <w:sz w:val="21"/>
        </w:rPr>
        <w:t>and</w:t>
      </w:r>
      <w:r>
        <w:rPr>
          <w:spacing w:val="-3"/>
          <w:sz w:val="21"/>
        </w:rPr>
        <w:t xml:space="preserve"> </w:t>
      </w:r>
      <w:r>
        <w:rPr>
          <w:sz w:val="21"/>
        </w:rPr>
        <w:t>the</w:t>
      </w:r>
      <w:r>
        <w:rPr>
          <w:spacing w:val="-3"/>
          <w:sz w:val="21"/>
        </w:rPr>
        <w:t xml:space="preserve"> </w:t>
      </w:r>
      <w:r>
        <w:rPr>
          <w:sz w:val="21"/>
        </w:rPr>
        <w:t>Australian</w:t>
      </w:r>
      <w:r>
        <w:rPr>
          <w:spacing w:val="-3"/>
          <w:sz w:val="21"/>
        </w:rPr>
        <w:t xml:space="preserve"> </w:t>
      </w:r>
      <w:r>
        <w:rPr>
          <w:sz w:val="21"/>
        </w:rPr>
        <w:t>Government</w:t>
      </w:r>
      <w:r>
        <w:rPr>
          <w:spacing w:val="-3"/>
          <w:sz w:val="21"/>
        </w:rPr>
        <w:t xml:space="preserve"> </w:t>
      </w:r>
      <w:r>
        <w:rPr>
          <w:sz w:val="21"/>
        </w:rPr>
        <w:t>Department</w:t>
      </w:r>
      <w:r>
        <w:rPr>
          <w:spacing w:val="-3"/>
          <w:sz w:val="21"/>
        </w:rPr>
        <w:t xml:space="preserve"> </w:t>
      </w:r>
      <w:r>
        <w:rPr>
          <w:sz w:val="21"/>
        </w:rPr>
        <w:t>of</w:t>
      </w:r>
      <w:r>
        <w:rPr>
          <w:spacing w:val="-3"/>
          <w:sz w:val="21"/>
        </w:rPr>
        <w:t xml:space="preserve"> </w:t>
      </w:r>
      <w:r>
        <w:rPr>
          <w:sz w:val="21"/>
        </w:rPr>
        <w:t>Finance</w:t>
      </w:r>
      <w:r>
        <w:rPr>
          <w:spacing w:val="-3"/>
          <w:sz w:val="21"/>
        </w:rPr>
        <w:t xml:space="preserve"> </w:t>
      </w:r>
      <w:r>
        <w:rPr>
          <w:i/>
          <w:sz w:val="21"/>
        </w:rPr>
        <w:t>Resource</w:t>
      </w:r>
      <w:r>
        <w:rPr>
          <w:i/>
          <w:spacing w:val="-3"/>
          <w:sz w:val="21"/>
        </w:rPr>
        <w:t xml:space="preserve"> </w:t>
      </w:r>
      <w:r>
        <w:rPr>
          <w:i/>
          <w:sz w:val="21"/>
        </w:rPr>
        <w:t>Management Guide 136: Annual reports for corporate Commonwealth entities</w:t>
      </w:r>
      <w:r>
        <w:rPr>
          <w:sz w:val="21"/>
        </w:rPr>
        <w:t>, related-entity transactions for 2025–26 are disclosed in Appendix A.</w:t>
      </w:r>
    </w:p>
    <w:p w14:paraId="00336FA9" w14:textId="77777777" w:rsidR="009D54AF" w:rsidRDefault="009D54AF">
      <w:pPr>
        <w:pStyle w:val="BodyText"/>
        <w:spacing w:before="66"/>
      </w:pPr>
    </w:p>
    <w:p w14:paraId="504F51A1" w14:textId="77777777" w:rsidR="009D54AF" w:rsidRDefault="00000000">
      <w:pPr>
        <w:pStyle w:val="Heading5"/>
      </w:pPr>
      <w:r>
        <w:t>Indemnity</w:t>
      </w:r>
      <w:r>
        <w:rPr>
          <w:spacing w:val="1"/>
        </w:rPr>
        <w:t xml:space="preserve"> </w:t>
      </w:r>
      <w:r>
        <w:t>and</w:t>
      </w:r>
      <w:r>
        <w:rPr>
          <w:spacing w:val="2"/>
        </w:rPr>
        <w:t xml:space="preserve"> </w:t>
      </w:r>
      <w:r>
        <w:rPr>
          <w:spacing w:val="-2"/>
        </w:rPr>
        <w:t>insurance</w:t>
      </w:r>
    </w:p>
    <w:p w14:paraId="0DFB5FEA" w14:textId="77777777" w:rsidR="009D54AF" w:rsidRDefault="00000000">
      <w:pPr>
        <w:pStyle w:val="BodyText"/>
        <w:spacing w:before="133" w:line="278" w:lineRule="auto"/>
        <w:ind w:left="142" w:right="145"/>
      </w:pPr>
      <w:r>
        <w:t xml:space="preserve">The Commission holds directors’ and officers’ liability insurance cover through </w:t>
      </w:r>
      <w:proofErr w:type="spellStart"/>
      <w:r>
        <w:t>Comcover</w:t>
      </w:r>
      <w:proofErr w:type="spellEnd"/>
      <w:r>
        <w:t>, the Australian Government’s</w:t>
      </w:r>
      <w:r>
        <w:rPr>
          <w:spacing w:val="-2"/>
        </w:rPr>
        <w:t xml:space="preserve"> </w:t>
      </w:r>
      <w:r>
        <w:t>self-managed</w:t>
      </w:r>
      <w:r>
        <w:rPr>
          <w:spacing w:val="-2"/>
        </w:rPr>
        <w:t xml:space="preserve"> </w:t>
      </w:r>
      <w:r>
        <w:t>fund.</w:t>
      </w:r>
      <w:r>
        <w:rPr>
          <w:spacing w:val="-2"/>
        </w:rPr>
        <w:t xml:space="preserve"> </w:t>
      </w:r>
      <w:r>
        <w:t>As</w:t>
      </w:r>
      <w:r>
        <w:rPr>
          <w:spacing w:val="-2"/>
        </w:rPr>
        <w:t xml:space="preserve"> </w:t>
      </w:r>
      <w:r>
        <w:t>part</w:t>
      </w:r>
      <w:r>
        <w:rPr>
          <w:spacing w:val="-2"/>
        </w:rPr>
        <w:t xml:space="preserve"> </w:t>
      </w:r>
      <w:r>
        <w:t>of</w:t>
      </w:r>
      <w:r>
        <w:rPr>
          <w:spacing w:val="-2"/>
        </w:rPr>
        <w:t xml:space="preserve"> </w:t>
      </w:r>
      <w:r>
        <w:t>its</w:t>
      </w:r>
      <w:r>
        <w:rPr>
          <w:spacing w:val="-2"/>
        </w:rPr>
        <w:t xml:space="preserve"> </w:t>
      </w:r>
      <w:r>
        <w:t>annual</w:t>
      </w:r>
      <w:r>
        <w:rPr>
          <w:spacing w:val="-2"/>
        </w:rPr>
        <w:t xml:space="preserve"> </w:t>
      </w:r>
      <w:r>
        <w:t>insurance</w:t>
      </w:r>
      <w:r>
        <w:rPr>
          <w:spacing w:val="-2"/>
        </w:rPr>
        <w:t xml:space="preserve"> </w:t>
      </w:r>
      <w:r>
        <w:t>renewal</w:t>
      </w:r>
      <w:r>
        <w:rPr>
          <w:spacing w:val="-2"/>
        </w:rPr>
        <w:t xml:space="preserve"> </w:t>
      </w:r>
      <w:r>
        <w:t>process,</w:t>
      </w:r>
      <w:r>
        <w:rPr>
          <w:spacing w:val="-2"/>
        </w:rPr>
        <w:t xml:space="preserve"> </w:t>
      </w:r>
      <w:r>
        <w:t>the</w:t>
      </w:r>
      <w:r>
        <w:rPr>
          <w:spacing w:val="-2"/>
        </w:rPr>
        <w:t xml:space="preserve"> </w:t>
      </w:r>
      <w:r>
        <w:t>Commission</w:t>
      </w:r>
      <w:r>
        <w:rPr>
          <w:spacing w:val="-2"/>
        </w:rPr>
        <w:t xml:space="preserve"> </w:t>
      </w:r>
      <w:r>
        <w:t>reviewed its insurance coverage in 2025–26 to ensure that the coverage was still appropriate for its operations. During the year, no indemnity-related claims were made, and the Commission knows of no circumstances likely</w:t>
      </w:r>
    </w:p>
    <w:p w14:paraId="7F9B4E60" w14:textId="77777777" w:rsidR="009D54AF" w:rsidRDefault="00000000">
      <w:pPr>
        <w:pStyle w:val="BodyText"/>
        <w:spacing w:line="278" w:lineRule="auto"/>
        <w:ind w:left="142" w:right="144"/>
      </w:pPr>
      <w:r>
        <w:t>to lead to such claims. Many of the liability limits under the Commission’s schedule of cover are standard Australian Government limits, such as $100 million in cover for general liability and professional indemnity</w:t>
      </w:r>
      <w:r>
        <w:rPr>
          <w:spacing w:val="40"/>
        </w:rPr>
        <w:t xml:space="preserve"> </w:t>
      </w:r>
      <w:r>
        <w:t>and</w:t>
      </w:r>
      <w:r>
        <w:rPr>
          <w:spacing w:val="-2"/>
        </w:rPr>
        <w:t xml:space="preserve"> </w:t>
      </w:r>
      <w:r>
        <w:t>the</w:t>
      </w:r>
      <w:r>
        <w:rPr>
          <w:spacing w:val="-2"/>
        </w:rPr>
        <w:t xml:space="preserve"> </w:t>
      </w:r>
      <w:r>
        <w:t>directors’</w:t>
      </w:r>
      <w:r>
        <w:rPr>
          <w:spacing w:val="-2"/>
        </w:rPr>
        <w:t xml:space="preserve"> </w:t>
      </w:r>
      <w:r>
        <w:t>and</w:t>
      </w:r>
      <w:r>
        <w:rPr>
          <w:spacing w:val="-2"/>
        </w:rPr>
        <w:t xml:space="preserve"> </w:t>
      </w:r>
      <w:r>
        <w:t>officers’</w:t>
      </w:r>
      <w:r>
        <w:rPr>
          <w:spacing w:val="-2"/>
        </w:rPr>
        <w:t xml:space="preserve"> </w:t>
      </w:r>
      <w:r>
        <w:t>liability.</w:t>
      </w:r>
      <w:r>
        <w:rPr>
          <w:spacing w:val="-2"/>
        </w:rPr>
        <w:t xml:space="preserve"> </w:t>
      </w:r>
      <w:r>
        <w:t>The</w:t>
      </w:r>
      <w:r>
        <w:rPr>
          <w:spacing w:val="-2"/>
        </w:rPr>
        <w:t xml:space="preserve"> </w:t>
      </w:r>
      <w:r>
        <w:t>Commission’s</w:t>
      </w:r>
      <w:r>
        <w:rPr>
          <w:spacing w:val="-2"/>
        </w:rPr>
        <w:t xml:space="preserve"> </w:t>
      </w:r>
      <w:r>
        <w:t>business</w:t>
      </w:r>
      <w:r>
        <w:rPr>
          <w:spacing w:val="-2"/>
        </w:rPr>
        <w:t xml:space="preserve"> </w:t>
      </w:r>
      <w:r>
        <w:t>interruption</w:t>
      </w:r>
      <w:r>
        <w:rPr>
          <w:spacing w:val="-2"/>
        </w:rPr>
        <w:t xml:space="preserve"> </w:t>
      </w:r>
      <w:r>
        <w:t>indemnity</w:t>
      </w:r>
      <w:r>
        <w:rPr>
          <w:spacing w:val="-2"/>
        </w:rPr>
        <w:t xml:space="preserve"> </w:t>
      </w:r>
      <w:r>
        <w:t>cover</w:t>
      </w:r>
      <w:r>
        <w:rPr>
          <w:spacing w:val="-2"/>
        </w:rPr>
        <w:t xml:space="preserve"> </w:t>
      </w:r>
      <w:r>
        <w:t>is</w:t>
      </w:r>
      <w:r>
        <w:rPr>
          <w:spacing w:val="-2"/>
        </w:rPr>
        <w:t xml:space="preserve"> </w:t>
      </w:r>
      <w:r>
        <w:t>for</w:t>
      </w:r>
      <w:r>
        <w:rPr>
          <w:spacing w:val="-2"/>
        </w:rPr>
        <w:t xml:space="preserve"> </w:t>
      </w:r>
      <w:r>
        <w:t>a</w:t>
      </w:r>
      <w:r>
        <w:rPr>
          <w:spacing w:val="-2"/>
        </w:rPr>
        <w:t xml:space="preserve"> </w:t>
      </w:r>
      <w:r>
        <w:t>period of up to 24 months. Motor vehicle, third-party property damage and expatriate cover have not been taken out because they do not apply to the Commission.</w:t>
      </w:r>
    </w:p>
    <w:p w14:paraId="041AA5D3" w14:textId="77777777" w:rsidR="009D54AF" w:rsidRDefault="009D54AF">
      <w:pPr>
        <w:pStyle w:val="BodyText"/>
        <w:spacing w:before="64"/>
      </w:pPr>
    </w:p>
    <w:p w14:paraId="75B458FC" w14:textId="77777777" w:rsidR="008F5B74" w:rsidRDefault="008F5B74">
      <w:pPr>
        <w:rPr>
          <w:b/>
          <w:bCs/>
          <w:sz w:val="30"/>
          <w:szCs w:val="30"/>
        </w:rPr>
      </w:pPr>
      <w:r>
        <w:br w:type="page"/>
      </w:r>
    </w:p>
    <w:p w14:paraId="0D584754" w14:textId="2CEC0624" w:rsidR="009D54AF" w:rsidRDefault="00000000">
      <w:pPr>
        <w:pStyle w:val="Heading5"/>
        <w:spacing w:before="1"/>
      </w:pPr>
      <w:r>
        <w:lastRenderedPageBreak/>
        <w:t>Board</w:t>
      </w:r>
      <w:r>
        <w:rPr>
          <w:spacing w:val="-4"/>
        </w:rPr>
        <w:t xml:space="preserve"> </w:t>
      </w:r>
      <w:r>
        <w:t>membership</w:t>
      </w:r>
      <w:r>
        <w:rPr>
          <w:spacing w:val="-2"/>
        </w:rPr>
        <w:t xml:space="preserve"> </w:t>
      </w:r>
      <w:r>
        <w:t>2025–</w:t>
      </w:r>
      <w:r>
        <w:rPr>
          <w:spacing w:val="-5"/>
        </w:rPr>
        <w:t>26</w:t>
      </w:r>
    </w:p>
    <w:p w14:paraId="0EB5136C" w14:textId="77777777" w:rsidR="009D54AF" w:rsidRDefault="00000000">
      <w:pPr>
        <w:pStyle w:val="BodyText"/>
        <w:spacing w:before="132" w:line="278" w:lineRule="auto"/>
        <w:ind w:left="142"/>
      </w:pPr>
      <w:r>
        <w:t>The Australian Government Minister for Health and Ageing appoints the Commission’s Board in consultation with</w:t>
      </w:r>
      <w:r>
        <w:rPr>
          <w:spacing w:val="-2"/>
        </w:rPr>
        <w:t xml:space="preserve"> </w:t>
      </w:r>
      <w:r>
        <w:t>all</w:t>
      </w:r>
      <w:r>
        <w:rPr>
          <w:spacing w:val="-2"/>
        </w:rPr>
        <w:t xml:space="preserve"> </w:t>
      </w:r>
      <w:r>
        <w:t>state</w:t>
      </w:r>
      <w:r>
        <w:rPr>
          <w:spacing w:val="-2"/>
        </w:rPr>
        <w:t xml:space="preserve"> </w:t>
      </w:r>
      <w:r>
        <w:t>and</w:t>
      </w:r>
      <w:r>
        <w:rPr>
          <w:spacing w:val="-2"/>
        </w:rPr>
        <w:t xml:space="preserve"> </w:t>
      </w:r>
      <w:r>
        <w:t>territory</w:t>
      </w:r>
      <w:r>
        <w:rPr>
          <w:spacing w:val="-2"/>
        </w:rPr>
        <w:t xml:space="preserve"> </w:t>
      </w:r>
      <w:r>
        <w:t>health</w:t>
      </w:r>
      <w:r>
        <w:rPr>
          <w:spacing w:val="-2"/>
        </w:rPr>
        <w:t xml:space="preserve"> </w:t>
      </w:r>
      <w:r>
        <w:t>ministers.</w:t>
      </w:r>
      <w:r>
        <w:rPr>
          <w:spacing w:val="-2"/>
        </w:rPr>
        <w:t xml:space="preserve"> </w:t>
      </w:r>
      <w:r>
        <w:t>The</w:t>
      </w:r>
      <w:r>
        <w:rPr>
          <w:spacing w:val="-2"/>
        </w:rPr>
        <w:t xml:space="preserve"> </w:t>
      </w:r>
      <w:r>
        <w:t>Board</w:t>
      </w:r>
      <w:r>
        <w:rPr>
          <w:spacing w:val="-2"/>
        </w:rPr>
        <w:t xml:space="preserve"> </w:t>
      </w:r>
      <w:r>
        <w:t>includes</w:t>
      </w:r>
      <w:r>
        <w:rPr>
          <w:spacing w:val="-2"/>
        </w:rPr>
        <w:t xml:space="preserve"> </w:t>
      </w:r>
      <w:r>
        <w:t>members</w:t>
      </w:r>
      <w:r>
        <w:rPr>
          <w:spacing w:val="-2"/>
        </w:rPr>
        <w:t xml:space="preserve"> </w:t>
      </w:r>
      <w:r>
        <w:t>who</w:t>
      </w:r>
      <w:r>
        <w:rPr>
          <w:spacing w:val="-2"/>
        </w:rPr>
        <w:t xml:space="preserve"> </w:t>
      </w:r>
      <w:r>
        <w:t>have</w:t>
      </w:r>
      <w:r>
        <w:rPr>
          <w:spacing w:val="-2"/>
        </w:rPr>
        <w:t xml:space="preserve"> </w:t>
      </w:r>
      <w:r>
        <w:t>extensive</w:t>
      </w:r>
      <w:r>
        <w:rPr>
          <w:spacing w:val="-2"/>
        </w:rPr>
        <w:t xml:space="preserve"> </w:t>
      </w:r>
      <w:r>
        <w:t>experience</w:t>
      </w:r>
      <w:r>
        <w:rPr>
          <w:spacing w:val="-2"/>
        </w:rPr>
        <w:t xml:space="preserve"> </w:t>
      </w:r>
      <w:r>
        <w:t>and knowledge in the fields of healthcare administration, provision of health services, law, management, primary health care, corporate governance, and safety and quality improvement.</w:t>
      </w:r>
    </w:p>
    <w:p w14:paraId="53B6C8A9" w14:textId="77777777" w:rsidR="009D54AF" w:rsidRDefault="009D54AF">
      <w:pPr>
        <w:pStyle w:val="BodyText"/>
        <w:spacing w:before="63"/>
      </w:pPr>
    </w:p>
    <w:p w14:paraId="263CDE9A" w14:textId="77777777" w:rsidR="009D54AF" w:rsidRDefault="00000000">
      <w:pPr>
        <w:pStyle w:val="Heading7"/>
      </w:pPr>
      <w:r>
        <w:t>Professor</w:t>
      </w:r>
      <w:r>
        <w:rPr>
          <w:spacing w:val="-6"/>
        </w:rPr>
        <w:t xml:space="preserve"> </w:t>
      </w:r>
      <w:r>
        <w:t>Christine</w:t>
      </w:r>
      <w:r>
        <w:rPr>
          <w:spacing w:val="-6"/>
        </w:rPr>
        <w:t xml:space="preserve"> </w:t>
      </w:r>
      <w:r>
        <w:t>Kilpatrick</w:t>
      </w:r>
      <w:r>
        <w:rPr>
          <w:spacing w:val="-6"/>
        </w:rPr>
        <w:t xml:space="preserve"> </w:t>
      </w:r>
      <w:r>
        <w:t>AO</w:t>
      </w:r>
      <w:r>
        <w:rPr>
          <w:spacing w:val="-5"/>
        </w:rPr>
        <w:t xml:space="preserve"> </w:t>
      </w:r>
      <w:r>
        <w:rPr>
          <w:spacing w:val="-2"/>
        </w:rPr>
        <w:t>(Chair)</w:t>
      </w:r>
    </w:p>
    <w:p w14:paraId="0834804F" w14:textId="77777777" w:rsidR="009D54AF" w:rsidRDefault="00000000">
      <w:pPr>
        <w:pStyle w:val="BodyText"/>
        <w:spacing w:before="142" w:line="278" w:lineRule="auto"/>
        <w:ind w:left="142" w:right="214"/>
      </w:pPr>
      <w:r>
        <w:t>Professor Kilpatrick has been a member of the Commission’s Board since 17 July 2023 and was appointed Chair</w:t>
      </w:r>
      <w:r>
        <w:rPr>
          <w:spacing w:val="-1"/>
        </w:rPr>
        <w:t xml:space="preserve"> </w:t>
      </w:r>
      <w:r>
        <w:t>on</w:t>
      </w:r>
      <w:r>
        <w:rPr>
          <w:spacing w:val="-1"/>
        </w:rPr>
        <w:t xml:space="preserve"> </w:t>
      </w:r>
      <w:r>
        <w:t>1</w:t>
      </w:r>
      <w:r>
        <w:rPr>
          <w:spacing w:val="-1"/>
        </w:rPr>
        <w:t xml:space="preserve"> </w:t>
      </w:r>
      <w:r>
        <w:t>April</w:t>
      </w:r>
      <w:r>
        <w:rPr>
          <w:spacing w:val="-1"/>
        </w:rPr>
        <w:t xml:space="preserve"> </w:t>
      </w:r>
      <w:r>
        <w:t>2024.</w:t>
      </w:r>
      <w:r>
        <w:rPr>
          <w:spacing w:val="-1"/>
        </w:rPr>
        <w:t xml:space="preserve"> </w:t>
      </w:r>
      <w:r>
        <w:t>Professor</w:t>
      </w:r>
      <w:r>
        <w:rPr>
          <w:spacing w:val="-1"/>
        </w:rPr>
        <w:t xml:space="preserve"> </w:t>
      </w:r>
      <w:r>
        <w:t>Kilpatrick</w:t>
      </w:r>
      <w:r>
        <w:rPr>
          <w:spacing w:val="-1"/>
        </w:rPr>
        <w:t xml:space="preserve"> </w:t>
      </w:r>
      <w:r>
        <w:t>brings</w:t>
      </w:r>
      <w:r>
        <w:rPr>
          <w:spacing w:val="-1"/>
        </w:rPr>
        <w:t xml:space="preserve"> </w:t>
      </w:r>
      <w:r>
        <w:t>to</w:t>
      </w:r>
      <w:r>
        <w:rPr>
          <w:spacing w:val="-1"/>
        </w:rPr>
        <w:t xml:space="preserve"> </w:t>
      </w:r>
      <w:r>
        <w:t>the</w:t>
      </w:r>
      <w:r>
        <w:rPr>
          <w:spacing w:val="-1"/>
        </w:rPr>
        <w:t xml:space="preserve"> </w:t>
      </w:r>
      <w:r>
        <w:t>Board</w:t>
      </w:r>
      <w:r>
        <w:rPr>
          <w:spacing w:val="-1"/>
        </w:rPr>
        <w:t xml:space="preserve"> </w:t>
      </w:r>
      <w:r>
        <w:t>extensive</w:t>
      </w:r>
      <w:r>
        <w:rPr>
          <w:spacing w:val="-1"/>
        </w:rPr>
        <w:t xml:space="preserve"> </w:t>
      </w:r>
      <w:r>
        <w:t>clinical</w:t>
      </w:r>
      <w:r>
        <w:rPr>
          <w:spacing w:val="-1"/>
        </w:rPr>
        <w:t xml:space="preserve"> </w:t>
      </w:r>
      <w:r>
        <w:t>experience</w:t>
      </w:r>
      <w:r>
        <w:rPr>
          <w:spacing w:val="-1"/>
        </w:rPr>
        <w:t xml:space="preserve"> </w:t>
      </w:r>
      <w:r>
        <w:t>as</w:t>
      </w:r>
      <w:r>
        <w:rPr>
          <w:spacing w:val="-1"/>
        </w:rPr>
        <w:t xml:space="preserve"> </w:t>
      </w:r>
      <w:r>
        <w:t>a</w:t>
      </w:r>
      <w:r>
        <w:rPr>
          <w:spacing w:val="-1"/>
        </w:rPr>
        <w:t xml:space="preserve"> </w:t>
      </w:r>
      <w:r>
        <w:t>neurologist, as well as academic and hospital administration experience gained working in both the public and private sectors. She is an experienced leader noted for building strong clinical governance and a safety culture.</w:t>
      </w:r>
    </w:p>
    <w:p w14:paraId="612AF950" w14:textId="77777777" w:rsidR="009D54AF" w:rsidRDefault="00000000">
      <w:pPr>
        <w:pStyle w:val="BodyText"/>
        <w:spacing w:line="278" w:lineRule="auto"/>
        <w:ind w:left="142"/>
      </w:pPr>
      <w:r>
        <w:t>Her previous roles include Chief Medical Officer Royal Melbourne Hospital, Chief Executive Officer Royal Children’s Hospital, and Chief Executive Officer Royal Melbourne Hospital.</w:t>
      </w:r>
    </w:p>
    <w:p w14:paraId="48AB6F1E" w14:textId="77777777" w:rsidR="009D54AF" w:rsidRDefault="00000000">
      <w:pPr>
        <w:pStyle w:val="BodyText"/>
        <w:spacing w:before="141" w:line="278" w:lineRule="auto"/>
        <w:ind w:left="142"/>
      </w:pPr>
      <w:r>
        <w:t xml:space="preserve">Professor Kilpatrick holds other Board appointments, including Chair Royal Children’s Hospital, Chair </w:t>
      </w:r>
      <w:proofErr w:type="spellStart"/>
      <w:r>
        <w:t>Healthdirect</w:t>
      </w:r>
      <w:proofErr w:type="spellEnd"/>
      <w:r>
        <w:t xml:space="preserve"> Australia, Board Director Central Adelaide Local Health Network, and Board Director Victorian Managed Insurance Authority.</w:t>
      </w:r>
    </w:p>
    <w:p w14:paraId="74FC18DB" w14:textId="77777777" w:rsidR="009D54AF" w:rsidRDefault="00000000">
      <w:pPr>
        <w:pStyle w:val="BodyText"/>
        <w:spacing w:before="68"/>
        <w:ind w:left="142"/>
      </w:pPr>
      <w:bookmarkStart w:id="46" w:name="_bookmark11"/>
      <w:bookmarkEnd w:id="46"/>
      <w:r>
        <w:rPr>
          <w:b/>
        </w:rPr>
        <w:t>Qualifications:</w:t>
      </w:r>
      <w:r>
        <w:rPr>
          <w:b/>
          <w:spacing w:val="-2"/>
        </w:rPr>
        <w:t xml:space="preserve"> </w:t>
      </w:r>
      <w:r>
        <w:t>MBBS,</w:t>
      </w:r>
      <w:r>
        <w:rPr>
          <w:spacing w:val="-1"/>
        </w:rPr>
        <w:t xml:space="preserve"> </w:t>
      </w:r>
      <w:r>
        <w:t>MBA,</w:t>
      </w:r>
      <w:r>
        <w:rPr>
          <w:spacing w:val="-1"/>
        </w:rPr>
        <w:t xml:space="preserve"> </w:t>
      </w:r>
      <w:r>
        <w:t>MD,</w:t>
      </w:r>
      <w:r>
        <w:rPr>
          <w:spacing w:val="-1"/>
        </w:rPr>
        <w:t xml:space="preserve"> </w:t>
      </w:r>
      <w:r>
        <w:t>FRACP,</w:t>
      </w:r>
      <w:r>
        <w:rPr>
          <w:spacing w:val="-1"/>
        </w:rPr>
        <w:t xml:space="preserve"> </w:t>
      </w:r>
      <w:r>
        <w:t>FRACMA,</w:t>
      </w:r>
      <w:r>
        <w:rPr>
          <w:spacing w:val="-1"/>
        </w:rPr>
        <w:t xml:space="preserve"> </w:t>
      </w:r>
      <w:r>
        <w:t>FAICD,</w:t>
      </w:r>
      <w:r>
        <w:rPr>
          <w:spacing w:val="-1"/>
        </w:rPr>
        <w:t xml:space="preserve"> </w:t>
      </w:r>
      <w:r>
        <w:t>FAHMS,</w:t>
      </w:r>
      <w:r>
        <w:rPr>
          <w:spacing w:val="-1"/>
        </w:rPr>
        <w:t xml:space="preserve"> </w:t>
      </w:r>
      <w:r>
        <w:t>Hon</w:t>
      </w:r>
      <w:r>
        <w:rPr>
          <w:spacing w:val="-1"/>
        </w:rPr>
        <w:t xml:space="preserve"> </w:t>
      </w:r>
      <w:r>
        <w:t>FCHSM,</w:t>
      </w:r>
      <w:r>
        <w:rPr>
          <w:spacing w:val="-1"/>
        </w:rPr>
        <w:t xml:space="preserve"> </w:t>
      </w:r>
      <w:proofErr w:type="spellStart"/>
      <w:r>
        <w:t>DMedSci</w:t>
      </w:r>
      <w:proofErr w:type="spellEnd"/>
      <w:r>
        <w:rPr>
          <w:spacing w:val="-1"/>
        </w:rPr>
        <w:t xml:space="preserve"> </w:t>
      </w:r>
      <w:r>
        <w:rPr>
          <w:spacing w:val="-2"/>
        </w:rPr>
        <w:t>(Hons)</w:t>
      </w:r>
    </w:p>
    <w:p w14:paraId="06526E7E" w14:textId="77777777" w:rsidR="009D54AF" w:rsidRDefault="00000000">
      <w:pPr>
        <w:pStyle w:val="BodyText"/>
        <w:spacing w:before="180"/>
        <w:ind w:left="142"/>
      </w:pPr>
      <w:r>
        <w:rPr>
          <w:b/>
        </w:rPr>
        <w:t>Board</w:t>
      </w:r>
      <w:r>
        <w:rPr>
          <w:b/>
          <w:spacing w:val="-6"/>
        </w:rPr>
        <w:t xml:space="preserve"> </w:t>
      </w:r>
      <w:r>
        <w:rPr>
          <w:b/>
        </w:rPr>
        <w:t>membership:</w:t>
      </w:r>
      <w:r>
        <w:rPr>
          <w:b/>
          <w:spacing w:val="-5"/>
        </w:rPr>
        <w:t xml:space="preserve"> </w:t>
      </w:r>
      <w:r>
        <w:t>(as</w:t>
      </w:r>
      <w:r>
        <w:rPr>
          <w:spacing w:val="-3"/>
        </w:rPr>
        <w:t xml:space="preserve"> </w:t>
      </w:r>
      <w:r>
        <w:t>member)</w:t>
      </w:r>
      <w:r>
        <w:rPr>
          <w:spacing w:val="-4"/>
        </w:rPr>
        <w:t xml:space="preserve"> </w:t>
      </w:r>
      <w:r>
        <w:t>17</w:t>
      </w:r>
      <w:r>
        <w:rPr>
          <w:spacing w:val="-4"/>
        </w:rPr>
        <w:t xml:space="preserve"> </w:t>
      </w:r>
      <w:r>
        <w:t>July</w:t>
      </w:r>
      <w:r>
        <w:rPr>
          <w:spacing w:val="-3"/>
        </w:rPr>
        <w:t xml:space="preserve"> </w:t>
      </w:r>
      <w:r>
        <w:t>2023</w:t>
      </w:r>
      <w:r>
        <w:rPr>
          <w:spacing w:val="-4"/>
        </w:rPr>
        <w:t xml:space="preserve"> </w:t>
      </w:r>
      <w:r>
        <w:t>–</w:t>
      </w:r>
      <w:r>
        <w:rPr>
          <w:spacing w:val="-4"/>
        </w:rPr>
        <w:t xml:space="preserve"> </w:t>
      </w:r>
      <w:r>
        <w:t>31</w:t>
      </w:r>
      <w:r>
        <w:rPr>
          <w:spacing w:val="-3"/>
        </w:rPr>
        <w:t xml:space="preserve"> </w:t>
      </w:r>
      <w:r>
        <w:t>March</w:t>
      </w:r>
      <w:r>
        <w:rPr>
          <w:spacing w:val="-4"/>
        </w:rPr>
        <w:t xml:space="preserve"> </w:t>
      </w:r>
      <w:r>
        <w:t>2024,</w:t>
      </w:r>
      <w:r>
        <w:rPr>
          <w:spacing w:val="-3"/>
        </w:rPr>
        <w:t xml:space="preserve"> </w:t>
      </w:r>
      <w:r>
        <w:t>(as</w:t>
      </w:r>
      <w:r>
        <w:rPr>
          <w:spacing w:val="-4"/>
        </w:rPr>
        <w:t xml:space="preserve"> </w:t>
      </w:r>
      <w:r>
        <w:t>Chair)</w:t>
      </w:r>
      <w:r>
        <w:rPr>
          <w:spacing w:val="-4"/>
        </w:rPr>
        <w:t xml:space="preserve"> </w:t>
      </w:r>
      <w:r>
        <w:t>1</w:t>
      </w:r>
      <w:r>
        <w:rPr>
          <w:spacing w:val="-3"/>
        </w:rPr>
        <w:t xml:space="preserve"> </w:t>
      </w:r>
      <w:r>
        <w:t>April</w:t>
      </w:r>
      <w:r>
        <w:rPr>
          <w:spacing w:val="-4"/>
        </w:rPr>
        <w:t xml:space="preserve"> </w:t>
      </w:r>
      <w:r>
        <w:t>2024</w:t>
      </w:r>
      <w:r>
        <w:rPr>
          <w:spacing w:val="-4"/>
        </w:rPr>
        <w:t xml:space="preserve"> </w:t>
      </w:r>
      <w:r>
        <w:t>–</w:t>
      </w:r>
      <w:r>
        <w:rPr>
          <w:spacing w:val="-3"/>
        </w:rPr>
        <w:t xml:space="preserve"> </w:t>
      </w:r>
      <w:r>
        <w:t>31</w:t>
      </w:r>
      <w:r>
        <w:rPr>
          <w:spacing w:val="-4"/>
        </w:rPr>
        <w:t xml:space="preserve"> </w:t>
      </w:r>
      <w:r>
        <w:t>March</w:t>
      </w:r>
      <w:r>
        <w:rPr>
          <w:spacing w:val="-3"/>
        </w:rPr>
        <w:t xml:space="preserve"> </w:t>
      </w:r>
      <w:r>
        <w:rPr>
          <w:spacing w:val="-2"/>
        </w:rPr>
        <w:t>2029.</w:t>
      </w:r>
    </w:p>
    <w:p w14:paraId="23657EAA" w14:textId="77777777" w:rsidR="009D54AF" w:rsidRDefault="009D54AF">
      <w:pPr>
        <w:pStyle w:val="BodyText"/>
        <w:spacing w:before="102"/>
      </w:pPr>
    </w:p>
    <w:p w14:paraId="07B8FDA7" w14:textId="77777777" w:rsidR="009D54AF" w:rsidRDefault="00000000">
      <w:pPr>
        <w:pStyle w:val="Heading7"/>
      </w:pPr>
      <w:r>
        <w:t>Professor</w:t>
      </w:r>
      <w:r>
        <w:rPr>
          <w:spacing w:val="-6"/>
        </w:rPr>
        <w:t xml:space="preserve"> </w:t>
      </w:r>
      <w:r>
        <w:t>Jeffrey</w:t>
      </w:r>
      <w:r>
        <w:rPr>
          <w:spacing w:val="-5"/>
        </w:rPr>
        <w:t xml:space="preserve"> </w:t>
      </w:r>
      <w:r>
        <w:rPr>
          <w:spacing w:val="-2"/>
        </w:rPr>
        <w:t>Braithwaite</w:t>
      </w:r>
    </w:p>
    <w:p w14:paraId="5EE7A47E" w14:textId="77777777" w:rsidR="009D54AF" w:rsidRDefault="00000000">
      <w:pPr>
        <w:pStyle w:val="BodyText"/>
        <w:spacing w:before="142" w:line="278" w:lineRule="auto"/>
        <w:ind w:left="142" w:right="145"/>
      </w:pPr>
      <w:r>
        <w:t>Professor Braithwaite is a leading health services and systems researcher. His work on systems reform involves 152 countries and has been used by many international bodies including the World Health Organization,</w:t>
      </w:r>
      <w:r>
        <w:rPr>
          <w:spacing w:val="-1"/>
        </w:rPr>
        <w:t xml:space="preserve"> </w:t>
      </w:r>
      <w:r>
        <w:t>the</w:t>
      </w:r>
      <w:r>
        <w:rPr>
          <w:spacing w:val="-1"/>
        </w:rPr>
        <w:t xml:space="preserve"> </w:t>
      </w:r>
      <w:r>
        <w:t>United</w:t>
      </w:r>
      <w:r>
        <w:rPr>
          <w:spacing w:val="-1"/>
        </w:rPr>
        <w:t xml:space="preserve"> </w:t>
      </w:r>
      <w:r>
        <w:t>Nations,</w:t>
      </w:r>
      <w:r>
        <w:rPr>
          <w:spacing w:val="-1"/>
        </w:rPr>
        <w:t xml:space="preserve"> </w:t>
      </w:r>
      <w:r>
        <w:t>the</w:t>
      </w:r>
      <w:r>
        <w:rPr>
          <w:spacing w:val="-1"/>
        </w:rPr>
        <w:t xml:space="preserve"> </w:t>
      </w:r>
      <w:r>
        <w:t>International</w:t>
      </w:r>
      <w:r>
        <w:rPr>
          <w:spacing w:val="-1"/>
        </w:rPr>
        <w:t xml:space="preserve"> </w:t>
      </w:r>
      <w:r>
        <w:t>Society</w:t>
      </w:r>
      <w:r>
        <w:rPr>
          <w:spacing w:val="-1"/>
        </w:rPr>
        <w:t xml:space="preserve"> </w:t>
      </w:r>
      <w:r>
        <w:t>for</w:t>
      </w:r>
      <w:r>
        <w:rPr>
          <w:spacing w:val="-1"/>
        </w:rPr>
        <w:t xml:space="preserve"> </w:t>
      </w:r>
      <w:r>
        <w:t>Quality</w:t>
      </w:r>
      <w:r>
        <w:rPr>
          <w:spacing w:val="-1"/>
        </w:rPr>
        <w:t xml:space="preserve"> </w:t>
      </w:r>
      <w:r>
        <w:t>in</w:t>
      </w:r>
      <w:r>
        <w:rPr>
          <w:spacing w:val="-1"/>
        </w:rPr>
        <w:t xml:space="preserve"> </w:t>
      </w:r>
      <w:r>
        <w:t>Health</w:t>
      </w:r>
      <w:r>
        <w:rPr>
          <w:spacing w:val="-1"/>
        </w:rPr>
        <w:t xml:space="preserve"> </w:t>
      </w:r>
      <w:r>
        <w:t>Care,</w:t>
      </w:r>
      <w:r>
        <w:rPr>
          <w:spacing w:val="-1"/>
        </w:rPr>
        <w:t xml:space="preserve"> </w:t>
      </w:r>
      <w:r>
        <w:t>the</w:t>
      </w:r>
      <w:r>
        <w:rPr>
          <w:spacing w:val="-1"/>
        </w:rPr>
        <w:t xml:space="preserve"> </w:t>
      </w:r>
      <w:r>
        <w:t>World</w:t>
      </w:r>
      <w:r>
        <w:rPr>
          <w:spacing w:val="-1"/>
        </w:rPr>
        <w:t xml:space="preserve"> </w:t>
      </w:r>
      <w:r>
        <w:t>Bank</w:t>
      </w:r>
      <w:r>
        <w:rPr>
          <w:spacing w:val="-1"/>
        </w:rPr>
        <w:t xml:space="preserve"> </w:t>
      </w:r>
      <w:r>
        <w:t>and</w:t>
      </w:r>
      <w:r>
        <w:rPr>
          <w:spacing w:val="-1"/>
        </w:rPr>
        <w:t xml:space="preserve"> </w:t>
      </w:r>
      <w:r>
        <w:t xml:space="preserve">the </w:t>
      </w:r>
      <w:proofErr w:type="spellStart"/>
      <w:r>
        <w:t>Organisation</w:t>
      </w:r>
      <w:proofErr w:type="spellEnd"/>
      <w:r>
        <w:rPr>
          <w:spacing w:val="-2"/>
        </w:rPr>
        <w:t xml:space="preserve"> </w:t>
      </w:r>
      <w:r>
        <w:t>for</w:t>
      </w:r>
      <w:r>
        <w:rPr>
          <w:spacing w:val="-2"/>
        </w:rPr>
        <w:t xml:space="preserve"> </w:t>
      </w:r>
      <w:r>
        <w:t>Economic</w:t>
      </w:r>
      <w:r>
        <w:rPr>
          <w:spacing w:val="-2"/>
        </w:rPr>
        <w:t xml:space="preserve"> </w:t>
      </w:r>
      <w:r>
        <w:t>Co-operation</w:t>
      </w:r>
      <w:r>
        <w:rPr>
          <w:spacing w:val="-2"/>
        </w:rPr>
        <w:t xml:space="preserve"> </w:t>
      </w:r>
      <w:r>
        <w:t>and</w:t>
      </w:r>
      <w:r>
        <w:rPr>
          <w:spacing w:val="-2"/>
        </w:rPr>
        <w:t xml:space="preserve"> </w:t>
      </w:r>
      <w:r>
        <w:t>Development.</w:t>
      </w:r>
      <w:r>
        <w:rPr>
          <w:spacing w:val="-2"/>
        </w:rPr>
        <w:t xml:space="preserve"> </w:t>
      </w:r>
      <w:r>
        <w:t>He</w:t>
      </w:r>
      <w:r>
        <w:rPr>
          <w:spacing w:val="-2"/>
        </w:rPr>
        <w:t xml:space="preserve"> </w:t>
      </w:r>
      <w:r>
        <w:t>is</w:t>
      </w:r>
      <w:r>
        <w:rPr>
          <w:spacing w:val="-2"/>
        </w:rPr>
        <w:t xml:space="preserve"> </w:t>
      </w:r>
      <w:r>
        <w:t>Founding</w:t>
      </w:r>
      <w:r>
        <w:rPr>
          <w:spacing w:val="-2"/>
        </w:rPr>
        <w:t xml:space="preserve"> </w:t>
      </w:r>
      <w:r>
        <w:t>Director</w:t>
      </w:r>
      <w:r>
        <w:rPr>
          <w:spacing w:val="-2"/>
        </w:rPr>
        <w:t xml:space="preserve"> </w:t>
      </w:r>
      <w:r>
        <w:t>of</w:t>
      </w:r>
      <w:r>
        <w:rPr>
          <w:spacing w:val="-2"/>
        </w:rPr>
        <w:t xml:space="preserve"> </w:t>
      </w:r>
      <w:r>
        <w:t>the</w:t>
      </w:r>
      <w:r>
        <w:rPr>
          <w:spacing w:val="-2"/>
        </w:rPr>
        <w:t xml:space="preserve"> </w:t>
      </w:r>
      <w:r>
        <w:t>Australian</w:t>
      </w:r>
      <w:r>
        <w:rPr>
          <w:spacing w:val="-2"/>
        </w:rPr>
        <w:t xml:space="preserve"> </w:t>
      </w:r>
      <w:r>
        <w:t>Institute of Health Innovation, and Director of the Centre for Healthcare Resilience and Implementation Science at Macquarie University. He has five professorial appointments including in the United Kingdom, Denmark and Norway and teaches in two programs for Harvard Medical School: leadership, management and quality improvement; and systems reform. Professor Braithwaite shares his cutting-edge knowledge on safer, high-quality care, especially in creating an innovative, improvement-led culture.</w:t>
      </w:r>
    </w:p>
    <w:p w14:paraId="779E51C8" w14:textId="77777777" w:rsidR="009D54AF" w:rsidRDefault="00000000">
      <w:pPr>
        <w:pStyle w:val="BodyText"/>
        <w:spacing w:before="140" w:line="278" w:lineRule="auto"/>
        <w:ind w:left="142"/>
      </w:pPr>
      <w:r>
        <w:rPr>
          <w:b/>
        </w:rPr>
        <w:t>Qualifications:</w:t>
      </w:r>
      <w:r>
        <w:rPr>
          <w:b/>
          <w:spacing w:val="-2"/>
        </w:rPr>
        <w:t xml:space="preserve"> </w:t>
      </w:r>
      <w:r>
        <w:t>BA,</w:t>
      </w:r>
      <w:r>
        <w:rPr>
          <w:spacing w:val="-1"/>
        </w:rPr>
        <w:t xml:space="preserve"> </w:t>
      </w:r>
      <w:proofErr w:type="spellStart"/>
      <w:r>
        <w:t>DipLR</w:t>
      </w:r>
      <w:proofErr w:type="spellEnd"/>
      <w:r>
        <w:t>,</w:t>
      </w:r>
      <w:r>
        <w:rPr>
          <w:spacing w:val="-2"/>
        </w:rPr>
        <w:t xml:space="preserve"> </w:t>
      </w:r>
      <w:r>
        <w:t>MBA,</w:t>
      </w:r>
      <w:r>
        <w:rPr>
          <w:spacing w:val="-1"/>
        </w:rPr>
        <w:t xml:space="preserve"> </w:t>
      </w:r>
      <w:r>
        <w:t>MIR</w:t>
      </w:r>
      <w:r>
        <w:rPr>
          <w:spacing w:val="-2"/>
        </w:rPr>
        <w:t xml:space="preserve"> </w:t>
      </w:r>
      <w:r>
        <w:t>(Hons),</w:t>
      </w:r>
      <w:r>
        <w:rPr>
          <w:spacing w:val="-1"/>
        </w:rPr>
        <w:t xml:space="preserve"> </w:t>
      </w:r>
      <w:r>
        <w:t>PhD,</w:t>
      </w:r>
      <w:r>
        <w:rPr>
          <w:spacing w:val="-2"/>
        </w:rPr>
        <w:t xml:space="preserve"> </w:t>
      </w:r>
      <w:r>
        <w:t>FIML,</w:t>
      </w:r>
      <w:r>
        <w:rPr>
          <w:spacing w:val="-1"/>
        </w:rPr>
        <w:t xml:space="preserve"> </w:t>
      </w:r>
      <w:r>
        <w:t>FCHSM,</w:t>
      </w:r>
      <w:r>
        <w:rPr>
          <w:spacing w:val="-2"/>
        </w:rPr>
        <w:t xml:space="preserve"> </w:t>
      </w:r>
      <w:r>
        <w:t>FFPHRCP</w:t>
      </w:r>
      <w:r>
        <w:rPr>
          <w:spacing w:val="-1"/>
        </w:rPr>
        <w:t xml:space="preserve"> </w:t>
      </w:r>
      <w:r>
        <w:t>(UK),</w:t>
      </w:r>
      <w:r>
        <w:rPr>
          <w:spacing w:val="-2"/>
        </w:rPr>
        <w:t xml:space="preserve"> </w:t>
      </w:r>
      <w:proofErr w:type="spellStart"/>
      <w:r>
        <w:t>FAcSS</w:t>
      </w:r>
      <w:proofErr w:type="spellEnd"/>
      <w:r>
        <w:rPr>
          <w:spacing w:val="-1"/>
        </w:rPr>
        <w:t xml:space="preserve"> </w:t>
      </w:r>
      <w:r>
        <w:t>(UK),</w:t>
      </w:r>
      <w:r>
        <w:rPr>
          <w:spacing w:val="-2"/>
        </w:rPr>
        <w:t xml:space="preserve"> </w:t>
      </w:r>
      <w:r>
        <w:t>Hon FRACMA, FAAHMS</w:t>
      </w:r>
    </w:p>
    <w:p w14:paraId="0FB467F6" w14:textId="77777777" w:rsidR="009D54AF" w:rsidRDefault="00000000">
      <w:pPr>
        <w:spacing w:before="142"/>
        <w:ind w:left="142"/>
        <w:rPr>
          <w:sz w:val="21"/>
        </w:rPr>
      </w:pPr>
      <w:r>
        <w:rPr>
          <w:b/>
          <w:sz w:val="21"/>
        </w:rPr>
        <w:t>Board</w:t>
      </w:r>
      <w:r>
        <w:rPr>
          <w:b/>
          <w:spacing w:val="-1"/>
          <w:sz w:val="21"/>
        </w:rPr>
        <w:t xml:space="preserve"> </w:t>
      </w:r>
      <w:r>
        <w:rPr>
          <w:b/>
          <w:sz w:val="21"/>
        </w:rPr>
        <w:t>membership:</w:t>
      </w:r>
      <w:r>
        <w:rPr>
          <w:b/>
          <w:spacing w:val="-1"/>
          <w:sz w:val="21"/>
        </w:rPr>
        <w:t xml:space="preserve"> </w:t>
      </w:r>
      <w:r>
        <w:rPr>
          <w:sz w:val="21"/>
        </w:rPr>
        <w:t>1 April 2024</w:t>
      </w:r>
      <w:r>
        <w:rPr>
          <w:spacing w:val="-1"/>
          <w:sz w:val="21"/>
        </w:rPr>
        <w:t xml:space="preserve"> </w:t>
      </w:r>
      <w:r>
        <w:rPr>
          <w:sz w:val="21"/>
        </w:rPr>
        <w:t xml:space="preserve">– 31 March </w:t>
      </w:r>
      <w:r>
        <w:rPr>
          <w:spacing w:val="-4"/>
          <w:sz w:val="21"/>
        </w:rPr>
        <w:t>2027.</w:t>
      </w:r>
    </w:p>
    <w:p w14:paraId="1704F70D" w14:textId="77777777" w:rsidR="009D54AF" w:rsidRDefault="009D54AF">
      <w:pPr>
        <w:pStyle w:val="BodyText"/>
        <w:spacing w:before="102"/>
      </w:pPr>
    </w:p>
    <w:p w14:paraId="3A128978" w14:textId="77777777" w:rsidR="008F5B74" w:rsidRDefault="008F5B74">
      <w:pPr>
        <w:rPr>
          <w:b/>
          <w:bCs/>
          <w:sz w:val="26"/>
          <w:szCs w:val="26"/>
        </w:rPr>
      </w:pPr>
      <w:r>
        <w:br w:type="page"/>
      </w:r>
    </w:p>
    <w:p w14:paraId="3486676B" w14:textId="22C6A772" w:rsidR="009D54AF" w:rsidRDefault="00000000">
      <w:pPr>
        <w:pStyle w:val="Heading7"/>
      </w:pPr>
      <w:proofErr w:type="spellStart"/>
      <w:r>
        <w:lastRenderedPageBreak/>
        <w:t>Ms</w:t>
      </w:r>
      <w:proofErr w:type="spellEnd"/>
      <w:r>
        <w:t xml:space="preserve"> Christine Gee </w:t>
      </w:r>
      <w:r>
        <w:rPr>
          <w:spacing w:val="-5"/>
        </w:rPr>
        <w:t>AM</w:t>
      </w:r>
    </w:p>
    <w:p w14:paraId="233A4878" w14:textId="77777777" w:rsidR="009D54AF" w:rsidRDefault="00000000">
      <w:pPr>
        <w:pStyle w:val="BodyText"/>
        <w:spacing w:before="141" w:line="278" w:lineRule="auto"/>
        <w:ind w:left="142"/>
      </w:pPr>
      <w:proofErr w:type="spellStart"/>
      <w:r>
        <w:t>Ms</w:t>
      </w:r>
      <w:proofErr w:type="spellEnd"/>
      <w:r>
        <w:rPr>
          <w:spacing w:val="-3"/>
        </w:rPr>
        <w:t xml:space="preserve"> </w:t>
      </w:r>
      <w:r>
        <w:t>Gee</w:t>
      </w:r>
      <w:r>
        <w:rPr>
          <w:spacing w:val="-3"/>
        </w:rPr>
        <w:t xml:space="preserve"> </w:t>
      </w:r>
      <w:r>
        <w:t>brings</w:t>
      </w:r>
      <w:r>
        <w:rPr>
          <w:spacing w:val="-3"/>
        </w:rPr>
        <w:t xml:space="preserve"> </w:t>
      </w:r>
      <w:r>
        <w:t>to</w:t>
      </w:r>
      <w:r>
        <w:rPr>
          <w:spacing w:val="-3"/>
        </w:rPr>
        <w:t xml:space="preserve"> </w:t>
      </w:r>
      <w:r>
        <w:t>the</w:t>
      </w:r>
      <w:r>
        <w:rPr>
          <w:spacing w:val="-3"/>
        </w:rPr>
        <w:t xml:space="preserve"> </w:t>
      </w:r>
      <w:r>
        <w:t>Board</w:t>
      </w:r>
      <w:r>
        <w:rPr>
          <w:spacing w:val="-3"/>
        </w:rPr>
        <w:t xml:space="preserve"> </w:t>
      </w:r>
      <w:r>
        <w:t>extensive</w:t>
      </w:r>
      <w:r>
        <w:rPr>
          <w:spacing w:val="-3"/>
        </w:rPr>
        <w:t xml:space="preserve"> </w:t>
      </w:r>
      <w:r>
        <w:t>experience</w:t>
      </w:r>
      <w:r>
        <w:rPr>
          <w:spacing w:val="-3"/>
        </w:rPr>
        <w:t xml:space="preserve"> </w:t>
      </w:r>
      <w:r>
        <w:t>in</w:t>
      </w:r>
      <w:r>
        <w:rPr>
          <w:spacing w:val="-3"/>
        </w:rPr>
        <w:t xml:space="preserve"> </w:t>
      </w:r>
      <w:r>
        <w:t>private</w:t>
      </w:r>
      <w:r>
        <w:rPr>
          <w:spacing w:val="-3"/>
        </w:rPr>
        <w:t xml:space="preserve"> </w:t>
      </w:r>
      <w:r>
        <w:t>hospital</w:t>
      </w:r>
      <w:r>
        <w:rPr>
          <w:spacing w:val="-3"/>
        </w:rPr>
        <w:t xml:space="preserve"> </w:t>
      </w:r>
      <w:r>
        <w:t>administration,</w:t>
      </w:r>
      <w:r>
        <w:rPr>
          <w:spacing w:val="-3"/>
        </w:rPr>
        <w:t xml:space="preserve"> </w:t>
      </w:r>
      <w:r>
        <w:t>having</w:t>
      </w:r>
      <w:r>
        <w:rPr>
          <w:spacing w:val="-3"/>
        </w:rPr>
        <w:t xml:space="preserve"> </w:t>
      </w:r>
      <w:r>
        <w:t>held</w:t>
      </w:r>
      <w:r>
        <w:rPr>
          <w:spacing w:val="-3"/>
        </w:rPr>
        <w:t xml:space="preserve"> </w:t>
      </w:r>
      <w:r>
        <w:t xml:space="preserve">executive management positions for more than 30 years. She is Chair of the Commission’s Private Hospital Sector </w:t>
      </w:r>
      <w:r>
        <w:rPr>
          <w:spacing w:val="-2"/>
        </w:rPr>
        <w:t>Committee.</w:t>
      </w:r>
    </w:p>
    <w:p w14:paraId="0DFAD9D8" w14:textId="77777777" w:rsidR="009D54AF" w:rsidRDefault="00000000">
      <w:pPr>
        <w:pStyle w:val="BodyText"/>
        <w:spacing w:before="142" w:line="278" w:lineRule="auto"/>
        <w:ind w:left="142"/>
      </w:pPr>
      <w:proofErr w:type="spellStart"/>
      <w:r>
        <w:t>Ms</w:t>
      </w:r>
      <w:proofErr w:type="spellEnd"/>
      <w:r>
        <w:t xml:space="preserve"> Gee was appointed Director of Ramsay Mental Health Australia in March 2025. Before this, she held the position of CEO of the </w:t>
      </w:r>
      <w:proofErr w:type="spellStart"/>
      <w:r>
        <w:t>Toowong</w:t>
      </w:r>
      <w:proofErr w:type="spellEnd"/>
      <w:r>
        <w:t xml:space="preserve"> Private Hospital. She is involved in several state and national boards and committees, including as the National President of the Australian Private Hospitals Association. </w:t>
      </w:r>
      <w:proofErr w:type="spellStart"/>
      <w:r>
        <w:t>Ms</w:t>
      </w:r>
      <w:proofErr w:type="spellEnd"/>
      <w:r>
        <w:t xml:space="preserve"> Gee is a member</w:t>
      </w:r>
      <w:r>
        <w:rPr>
          <w:spacing w:val="-1"/>
        </w:rPr>
        <w:t xml:space="preserve"> </w:t>
      </w:r>
      <w:r>
        <w:t>of</w:t>
      </w:r>
      <w:r>
        <w:rPr>
          <w:spacing w:val="-1"/>
        </w:rPr>
        <w:t xml:space="preserve"> </w:t>
      </w:r>
      <w:r>
        <w:t>the</w:t>
      </w:r>
      <w:r>
        <w:rPr>
          <w:spacing w:val="-1"/>
        </w:rPr>
        <w:t xml:space="preserve"> </w:t>
      </w:r>
      <w:r>
        <w:t>Medical</w:t>
      </w:r>
      <w:r>
        <w:rPr>
          <w:spacing w:val="-1"/>
        </w:rPr>
        <w:t xml:space="preserve"> </w:t>
      </w:r>
      <w:r>
        <w:t>Board</w:t>
      </w:r>
      <w:r>
        <w:rPr>
          <w:spacing w:val="-1"/>
        </w:rPr>
        <w:t xml:space="preserve"> </w:t>
      </w:r>
      <w:r>
        <w:t>of</w:t>
      </w:r>
      <w:r>
        <w:rPr>
          <w:spacing w:val="-1"/>
        </w:rPr>
        <w:t xml:space="preserve"> </w:t>
      </w:r>
      <w:r>
        <w:t>Australia</w:t>
      </w:r>
      <w:r>
        <w:rPr>
          <w:spacing w:val="-1"/>
        </w:rPr>
        <w:t xml:space="preserve"> </w:t>
      </w:r>
      <w:r>
        <w:t>and</w:t>
      </w:r>
      <w:r>
        <w:rPr>
          <w:spacing w:val="-1"/>
        </w:rPr>
        <w:t xml:space="preserve"> </w:t>
      </w:r>
      <w:r>
        <w:t>is</w:t>
      </w:r>
      <w:r>
        <w:rPr>
          <w:spacing w:val="-1"/>
        </w:rPr>
        <w:t xml:space="preserve"> </w:t>
      </w:r>
      <w:r>
        <w:t>the</w:t>
      </w:r>
      <w:r>
        <w:rPr>
          <w:spacing w:val="-1"/>
        </w:rPr>
        <w:t xml:space="preserve"> </w:t>
      </w:r>
      <w:r>
        <w:t>Chair</w:t>
      </w:r>
      <w:r>
        <w:rPr>
          <w:spacing w:val="-1"/>
        </w:rPr>
        <w:t xml:space="preserve"> </w:t>
      </w:r>
      <w:r>
        <w:t>of</w:t>
      </w:r>
      <w:r>
        <w:rPr>
          <w:spacing w:val="-1"/>
        </w:rPr>
        <w:t xml:space="preserve"> </w:t>
      </w:r>
      <w:r>
        <w:t>the</w:t>
      </w:r>
      <w:r>
        <w:rPr>
          <w:spacing w:val="-1"/>
        </w:rPr>
        <w:t xml:space="preserve"> </w:t>
      </w:r>
      <w:r>
        <w:t>Board’s</w:t>
      </w:r>
      <w:r>
        <w:rPr>
          <w:spacing w:val="-1"/>
        </w:rPr>
        <w:t xml:space="preserve"> </w:t>
      </w:r>
      <w:r>
        <w:t>National</w:t>
      </w:r>
      <w:r>
        <w:rPr>
          <w:spacing w:val="-1"/>
        </w:rPr>
        <w:t xml:space="preserve"> </w:t>
      </w:r>
      <w:r>
        <w:t>Special</w:t>
      </w:r>
      <w:r>
        <w:rPr>
          <w:spacing w:val="-1"/>
        </w:rPr>
        <w:t xml:space="preserve"> </w:t>
      </w:r>
      <w:r>
        <w:t>Issues</w:t>
      </w:r>
      <w:r>
        <w:rPr>
          <w:spacing w:val="-1"/>
        </w:rPr>
        <w:t xml:space="preserve"> </w:t>
      </w:r>
      <w:r>
        <w:t>Committee (Sexual</w:t>
      </w:r>
      <w:r>
        <w:rPr>
          <w:spacing w:val="-3"/>
        </w:rPr>
        <w:t xml:space="preserve"> </w:t>
      </w:r>
      <w:r>
        <w:t>boundaries</w:t>
      </w:r>
      <w:r>
        <w:rPr>
          <w:spacing w:val="-3"/>
        </w:rPr>
        <w:t xml:space="preserve"> </w:t>
      </w:r>
      <w:r>
        <w:t>and</w:t>
      </w:r>
      <w:r>
        <w:rPr>
          <w:spacing w:val="-3"/>
        </w:rPr>
        <w:t xml:space="preserve"> </w:t>
      </w:r>
      <w:r>
        <w:t>family</w:t>
      </w:r>
      <w:r>
        <w:rPr>
          <w:spacing w:val="-3"/>
        </w:rPr>
        <w:t xml:space="preserve"> </w:t>
      </w:r>
      <w:r>
        <w:t>violence).</w:t>
      </w:r>
      <w:r>
        <w:rPr>
          <w:spacing w:val="-3"/>
        </w:rPr>
        <w:t xml:space="preserve"> </w:t>
      </w:r>
      <w:r>
        <w:t>Up</w:t>
      </w:r>
      <w:r>
        <w:rPr>
          <w:spacing w:val="-3"/>
        </w:rPr>
        <w:t xml:space="preserve"> </w:t>
      </w:r>
      <w:r>
        <w:t>until</w:t>
      </w:r>
      <w:r>
        <w:rPr>
          <w:spacing w:val="-3"/>
        </w:rPr>
        <w:t xml:space="preserve"> </w:t>
      </w:r>
      <w:r>
        <w:t>December</w:t>
      </w:r>
      <w:r>
        <w:rPr>
          <w:spacing w:val="-3"/>
        </w:rPr>
        <w:t xml:space="preserve"> </w:t>
      </w:r>
      <w:r>
        <w:t>2025,</w:t>
      </w:r>
      <w:r>
        <w:rPr>
          <w:spacing w:val="-3"/>
        </w:rPr>
        <w:t xml:space="preserve"> </w:t>
      </w:r>
      <w:r>
        <w:t>she</w:t>
      </w:r>
      <w:r>
        <w:rPr>
          <w:spacing w:val="-3"/>
        </w:rPr>
        <w:t xml:space="preserve"> </w:t>
      </w:r>
      <w:r>
        <w:t>was</w:t>
      </w:r>
      <w:r>
        <w:rPr>
          <w:spacing w:val="-3"/>
        </w:rPr>
        <w:t xml:space="preserve"> </w:t>
      </w:r>
      <w:r>
        <w:t>also</w:t>
      </w:r>
      <w:r>
        <w:rPr>
          <w:spacing w:val="-3"/>
        </w:rPr>
        <w:t xml:space="preserve"> </w:t>
      </w:r>
      <w:r>
        <w:t>a</w:t>
      </w:r>
      <w:r>
        <w:rPr>
          <w:spacing w:val="-3"/>
        </w:rPr>
        <w:t xml:space="preserve"> </w:t>
      </w:r>
      <w:r>
        <w:t>community</w:t>
      </w:r>
      <w:r>
        <w:rPr>
          <w:spacing w:val="-3"/>
        </w:rPr>
        <w:t xml:space="preserve"> </w:t>
      </w:r>
      <w:r>
        <w:t>member</w:t>
      </w:r>
      <w:r>
        <w:rPr>
          <w:spacing w:val="-3"/>
        </w:rPr>
        <w:t xml:space="preserve"> </w:t>
      </w:r>
      <w:r>
        <w:t>of</w:t>
      </w:r>
      <w:r>
        <w:rPr>
          <w:spacing w:val="-3"/>
        </w:rPr>
        <w:t xml:space="preserve"> </w:t>
      </w:r>
      <w:r>
        <w:t>the Queensland Board of the Medical Board of Australia.</w:t>
      </w:r>
    </w:p>
    <w:p w14:paraId="6B83FA6C" w14:textId="77777777" w:rsidR="009D54AF" w:rsidRDefault="00000000">
      <w:pPr>
        <w:pStyle w:val="BodyText"/>
        <w:spacing w:before="141" w:line="278" w:lineRule="auto"/>
        <w:ind w:left="142" w:right="285"/>
      </w:pPr>
      <w:proofErr w:type="spellStart"/>
      <w:r>
        <w:t>Ms</w:t>
      </w:r>
      <w:proofErr w:type="spellEnd"/>
      <w:r>
        <w:rPr>
          <w:spacing w:val="-2"/>
        </w:rPr>
        <w:t xml:space="preserve"> </w:t>
      </w:r>
      <w:r>
        <w:t>Gee</w:t>
      </w:r>
      <w:r>
        <w:rPr>
          <w:spacing w:val="-2"/>
        </w:rPr>
        <w:t xml:space="preserve"> </w:t>
      </w:r>
      <w:r>
        <w:t>was</w:t>
      </w:r>
      <w:r>
        <w:rPr>
          <w:spacing w:val="-2"/>
        </w:rPr>
        <w:t xml:space="preserve"> </w:t>
      </w:r>
      <w:r>
        <w:t>the</w:t>
      </w:r>
      <w:r>
        <w:rPr>
          <w:spacing w:val="-2"/>
        </w:rPr>
        <w:t xml:space="preserve"> </w:t>
      </w:r>
      <w:r>
        <w:t>2021</w:t>
      </w:r>
      <w:r>
        <w:rPr>
          <w:spacing w:val="-2"/>
        </w:rPr>
        <w:t xml:space="preserve"> </w:t>
      </w:r>
      <w:r>
        <w:t>recipient</w:t>
      </w:r>
      <w:r>
        <w:rPr>
          <w:spacing w:val="-2"/>
        </w:rPr>
        <w:t xml:space="preserve"> </w:t>
      </w:r>
      <w:r>
        <w:t>of</w:t>
      </w:r>
      <w:r>
        <w:rPr>
          <w:spacing w:val="-2"/>
        </w:rPr>
        <w:t xml:space="preserve"> </w:t>
      </w:r>
      <w:r>
        <w:t>the</w:t>
      </w:r>
      <w:r>
        <w:rPr>
          <w:spacing w:val="-2"/>
        </w:rPr>
        <w:t xml:space="preserve"> </w:t>
      </w:r>
      <w:r>
        <w:t>Gold</w:t>
      </w:r>
      <w:r>
        <w:rPr>
          <w:spacing w:val="-2"/>
        </w:rPr>
        <w:t xml:space="preserve"> </w:t>
      </w:r>
      <w:r>
        <w:t>Medal</w:t>
      </w:r>
      <w:r>
        <w:rPr>
          <w:spacing w:val="-2"/>
        </w:rPr>
        <w:t xml:space="preserve"> </w:t>
      </w:r>
      <w:r>
        <w:t>of</w:t>
      </w:r>
      <w:r>
        <w:rPr>
          <w:spacing w:val="-2"/>
        </w:rPr>
        <w:t xml:space="preserve"> </w:t>
      </w:r>
      <w:r>
        <w:t>the</w:t>
      </w:r>
      <w:r>
        <w:rPr>
          <w:spacing w:val="-2"/>
        </w:rPr>
        <w:t xml:space="preserve"> </w:t>
      </w:r>
      <w:r>
        <w:t>Australian</w:t>
      </w:r>
      <w:r>
        <w:rPr>
          <w:spacing w:val="-2"/>
        </w:rPr>
        <w:t xml:space="preserve"> </w:t>
      </w:r>
      <w:r>
        <w:t>Council</w:t>
      </w:r>
      <w:r>
        <w:rPr>
          <w:spacing w:val="-2"/>
        </w:rPr>
        <w:t xml:space="preserve"> </w:t>
      </w:r>
      <w:r>
        <w:t>on</w:t>
      </w:r>
      <w:r>
        <w:rPr>
          <w:spacing w:val="-2"/>
        </w:rPr>
        <w:t xml:space="preserve"> </w:t>
      </w:r>
      <w:r>
        <w:t>Healthcare</w:t>
      </w:r>
      <w:r>
        <w:rPr>
          <w:spacing w:val="-2"/>
        </w:rPr>
        <w:t xml:space="preserve"> </w:t>
      </w:r>
      <w:r>
        <w:t>Standards.</w:t>
      </w:r>
      <w:r>
        <w:rPr>
          <w:spacing w:val="-2"/>
        </w:rPr>
        <w:t xml:space="preserve"> </w:t>
      </w:r>
      <w:r>
        <w:t>She was appointed a Member (AM) of the Order of Australia (General Division) on 12 June 2023.</w:t>
      </w:r>
    </w:p>
    <w:p w14:paraId="412B01F6" w14:textId="77777777" w:rsidR="009D54AF" w:rsidRDefault="00000000">
      <w:pPr>
        <w:spacing w:before="141"/>
        <w:ind w:left="142"/>
        <w:rPr>
          <w:sz w:val="21"/>
        </w:rPr>
      </w:pPr>
      <w:r>
        <w:rPr>
          <w:b/>
          <w:sz w:val="21"/>
        </w:rPr>
        <w:t>Qualifications:</w:t>
      </w:r>
      <w:r>
        <w:rPr>
          <w:b/>
          <w:spacing w:val="12"/>
          <w:sz w:val="21"/>
        </w:rPr>
        <w:t xml:space="preserve"> </w:t>
      </w:r>
      <w:r>
        <w:rPr>
          <w:spacing w:val="-5"/>
          <w:sz w:val="21"/>
        </w:rPr>
        <w:t>MBA</w:t>
      </w:r>
    </w:p>
    <w:p w14:paraId="29F7169B" w14:textId="77777777" w:rsidR="009D54AF" w:rsidRDefault="00000000">
      <w:pPr>
        <w:pStyle w:val="BodyText"/>
        <w:spacing w:before="180" w:line="278" w:lineRule="auto"/>
        <w:ind w:left="142" w:right="285"/>
      </w:pPr>
      <w:r>
        <w:rPr>
          <w:b/>
        </w:rPr>
        <w:t>Board membership:</w:t>
      </w:r>
      <w:r>
        <w:rPr>
          <w:b/>
          <w:spacing w:val="-1"/>
        </w:rPr>
        <w:t xml:space="preserve"> </w:t>
      </w:r>
      <w:r>
        <w:t>Appointed as a Commission Board member in March 2006; appointed to the Board on 1 July 2011; reappointed 1 July 2018 – 31 March 2022; reappointed 1 April 2022 – 31 March 2027.</w:t>
      </w:r>
    </w:p>
    <w:p w14:paraId="072B02CB" w14:textId="77777777" w:rsidR="009D54AF" w:rsidRDefault="009D54AF">
      <w:pPr>
        <w:pStyle w:val="BodyText"/>
        <w:spacing w:before="63"/>
      </w:pPr>
    </w:p>
    <w:p w14:paraId="1816C7FE" w14:textId="77777777" w:rsidR="009D54AF" w:rsidRDefault="00000000">
      <w:pPr>
        <w:pStyle w:val="Heading7"/>
        <w:spacing w:before="1"/>
      </w:pPr>
      <w:r>
        <w:t>Dr</w:t>
      </w:r>
      <w:r>
        <w:rPr>
          <w:spacing w:val="-2"/>
        </w:rPr>
        <w:t xml:space="preserve"> </w:t>
      </w:r>
      <w:r>
        <w:t>Hung</w:t>
      </w:r>
      <w:r>
        <w:rPr>
          <w:spacing w:val="-2"/>
        </w:rPr>
        <w:t xml:space="preserve"> </w:t>
      </w:r>
      <w:r>
        <w:t>The</w:t>
      </w:r>
      <w:r>
        <w:rPr>
          <w:spacing w:val="-2"/>
        </w:rPr>
        <w:t xml:space="preserve"> Nguyen</w:t>
      </w:r>
    </w:p>
    <w:p w14:paraId="3D030F20" w14:textId="77777777" w:rsidR="009D54AF" w:rsidRDefault="00000000">
      <w:pPr>
        <w:pStyle w:val="BodyText"/>
        <w:spacing w:before="141" w:line="278" w:lineRule="auto"/>
        <w:ind w:left="142"/>
      </w:pPr>
      <w:r>
        <w:t>Dr Hung Nguyen is a general practitioner, medical and cultural educator with a longstanding dedication to Aboriginal and Torres Strait Islander health and multicultural health. He has extensive experience working across urban, rural and remote Aboriginal community health services in the Northern Territory and Victoria. Currently, he serves as the Medical Director of the Central Australian Aboriginal Congress.</w:t>
      </w:r>
    </w:p>
    <w:p w14:paraId="39680CC7" w14:textId="77777777" w:rsidR="009D54AF" w:rsidRDefault="00000000">
      <w:pPr>
        <w:pStyle w:val="BodyText"/>
        <w:spacing w:before="141" w:line="278" w:lineRule="auto"/>
        <w:ind w:left="142"/>
      </w:pPr>
      <w:r>
        <w:t>Dr</w:t>
      </w:r>
      <w:r>
        <w:rPr>
          <w:spacing w:val="-3"/>
        </w:rPr>
        <w:t xml:space="preserve"> </w:t>
      </w:r>
      <w:r>
        <w:t>Nguyen</w:t>
      </w:r>
      <w:r>
        <w:rPr>
          <w:spacing w:val="-3"/>
        </w:rPr>
        <w:t xml:space="preserve"> </w:t>
      </w:r>
      <w:r>
        <w:t>was</w:t>
      </w:r>
      <w:r>
        <w:rPr>
          <w:spacing w:val="-3"/>
        </w:rPr>
        <w:t xml:space="preserve"> </w:t>
      </w:r>
      <w:r>
        <w:t>the</w:t>
      </w:r>
      <w:r>
        <w:rPr>
          <w:spacing w:val="-3"/>
        </w:rPr>
        <w:t xml:space="preserve"> </w:t>
      </w:r>
      <w:r>
        <w:t>inaugural</w:t>
      </w:r>
      <w:r>
        <w:rPr>
          <w:spacing w:val="-3"/>
        </w:rPr>
        <w:t xml:space="preserve"> </w:t>
      </w:r>
      <w:r>
        <w:t>Censor</w:t>
      </w:r>
      <w:r>
        <w:rPr>
          <w:spacing w:val="-3"/>
        </w:rPr>
        <w:t xml:space="preserve"> </w:t>
      </w:r>
      <w:r>
        <w:t>for</w:t>
      </w:r>
      <w:r>
        <w:rPr>
          <w:spacing w:val="-3"/>
        </w:rPr>
        <w:t xml:space="preserve"> </w:t>
      </w:r>
      <w:r>
        <w:t>the</w:t>
      </w:r>
      <w:r>
        <w:rPr>
          <w:spacing w:val="-3"/>
        </w:rPr>
        <w:t xml:space="preserve"> </w:t>
      </w:r>
      <w:r>
        <w:t>RACGP</w:t>
      </w:r>
      <w:r>
        <w:rPr>
          <w:spacing w:val="-3"/>
        </w:rPr>
        <w:t xml:space="preserve"> </w:t>
      </w:r>
      <w:r>
        <w:t>Aboriginal</w:t>
      </w:r>
      <w:r>
        <w:rPr>
          <w:spacing w:val="-3"/>
        </w:rPr>
        <w:t xml:space="preserve"> </w:t>
      </w:r>
      <w:r>
        <w:t>and</w:t>
      </w:r>
      <w:r>
        <w:rPr>
          <w:spacing w:val="-3"/>
        </w:rPr>
        <w:t xml:space="preserve"> </w:t>
      </w:r>
      <w:r>
        <w:t>Torres</w:t>
      </w:r>
      <w:r>
        <w:rPr>
          <w:spacing w:val="-3"/>
        </w:rPr>
        <w:t xml:space="preserve"> </w:t>
      </w:r>
      <w:r>
        <w:t>Strait</w:t>
      </w:r>
      <w:r>
        <w:rPr>
          <w:spacing w:val="-3"/>
        </w:rPr>
        <w:t xml:space="preserve"> </w:t>
      </w:r>
      <w:r>
        <w:t>Islander</w:t>
      </w:r>
      <w:r>
        <w:rPr>
          <w:spacing w:val="-3"/>
        </w:rPr>
        <w:t xml:space="preserve"> </w:t>
      </w:r>
      <w:r>
        <w:t>Health</w:t>
      </w:r>
      <w:r>
        <w:rPr>
          <w:spacing w:val="-3"/>
        </w:rPr>
        <w:t xml:space="preserve"> </w:t>
      </w:r>
      <w:r>
        <w:t>faculty,</w:t>
      </w:r>
      <w:r>
        <w:rPr>
          <w:spacing w:val="-3"/>
        </w:rPr>
        <w:t xml:space="preserve"> </w:t>
      </w:r>
      <w:r>
        <w:t xml:space="preserve">and previously Director of Medical and Cultural Education for Northern Territory General Practice Education. For over 20 years, he has delivered cultural competency and cultural safety training for a variety of </w:t>
      </w:r>
      <w:proofErr w:type="spellStart"/>
      <w:r>
        <w:t>organisations</w:t>
      </w:r>
      <w:proofErr w:type="spellEnd"/>
      <w:r>
        <w:t xml:space="preserve"> including the Medical Board of Victoria, Palliative Care Victoria, and the Postgraduate Medical Council of </w:t>
      </w:r>
      <w:r>
        <w:rPr>
          <w:spacing w:val="-2"/>
        </w:rPr>
        <w:t>Victoria.</w:t>
      </w:r>
    </w:p>
    <w:p w14:paraId="67BEF313" w14:textId="77777777" w:rsidR="009D54AF" w:rsidRDefault="00000000">
      <w:pPr>
        <w:pStyle w:val="BodyText"/>
        <w:spacing w:before="141" w:line="278" w:lineRule="auto"/>
        <w:ind w:left="142" w:right="145"/>
      </w:pPr>
      <w:r>
        <w:t>Dr</w:t>
      </w:r>
      <w:r>
        <w:rPr>
          <w:spacing w:val="-3"/>
        </w:rPr>
        <w:t xml:space="preserve"> </w:t>
      </w:r>
      <w:r>
        <w:t>Nguyen</w:t>
      </w:r>
      <w:r>
        <w:rPr>
          <w:spacing w:val="-3"/>
        </w:rPr>
        <w:t xml:space="preserve"> </w:t>
      </w:r>
      <w:r>
        <w:t>currently</w:t>
      </w:r>
      <w:r>
        <w:rPr>
          <w:spacing w:val="-3"/>
        </w:rPr>
        <w:t xml:space="preserve"> </w:t>
      </w:r>
      <w:r>
        <w:t>holds</w:t>
      </w:r>
      <w:r>
        <w:rPr>
          <w:spacing w:val="-3"/>
        </w:rPr>
        <w:t xml:space="preserve"> </w:t>
      </w:r>
      <w:r>
        <w:t>several</w:t>
      </w:r>
      <w:r>
        <w:rPr>
          <w:spacing w:val="-3"/>
        </w:rPr>
        <w:t xml:space="preserve"> </w:t>
      </w:r>
      <w:r>
        <w:t>governance</w:t>
      </w:r>
      <w:r>
        <w:rPr>
          <w:spacing w:val="-3"/>
        </w:rPr>
        <w:t xml:space="preserve"> </w:t>
      </w:r>
      <w:r>
        <w:t>and</w:t>
      </w:r>
      <w:r>
        <w:rPr>
          <w:spacing w:val="-3"/>
        </w:rPr>
        <w:t xml:space="preserve"> </w:t>
      </w:r>
      <w:r>
        <w:t>leadership</w:t>
      </w:r>
      <w:r>
        <w:rPr>
          <w:spacing w:val="-3"/>
        </w:rPr>
        <w:t xml:space="preserve"> </w:t>
      </w:r>
      <w:r>
        <w:t>positions:</w:t>
      </w:r>
      <w:r>
        <w:rPr>
          <w:spacing w:val="-3"/>
        </w:rPr>
        <w:t xml:space="preserve"> </w:t>
      </w:r>
      <w:r>
        <w:t>President</w:t>
      </w:r>
      <w:r>
        <w:rPr>
          <w:spacing w:val="-3"/>
        </w:rPr>
        <w:t xml:space="preserve"> </w:t>
      </w:r>
      <w:r>
        <w:t>of</w:t>
      </w:r>
      <w:r>
        <w:rPr>
          <w:spacing w:val="-3"/>
        </w:rPr>
        <w:t xml:space="preserve"> </w:t>
      </w:r>
      <w:r>
        <w:t>the</w:t>
      </w:r>
      <w:r>
        <w:rPr>
          <w:spacing w:val="-3"/>
        </w:rPr>
        <w:t xml:space="preserve"> </w:t>
      </w:r>
      <w:r>
        <w:t>Australasian</w:t>
      </w:r>
      <w:r>
        <w:rPr>
          <w:spacing w:val="-3"/>
        </w:rPr>
        <w:t xml:space="preserve"> </w:t>
      </w:r>
      <w:r>
        <w:t>Society of Lifestyle Medicine; Board Director of Therapeutic Guidelines Limited, Health Education Australia Limited and Australasian Institute of Clinical Governance. His work focuses on improving patient journeys, cultural safety, and engagement in healthcare quality improvement.</w:t>
      </w:r>
    </w:p>
    <w:p w14:paraId="2380165E" w14:textId="77777777" w:rsidR="009D54AF" w:rsidRDefault="00000000">
      <w:pPr>
        <w:spacing w:before="142"/>
        <w:ind w:left="142"/>
        <w:rPr>
          <w:sz w:val="21"/>
        </w:rPr>
      </w:pPr>
      <w:r>
        <w:rPr>
          <w:b/>
          <w:sz w:val="21"/>
        </w:rPr>
        <w:t>Qualifications:</w:t>
      </w:r>
      <w:r>
        <w:rPr>
          <w:b/>
          <w:spacing w:val="-7"/>
          <w:sz w:val="21"/>
        </w:rPr>
        <w:t xml:space="preserve"> </w:t>
      </w:r>
      <w:r>
        <w:rPr>
          <w:sz w:val="21"/>
        </w:rPr>
        <w:t>BMedSci</w:t>
      </w:r>
      <w:r>
        <w:rPr>
          <w:spacing w:val="-6"/>
          <w:sz w:val="21"/>
        </w:rPr>
        <w:t xml:space="preserve"> </w:t>
      </w:r>
      <w:r>
        <w:rPr>
          <w:sz w:val="21"/>
        </w:rPr>
        <w:t>(Hons),</w:t>
      </w:r>
      <w:r>
        <w:rPr>
          <w:spacing w:val="-6"/>
          <w:sz w:val="21"/>
        </w:rPr>
        <w:t xml:space="preserve"> </w:t>
      </w:r>
      <w:r>
        <w:rPr>
          <w:sz w:val="21"/>
        </w:rPr>
        <w:t>MBBS</w:t>
      </w:r>
      <w:r>
        <w:rPr>
          <w:spacing w:val="-6"/>
          <w:sz w:val="21"/>
        </w:rPr>
        <w:t xml:space="preserve"> </w:t>
      </w:r>
      <w:r>
        <w:rPr>
          <w:sz w:val="21"/>
        </w:rPr>
        <w:t>(Hons),</w:t>
      </w:r>
      <w:r>
        <w:rPr>
          <w:spacing w:val="-5"/>
          <w:sz w:val="21"/>
        </w:rPr>
        <w:t xml:space="preserve"> </w:t>
      </w:r>
      <w:r>
        <w:rPr>
          <w:sz w:val="21"/>
        </w:rPr>
        <w:t>MPH,</w:t>
      </w:r>
      <w:r>
        <w:rPr>
          <w:spacing w:val="-6"/>
          <w:sz w:val="21"/>
        </w:rPr>
        <w:t xml:space="preserve"> </w:t>
      </w:r>
      <w:r>
        <w:rPr>
          <w:sz w:val="21"/>
        </w:rPr>
        <w:t>FRACGP,</w:t>
      </w:r>
      <w:r>
        <w:rPr>
          <w:spacing w:val="-6"/>
          <w:sz w:val="21"/>
        </w:rPr>
        <w:t xml:space="preserve"> </w:t>
      </w:r>
      <w:r>
        <w:rPr>
          <w:sz w:val="21"/>
        </w:rPr>
        <w:t>FASLM,</w:t>
      </w:r>
      <w:r>
        <w:rPr>
          <w:spacing w:val="-6"/>
          <w:sz w:val="21"/>
        </w:rPr>
        <w:t xml:space="preserve"> </w:t>
      </w:r>
      <w:r>
        <w:rPr>
          <w:sz w:val="21"/>
        </w:rPr>
        <w:t>GAICD,</w:t>
      </w:r>
      <w:r>
        <w:rPr>
          <w:spacing w:val="-5"/>
          <w:sz w:val="21"/>
        </w:rPr>
        <w:t xml:space="preserve"> </w:t>
      </w:r>
      <w:r>
        <w:rPr>
          <w:spacing w:val="-2"/>
          <w:sz w:val="21"/>
        </w:rPr>
        <w:t>AICGG</w:t>
      </w:r>
    </w:p>
    <w:p w14:paraId="4884EB49" w14:textId="77777777" w:rsidR="009D54AF" w:rsidRDefault="00000000">
      <w:pPr>
        <w:spacing w:before="66"/>
        <w:ind w:left="142"/>
        <w:rPr>
          <w:sz w:val="21"/>
        </w:rPr>
      </w:pPr>
      <w:r>
        <w:rPr>
          <w:b/>
          <w:sz w:val="21"/>
        </w:rPr>
        <w:t>Board membership:</w:t>
      </w:r>
      <w:r>
        <w:rPr>
          <w:b/>
          <w:spacing w:val="-1"/>
          <w:sz w:val="21"/>
        </w:rPr>
        <w:t xml:space="preserve"> </w:t>
      </w:r>
      <w:r>
        <w:rPr>
          <w:sz w:val="21"/>
        </w:rPr>
        <w:t>1 April</w:t>
      </w:r>
      <w:r>
        <w:rPr>
          <w:spacing w:val="1"/>
          <w:sz w:val="21"/>
        </w:rPr>
        <w:t xml:space="preserve"> </w:t>
      </w:r>
      <w:r>
        <w:rPr>
          <w:sz w:val="21"/>
        </w:rPr>
        <w:t>2026 – 31 March</w:t>
      </w:r>
      <w:r>
        <w:rPr>
          <w:spacing w:val="1"/>
          <w:sz w:val="21"/>
        </w:rPr>
        <w:t xml:space="preserve"> </w:t>
      </w:r>
      <w:r>
        <w:rPr>
          <w:spacing w:val="-4"/>
          <w:sz w:val="21"/>
        </w:rPr>
        <w:t>2030.</w:t>
      </w:r>
    </w:p>
    <w:p w14:paraId="2E4339C5" w14:textId="77777777" w:rsidR="009D54AF" w:rsidRDefault="009D54AF">
      <w:pPr>
        <w:pStyle w:val="BodyText"/>
        <w:spacing w:before="101"/>
      </w:pPr>
    </w:p>
    <w:p w14:paraId="0833FF67" w14:textId="77777777" w:rsidR="008F5B74" w:rsidRDefault="008F5B74">
      <w:pPr>
        <w:rPr>
          <w:b/>
          <w:bCs/>
          <w:sz w:val="26"/>
          <w:szCs w:val="26"/>
        </w:rPr>
      </w:pPr>
      <w:r>
        <w:br w:type="page"/>
      </w:r>
    </w:p>
    <w:p w14:paraId="640C03C5" w14:textId="74309E40" w:rsidR="009D54AF" w:rsidRDefault="00000000">
      <w:pPr>
        <w:pStyle w:val="Heading7"/>
        <w:spacing w:before="1"/>
      </w:pPr>
      <w:r>
        <w:lastRenderedPageBreak/>
        <w:t>The</w:t>
      </w:r>
      <w:r>
        <w:rPr>
          <w:spacing w:val="-3"/>
        </w:rPr>
        <w:t xml:space="preserve"> </w:t>
      </w:r>
      <w:r>
        <w:t>Hon</w:t>
      </w:r>
      <w:r>
        <w:rPr>
          <w:spacing w:val="-3"/>
        </w:rPr>
        <w:t xml:space="preserve"> </w:t>
      </w:r>
      <w:r>
        <w:t>Peter</w:t>
      </w:r>
      <w:r>
        <w:rPr>
          <w:spacing w:val="-3"/>
        </w:rPr>
        <w:t xml:space="preserve"> </w:t>
      </w:r>
      <w:r>
        <w:t>McClellan</w:t>
      </w:r>
      <w:r>
        <w:rPr>
          <w:spacing w:val="-3"/>
        </w:rPr>
        <w:t xml:space="preserve"> </w:t>
      </w:r>
      <w:r>
        <w:t>AM</w:t>
      </w:r>
      <w:r>
        <w:rPr>
          <w:spacing w:val="-3"/>
        </w:rPr>
        <w:t xml:space="preserve"> </w:t>
      </w:r>
      <w:r>
        <w:rPr>
          <w:spacing w:val="-5"/>
        </w:rPr>
        <w:t>KC</w:t>
      </w:r>
    </w:p>
    <w:p w14:paraId="3BF9882A" w14:textId="77777777" w:rsidR="009D54AF" w:rsidRDefault="00000000">
      <w:pPr>
        <w:pStyle w:val="BodyText"/>
        <w:spacing w:before="141" w:line="278" w:lineRule="auto"/>
        <w:ind w:left="142" w:right="314"/>
      </w:pPr>
      <w:proofErr w:type="spellStart"/>
      <w:r>
        <w:t>Mr</w:t>
      </w:r>
      <w:proofErr w:type="spellEnd"/>
      <w:r>
        <w:rPr>
          <w:spacing w:val="-2"/>
        </w:rPr>
        <w:t xml:space="preserve"> </w:t>
      </w:r>
      <w:r>
        <w:t>McClellan</w:t>
      </w:r>
      <w:r>
        <w:rPr>
          <w:spacing w:val="-2"/>
        </w:rPr>
        <w:t xml:space="preserve"> </w:t>
      </w:r>
      <w:r>
        <w:t>was</w:t>
      </w:r>
      <w:r>
        <w:rPr>
          <w:spacing w:val="-2"/>
        </w:rPr>
        <w:t xml:space="preserve"> </w:t>
      </w:r>
      <w:r>
        <w:t>admitted</w:t>
      </w:r>
      <w:r>
        <w:rPr>
          <w:spacing w:val="-2"/>
        </w:rPr>
        <w:t xml:space="preserve"> </w:t>
      </w:r>
      <w:r>
        <w:t>to</w:t>
      </w:r>
      <w:r>
        <w:rPr>
          <w:spacing w:val="-2"/>
        </w:rPr>
        <w:t xml:space="preserve"> </w:t>
      </w:r>
      <w:r>
        <w:t>the</w:t>
      </w:r>
      <w:r>
        <w:rPr>
          <w:spacing w:val="-2"/>
        </w:rPr>
        <w:t xml:space="preserve"> </w:t>
      </w:r>
      <w:r>
        <w:t>New</w:t>
      </w:r>
      <w:r>
        <w:rPr>
          <w:spacing w:val="-2"/>
        </w:rPr>
        <w:t xml:space="preserve"> </w:t>
      </w:r>
      <w:r>
        <w:t>South</w:t>
      </w:r>
      <w:r>
        <w:rPr>
          <w:spacing w:val="-2"/>
        </w:rPr>
        <w:t xml:space="preserve"> </w:t>
      </w:r>
      <w:r>
        <w:t>Wales</w:t>
      </w:r>
      <w:r>
        <w:rPr>
          <w:spacing w:val="-2"/>
        </w:rPr>
        <w:t xml:space="preserve"> </w:t>
      </w:r>
      <w:r>
        <w:t>Bar</w:t>
      </w:r>
      <w:r>
        <w:rPr>
          <w:spacing w:val="-2"/>
        </w:rPr>
        <w:t xml:space="preserve"> </w:t>
      </w:r>
      <w:r>
        <w:t>(NSW)</w:t>
      </w:r>
      <w:r>
        <w:rPr>
          <w:spacing w:val="-2"/>
        </w:rPr>
        <w:t xml:space="preserve"> </w:t>
      </w:r>
      <w:r>
        <w:t>in</w:t>
      </w:r>
      <w:r>
        <w:rPr>
          <w:spacing w:val="-2"/>
        </w:rPr>
        <w:t xml:space="preserve"> </w:t>
      </w:r>
      <w:r>
        <w:t>1975</w:t>
      </w:r>
      <w:r>
        <w:rPr>
          <w:spacing w:val="-2"/>
        </w:rPr>
        <w:t xml:space="preserve"> </w:t>
      </w:r>
      <w:r>
        <w:t>and</w:t>
      </w:r>
      <w:r>
        <w:rPr>
          <w:spacing w:val="-2"/>
        </w:rPr>
        <w:t xml:space="preserve"> </w:t>
      </w:r>
      <w:r>
        <w:t>appointed</w:t>
      </w:r>
      <w:r>
        <w:rPr>
          <w:spacing w:val="-2"/>
        </w:rPr>
        <w:t xml:space="preserve"> </w:t>
      </w:r>
      <w:r>
        <w:t>Queen’s</w:t>
      </w:r>
      <w:r>
        <w:rPr>
          <w:spacing w:val="-2"/>
        </w:rPr>
        <w:t xml:space="preserve"> </w:t>
      </w:r>
      <w:r>
        <w:t>Counsel</w:t>
      </w:r>
      <w:r>
        <w:rPr>
          <w:spacing w:val="-2"/>
        </w:rPr>
        <w:t xml:space="preserve"> </w:t>
      </w:r>
      <w:r>
        <w:t xml:space="preserve">in 1985. He </w:t>
      </w:r>
      <w:proofErr w:type="spellStart"/>
      <w:r>
        <w:t>practised</w:t>
      </w:r>
      <w:proofErr w:type="spellEnd"/>
      <w:r>
        <w:t xml:space="preserve"> in many areas of the law, especially environmental law. He was Counsel Assisting the Royal Commission into British Nuclear Tests in Australia (‘Maralinga’) and was an Assistant Commissioner of</w:t>
      </w:r>
      <w:r>
        <w:rPr>
          <w:spacing w:val="-2"/>
        </w:rPr>
        <w:t xml:space="preserve"> </w:t>
      </w:r>
      <w:r>
        <w:t>the</w:t>
      </w:r>
      <w:r>
        <w:rPr>
          <w:spacing w:val="-2"/>
        </w:rPr>
        <w:t xml:space="preserve"> </w:t>
      </w:r>
      <w:r>
        <w:t>New</w:t>
      </w:r>
      <w:r>
        <w:rPr>
          <w:spacing w:val="-2"/>
        </w:rPr>
        <w:t xml:space="preserve"> </w:t>
      </w:r>
      <w:r>
        <w:t>South</w:t>
      </w:r>
      <w:r>
        <w:rPr>
          <w:spacing w:val="-2"/>
        </w:rPr>
        <w:t xml:space="preserve"> </w:t>
      </w:r>
      <w:r>
        <w:t>Wales</w:t>
      </w:r>
      <w:r>
        <w:rPr>
          <w:spacing w:val="-2"/>
        </w:rPr>
        <w:t xml:space="preserve"> </w:t>
      </w:r>
      <w:r>
        <w:t>Independent</w:t>
      </w:r>
      <w:r>
        <w:rPr>
          <w:spacing w:val="-2"/>
        </w:rPr>
        <w:t xml:space="preserve"> </w:t>
      </w:r>
      <w:r>
        <w:t>Commission</w:t>
      </w:r>
      <w:r>
        <w:rPr>
          <w:spacing w:val="-2"/>
        </w:rPr>
        <w:t xml:space="preserve"> </w:t>
      </w:r>
      <w:r>
        <w:t>Against</w:t>
      </w:r>
      <w:r>
        <w:rPr>
          <w:spacing w:val="-2"/>
        </w:rPr>
        <w:t xml:space="preserve"> </w:t>
      </w:r>
      <w:r>
        <w:t>Corruption.</w:t>
      </w:r>
      <w:r>
        <w:rPr>
          <w:spacing w:val="-2"/>
        </w:rPr>
        <w:t xml:space="preserve"> </w:t>
      </w:r>
      <w:r>
        <w:t>He</w:t>
      </w:r>
      <w:r>
        <w:rPr>
          <w:spacing w:val="-2"/>
        </w:rPr>
        <w:t xml:space="preserve"> </w:t>
      </w:r>
      <w:r>
        <w:t>also</w:t>
      </w:r>
      <w:r>
        <w:rPr>
          <w:spacing w:val="-2"/>
        </w:rPr>
        <w:t xml:space="preserve"> </w:t>
      </w:r>
      <w:r>
        <w:t>appeared</w:t>
      </w:r>
      <w:r>
        <w:rPr>
          <w:spacing w:val="-2"/>
        </w:rPr>
        <w:t xml:space="preserve"> </w:t>
      </w:r>
      <w:r>
        <w:t>in</w:t>
      </w:r>
      <w:r>
        <w:rPr>
          <w:spacing w:val="-2"/>
        </w:rPr>
        <w:t xml:space="preserve"> </w:t>
      </w:r>
      <w:r>
        <w:t>and</w:t>
      </w:r>
      <w:r>
        <w:rPr>
          <w:spacing w:val="-2"/>
        </w:rPr>
        <w:t xml:space="preserve"> </w:t>
      </w:r>
      <w:r>
        <w:t>conducted several other government inquiries, including the Sydney Water Inquiry, which examined the safety of Sydney’s water supply.</w:t>
      </w:r>
    </w:p>
    <w:p w14:paraId="6EE986CD" w14:textId="77777777" w:rsidR="009D54AF" w:rsidRDefault="00000000">
      <w:pPr>
        <w:pStyle w:val="BodyText"/>
        <w:spacing w:before="141" w:line="278" w:lineRule="auto"/>
        <w:ind w:left="142" w:right="214"/>
      </w:pPr>
      <w:proofErr w:type="spellStart"/>
      <w:r>
        <w:t>Mr</w:t>
      </w:r>
      <w:proofErr w:type="spellEnd"/>
      <w:r>
        <w:t xml:space="preserve"> McClellan was appointed a judge of the NSW Supreme Court in 2001. In 2003 he was appointed Chief Judge</w:t>
      </w:r>
      <w:r>
        <w:rPr>
          <w:spacing w:val="-2"/>
        </w:rPr>
        <w:t xml:space="preserve"> </w:t>
      </w:r>
      <w:r>
        <w:t>of</w:t>
      </w:r>
      <w:r>
        <w:rPr>
          <w:spacing w:val="-2"/>
        </w:rPr>
        <w:t xml:space="preserve"> </w:t>
      </w:r>
      <w:r>
        <w:t>the</w:t>
      </w:r>
      <w:r>
        <w:rPr>
          <w:spacing w:val="-2"/>
        </w:rPr>
        <w:t xml:space="preserve"> </w:t>
      </w:r>
      <w:r>
        <w:t>NSW</w:t>
      </w:r>
      <w:r>
        <w:rPr>
          <w:spacing w:val="-2"/>
        </w:rPr>
        <w:t xml:space="preserve"> </w:t>
      </w:r>
      <w:r>
        <w:t>Land</w:t>
      </w:r>
      <w:r>
        <w:rPr>
          <w:spacing w:val="-2"/>
        </w:rPr>
        <w:t xml:space="preserve"> </w:t>
      </w:r>
      <w:r>
        <w:t>and</w:t>
      </w:r>
      <w:r>
        <w:rPr>
          <w:spacing w:val="-2"/>
        </w:rPr>
        <w:t xml:space="preserve"> </w:t>
      </w:r>
      <w:r>
        <w:t>Environment</w:t>
      </w:r>
      <w:r>
        <w:rPr>
          <w:spacing w:val="-2"/>
        </w:rPr>
        <w:t xml:space="preserve"> </w:t>
      </w:r>
      <w:r>
        <w:t>Court.</w:t>
      </w:r>
      <w:r>
        <w:rPr>
          <w:spacing w:val="-2"/>
        </w:rPr>
        <w:t xml:space="preserve"> </w:t>
      </w:r>
      <w:r>
        <w:t>In</w:t>
      </w:r>
      <w:r>
        <w:rPr>
          <w:spacing w:val="-2"/>
        </w:rPr>
        <w:t xml:space="preserve"> </w:t>
      </w:r>
      <w:r>
        <w:t>2005</w:t>
      </w:r>
      <w:r>
        <w:rPr>
          <w:spacing w:val="-2"/>
        </w:rPr>
        <w:t xml:space="preserve"> </w:t>
      </w:r>
      <w:r>
        <w:t>he</w:t>
      </w:r>
      <w:r>
        <w:rPr>
          <w:spacing w:val="-2"/>
        </w:rPr>
        <w:t xml:space="preserve"> </w:t>
      </w:r>
      <w:r>
        <w:t>was</w:t>
      </w:r>
      <w:r>
        <w:rPr>
          <w:spacing w:val="-2"/>
        </w:rPr>
        <w:t xml:space="preserve"> </w:t>
      </w:r>
      <w:r>
        <w:t>appointed</w:t>
      </w:r>
      <w:r>
        <w:rPr>
          <w:spacing w:val="-2"/>
        </w:rPr>
        <w:t xml:space="preserve"> </w:t>
      </w:r>
      <w:r>
        <w:t>Chief</w:t>
      </w:r>
      <w:r>
        <w:rPr>
          <w:spacing w:val="-2"/>
        </w:rPr>
        <w:t xml:space="preserve"> </w:t>
      </w:r>
      <w:r>
        <w:t>Judge</w:t>
      </w:r>
      <w:r>
        <w:rPr>
          <w:spacing w:val="-2"/>
        </w:rPr>
        <w:t xml:space="preserve"> </w:t>
      </w:r>
      <w:r>
        <w:t>of</w:t>
      </w:r>
      <w:r>
        <w:rPr>
          <w:spacing w:val="-2"/>
        </w:rPr>
        <w:t xml:space="preserve"> </w:t>
      </w:r>
      <w:r>
        <w:t>the</w:t>
      </w:r>
      <w:r>
        <w:rPr>
          <w:spacing w:val="-2"/>
        </w:rPr>
        <w:t xml:space="preserve"> </w:t>
      </w:r>
      <w:r>
        <w:t>Common</w:t>
      </w:r>
      <w:r>
        <w:rPr>
          <w:spacing w:val="-2"/>
        </w:rPr>
        <w:t xml:space="preserve"> </w:t>
      </w:r>
      <w:r>
        <w:t>Law Division of the NSW Supreme Court. In that role he was responsible for the management of major criminal trials and appeals. He also had oversight of major civil cases including medical negligence.</w:t>
      </w:r>
    </w:p>
    <w:p w14:paraId="0FE5549F" w14:textId="77777777" w:rsidR="009D54AF" w:rsidRDefault="00000000">
      <w:pPr>
        <w:pStyle w:val="BodyText"/>
        <w:spacing w:before="141"/>
        <w:ind w:left="142"/>
      </w:pPr>
      <w:r>
        <w:t>In</w:t>
      </w:r>
      <w:r>
        <w:rPr>
          <w:spacing w:val="-4"/>
        </w:rPr>
        <w:t xml:space="preserve"> </w:t>
      </w:r>
      <w:r>
        <w:t>2013,</w:t>
      </w:r>
      <w:r>
        <w:rPr>
          <w:spacing w:val="-4"/>
        </w:rPr>
        <w:t xml:space="preserve"> </w:t>
      </w:r>
      <w:r>
        <w:t>he</w:t>
      </w:r>
      <w:r>
        <w:rPr>
          <w:spacing w:val="-4"/>
        </w:rPr>
        <w:t xml:space="preserve"> </w:t>
      </w:r>
      <w:r>
        <w:t>was</w:t>
      </w:r>
      <w:r>
        <w:rPr>
          <w:spacing w:val="-4"/>
        </w:rPr>
        <w:t xml:space="preserve"> </w:t>
      </w:r>
      <w:r>
        <w:t>appointed</w:t>
      </w:r>
      <w:r>
        <w:rPr>
          <w:spacing w:val="-4"/>
        </w:rPr>
        <w:t xml:space="preserve"> </w:t>
      </w:r>
      <w:r>
        <w:t>a</w:t>
      </w:r>
      <w:r>
        <w:rPr>
          <w:spacing w:val="-4"/>
        </w:rPr>
        <w:t xml:space="preserve"> </w:t>
      </w:r>
      <w:r>
        <w:t>judge</w:t>
      </w:r>
      <w:r>
        <w:rPr>
          <w:spacing w:val="-4"/>
        </w:rPr>
        <w:t xml:space="preserve"> </w:t>
      </w:r>
      <w:r>
        <w:t>of</w:t>
      </w:r>
      <w:r>
        <w:rPr>
          <w:spacing w:val="-4"/>
        </w:rPr>
        <w:t xml:space="preserve"> </w:t>
      </w:r>
      <w:r>
        <w:rPr>
          <w:spacing w:val="-2"/>
        </w:rPr>
        <w:t>appeal.</w:t>
      </w:r>
    </w:p>
    <w:p w14:paraId="6BEC0BD6" w14:textId="77777777" w:rsidR="009D54AF" w:rsidRDefault="00000000">
      <w:pPr>
        <w:pStyle w:val="BodyText"/>
        <w:spacing w:before="180" w:line="278" w:lineRule="auto"/>
        <w:ind w:left="142" w:right="285"/>
      </w:pPr>
      <w:r>
        <w:t xml:space="preserve">In his various judicial roles, </w:t>
      </w:r>
      <w:proofErr w:type="spellStart"/>
      <w:r>
        <w:t>Mr</w:t>
      </w:r>
      <w:proofErr w:type="spellEnd"/>
      <w:r>
        <w:t xml:space="preserve"> McClellan has been responsible for bringing many changes to court procedures.</w:t>
      </w:r>
      <w:r>
        <w:rPr>
          <w:spacing w:val="-1"/>
        </w:rPr>
        <w:t xml:space="preserve"> </w:t>
      </w:r>
      <w:r>
        <w:t>He</w:t>
      </w:r>
      <w:r>
        <w:rPr>
          <w:spacing w:val="-1"/>
        </w:rPr>
        <w:t xml:space="preserve"> </w:t>
      </w:r>
      <w:r>
        <w:t>was</w:t>
      </w:r>
      <w:r>
        <w:rPr>
          <w:spacing w:val="-1"/>
        </w:rPr>
        <w:t xml:space="preserve"> </w:t>
      </w:r>
      <w:r>
        <w:t>responsible</w:t>
      </w:r>
      <w:r>
        <w:rPr>
          <w:spacing w:val="-1"/>
        </w:rPr>
        <w:t xml:space="preserve"> </w:t>
      </w:r>
      <w:r>
        <w:t>for</w:t>
      </w:r>
      <w:r>
        <w:rPr>
          <w:spacing w:val="-1"/>
        </w:rPr>
        <w:t xml:space="preserve"> </w:t>
      </w:r>
      <w:r>
        <w:t>the</w:t>
      </w:r>
      <w:r>
        <w:rPr>
          <w:spacing w:val="-1"/>
        </w:rPr>
        <w:t xml:space="preserve"> </w:t>
      </w:r>
      <w:r>
        <w:t>introduction</w:t>
      </w:r>
      <w:r>
        <w:rPr>
          <w:spacing w:val="-1"/>
        </w:rPr>
        <w:t xml:space="preserve"> </w:t>
      </w:r>
      <w:r>
        <w:t>of</w:t>
      </w:r>
      <w:r>
        <w:rPr>
          <w:spacing w:val="-1"/>
        </w:rPr>
        <w:t xml:space="preserve"> </w:t>
      </w:r>
      <w:r>
        <w:t>the</w:t>
      </w:r>
      <w:r>
        <w:rPr>
          <w:spacing w:val="-1"/>
        </w:rPr>
        <w:t xml:space="preserve"> </w:t>
      </w:r>
      <w:r>
        <w:t>process</w:t>
      </w:r>
      <w:r>
        <w:rPr>
          <w:spacing w:val="-1"/>
        </w:rPr>
        <w:t xml:space="preserve"> </w:t>
      </w:r>
      <w:r>
        <w:t>that</w:t>
      </w:r>
      <w:r>
        <w:rPr>
          <w:spacing w:val="-1"/>
        </w:rPr>
        <w:t xml:space="preserve"> </w:t>
      </w:r>
      <w:r>
        <w:t>allows</w:t>
      </w:r>
      <w:r>
        <w:rPr>
          <w:spacing w:val="-1"/>
        </w:rPr>
        <w:t xml:space="preserve"> </w:t>
      </w:r>
      <w:r>
        <w:t>experts</w:t>
      </w:r>
      <w:r>
        <w:rPr>
          <w:spacing w:val="-1"/>
        </w:rPr>
        <w:t xml:space="preserve"> </w:t>
      </w:r>
      <w:r>
        <w:t>to</w:t>
      </w:r>
      <w:r>
        <w:rPr>
          <w:spacing w:val="-1"/>
        </w:rPr>
        <w:t xml:space="preserve"> </w:t>
      </w:r>
      <w:r>
        <w:t>give</w:t>
      </w:r>
      <w:r>
        <w:rPr>
          <w:spacing w:val="-1"/>
        </w:rPr>
        <w:t xml:space="preserve"> </w:t>
      </w:r>
      <w:r>
        <w:t xml:space="preserve">evidence </w:t>
      </w:r>
      <w:r>
        <w:rPr>
          <w:spacing w:val="-2"/>
        </w:rPr>
        <w:t>concurrently.</w:t>
      </w:r>
    </w:p>
    <w:p w14:paraId="598EF3CC" w14:textId="77777777" w:rsidR="009D54AF" w:rsidRDefault="00000000">
      <w:pPr>
        <w:pStyle w:val="BodyText"/>
        <w:spacing w:before="142" w:line="278" w:lineRule="auto"/>
        <w:ind w:left="142" w:right="285"/>
      </w:pPr>
      <w:proofErr w:type="spellStart"/>
      <w:r>
        <w:t>Mr</w:t>
      </w:r>
      <w:proofErr w:type="spellEnd"/>
      <w:r>
        <w:rPr>
          <w:spacing w:val="-4"/>
        </w:rPr>
        <w:t xml:space="preserve"> </w:t>
      </w:r>
      <w:r>
        <w:t>McClellan</w:t>
      </w:r>
      <w:r>
        <w:rPr>
          <w:spacing w:val="-4"/>
        </w:rPr>
        <w:t xml:space="preserve"> </w:t>
      </w:r>
      <w:r>
        <w:t>was</w:t>
      </w:r>
      <w:r>
        <w:rPr>
          <w:spacing w:val="-4"/>
        </w:rPr>
        <w:t xml:space="preserve"> </w:t>
      </w:r>
      <w:r>
        <w:t>the</w:t>
      </w:r>
      <w:r>
        <w:rPr>
          <w:spacing w:val="-4"/>
        </w:rPr>
        <w:t xml:space="preserve"> </w:t>
      </w:r>
      <w:r>
        <w:t>Chair</w:t>
      </w:r>
      <w:r>
        <w:rPr>
          <w:spacing w:val="-4"/>
        </w:rPr>
        <w:t xml:space="preserve"> </w:t>
      </w:r>
      <w:r>
        <w:t>of</w:t>
      </w:r>
      <w:r>
        <w:rPr>
          <w:spacing w:val="-4"/>
        </w:rPr>
        <w:t xml:space="preserve"> </w:t>
      </w:r>
      <w:r>
        <w:t>the</w:t>
      </w:r>
      <w:r>
        <w:rPr>
          <w:spacing w:val="-4"/>
        </w:rPr>
        <w:t xml:space="preserve"> </w:t>
      </w:r>
      <w:r>
        <w:t>Royal</w:t>
      </w:r>
      <w:r>
        <w:rPr>
          <w:spacing w:val="-4"/>
        </w:rPr>
        <w:t xml:space="preserve"> </w:t>
      </w:r>
      <w:r>
        <w:t>Commission</w:t>
      </w:r>
      <w:r>
        <w:rPr>
          <w:spacing w:val="-4"/>
        </w:rPr>
        <w:t xml:space="preserve"> </w:t>
      </w:r>
      <w:r>
        <w:t>into</w:t>
      </w:r>
      <w:r>
        <w:rPr>
          <w:spacing w:val="-4"/>
        </w:rPr>
        <w:t xml:space="preserve"> </w:t>
      </w:r>
      <w:r>
        <w:t>Institutional</w:t>
      </w:r>
      <w:r>
        <w:rPr>
          <w:spacing w:val="-4"/>
        </w:rPr>
        <w:t xml:space="preserve"> </w:t>
      </w:r>
      <w:r>
        <w:t>Responses</w:t>
      </w:r>
      <w:r>
        <w:rPr>
          <w:spacing w:val="-4"/>
        </w:rPr>
        <w:t xml:space="preserve"> </w:t>
      </w:r>
      <w:r>
        <w:t>To</w:t>
      </w:r>
      <w:r>
        <w:rPr>
          <w:spacing w:val="-4"/>
        </w:rPr>
        <w:t xml:space="preserve"> </w:t>
      </w:r>
      <w:r>
        <w:t>Child</w:t>
      </w:r>
      <w:r>
        <w:rPr>
          <w:spacing w:val="-4"/>
        </w:rPr>
        <w:t xml:space="preserve"> </w:t>
      </w:r>
      <w:r>
        <w:t>Sexual</w:t>
      </w:r>
      <w:r>
        <w:rPr>
          <w:spacing w:val="-4"/>
        </w:rPr>
        <w:t xml:space="preserve"> </w:t>
      </w:r>
      <w:r>
        <w:t>Abuse, which completed its work in December 2017.</w:t>
      </w:r>
    </w:p>
    <w:p w14:paraId="5C2BB80B" w14:textId="77777777" w:rsidR="009D54AF" w:rsidRDefault="00000000">
      <w:pPr>
        <w:pStyle w:val="BodyText"/>
        <w:spacing w:before="141"/>
        <w:ind w:left="142"/>
      </w:pPr>
      <w:r>
        <w:t>He</w:t>
      </w:r>
      <w:r>
        <w:rPr>
          <w:spacing w:val="-2"/>
        </w:rPr>
        <w:t xml:space="preserve"> </w:t>
      </w:r>
      <w:r>
        <w:t>is</w:t>
      </w:r>
      <w:r>
        <w:rPr>
          <w:spacing w:val="-2"/>
        </w:rPr>
        <w:t xml:space="preserve"> </w:t>
      </w:r>
      <w:r>
        <w:t>presently</w:t>
      </w:r>
      <w:r>
        <w:rPr>
          <w:spacing w:val="-2"/>
        </w:rPr>
        <w:t xml:space="preserve"> </w:t>
      </w:r>
      <w:r>
        <w:t>Chair</w:t>
      </w:r>
      <w:r>
        <w:rPr>
          <w:spacing w:val="-1"/>
        </w:rPr>
        <w:t xml:space="preserve"> </w:t>
      </w:r>
      <w:r>
        <w:t>of</w:t>
      </w:r>
      <w:r>
        <w:rPr>
          <w:spacing w:val="-2"/>
        </w:rPr>
        <w:t xml:space="preserve"> </w:t>
      </w:r>
      <w:r>
        <w:t>the</w:t>
      </w:r>
      <w:r>
        <w:rPr>
          <w:spacing w:val="-2"/>
        </w:rPr>
        <w:t xml:space="preserve"> </w:t>
      </w:r>
      <w:r>
        <w:t>NSW</w:t>
      </w:r>
      <w:r>
        <w:rPr>
          <w:spacing w:val="-2"/>
        </w:rPr>
        <w:t xml:space="preserve"> </w:t>
      </w:r>
      <w:r>
        <w:t>Sentencing</w:t>
      </w:r>
      <w:r>
        <w:rPr>
          <w:spacing w:val="-1"/>
        </w:rPr>
        <w:t xml:space="preserve"> </w:t>
      </w:r>
      <w:r>
        <w:rPr>
          <w:spacing w:val="-2"/>
        </w:rPr>
        <w:t>Council.</w:t>
      </w:r>
    </w:p>
    <w:p w14:paraId="14405D28" w14:textId="77777777" w:rsidR="009D54AF" w:rsidRDefault="00000000">
      <w:pPr>
        <w:spacing w:before="181"/>
        <w:ind w:left="142"/>
        <w:rPr>
          <w:sz w:val="21"/>
        </w:rPr>
      </w:pPr>
      <w:r>
        <w:rPr>
          <w:b/>
          <w:sz w:val="21"/>
        </w:rPr>
        <w:t>Qualifications:</w:t>
      </w:r>
      <w:r>
        <w:rPr>
          <w:b/>
          <w:spacing w:val="7"/>
          <w:sz w:val="21"/>
        </w:rPr>
        <w:t xml:space="preserve"> </w:t>
      </w:r>
      <w:r>
        <w:rPr>
          <w:sz w:val="21"/>
        </w:rPr>
        <w:t>BA,</w:t>
      </w:r>
      <w:r>
        <w:rPr>
          <w:spacing w:val="10"/>
          <w:sz w:val="21"/>
        </w:rPr>
        <w:t xml:space="preserve"> </w:t>
      </w:r>
      <w:r>
        <w:rPr>
          <w:spacing w:val="-5"/>
          <w:sz w:val="21"/>
        </w:rPr>
        <w:t>LLB</w:t>
      </w:r>
    </w:p>
    <w:p w14:paraId="0442953C" w14:textId="77777777" w:rsidR="009D54AF" w:rsidRDefault="00000000">
      <w:pPr>
        <w:pStyle w:val="BodyText"/>
        <w:spacing w:before="180" w:line="278" w:lineRule="auto"/>
        <w:ind w:left="142" w:right="285"/>
      </w:pPr>
      <w:r>
        <w:rPr>
          <w:b/>
        </w:rPr>
        <w:t>Board</w:t>
      </w:r>
      <w:r>
        <w:rPr>
          <w:b/>
          <w:spacing w:val="-1"/>
        </w:rPr>
        <w:t xml:space="preserve"> </w:t>
      </w:r>
      <w:r>
        <w:rPr>
          <w:b/>
        </w:rPr>
        <w:t>membership:</w:t>
      </w:r>
      <w:r>
        <w:rPr>
          <w:b/>
          <w:spacing w:val="-2"/>
        </w:rPr>
        <w:t xml:space="preserve"> </w:t>
      </w:r>
      <w:r>
        <w:t>Began</w:t>
      </w:r>
      <w:r>
        <w:rPr>
          <w:spacing w:val="-1"/>
        </w:rPr>
        <w:t xml:space="preserve"> </w:t>
      </w:r>
      <w:r>
        <w:t>as</w:t>
      </w:r>
      <w:r>
        <w:rPr>
          <w:spacing w:val="-1"/>
        </w:rPr>
        <w:t xml:space="preserve"> </w:t>
      </w:r>
      <w:r>
        <w:t>Acting</w:t>
      </w:r>
      <w:r>
        <w:rPr>
          <w:spacing w:val="-1"/>
        </w:rPr>
        <w:t xml:space="preserve"> </w:t>
      </w:r>
      <w:r>
        <w:t>Director</w:t>
      </w:r>
      <w:r>
        <w:rPr>
          <w:spacing w:val="-1"/>
        </w:rPr>
        <w:t xml:space="preserve"> </w:t>
      </w:r>
      <w:r>
        <w:t>on</w:t>
      </w:r>
      <w:r>
        <w:rPr>
          <w:spacing w:val="-1"/>
        </w:rPr>
        <w:t xml:space="preserve"> </w:t>
      </w:r>
      <w:r>
        <w:t>1</w:t>
      </w:r>
      <w:r>
        <w:rPr>
          <w:spacing w:val="-1"/>
        </w:rPr>
        <w:t xml:space="preserve"> </w:t>
      </w:r>
      <w:r>
        <w:t>April</w:t>
      </w:r>
      <w:r>
        <w:rPr>
          <w:spacing w:val="-1"/>
        </w:rPr>
        <w:t xml:space="preserve"> </w:t>
      </w:r>
      <w:r>
        <w:t>2023;</w:t>
      </w:r>
      <w:r>
        <w:rPr>
          <w:spacing w:val="-1"/>
        </w:rPr>
        <w:t xml:space="preserve"> </w:t>
      </w:r>
      <w:r>
        <w:t>appointment</w:t>
      </w:r>
      <w:r>
        <w:rPr>
          <w:spacing w:val="-1"/>
        </w:rPr>
        <w:t xml:space="preserve"> </w:t>
      </w:r>
      <w:r>
        <w:t>from</w:t>
      </w:r>
      <w:r>
        <w:rPr>
          <w:spacing w:val="-1"/>
        </w:rPr>
        <w:t xml:space="preserve"> </w:t>
      </w:r>
      <w:r>
        <w:t>17</w:t>
      </w:r>
      <w:r>
        <w:rPr>
          <w:spacing w:val="-1"/>
        </w:rPr>
        <w:t xml:space="preserve"> </w:t>
      </w:r>
      <w:r>
        <w:t>July</w:t>
      </w:r>
      <w:r>
        <w:rPr>
          <w:spacing w:val="-1"/>
        </w:rPr>
        <w:t xml:space="preserve"> </w:t>
      </w:r>
      <w:r>
        <w:t>2023</w:t>
      </w:r>
      <w:r>
        <w:rPr>
          <w:spacing w:val="-1"/>
        </w:rPr>
        <w:t xml:space="preserve"> </w:t>
      </w:r>
      <w:r>
        <w:t>–</w:t>
      </w:r>
      <w:r>
        <w:rPr>
          <w:spacing w:val="-1"/>
        </w:rPr>
        <w:t xml:space="preserve"> </w:t>
      </w:r>
      <w:r>
        <w:t>30</w:t>
      </w:r>
      <w:r>
        <w:rPr>
          <w:spacing w:val="-1"/>
        </w:rPr>
        <w:t xml:space="preserve"> </w:t>
      </w:r>
      <w:r>
        <w:t xml:space="preserve">June </w:t>
      </w:r>
      <w:r>
        <w:rPr>
          <w:spacing w:val="-2"/>
        </w:rPr>
        <w:t>2026.</w:t>
      </w:r>
    </w:p>
    <w:p w14:paraId="0963E023" w14:textId="77777777" w:rsidR="009D54AF" w:rsidRDefault="009D54AF">
      <w:pPr>
        <w:pStyle w:val="BodyText"/>
        <w:spacing w:before="63"/>
      </w:pPr>
    </w:p>
    <w:p w14:paraId="579A612D" w14:textId="77777777" w:rsidR="009D54AF" w:rsidRDefault="00000000">
      <w:pPr>
        <w:pStyle w:val="Heading7"/>
      </w:pPr>
      <w:r>
        <w:t>Dr</w:t>
      </w:r>
      <w:r>
        <w:rPr>
          <w:spacing w:val="-4"/>
        </w:rPr>
        <w:t xml:space="preserve"> </w:t>
      </w:r>
      <w:r>
        <w:t>Hannah</w:t>
      </w:r>
      <w:r>
        <w:rPr>
          <w:spacing w:val="-2"/>
        </w:rPr>
        <w:t xml:space="preserve"> Seymour</w:t>
      </w:r>
    </w:p>
    <w:p w14:paraId="588ED99B" w14:textId="77777777" w:rsidR="009D54AF" w:rsidRDefault="00000000">
      <w:pPr>
        <w:pStyle w:val="BodyText"/>
        <w:spacing w:before="141" w:line="278" w:lineRule="auto"/>
        <w:ind w:left="142" w:right="448"/>
      </w:pPr>
      <w:r>
        <w:t xml:space="preserve">Dr Seymour is a </w:t>
      </w:r>
      <w:proofErr w:type="spellStart"/>
      <w:r>
        <w:t>practising</w:t>
      </w:r>
      <w:proofErr w:type="spellEnd"/>
      <w:r>
        <w:t xml:space="preserve"> clinician in geriatrics at Fiona Stanley Hospital in Western Australia, where she looks after older people in partnership with </w:t>
      </w:r>
      <w:proofErr w:type="spellStart"/>
      <w:r>
        <w:t>orthopaedic</w:t>
      </w:r>
      <w:proofErr w:type="spellEnd"/>
      <w:r>
        <w:t xml:space="preserve"> surgeons. Dr Seymour has experience in using data</w:t>
      </w:r>
      <w:r>
        <w:rPr>
          <w:spacing w:val="-3"/>
        </w:rPr>
        <w:t xml:space="preserve"> </w:t>
      </w:r>
      <w:r>
        <w:t>to</w:t>
      </w:r>
      <w:r>
        <w:rPr>
          <w:spacing w:val="-3"/>
        </w:rPr>
        <w:t xml:space="preserve"> </w:t>
      </w:r>
      <w:r>
        <w:t>improve</w:t>
      </w:r>
      <w:r>
        <w:rPr>
          <w:spacing w:val="-3"/>
        </w:rPr>
        <w:t xml:space="preserve"> </w:t>
      </w:r>
      <w:r>
        <w:t>care</w:t>
      </w:r>
      <w:r>
        <w:rPr>
          <w:spacing w:val="-3"/>
        </w:rPr>
        <w:t xml:space="preserve"> </w:t>
      </w:r>
      <w:r>
        <w:t>and</w:t>
      </w:r>
      <w:r>
        <w:rPr>
          <w:spacing w:val="-3"/>
        </w:rPr>
        <w:t xml:space="preserve"> </w:t>
      </w:r>
      <w:r>
        <w:t>has</w:t>
      </w:r>
      <w:r>
        <w:rPr>
          <w:spacing w:val="-3"/>
        </w:rPr>
        <w:t xml:space="preserve"> </w:t>
      </w:r>
      <w:r>
        <w:t>been</w:t>
      </w:r>
      <w:r>
        <w:rPr>
          <w:spacing w:val="-3"/>
        </w:rPr>
        <w:t xml:space="preserve"> </w:t>
      </w:r>
      <w:r>
        <w:t>involved</w:t>
      </w:r>
      <w:r>
        <w:rPr>
          <w:spacing w:val="-3"/>
        </w:rPr>
        <w:t xml:space="preserve"> </w:t>
      </w:r>
      <w:r>
        <w:t>in</w:t>
      </w:r>
      <w:r>
        <w:rPr>
          <w:spacing w:val="-3"/>
        </w:rPr>
        <w:t xml:space="preserve"> </w:t>
      </w:r>
      <w:r>
        <w:t>various</w:t>
      </w:r>
      <w:r>
        <w:rPr>
          <w:spacing w:val="-3"/>
        </w:rPr>
        <w:t xml:space="preserve"> </w:t>
      </w:r>
      <w:r>
        <w:t>capacities</w:t>
      </w:r>
      <w:r>
        <w:rPr>
          <w:spacing w:val="-3"/>
        </w:rPr>
        <w:t xml:space="preserve"> </w:t>
      </w:r>
      <w:r>
        <w:t>with</w:t>
      </w:r>
      <w:r>
        <w:rPr>
          <w:spacing w:val="-3"/>
        </w:rPr>
        <w:t xml:space="preserve"> </w:t>
      </w:r>
      <w:r>
        <w:t>the</w:t>
      </w:r>
      <w:r>
        <w:rPr>
          <w:spacing w:val="-3"/>
        </w:rPr>
        <w:t xml:space="preserve"> </w:t>
      </w:r>
      <w:r>
        <w:t>Australian</w:t>
      </w:r>
      <w:r>
        <w:rPr>
          <w:spacing w:val="-3"/>
        </w:rPr>
        <w:t xml:space="preserve"> </w:t>
      </w:r>
      <w:r>
        <w:t>and</w:t>
      </w:r>
      <w:r>
        <w:rPr>
          <w:spacing w:val="-3"/>
        </w:rPr>
        <w:t xml:space="preserve"> </w:t>
      </w:r>
      <w:r>
        <w:t>New</w:t>
      </w:r>
      <w:r>
        <w:rPr>
          <w:spacing w:val="-3"/>
        </w:rPr>
        <w:t xml:space="preserve"> </w:t>
      </w:r>
      <w:r>
        <w:t>Zealand</w:t>
      </w:r>
      <w:r>
        <w:rPr>
          <w:spacing w:val="-3"/>
        </w:rPr>
        <w:t xml:space="preserve"> </w:t>
      </w:r>
      <w:r>
        <w:t xml:space="preserve">Hip Fracture Registry since its formation. Dr Seymour is a past president of the Fragility Fracture Network, an international </w:t>
      </w:r>
      <w:proofErr w:type="spellStart"/>
      <w:r>
        <w:t>organisation</w:t>
      </w:r>
      <w:proofErr w:type="spellEnd"/>
      <w:r>
        <w:t xml:space="preserve"> whose goal is to improve care of older people with fragility fractures across the world. Her passion is improving outcomes and experience for frail older people in hospitals.</w:t>
      </w:r>
    </w:p>
    <w:p w14:paraId="7B3EFC7A" w14:textId="77777777" w:rsidR="009D54AF" w:rsidRDefault="00000000">
      <w:pPr>
        <w:pStyle w:val="BodyText"/>
        <w:spacing w:before="141" w:line="278" w:lineRule="auto"/>
        <w:ind w:left="142" w:right="141"/>
      </w:pPr>
      <w:r>
        <w:t>Dr Seymour has extensive clinical leadership experience. She has held positions in the Western Australian Department of Health in falls prevention and aged care. She gained experience in transformation through the Four-Hour</w:t>
      </w:r>
      <w:r>
        <w:rPr>
          <w:spacing w:val="-3"/>
        </w:rPr>
        <w:t xml:space="preserve"> </w:t>
      </w:r>
      <w:r>
        <w:t>Rule</w:t>
      </w:r>
      <w:r>
        <w:rPr>
          <w:spacing w:val="-3"/>
        </w:rPr>
        <w:t xml:space="preserve"> </w:t>
      </w:r>
      <w:r>
        <w:t>Program</w:t>
      </w:r>
      <w:r>
        <w:rPr>
          <w:spacing w:val="-3"/>
        </w:rPr>
        <w:t xml:space="preserve"> </w:t>
      </w:r>
      <w:r>
        <w:t>at</w:t>
      </w:r>
      <w:r>
        <w:rPr>
          <w:spacing w:val="-3"/>
        </w:rPr>
        <w:t xml:space="preserve"> </w:t>
      </w:r>
      <w:r>
        <w:t>Royal</w:t>
      </w:r>
      <w:r>
        <w:rPr>
          <w:spacing w:val="-3"/>
        </w:rPr>
        <w:t xml:space="preserve"> </w:t>
      </w:r>
      <w:r>
        <w:t>Perth</w:t>
      </w:r>
      <w:r>
        <w:rPr>
          <w:spacing w:val="-3"/>
        </w:rPr>
        <w:t xml:space="preserve"> </w:t>
      </w:r>
      <w:r>
        <w:t>Hospital</w:t>
      </w:r>
      <w:r>
        <w:rPr>
          <w:spacing w:val="-3"/>
        </w:rPr>
        <w:t xml:space="preserve"> </w:t>
      </w:r>
      <w:r>
        <w:t>and</w:t>
      </w:r>
      <w:r>
        <w:rPr>
          <w:spacing w:val="-3"/>
        </w:rPr>
        <w:t xml:space="preserve"> </w:t>
      </w:r>
      <w:r>
        <w:t>led</w:t>
      </w:r>
      <w:r>
        <w:rPr>
          <w:spacing w:val="-3"/>
        </w:rPr>
        <w:t xml:space="preserve"> </w:t>
      </w:r>
      <w:r>
        <w:t>the</w:t>
      </w:r>
      <w:r>
        <w:rPr>
          <w:spacing w:val="-3"/>
        </w:rPr>
        <w:t xml:space="preserve"> </w:t>
      </w:r>
      <w:r>
        <w:t>clinical</w:t>
      </w:r>
      <w:r>
        <w:rPr>
          <w:spacing w:val="-3"/>
        </w:rPr>
        <w:t xml:space="preserve"> </w:t>
      </w:r>
      <w:r>
        <w:t>commissioning</w:t>
      </w:r>
      <w:r>
        <w:rPr>
          <w:spacing w:val="-3"/>
        </w:rPr>
        <w:t xml:space="preserve"> </w:t>
      </w:r>
      <w:r>
        <w:t>of</w:t>
      </w:r>
      <w:r>
        <w:rPr>
          <w:spacing w:val="-3"/>
        </w:rPr>
        <w:t xml:space="preserve"> </w:t>
      </w:r>
      <w:r>
        <w:t>Fiona</w:t>
      </w:r>
      <w:r>
        <w:rPr>
          <w:spacing w:val="-3"/>
        </w:rPr>
        <w:t xml:space="preserve"> </w:t>
      </w:r>
      <w:r>
        <w:t>Stanley</w:t>
      </w:r>
      <w:r>
        <w:rPr>
          <w:spacing w:val="-3"/>
        </w:rPr>
        <w:t xml:space="preserve"> </w:t>
      </w:r>
      <w:r>
        <w:t>Hospital, where she was a medical director. Dr Seymour was the clinical nominee on the Sustainable Health Review and the Clinical Director of the Western Australian Electronic Medical Records program for five years.</w:t>
      </w:r>
    </w:p>
    <w:p w14:paraId="3A68C71C" w14:textId="77777777" w:rsidR="009D54AF" w:rsidRDefault="00000000">
      <w:pPr>
        <w:spacing w:before="142"/>
        <w:ind w:left="142"/>
        <w:rPr>
          <w:sz w:val="21"/>
        </w:rPr>
      </w:pPr>
      <w:r>
        <w:rPr>
          <w:b/>
          <w:sz w:val="21"/>
        </w:rPr>
        <w:t>Qualifications:</w:t>
      </w:r>
      <w:r>
        <w:rPr>
          <w:b/>
          <w:spacing w:val="-6"/>
          <w:sz w:val="21"/>
        </w:rPr>
        <w:t xml:space="preserve"> </w:t>
      </w:r>
      <w:r>
        <w:rPr>
          <w:sz w:val="21"/>
        </w:rPr>
        <w:t>BSc,</w:t>
      </w:r>
      <w:r>
        <w:rPr>
          <w:spacing w:val="-5"/>
          <w:sz w:val="21"/>
        </w:rPr>
        <w:t xml:space="preserve"> </w:t>
      </w:r>
      <w:r>
        <w:rPr>
          <w:sz w:val="21"/>
        </w:rPr>
        <w:t>MBBS</w:t>
      </w:r>
      <w:r>
        <w:rPr>
          <w:spacing w:val="-5"/>
          <w:sz w:val="21"/>
        </w:rPr>
        <w:t xml:space="preserve"> </w:t>
      </w:r>
      <w:r>
        <w:rPr>
          <w:sz w:val="21"/>
        </w:rPr>
        <w:t>(Hons),</w:t>
      </w:r>
      <w:r>
        <w:rPr>
          <w:spacing w:val="-5"/>
          <w:sz w:val="21"/>
        </w:rPr>
        <w:t xml:space="preserve"> </w:t>
      </w:r>
      <w:r>
        <w:rPr>
          <w:sz w:val="21"/>
        </w:rPr>
        <w:t>FRACP,</w:t>
      </w:r>
      <w:r>
        <w:rPr>
          <w:spacing w:val="-4"/>
          <w:sz w:val="21"/>
        </w:rPr>
        <w:t xml:space="preserve"> GAICD</w:t>
      </w:r>
    </w:p>
    <w:p w14:paraId="60AB6180" w14:textId="77777777" w:rsidR="009D54AF" w:rsidRDefault="00000000">
      <w:pPr>
        <w:pStyle w:val="BodyText"/>
        <w:spacing w:before="180"/>
        <w:ind w:left="142"/>
      </w:pPr>
      <w:r>
        <w:rPr>
          <w:b/>
        </w:rPr>
        <w:t>Board</w:t>
      </w:r>
      <w:r>
        <w:rPr>
          <w:b/>
          <w:spacing w:val="-1"/>
        </w:rPr>
        <w:t xml:space="preserve"> </w:t>
      </w:r>
      <w:r>
        <w:rPr>
          <w:b/>
        </w:rPr>
        <w:t>membership:</w:t>
      </w:r>
      <w:r>
        <w:rPr>
          <w:b/>
          <w:spacing w:val="-2"/>
        </w:rPr>
        <w:t xml:space="preserve"> </w:t>
      </w:r>
      <w:r>
        <w:t>Appointed</w:t>
      </w:r>
      <w:r>
        <w:rPr>
          <w:spacing w:val="-1"/>
        </w:rPr>
        <w:t xml:space="preserve"> </w:t>
      </w:r>
      <w:r>
        <w:t>1</w:t>
      </w:r>
      <w:r>
        <w:rPr>
          <w:spacing w:val="-1"/>
        </w:rPr>
        <w:t xml:space="preserve"> </w:t>
      </w:r>
      <w:r>
        <w:t>April</w:t>
      </w:r>
      <w:r>
        <w:rPr>
          <w:spacing w:val="-1"/>
        </w:rPr>
        <w:t xml:space="preserve"> </w:t>
      </w:r>
      <w:r>
        <w:t>2022</w:t>
      </w:r>
      <w:r>
        <w:rPr>
          <w:spacing w:val="-1"/>
        </w:rPr>
        <w:t xml:space="preserve"> </w:t>
      </w:r>
      <w:r>
        <w:t>–</w:t>
      </w:r>
      <w:r>
        <w:rPr>
          <w:spacing w:val="-1"/>
        </w:rPr>
        <w:t xml:space="preserve"> </w:t>
      </w:r>
      <w:r>
        <w:t>31</w:t>
      </w:r>
      <w:r>
        <w:rPr>
          <w:spacing w:val="-1"/>
        </w:rPr>
        <w:t xml:space="preserve"> </w:t>
      </w:r>
      <w:r>
        <w:t>March 2025;</w:t>
      </w:r>
      <w:r>
        <w:rPr>
          <w:spacing w:val="-1"/>
        </w:rPr>
        <w:t xml:space="preserve"> </w:t>
      </w:r>
      <w:r>
        <w:t>reappointed</w:t>
      </w:r>
      <w:r>
        <w:rPr>
          <w:spacing w:val="-1"/>
        </w:rPr>
        <w:t xml:space="preserve"> </w:t>
      </w:r>
      <w:r>
        <w:t>1</w:t>
      </w:r>
      <w:r>
        <w:rPr>
          <w:spacing w:val="-1"/>
        </w:rPr>
        <w:t xml:space="preserve"> </w:t>
      </w:r>
      <w:r>
        <w:t>April</w:t>
      </w:r>
      <w:r>
        <w:rPr>
          <w:spacing w:val="-1"/>
        </w:rPr>
        <w:t xml:space="preserve"> </w:t>
      </w:r>
      <w:r>
        <w:t>2025</w:t>
      </w:r>
      <w:r>
        <w:rPr>
          <w:spacing w:val="-1"/>
        </w:rPr>
        <w:t xml:space="preserve"> </w:t>
      </w:r>
      <w:r>
        <w:t>–</w:t>
      </w:r>
      <w:r>
        <w:rPr>
          <w:spacing w:val="-1"/>
        </w:rPr>
        <w:t xml:space="preserve"> </w:t>
      </w:r>
      <w:r>
        <w:t>31</w:t>
      </w:r>
      <w:r>
        <w:rPr>
          <w:spacing w:val="-1"/>
        </w:rPr>
        <w:t xml:space="preserve"> </w:t>
      </w:r>
      <w:r>
        <w:t xml:space="preserve">March </w:t>
      </w:r>
      <w:r>
        <w:rPr>
          <w:spacing w:val="-2"/>
        </w:rPr>
        <w:t>2029.</w:t>
      </w:r>
    </w:p>
    <w:p w14:paraId="29C84DA8" w14:textId="77777777" w:rsidR="009D54AF" w:rsidRDefault="009D54AF">
      <w:pPr>
        <w:pStyle w:val="BodyText"/>
        <w:spacing w:before="102"/>
      </w:pPr>
    </w:p>
    <w:p w14:paraId="397AD1FB" w14:textId="77777777" w:rsidR="008F5B74" w:rsidRDefault="008F5B74">
      <w:pPr>
        <w:rPr>
          <w:b/>
          <w:bCs/>
          <w:sz w:val="26"/>
          <w:szCs w:val="26"/>
        </w:rPr>
      </w:pPr>
      <w:r>
        <w:br w:type="page"/>
      </w:r>
    </w:p>
    <w:p w14:paraId="0457FDED" w14:textId="4DD9D986" w:rsidR="009D54AF" w:rsidRDefault="00000000">
      <w:pPr>
        <w:pStyle w:val="Heading7"/>
      </w:pPr>
      <w:proofErr w:type="spellStart"/>
      <w:r>
        <w:lastRenderedPageBreak/>
        <w:t>Mr</w:t>
      </w:r>
      <w:proofErr w:type="spellEnd"/>
      <w:r>
        <w:rPr>
          <w:spacing w:val="-4"/>
        </w:rPr>
        <w:t xml:space="preserve"> </w:t>
      </w:r>
      <w:r>
        <w:t>David</w:t>
      </w:r>
      <w:r>
        <w:rPr>
          <w:spacing w:val="-3"/>
        </w:rPr>
        <w:t xml:space="preserve"> </w:t>
      </w:r>
      <w:r>
        <w:rPr>
          <w:spacing w:val="-4"/>
        </w:rPr>
        <w:t>Swan</w:t>
      </w:r>
    </w:p>
    <w:p w14:paraId="3EB5230C" w14:textId="77777777" w:rsidR="009D54AF" w:rsidRDefault="00000000">
      <w:pPr>
        <w:pStyle w:val="BodyText"/>
        <w:spacing w:before="141" w:line="278" w:lineRule="auto"/>
        <w:ind w:left="142" w:right="285"/>
      </w:pPr>
      <w:proofErr w:type="spellStart"/>
      <w:r>
        <w:t>Mr</w:t>
      </w:r>
      <w:proofErr w:type="spellEnd"/>
      <w:r>
        <w:rPr>
          <w:spacing w:val="-3"/>
        </w:rPr>
        <w:t xml:space="preserve"> </w:t>
      </w:r>
      <w:r>
        <w:t>Swan</w:t>
      </w:r>
      <w:r>
        <w:rPr>
          <w:spacing w:val="-3"/>
        </w:rPr>
        <w:t xml:space="preserve"> </w:t>
      </w:r>
      <w:r>
        <w:t>has</w:t>
      </w:r>
      <w:r>
        <w:rPr>
          <w:spacing w:val="-3"/>
        </w:rPr>
        <w:t xml:space="preserve"> </w:t>
      </w:r>
      <w:r>
        <w:t>more</w:t>
      </w:r>
      <w:r>
        <w:rPr>
          <w:spacing w:val="-3"/>
        </w:rPr>
        <w:t xml:space="preserve"> </w:t>
      </w:r>
      <w:r>
        <w:t>than</w:t>
      </w:r>
      <w:r>
        <w:rPr>
          <w:spacing w:val="-3"/>
        </w:rPr>
        <w:t xml:space="preserve"> </w:t>
      </w:r>
      <w:r>
        <w:t>25</w:t>
      </w:r>
      <w:r>
        <w:rPr>
          <w:spacing w:val="-3"/>
        </w:rPr>
        <w:t xml:space="preserve"> </w:t>
      </w:r>
      <w:r>
        <w:t>years</w:t>
      </w:r>
      <w:r>
        <w:rPr>
          <w:spacing w:val="-3"/>
        </w:rPr>
        <w:t xml:space="preserve"> </w:t>
      </w:r>
      <w:r>
        <w:t>of</w:t>
      </w:r>
      <w:r>
        <w:rPr>
          <w:spacing w:val="-3"/>
        </w:rPr>
        <w:t xml:space="preserve"> </w:t>
      </w:r>
      <w:r>
        <w:t>experience</w:t>
      </w:r>
      <w:r>
        <w:rPr>
          <w:spacing w:val="-3"/>
        </w:rPr>
        <w:t xml:space="preserve"> </w:t>
      </w:r>
      <w:r>
        <w:t>as</w:t>
      </w:r>
      <w:r>
        <w:rPr>
          <w:spacing w:val="-3"/>
        </w:rPr>
        <w:t xml:space="preserve"> </w:t>
      </w:r>
      <w:r>
        <w:t>a</w:t>
      </w:r>
      <w:r>
        <w:rPr>
          <w:spacing w:val="-3"/>
        </w:rPr>
        <w:t xml:space="preserve"> </w:t>
      </w:r>
      <w:r>
        <w:t>chief</w:t>
      </w:r>
      <w:r>
        <w:rPr>
          <w:spacing w:val="-3"/>
        </w:rPr>
        <w:t xml:space="preserve"> </w:t>
      </w:r>
      <w:r>
        <w:t>executive,</w:t>
      </w:r>
      <w:r>
        <w:rPr>
          <w:spacing w:val="-3"/>
        </w:rPr>
        <w:t xml:space="preserve"> </w:t>
      </w:r>
      <w:r>
        <w:t>leading</w:t>
      </w:r>
      <w:r>
        <w:rPr>
          <w:spacing w:val="-3"/>
        </w:rPr>
        <w:t xml:space="preserve"> </w:t>
      </w:r>
      <w:r>
        <w:t>major</w:t>
      </w:r>
      <w:r>
        <w:rPr>
          <w:spacing w:val="-3"/>
        </w:rPr>
        <w:t xml:space="preserve"> </w:t>
      </w:r>
      <w:r>
        <w:t>public</w:t>
      </w:r>
      <w:r>
        <w:rPr>
          <w:spacing w:val="-3"/>
        </w:rPr>
        <w:t xml:space="preserve"> </w:t>
      </w:r>
      <w:r>
        <w:t>and</w:t>
      </w:r>
      <w:r>
        <w:rPr>
          <w:spacing w:val="-3"/>
        </w:rPr>
        <w:t xml:space="preserve"> </w:t>
      </w:r>
      <w:r>
        <w:t>private</w:t>
      </w:r>
      <w:r>
        <w:rPr>
          <w:spacing w:val="-3"/>
        </w:rPr>
        <w:t xml:space="preserve"> </w:t>
      </w:r>
      <w:r>
        <w:t xml:space="preserve">sector hospitals. He most recently served as CEO of St Vincent’s Private Hospitals. From 2010 to 2016, </w:t>
      </w:r>
      <w:proofErr w:type="spellStart"/>
      <w:r>
        <w:t>Mr</w:t>
      </w:r>
      <w:proofErr w:type="spellEnd"/>
      <w:r>
        <w:t xml:space="preserve"> Swan was the Chief Executive of SA Health, where he was responsible for South Australia’s health system, including hospitals, community health, mental health, the ambulance service and research facilities.</w:t>
      </w:r>
    </w:p>
    <w:p w14:paraId="3B290D2A" w14:textId="3D7A6C55" w:rsidR="009D54AF" w:rsidRDefault="00000000" w:rsidP="008F5B74">
      <w:pPr>
        <w:pStyle w:val="BodyText"/>
        <w:spacing w:before="141" w:line="278" w:lineRule="auto"/>
        <w:ind w:left="142" w:right="214"/>
      </w:pPr>
      <w:proofErr w:type="spellStart"/>
      <w:r>
        <w:t>Mr</w:t>
      </w:r>
      <w:proofErr w:type="spellEnd"/>
      <w:r>
        <w:rPr>
          <w:spacing w:val="-2"/>
        </w:rPr>
        <w:t xml:space="preserve"> </w:t>
      </w:r>
      <w:r>
        <w:t>Swan</w:t>
      </w:r>
      <w:r>
        <w:rPr>
          <w:spacing w:val="-2"/>
        </w:rPr>
        <w:t xml:space="preserve"> </w:t>
      </w:r>
      <w:r>
        <w:t>was</w:t>
      </w:r>
      <w:r>
        <w:rPr>
          <w:spacing w:val="-2"/>
        </w:rPr>
        <w:t xml:space="preserve"> </w:t>
      </w:r>
      <w:r>
        <w:t>Chair</w:t>
      </w:r>
      <w:r>
        <w:rPr>
          <w:spacing w:val="-2"/>
        </w:rPr>
        <w:t xml:space="preserve"> </w:t>
      </w:r>
      <w:r>
        <w:t>of</w:t>
      </w:r>
      <w:r>
        <w:rPr>
          <w:spacing w:val="-2"/>
        </w:rPr>
        <w:t xml:space="preserve"> </w:t>
      </w:r>
      <w:r>
        <w:t>the</w:t>
      </w:r>
      <w:r>
        <w:rPr>
          <w:spacing w:val="-2"/>
        </w:rPr>
        <w:t xml:space="preserve"> </w:t>
      </w:r>
      <w:r>
        <w:t>Australian</w:t>
      </w:r>
      <w:r>
        <w:rPr>
          <w:spacing w:val="-2"/>
        </w:rPr>
        <w:t xml:space="preserve"> </w:t>
      </w:r>
      <w:r>
        <w:t>Health</w:t>
      </w:r>
      <w:r>
        <w:rPr>
          <w:spacing w:val="-2"/>
        </w:rPr>
        <w:t xml:space="preserve"> </w:t>
      </w:r>
      <w:r>
        <w:t>Ministers’</w:t>
      </w:r>
      <w:r>
        <w:rPr>
          <w:spacing w:val="-2"/>
        </w:rPr>
        <w:t xml:space="preserve"> </w:t>
      </w:r>
      <w:r>
        <w:t>Advisory</w:t>
      </w:r>
      <w:r>
        <w:rPr>
          <w:spacing w:val="-2"/>
        </w:rPr>
        <w:t xml:space="preserve"> </w:t>
      </w:r>
      <w:r>
        <w:t>Council</w:t>
      </w:r>
      <w:r>
        <w:rPr>
          <w:spacing w:val="-2"/>
        </w:rPr>
        <w:t xml:space="preserve"> </w:t>
      </w:r>
      <w:r>
        <w:t>and</w:t>
      </w:r>
      <w:r>
        <w:rPr>
          <w:spacing w:val="-2"/>
        </w:rPr>
        <w:t xml:space="preserve"> </w:t>
      </w:r>
      <w:r>
        <w:t>has</w:t>
      </w:r>
      <w:r>
        <w:rPr>
          <w:spacing w:val="-2"/>
        </w:rPr>
        <w:t xml:space="preserve"> </w:t>
      </w:r>
      <w:r>
        <w:t>served</w:t>
      </w:r>
      <w:r>
        <w:rPr>
          <w:spacing w:val="-2"/>
        </w:rPr>
        <w:t xml:space="preserve"> </w:t>
      </w:r>
      <w:r>
        <w:t>as</w:t>
      </w:r>
      <w:r>
        <w:rPr>
          <w:spacing w:val="-2"/>
        </w:rPr>
        <w:t xml:space="preserve"> </w:t>
      </w:r>
      <w:r>
        <w:t>chair</w:t>
      </w:r>
      <w:r>
        <w:rPr>
          <w:spacing w:val="-2"/>
        </w:rPr>
        <w:t xml:space="preserve"> </w:t>
      </w:r>
      <w:r>
        <w:t>and</w:t>
      </w:r>
      <w:r>
        <w:rPr>
          <w:spacing w:val="-2"/>
        </w:rPr>
        <w:t xml:space="preserve"> </w:t>
      </w:r>
      <w:r>
        <w:t>director on</w:t>
      </w:r>
      <w:r>
        <w:rPr>
          <w:spacing w:val="-5"/>
        </w:rPr>
        <w:t xml:space="preserve"> </w:t>
      </w:r>
      <w:r>
        <w:t>numerous</w:t>
      </w:r>
      <w:r>
        <w:rPr>
          <w:spacing w:val="-3"/>
        </w:rPr>
        <w:t xml:space="preserve"> </w:t>
      </w:r>
      <w:r>
        <w:t>private</w:t>
      </w:r>
      <w:r>
        <w:rPr>
          <w:spacing w:val="-3"/>
        </w:rPr>
        <w:t xml:space="preserve"> </w:t>
      </w:r>
      <w:r>
        <w:t>and</w:t>
      </w:r>
      <w:r>
        <w:rPr>
          <w:spacing w:val="-3"/>
        </w:rPr>
        <w:t xml:space="preserve"> </w:t>
      </w:r>
      <w:r>
        <w:t>public</w:t>
      </w:r>
      <w:r>
        <w:rPr>
          <w:spacing w:val="-3"/>
        </w:rPr>
        <w:t xml:space="preserve"> </w:t>
      </w:r>
      <w:r>
        <w:t>boards.</w:t>
      </w:r>
      <w:r>
        <w:rPr>
          <w:spacing w:val="-3"/>
        </w:rPr>
        <w:t xml:space="preserve"> </w:t>
      </w:r>
      <w:proofErr w:type="spellStart"/>
      <w:r>
        <w:t>Mr</w:t>
      </w:r>
      <w:proofErr w:type="spellEnd"/>
      <w:r>
        <w:rPr>
          <w:spacing w:val="-3"/>
        </w:rPr>
        <w:t xml:space="preserve"> </w:t>
      </w:r>
      <w:r>
        <w:t>Swan</w:t>
      </w:r>
      <w:r>
        <w:rPr>
          <w:spacing w:val="-3"/>
        </w:rPr>
        <w:t xml:space="preserve"> </w:t>
      </w:r>
      <w:r>
        <w:t>is</w:t>
      </w:r>
      <w:r>
        <w:rPr>
          <w:spacing w:val="-3"/>
        </w:rPr>
        <w:t xml:space="preserve"> </w:t>
      </w:r>
      <w:r>
        <w:t>currently</w:t>
      </w:r>
      <w:r>
        <w:rPr>
          <w:spacing w:val="-3"/>
        </w:rPr>
        <w:t xml:space="preserve"> </w:t>
      </w:r>
      <w:r>
        <w:t>a</w:t>
      </w:r>
      <w:r>
        <w:rPr>
          <w:spacing w:val="-3"/>
        </w:rPr>
        <w:t xml:space="preserve"> </w:t>
      </w:r>
      <w:r>
        <w:t>Chair</w:t>
      </w:r>
      <w:r>
        <w:rPr>
          <w:spacing w:val="-3"/>
        </w:rPr>
        <w:t xml:space="preserve"> </w:t>
      </w:r>
      <w:r>
        <w:t>of</w:t>
      </w:r>
      <w:r>
        <w:rPr>
          <w:spacing w:val="-3"/>
        </w:rPr>
        <w:t xml:space="preserve"> </w:t>
      </w:r>
      <w:r>
        <w:t>Talent</w:t>
      </w:r>
      <w:r>
        <w:rPr>
          <w:spacing w:val="-3"/>
        </w:rPr>
        <w:t xml:space="preserve"> </w:t>
      </w:r>
      <w:r>
        <w:t>Quarter,</w:t>
      </w:r>
      <w:r>
        <w:rPr>
          <w:spacing w:val="-3"/>
        </w:rPr>
        <w:t xml:space="preserve"> </w:t>
      </w:r>
      <w:r>
        <w:t>Director</w:t>
      </w:r>
      <w:r>
        <w:rPr>
          <w:spacing w:val="-3"/>
        </w:rPr>
        <w:t xml:space="preserve"> </w:t>
      </w:r>
      <w:r>
        <w:t>of</w:t>
      </w:r>
      <w:r>
        <w:rPr>
          <w:spacing w:val="-3"/>
        </w:rPr>
        <w:t xml:space="preserve"> </w:t>
      </w:r>
      <w:r>
        <w:t>the</w:t>
      </w:r>
      <w:r>
        <w:rPr>
          <w:spacing w:val="-3"/>
        </w:rPr>
        <w:t xml:space="preserve"> </w:t>
      </w:r>
      <w:r>
        <w:rPr>
          <w:spacing w:val="-2"/>
        </w:rPr>
        <w:t>Board</w:t>
      </w:r>
      <w:r w:rsidR="008F5B74">
        <w:rPr>
          <w:spacing w:val="-2"/>
        </w:rPr>
        <w:t xml:space="preserve"> </w:t>
      </w:r>
      <w:r>
        <w:t xml:space="preserve">of the Northern Adelaide Local Health Network, Director of </w:t>
      </w:r>
      <w:proofErr w:type="spellStart"/>
      <w:r>
        <w:t>Westfund</w:t>
      </w:r>
      <w:proofErr w:type="spellEnd"/>
      <w:r>
        <w:t xml:space="preserve"> Health Insurance and a member of Cancer Council South Australia.</w:t>
      </w:r>
    </w:p>
    <w:p w14:paraId="30EACEE3" w14:textId="77777777" w:rsidR="009D54AF" w:rsidRDefault="00000000">
      <w:pPr>
        <w:spacing w:before="141"/>
        <w:ind w:left="142"/>
        <w:rPr>
          <w:sz w:val="21"/>
        </w:rPr>
      </w:pPr>
      <w:r>
        <w:rPr>
          <w:b/>
          <w:sz w:val="21"/>
        </w:rPr>
        <w:t>Qualifications:</w:t>
      </w:r>
      <w:r>
        <w:rPr>
          <w:b/>
          <w:spacing w:val="4"/>
          <w:sz w:val="21"/>
        </w:rPr>
        <w:t xml:space="preserve"> </w:t>
      </w:r>
      <w:proofErr w:type="spellStart"/>
      <w:r>
        <w:rPr>
          <w:sz w:val="21"/>
        </w:rPr>
        <w:t>BHSmgt</w:t>
      </w:r>
      <w:proofErr w:type="spellEnd"/>
      <w:r>
        <w:rPr>
          <w:sz w:val="21"/>
        </w:rPr>
        <w:t>,</w:t>
      </w:r>
      <w:r>
        <w:rPr>
          <w:spacing w:val="6"/>
          <w:sz w:val="21"/>
        </w:rPr>
        <w:t xml:space="preserve"> </w:t>
      </w:r>
      <w:proofErr w:type="spellStart"/>
      <w:r>
        <w:rPr>
          <w:sz w:val="21"/>
        </w:rPr>
        <w:t>PGDipMExec</w:t>
      </w:r>
      <w:proofErr w:type="spellEnd"/>
      <w:r>
        <w:rPr>
          <w:sz w:val="21"/>
        </w:rPr>
        <w:t>,</w:t>
      </w:r>
      <w:r>
        <w:rPr>
          <w:spacing w:val="6"/>
          <w:sz w:val="21"/>
        </w:rPr>
        <w:t xml:space="preserve"> </w:t>
      </w:r>
      <w:r>
        <w:rPr>
          <w:spacing w:val="-4"/>
          <w:sz w:val="21"/>
        </w:rPr>
        <w:t>GAICD</w:t>
      </w:r>
    </w:p>
    <w:p w14:paraId="3B0FB102" w14:textId="77777777" w:rsidR="009D54AF" w:rsidRDefault="00000000">
      <w:pPr>
        <w:spacing w:before="180"/>
        <w:ind w:left="142"/>
        <w:rPr>
          <w:sz w:val="21"/>
        </w:rPr>
      </w:pPr>
      <w:r>
        <w:rPr>
          <w:b/>
          <w:sz w:val="21"/>
        </w:rPr>
        <w:t>Board membership:</w:t>
      </w:r>
      <w:r>
        <w:rPr>
          <w:b/>
          <w:spacing w:val="-1"/>
          <w:sz w:val="21"/>
        </w:rPr>
        <w:t xml:space="preserve"> </w:t>
      </w:r>
      <w:r>
        <w:rPr>
          <w:sz w:val="21"/>
        </w:rPr>
        <w:t xml:space="preserve">1 April 2025 – 31 March </w:t>
      </w:r>
      <w:r>
        <w:rPr>
          <w:spacing w:val="-4"/>
          <w:sz w:val="21"/>
        </w:rPr>
        <w:t>2030.</w:t>
      </w:r>
    </w:p>
    <w:p w14:paraId="64066BB2" w14:textId="77777777" w:rsidR="009D54AF" w:rsidRDefault="009D54AF">
      <w:pPr>
        <w:pStyle w:val="BodyText"/>
        <w:spacing w:before="102"/>
      </w:pPr>
    </w:p>
    <w:p w14:paraId="655E80ED" w14:textId="77777777" w:rsidR="009D54AF" w:rsidRDefault="00000000">
      <w:pPr>
        <w:pStyle w:val="Heading7"/>
      </w:pPr>
      <w:r>
        <w:t>Dr</w:t>
      </w:r>
      <w:r>
        <w:rPr>
          <w:spacing w:val="-2"/>
        </w:rPr>
        <w:t xml:space="preserve"> </w:t>
      </w:r>
      <w:r>
        <w:t>Alicia</w:t>
      </w:r>
      <w:r>
        <w:rPr>
          <w:spacing w:val="-2"/>
        </w:rPr>
        <w:t xml:space="preserve"> Veasey</w:t>
      </w:r>
    </w:p>
    <w:p w14:paraId="7584E833" w14:textId="77777777" w:rsidR="009D54AF" w:rsidRDefault="00000000">
      <w:pPr>
        <w:pStyle w:val="BodyText"/>
        <w:spacing w:before="142" w:line="278" w:lineRule="auto"/>
        <w:ind w:left="142" w:right="285"/>
      </w:pPr>
      <w:r>
        <w:t xml:space="preserve">Dr Veasey is a Torres Strait Islander woman, a rural–regional public obstetrician and </w:t>
      </w:r>
      <w:proofErr w:type="spellStart"/>
      <w:r>
        <w:t>gynaecologist</w:t>
      </w:r>
      <w:proofErr w:type="spellEnd"/>
      <w:r>
        <w:t>, and health</w:t>
      </w:r>
      <w:r>
        <w:rPr>
          <w:spacing w:val="-3"/>
        </w:rPr>
        <w:t xml:space="preserve"> </w:t>
      </w:r>
      <w:r>
        <w:t>system</w:t>
      </w:r>
      <w:r>
        <w:rPr>
          <w:spacing w:val="-3"/>
        </w:rPr>
        <w:t xml:space="preserve"> </w:t>
      </w:r>
      <w:r>
        <w:t>reform</w:t>
      </w:r>
      <w:r>
        <w:rPr>
          <w:spacing w:val="-3"/>
        </w:rPr>
        <w:t xml:space="preserve"> </w:t>
      </w:r>
      <w:r>
        <w:t>leader</w:t>
      </w:r>
      <w:r>
        <w:rPr>
          <w:spacing w:val="-3"/>
        </w:rPr>
        <w:t xml:space="preserve"> </w:t>
      </w:r>
      <w:r>
        <w:t>working</w:t>
      </w:r>
      <w:r>
        <w:rPr>
          <w:spacing w:val="-3"/>
        </w:rPr>
        <w:t xml:space="preserve"> </w:t>
      </w:r>
      <w:r>
        <w:t>across</w:t>
      </w:r>
      <w:r>
        <w:rPr>
          <w:spacing w:val="-3"/>
        </w:rPr>
        <w:t xml:space="preserve"> </w:t>
      </w:r>
      <w:r>
        <w:t>clinical</w:t>
      </w:r>
      <w:r>
        <w:rPr>
          <w:spacing w:val="-3"/>
        </w:rPr>
        <w:t xml:space="preserve"> </w:t>
      </w:r>
      <w:r>
        <w:t>care,</w:t>
      </w:r>
      <w:r>
        <w:rPr>
          <w:spacing w:val="-3"/>
        </w:rPr>
        <w:t xml:space="preserve"> </w:t>
      </w:r>
      <w:r>
        <w:t>governance,</w:t>
      </w:r>
      <w:r>
        <w:rPr>
          <w:spacing w:val="-3"/>
        </w:rPr>
        <w:t xml:space="preserve"> </w:t>
      </w:r>
      <w:r>
        <w:t>policy,</w:t>
      </w:r>
      <w:r>
        <w:rPr>
          <w:spacing w:val="-3"/>
        </w:rPr>
        <w:t xml:space="preserve"> </w:t>
      </w:r>
      <w:r>
        <w:t>workforce,</w:t>
      </w:r>
      <w:r>
        <w:rPr>
          <w:spacing w:val="-3"/>
        </w:rPr>
        <w:t xml:space="preserve"> </w:t>
      </w:r>
      <w:r>
        <w:t>safety</w:t>
      </w:r>
      <w:r>
        <w:rPr>
          <w:spacing w:val="-3"/>
        </w:rPr>
        <w:t xml:space="preserve"> </w:t>
      </w:r>
      <w:r>
        <w:t>and</w:t>
      </w:r>
      <w:r>
        <w:rPr>
          <w:spacing w:val="-3"/>
        </w:rPr>
        <w:t xml:space="preserve"> </w:t>
      </w:r>
      <w:r>
        <w:t>quality, and Indigenous health sovereignty.</w:t>
      </w:r>
    </w:p>
    <w:p w14:paraId="06CCE025" w14:textId="77777777" w:rsidR="009D54AF" w:rsidRDefault="00000000">
      <w:pPr>
        <w:pStyle w:val="BodyText"/>
        <w:spacing w:before="141" w:line="278" w:lineRule="auto"/>
        <w:ind w:left="142" w:right="214"/>
      </w:pPr>
      <w:r>
        <w:t>Grounded in both clinical and cultural lived experience, Dr Veasey brings together frontline healthcare knowledge,</w:t>
      </w:r>
      <w:r>
        <w:rPr>
          <w:spacing w:val="-3"/>
        </w:rPr>
        <w:t xml:space="preserve"> </w:t>
      </w:r>
      <w:r>
        <w:t>Indigenous</w:t>
      </w:r>
      <w:r>
        <w:rPr>
          <w:spacing w:val="-3"/>
        </w:rPr>
        <w:t xml:space="preserve"> </w:t>
      </w:r>
      <w:r>
        <w:t>leadership,</w:t>
      </w:r>
      <w:r>
        <w:rPr>
          <w:spacing w:val="-3"/>
        </w:rPr>
        <w:t xml:space="preserve"> </w:t>
      </w:r>
      <w:r>
        <w:t>and</w:t>
      </w:r>
      <w:r>
        <w:rPr>
          <w:spacing w:val="-3"/>
        </w:rPr>
        <w:t xml:space="preserve"> </w:t>
      </w:r>
      <w:r>
        <w:t>state</w:t>
      </w:r>
      <w:r>
        <w:rPr>
          <w:spacing w:val="-3"/>
        </w:rPr>
        <w:t xml:space="preserve"> </w:t>
      </w:r>
      <w:r>
        <w:t>and</w:t>
      </w:r>
      <w:r>
        <w:rPr>
          <w:spacing w:val="-3"/>
        </w:rPr>
        <w:t xml:space="preserve"> </w:t>
      </w:r>
      <w:r>
        <w:t>national</w:t>
      </w:r>
      <w:r>
        <w:rPr>
          <w:spacing w:val="-3"/>
        </w:rPr>
        <w:t xml:space="preserve"> </w:t>
      </w:r>
      <w:r>
        <w:t>health</w:t>
      </w:r>
      <w:r>
        <w:rPr>
          <w:spacing w:val="-3"/>
        </w:rPr>
        <w:t xml:space="preserve"> </w:t>
      </w:r>
      <w:r>
        <w:t>system</w:t>
      </w:r>
      <w:r>
        <w:rPr>
          <w:spacing w:val="-3"/>
        </w:rPr>
        <w:t xml:space="preserve"> </w:t>
      </w:r>
      <w:r>
        <w:t>reform</w:t>
      </w:r>
      <w:r>
        <w:rPr>
          <w:spacing w:val="-3"/>
        </w:rPr>
        <w:t xml:space="preserve"> </w:t>
      </w:r>
      <w:r>
        <w:t>expertise</w:t>
      </w:r>
      <w:r>
        <w:rPr>
          <w:spacing w:val="-3"/>
        </w:rPr>
        <w:t xml:space="preserve"> </w:t>
      </w:r>
      <w:r>
        <w:t>to</w:t>
      </w:r>
      <w:r>
        <w:rPr>
          <w:spacing w:val="-3"/>
        </w:rPr>
        <w:t xml:space="preserve"> </w:t>
      </w:r>
      <w:r>
        <w:t>advance</w:t>
      </w:r>
      <w:r>
        <w:rPr>
          <w:spacing w:val="-3"/>
        </w:rPr>
        <w:t xml:space="preserve"> </w:t>
      </w:r>
      <w:r>
        <w:t xml:space="preserve">cultural safety, anti-racism, Indigenous governance, clinical governance, Indigenous data sovereignty, and health system accountability. She is Managing Director and co-founder of </w:t>
      </w:r>
      <w:proofErr w:type="spellStart"/>
      <w:r>
        <w:t>Gullidala</w:t>
      </w:r>
      <w:proofErr w:type="spellEnd"/>
      <w:r>
        <w:t xml:space="preserve">, an Indigenous-led social enterprise </w:t>
      </w:r>
      <w:proofErr w:type="spellStart"/>
      <w:r>
        <w:t>specialising</w:t>
      </w:r>
      <w:proofErr w:type="spellEnd"/>
      <w:r>
        <w:t xml:space="preserve"> in Indigenous Knowledge Translation, policy translation, strategic facilitation and implementation science. She is also a Board Director of the Australian Indigenous Doctors’ Association, a Global Atlantic Fellow, and a 2025 Churchill Fellow.</w:t>
      </w:r>
    </w:p>
    <w:p w14:paraId="7CBFA967" w14:textId="77777777" w:rsidR="009D54AF" w:rsidRDefault="00000000">
      <w:pPr>
        <w:pStyle w:val="BodyText"/>
        <w:spacing w:before="141" w:line="278" w:lineRule="auto"/>
        <w:ind w:left="142"/>
      </w:pPr>
      <w:r>
        <w:t>As</w:t>
      </w:r>
      <w:r>
        <w:rPr>
          <w:spacing w:val="-1"/>
        </w:rPr>
        <w:t xml:space="preserve"> </w:t>
      </w:r>
      <w:r>
        <w:t>a</w:t>
      </w:r>
      <w:r>
        <w:rPr>
          <w:spacing w:val="-1"/>
        </w:rPr>
        <w:t xml:space="preserve"> </w:t>
      </w:r>
      <w:r>
        <w:t>Board</w:t>
      </w:r>
      <w:r>
        <w:rPr>
          <w:spacing w:val="-1"/>
        </w:rPr>
        <w:t xml:space="preserve"> </w:t>
      </w:r>
      <w:r>
        <w:t>Director</w:t>
      </w:r>
      <w:r>
        <w:rPr>
          <w:spacing w:val="-1"/>
        </w:rPr>
        <w:t xml:space="preserve"> </w:t>
      </w:r>
      <w:r>
        <w:t>of</w:t>
      </w:r>
      <w:r>
        <w:rPr>
          <w:spacing w:val="-1"/>
        </w:rPr>
        <w:t xml:space="preserve"> </w:t>
      </w:r>
      <w:r>
        <w:t>the</w:t>
      </w:r>
      <w:r>
        <w:rPr>
          <w:spacing w:val="-1"/>
        </w:rPr>
        <w:t xml:space="preserve"> </w:t>
      </w:r>
      <w:r>
        <w:t>Australian</w:t>
      </w:r>
      <w:r>
        <w:rPr>
          <w:spacing w:val="-1"/>
        </w:rPr>
        <w:t xml:space="preserve"> </w:t>
      </w:r>
      <w:r>
        <w:t>Commission</w:t>
      </w:r>
      <w:r>
        <w:rPr>
          <w:spacing w:val="-1"/>
        </w:rPr>
        <w:t xml:space="preserve"> </w:t>
      </w:r>
      <w:r>
        <w:t>on</w:t>
      </w:r>
      <w:r>
        <w:rPr>
          <w:spacing w:val="-1"/>
        </w:rPr>
        <w:t xml:space="preserve"> </w:t>
      </w:r>
      <w:r>
        <w:t>Safety</w:t>
      </w:r>
      <w:r>
        <w:rPr>
          <w:spacing w:val="-1"/>
        </w:rPr>
        <w:t xml:space="preserve"> </w:t>
      </w:r>
      <w:r>
        <w:t>and</w:t>
      </w:r>
      <w:r>
        <w:rPr>
          <w:spacing w:val="-1"/>
        </w:rPr>
        <w:t xml:space="preserve"> </w:t>
      </w:r>
      <w:r>
        <w:t>Quality</w:t>
      </w:r>
      <w:r>
        <w:rPr>
          <w:spacing w:val="-1"/>
        </w:rPr>
        <w:t xml:space="preserve"> </w:t>
      </w:r>
      <w:r>
        <w:t>in</w:t>
      </w:r>
      <w:r>
        <w:rPr>
          <w:spacing w:val="-1"/>
        </w:rPr>
        <w:t xml:space="preserve"> </w:t>
      </w:r>
      <w:r>
        <w:t>Health</w:t>
      </w:r>
      <w:r>
        <w:rPr>
          <w:spacing w:val="-1"/>
        </w:rPr>
        <w:t xml:space="preserve"> </w:t>
      </w:r>
      <w:r>
        <w:t>Care</w:t>
      </w:r>
      <w:r>
        <w:rPr>
          <w:spacing w:val="-1"/>
        </w:rPr>
        <w:t xml:space="preserve"> </w:t>
      </w:r>
      <w:r>
        <w:t>since</w:t>
      </w:r>
      <w:r>
        <w:rPr>
          <w:spacing w:val="-1"/>
        </w:rPr>
        <w:t xml:space="preserve"> </w:t>
      </w:r>
      <w:r>
        <w:t>April</w:t>
      </w:r>
      <w:r>
        <w:rPr>
          <w:spacing w:val="-1"/>
        </w:rPr>
        <w:t xml:space="preserve"> </w:t>
      </w:r>
      <w:r>
        <w:t>2024,</w:t>
      </w:r>
      <w:r>
        <w:rPr>
          <w:spacing w:val="-1"/>
        </w:rPr>
        <w:t xml:space="preserve"> </w:t>
      </w:r>
      <w:r>
        <w:t>Dr Veasey brings a commitment to embedding Aboriginal and Torres Strait Islander leadership, governance, cultural safety and accountability as essential to safe, high-quality health care.</w:t>
      </w:r>
    </w:p>
    <w:p w14:paraId="5FD2DCF0" w14:textId="77777777" w:rsidR="009D54AF" w:rsidRDefault="00000000">
      <w:pPr>
        <w:spacing w:before="141"/>
        <w:ind w:left="142"/>
        <w:rPr>
          <w:sz w:val="21"/>
        </w:rPr>
      </w:pPr>
      <w:r>
        <w:rPr>
          <w:b/>
          <w:sz w:val="21"/>
        </w:rPr>
        <w:t>Qualifications:</w:t>
      </w:r>
      <w:r>
        <w:rPr>
          <w:b/>
          <w:spacing w:val="-3"/>
          <w:sz w:val="21"/>
        </w:rPr>
        <w:t xml:space="preserve"> </w:t>
      </w:r>
      <w:proofErr w:type="spellStart"/>
      <w:r>
        <w:rPr>
          <w:sz w:val="21"/>
        </w:rPr>
        <w:t>BNurs</w:t>
      </w:r>
      <w:proofErr w:type="spellEnd"/>
      <w:r>
        <w:rPr>
          <w:sz w:val="21"/>
        </w:rPr>
        <w:t xml:space="preserve">, MBBS, MPH, MHM, </w:t>
      </w:r>
      <w:proofErr w:type="spellStart"/>
      <w:r>
        <w:rPr>
          <w:sz w:val="21"/>
        </w:rPr>
        <w:t>MSocChgLead</w:t>
      </w:r>
      <w:proofErr w:type="spellEnd"/>
      <w:r>
        <w:rPr>
          <w:sz w:val="21"/>
        </w:rPr>
        <w:t>, IFEPAG,</w:t>
      </w:r>
      <w:r>
        <w:rPr>
          <w:spacing w:val="1"/>
          <w:sz w:val="21"/>
        </w:rPr>
        <w:t xml:space="preserve"> </w:t>
      </w:r>
      <w:r>
        <w:rPr>
          <w:spacing w:val="-2"/>
          <w:sz w:val="21"/>
        </w:rPr>
        <w:t>FRANZCOG</w:t>
      </w:r>
    </w:p>
    <w:p w14:paraId="3772BB3B" w14:textId="77777777" w:rsidR="009D54AF" w:rsidRDefault="00000000">
      <w:pPr>
        <w:spacing w:before="181"/>
        <w:ind w:left="142"/>
        <w:rPr>
          <w:sz w:val="21"/>
        </w:rPr>
      </w:pPr>
      <w:r>
        <w:rPr>
          <w:b/>
          <w:sz w:val="21"/>
        </w:rPr>
        <w:t>Board</w:t>
      </w:r>
      <w:r>
        <w:rPr>
          <w:b/>
          <w:spacing w:val="-1"/>
          <w:sz w:val="21"/>
        </w:rPr>
        <w:t xml:space="preserve"> </w:t>
      </w:r>
      <w:r>
        <w:rPr>
          <w:b/>
          <w:sz w:val="21"/>
        </w:rPr>
        <w:t>membership:</w:t>
      </w:r>
      <w:r>
        <w:rPr>
          <w:b/>
          <w:spacing w:val="-1"/>
          <w:sz w:val="21"/>
        </w:rPr>
        <w:t xml:space="preserve"> </w:t>
      </w:r>
      <w:r>
        <w:rPr>
          <w:sz w:val="21"/>
        </w:rPr>
        <w:t>1 April 2024</w:t>
      </w:r>
      <w:r>
        <w:rPr>
          <w:spacing w:val="-1"/>
          <w:sz w:val="21"/>
        </w:rPr>
        <w:t xml:space="preserve"> </w:t>
      </w:r>
      <w:r>
        <w:rPr>
          <w:sz w:val="21"/>
        </w:rPr>
        <w:t xml:space="preserve">– 31 March </w:t>
      </w:r>
      <w:r>
        <w:rPr>
          <w:spacing w:val="-4"/>
          <w:sz w:val="21"/>
        </w:rPr>
        <w:t>2029.</w:t>
      </w:r>
    </w:p>
    <w:p w14:paraId="47858A52" w14:textId="77777777" w:rsidR="009D54AF" w:rsidRDefault="009D54AF">
      <w:pPr>
        <w:pStyle w:val="BodyText"/>
        <w:spacing w:before="101"/>
      </w:pPr>
    </w:p>
    <w:p w14:paraId="691834FE" w14:textId="77777777" w:rsidR="009D54AF" w:rsidRDefault="00000000">
      <w:pPr>
        <w:pStyle w:val="Heading7"/>
        <w:spacing w:before="1"/>
      </w:pPr>
      <w:proofErr w:type="spellStart"/>
      <w:r>
        <w:t>Ms</w:t>
      </w:r>
      <w:proofErr w:type="spellEnd"/>
      <w:r>
        <w:rPr>
          <w:spacing w:val="-10"/>
        </w:rPr>
        <w:t xml:space="preserve"> </w:t>
      </w:r>
      <w:r>
        <w:t>Kylie</w:t>
      </w:r>
      <w:r>
        <w:rPr>
          <w:spacing w:val="-8"/>
        </w:rPr>
        <w:t xml:space="preserve"> </w:t>
      </w:r>
      <w:r>
        <w:rPr>
          <w:spacing w:val="-4"/>
        </w:rPr>
        <w:t>Ward</w:t>
      </w:r>
    </w:p>
    <w:p w14:paraId="60B5DFDE" w14:textId="77777777" w:rsidR="009D54AF" w:rsidRDefault="00000000">
      <w:pPr>
        <w:pStyle w:val="BodyText"/>
        <w:spacing w:before="141" w:line="278" w:lineRule="auto"/>
        <w:ind w:left="142"/>
      </w:pPr>
      <w:proofErr w:type="spellStart"/>
      <w:r>
        <w:t>Ms</w:t>
      </w:r>
      <w:proofErr w:type="spellEnd"/>
      <w:r>
        <w:rPr>
          <w:spacing w:val="-4"/>
        </w:rPr>
        <w:t xml:space="preserve"> </w:t>
      </w:r>
      <w:r>
        <w:t>Ward</w:t>
      </w:r>
      <w:r>
        <w:rPr>
          <w:spacing w:val="-4"/>
        </w:rPr>
        <w:t xml:space="preserve"> </w:t>
      </w:r>
      <w:r>
        <w:t>is</w:t>
      </w:r>
      <w:r>
        <w:rPr>
          <w:spacing w:val="-4"/>
        </w:rPr>
        <w:t xml:space="preserve"> </w:t>
      </w:r>
      <w:r>
        <w:t>a</w:t>
      </w:r>
      <w:r>
        <w:rPr>
          <w:spacing w:val="-4"/>
        </w:rPr>
        <w:t xml:space="preserve"> </w:t>
      </w:r>
      <w:r>
        <w:t>multi-award-winning</w:t>
      </w:r>
      <w:r>
        <w:rPr>
          <w:spacing w:val="-4"/>
        </w:rPr>
        <w:t xml:space="preserve"> </w:t>
      </w:r>
      <w:r>
        <w:t>executive</w:t>
      </w:r>
      <w:r>
        <w:rPr>
          <w:spacing w:val="-4"/>
        </w:rPr>
        <w:t xml:space="preserve"> </w:t>
      </w:r>
      <w:r>
        <w:t>leader,</w:t>
      </w:r>
      <w:r>
        <w:rPr>
          <w:spacing w:val="-4"/>
        </w:rPr>
        <w:t xml:space="preserve"> </w:t>
      </w:r>
      <w:r>
        <w:t>former</w:t>
      </w:r>
      <w:r>
        <w:rPr>
          <w:spacing w:val="-4"/>
        </w:rPr>
        <w:t xml:space="preserve"> </w:t>
      </w:r>
      <w:r>
        <w:t>CEO,</w:t>
      </w:r>
      <w:r>
        <w:rPr>
          <w:spacing w:val="-4"/>
        </w:rPr>
        <w:t xml:space="preserve"> </w:t>
      </w:r>
      <w:r>
        <w:t>board</w:t>
      </w:r>
      <w:r>
        <w:rPr>
          <w:spacing w:val="-4"/>
        </w:rPr>
        <w:t xml:space="preserve"> </w:t>
      </w:r>
      <w:r>
        <w:t>chair</w:t>
      </w:r>
      <w:r>
        <w:rPr>
          <w:spacing w:val="-4"/>
        </w:rPr>
        <w:t xml:space="preserve"> </w:t>
      </w:r>
      <w:r>
        <w:t>and</w:t>
      </w:r>
      <w:r>
        <w:rPr>
          <w:spacing w:val="-4"/>
        </w:rPr>
        <w:t xml:space="preserve"> </w:t>
      </w:r>
      <w:r>
        <w:t>experienced</w:t>
      </w:r>
      <w:r>
        <w:rPr>
          <w:spacing w:val="-4"/>
        </w:rPr>
        <w:t xml:space="preserve"> </w:t>
      </w:r>
      <w:r>
        <w:t xml:space="preserve">non-executive director with extensive experience across governance, leadership, </w:t>
      </w:r>
      <w:proofErr w:type="spellStart"/>
      <w:r>
        <w:t>organisational</w:t>
      </w:r>
      <w:proofErr w:type="spellEnd"/>
      <w:r>
        <w:t xml:space="preserve"> performance and systems </w:t>
      </w:r>
      <w:r>
        <w:rPr>
          <w:spacing w:val="-2"/>
        </w:rPr>
        <w:t>change.</w:t>
      </w:r>
    </w:p>
    <w:p w14:paraId="3C5A418F" w14:textId="77777777" w:rsidR="009D54AF" w:rsidRDefault="00000000">
      <w:pPr>
        <w:pStyle w:val="BodyText"/>
        <w:spacing w:before="141" w:line="278" w:lineRule="auto"/>
        <w:ind w:left="142" w:right="285"/>
      </w:pPr>
      <w:proofErr w:type="spellStart"/>
      <w:r>
        <w:t>Ms</w:t>
      </w:r>
      <w:proofErr w:type="spellEnd"/>
      <w:r>
        <w:rPr>
          <w:spacing w:val="-1"/>
        </w:rPr>
        <w:t xml:space="preserve"> </w:t>
      </w:r>
      <w:r>
        <w:t>Ward</w:t>
      </w:r>
      <w:r>
        <w:rPr>
          <w:spacing w:val="-1"/>
        </w:rPr>
        <w:t xml:space="preserve"> </w:t>
      </w:r>
      <w:r>
        <w:t>works</w:t>
      </w:r>
      <w:r>
        <w:rPr>
          <w:spacing w:val="-1"/>
        </w:rPr>
        <w:t xml:space="preserve"> </w:t>
      </w:r>
      <w:r>
        <w:t>with</w:t>
      </w:r>
      <w:r>
        <w:rPr>
          <w:spacing w:val="-1"/>
        </w:rPr>
        <w:t xml:space="preserve"> </w:t>
      </w:r>
      <w:r>
        <w:t>leaders</w:t>
      </w:r>
      <w:r>
        <w:rPr>
          <w:spacing w:val="-1"/>
        </w:rPr>
        <w:t xml:space="preserve"> </w:t>
      </w:r>
      <w:r>
        <w:t>and</w:t>
      </w:r>
      <w:r>
        <w:rPr>
          <w:spacing w:val="-1"/>
        </w:rPr>
        <w:t xml:space="preserve"> </w:t>
      </w:r>
      <w:proofErr w:type="spellStart"/>
      <w:r>
        <w:t>organisations</w:t>
      </w:r>
      <w:proofErr w:type="spellEnd"/>
      <w:r>
        <w:rPr>
          <w:spacing w:val="-1"/>
        </w:rPr>
        <w:t xml:space="preserve"> </w:t>
      </w:r>
      <w:r>
        <w:t>through</w:t>
      </w:r>
      <w:r>
        <w:rPr>
          <w:spacing w:val="-1"/>
        </w:rPr>
        <w:t xml:space="preserve"> </w:t>
      </w:r>
      <w:r>
        <w:t>her</w:t>
      </w:r>
      <w:r>
        <w:rPr>
          <w:spacing w:val="-1"/>
        </w:rPr>
        <w:t xml:space="preserve"> </w:t>
      </w:r>
      <w:r>
        <w:t>independent</w:t>
      </w:r>
      <w:r>
        <w:rPr>
          <w:spacing w:val="-1"/>
        </w:rPr>
        <w:t xml:space="preserve"> </w:t>
      </w:r>
      <w:r>
        <w:t>advisory</w:t>
      </w:r>
      <w:r>
        <w:rPr>
          <w:spacing w:val="-1"/>
        </w:rPr>
        <w:t xml:space="preserve"> </w:t>
      </w:r>
      <w:r>
        <w:t>practice,</w:t>
      </w:r>
      <w:r>
        <w:rPr>
          <w:spacing w:val="-1"/>
        </w:rPr>
        <w:t xml:space="preserve"> </w:t>
      </w:r>
      <w:r>
        <w:t>supporting</w:t>
      </w:r>
      <w:r>
        <w:rPr>
          <w:spacing w:val="-1"/>
        </w:rPr>
        <w:t xml:space="preserve"> </w:t>
      </w:r>
      <w:r>
        <w:t>them to</w:t>
      </w:r>
      <w:r>
        <w:rPr>
          <w:spacing w:val="-1"/>
        </w:rPr>
        <w:t xml:space="preserve"> </w:t>
      </w:r>
      <w:r>
        <w:t>navigate</w:t>
      </w:r>
      <w:r>
        <w:rPr>
          <w:spacing w:val="-1"/>
        </w:rPr>
        <w:t xml:space="preserve"> </w:t>
      </w:r>
      <w:r>
        <w:t>complexity,</w:t>
      </w:r>
      <w:r>
        <w:rPr>
          <w:spacing w:val="-1"/>
        </w:rPr>
        <w:t xml:space="preserve"> </w:t>
      </w:r>
      <w:r>
        <w:t>strengthen</w:t>
      </w:r>
      <w:r>
        <w:rPr>
          <w:spacing w:val="-1"/>
        </w:rPr>
        <w:t xml:space="preserve"> </w:t>
      </w:r>
      <w:r>
        <w:t>capability</w:t>
      </w:r>
      <w:r>
        <w:rPr>
          <w:spacing w:val="-1"/>
        </w:rPr>
        <w:t xml:space="preserve"> </w:t>
      </w:r>
      <w:r>
        <w:t>and</w:t>
      </w:r>
      <w:r>
        <w:rPr>
          <w:spacing w:val="-1"/>
        </w:rPr>
        <w:t xml:space="preserve"> </w:t>
      </w:r>
      <w:r>
        <w:t>improve</w:t>
      </w:r>
      <w:r>
        <w:rPr>
          <w:spacing w:val="-1"/>
        </w:rPr>
        <w:t xml:space="preserve"> </w:t>
      </w:r>
      <w:r>
        <w:t>performance.</w:t>
      </w:r>
      <w:r>
        <w:rPr>
          <w:spacing w:val="-1"/>
        </w:rPr>
        <w:t xml:space="preserve"> </w:t>
      </w:r>
      <w:r>
        <w:t>She</w:t>
      </w:r>
      <w:r>
        <w:rPr>
          <w:spacing w:val="-1"/>
        </w:rPr>
        <w:t xml:space="preserve"> </w:t>
      </w:r>
      <w:r>
        <w:t>has</w:t>
      </w:r>
      <w:r>
        <w:rPr>
          <w:spacing w:val="-1"/>
        </w:rPr>
        <w:t xml:space="preserve"> </w:t>
      </w:r>
      <w:r>
        <w:t>led</w:t>
      </w:r>
      <w:r>
        <w:rPr>
          <w:spacing w:val="-1"/>
        </w:rPr>
        <w:t xml:space="preserve"> </w:t>
      </w:r>
      <w:r>
        <w:t>complex</w:t>
      </w:r>
      <w:r>
        <w:rPr>
          <w:spacing w:val="-1"/>
        </w:rPr>
        <w:t xml:space="preserve"> </w:t>
      </w:r>
      <w:proofErr w:type="spellStart"/>
      <w:r>
        <w:t>organisations</w:t>
      </w:r>
      <w:proofErr w:type="spellEnd"/>
      <w:r>
        <w:t xml:space="preserve"> through periods of significant change, reform and growth, and has held senior executive and governance roles including ministerially appointed positions on national boards and committees.</w:t>
      </w:r>
    </w:p>
    <w:p w14:paraId="6D91D2BA" w14:textId="77777777" w:rsidR="009D54AF" w:rsidRDefault="00000000">
      <w:pPr>
        <w:pStyle w:val="BodyText"/>
        <w:spacing w:before="142" w:line="278" w:lineRule="auto"/>
        <w:ind w:left="142"/>
      </w:pPr>
      <w:r>
        <w:t>She</w:t>
      </w:r>
      <w:r>
        <w:rPr>
          <w:spacing w:val="-2"/>
        </w:rPr>
        <w:t xml:space="preserve"> </w:t>
      </w:r>
      <w:r>
        <w:t>brings</w:t>
      </w:r>
      <w:r>
        <w:rPr>
          <w:spacing w:val="-2"/>
        </w:rPr>
        <w:t xml:space="preserve"> </w:t>
      </w:r>
      <w:r>
        <w:t>a</w:t>
      </w:r>
      <w:r>
        <w:rPr>
          <w:spacing w:val="-2"/>
        </w:rPr>
        <w:t xml:space="preserve"> </w:t>
      </w:r>
      <w:r>
        <w:t>unique</w:t>
      </w:r>
      <w:r>
        <w:rPr>
          <w:spacing w:val="-2"/>
        </w:rPr>
        <w:t xml:space="preserve"> </w:t>
      </w:r>
      <w:r>
        <w:t>combination</w:t>
      </w:r>
      <w:r>
        <w:rPr>
          <w:spacing w:val="-2"/>
        </w:rPr>
        <w:t xml:space="preserve"> </w:t>
      </w:r>
      <w:r>
        <w:t>of</w:t>
      </w:r>
      <w:r>
        <w:rPr>
          <w:spacing w:val="-2"/>
        </w:rPr>
        <w:t xml:space="preserve"> </w:t>
      </w:r>
      <w:r>
        <w:t>clinical</w:t>
      </w:r>
      <w:r>
        <w:rPr>
          <w:spacing w:val="-2"/>
        </w:rPr>
        <w:t xml:space="preserve"> </w:t>
      </w:r>
      <w:r>
        <w:t>insight,</w:t>
      </w:r>
      <w:r>
        <w:rPr>
          <w:spacing w:val="-2"/>
        </w:rPr>
        <w:t xml:space="preserve"> </w:t>
      </w:r>
      <w:r>
        <w:t>strategic</w:t>
      </w:r>
      <w:r>
        <w:rPr>
          <w:spacing w:val="-2"/>
        </w:rPr>
        <w:t xml:space="preserve"> </w:t>
      </w:r>
      <w:r>
        <w:t>thinking</w:t>
      </w:r>
      <w:r>
        <w:rPr>
          <w:spacing w:val="-2"/>
        </w:rPr>
        <w:t xml:space="preserve"> </w:t>
      </w:r>
      <w:r>
        <w:t>and</w:t>
      </w:r>
      <w:r>
        <w:rPr>
          <w:spacing w:val="-2"/>
        </w:rPr>
        <w:t xml:space="preserve"> </w:t>
      </w:r>
      <w:r>
        <w:t>governance</w:t>
      </w:r>
      <w:r>
        <w:rPr>
          <w:spacing w:val="-2"/>
        </w:rPr>
        <w:t xml:space="preserve"> </w:t>
      </w:r>
      <w:r>
        <w:t>expertise,</w:t>
      </w:r>
      <w:r>
        <w:rPr>
          <w:spacing w:val="-2"/>
        </w:rPr>
        <w:t xml:space="preserve"> </w:t>
      </w:r>
      <w:r>
        <w:t>with</w:t>
      </w:r>
      <w:r>
        <w:rPr>
          <w:spacing w:val="-2"/>
        </w:rPr>
        <w:t xml:space="preserve"> </w:t>
      </w:r>
      <w:r>
        <w:t>a</w:t>
      </w:r>
      <w:r>
        <w:rPr>
          <w:spacing w:val="-2"/>
        </w:rPr>
        <w:t xml:space="preserve"> </w:t>
      </w:r>
      <w:r>
        <w:t>strong understanding of the relationship between leadership, culture, quality, safety and sustainable performance.</w:t>
      </w:r>
    </w:p>
    <w:p w14:paraId="0E4E2A3A" w14:textId="77777777" w:rsidR="009D54AF" w:rsidRDefault="00000000">
      <w:pPr>
        <w:pStyle w:val="BodyText"/>
        <w:spacing w:line="278" w:lineRule="auto"/>
        <w:ind w:left="142"/>
      </w:pPr>
      <w:r>
        <w:t>Her career includes contributions to national policy discussions, parliamentary inquiries and health and social reform initiatives, working at the intersection of leadership, systems and community outcomes.</w:t>
      </w:r>
    </w:p>
    <w:p w14:paraId="67B6A1E6" w14:textId="77777777" w:rsidR="009D54AF" w:rsidRDefault="00000000">
      <w:pPr>
        <w:pStyle w:val="BodyText"/>
        <w:spacing w:before="141" w:line="278" w:lineRule="auto"/>
        <w:ind w:left="142" w:right="214"/>
      </w:pPr>
      <w:proofErr w:type="spellStart"/>
      <w:r>
        <w:t>Ms</w:t>
      </w:r>
      <w:proofErr w:type="spellEnd"/>
      <w:r>
        <w:t xml:space="preserve"> Ward is </w:t>
      </w:r>
      <w:proofErr w:type="spellStart"/>
      <w:r>
        <w:t>recognised</w:t>
      </w:r>
      <w:proofErr w:type="spellEnd"/>
      <w:r>
        <w:t xml:space="preserve"> for combining strong strategic and operational capability with a deeply human approach to leadership – balancing accountability, performance, collaboration and the needs of people and communities.</w:t>
      </w:r>
      <w:r>
        <w:rPr>
          <w:spacing w:val="-2"/>
        </w:rPr>
        <w:t xml:space="preserve"> </w:t>
      </w:r>
      <w:r>
        <w:t>She</w:t>
      </w:r>
      <w:r>
        <w:rPr>
          <w:spacing w:val="-2"/>
        </w:rPr>
        <w:t xml:space="preserve"> </w:t>
      </w:r>
      <w:r>
        <w:t>brings</w:t>
      </w:r>
      <w:r>
        <w:rPr>
          <w:spacing w:val="-2"/>
        </w:rPr>
        <w:t xml:space="preserve"> </w:t>
      </w:r>
      <w:r>
        <w:t>courage,</w:t>
      </w:r>
      <w:r>
        <w:rPr>
          <w:spacing w:val="-2"/>
        </w:rPr>
        <w:t xml:space="preserve"> </w:t>
      </w:r>
      <w:r>
        <w:t>discretion</w:t>
      </w:r>
      <w:r>
        <w:rPr>
          <w:spacing w:val="-2"/>
        </w:rPr>
        <w:t xml:space="preserve"> </w:t>
      </w:r>
      <w:r>
        <w:t>and</w:t>
      </w:r>
      <w:r>
        <w:rPr>
          <w:spacing w:val="-2"/>
        </w:rPr>
        <w:t xml:space="preserve"> </w:t>
      </w:r>
      <w:r>
        <w:t>presence</w:t>
      </w:r>
      <w:r>
        <w:rPr>
          <w:spacing w:val="-2"/>
        </w:rPr>
        <w:t xml:space="preserve"> </w:t>
      </w:r>
      <w:r>
        <w:t>to</w:t>
      </w:r>
      <w:r>
        <w:rPr>
          <w:spacing w:val="-2"/>
        </w:rPr>
        <w:t xml:space="preserve"> </w:t>
      </w:r>
      <w:r>
        <w:t>her</w:t>
      </w:r>
      <w:r>
        <w:rPr>
          <w:spacing w:val="-2"/>
        </w:rPr>
        <w:t xml:space="preserve"> </w:t>
      </w:r>
      <w:r>
        <w:t>governance</w:t>
      </w:r>
      <w:r>
        <w:rPr>
          <w:spacing w:val="-2"/>
        </w:rPr>
        <w:t xml:space="preserve"> </w:t>
      </w:r>
      <w:r>
        <w:t>work,</w:t>
      </w:r>
      <w:r>
        <w:rPr>
          <w:spacing w:val="-2"/>
        </w:rPr>
        <w:t xml:space="preserve"> </w:t>
      </w:r>
      <w:r>
        <w:t>with</w:t>
      </w:r>
      <w:r>
        <w:rPr>
          <w:spacing w:val="-2"/>
        </w:rPr>
        <w:t xml:space="preserve"> </w:t>
      </w:r>
      <w:r>
        <w:t>a</w:t>
      </w:r>
      <w:r>
        <w:rPr>
          <w:spacing w:val="-2"/>
        </w:rPr>
        <w:t xml:space="preserve"> </w:t>
      </w:r>
      <w:r>
        <w:t>focus</w:t>
      </w:r>
      <w:r>
        <w:rPr>
          <w:spacing w:val="-2"/>
        </w:rPr>
        <w:t xml:space="preserve"> </w:t>
      </w:r>
      <w:r>
        <w:t>on</w:t>
      </w:r>
      <w:r>
        <w:rPr>
          <w:spacing w:val="-2"/>
        </w:rPr>
        <w:t xml:space="preserve"> </w:t>
      </w:r>
      <w:r>
        <w:t>integrity, meaningful outcomes and long-term impact.</w:t>
      </w:r>
    </w:p>
    <w:p w14:paraId="646DE28C" w14:textId="77777777" w:rsidR="009D54AF" w:rsidRDefault="00000000">
      <w:pPr>
        <w:pStyle w:val="BodyText"/>
        <w:spacing w:before="141" w:line="278" w:lineRule="auto"/>
        <w:ind w:left="142"/>
      </w:pPr>
      <w:r>
        <w:t>Her</w:t>
      </w:r>
      <w:r>
        <w:rPr>
          <w:spacing w:val="-1"/>
        </w:rPr>
        <w:t xml:space="preserve"> </w:t>
      </w:r>
      <w:r>
        <w:t>contribution</w:t>
      </w:r>
      <w:r>
        <w:rPr>
          <w:spacing w:val="-1"/>
        </w:rPr>
        <w:t xml:space="preserve"> </w:t>
      </w:r>
      <w:r>
        <w:t>to</w:t>
      </w:r>
      <w:r>
        <w:rPr>
          <w:spacing w:val="-1"/>
        </w:rPr>
        <w:t xml:space="preserve"> </w:t>
      </w:r>
      <w:r>
        <w:t>leadership</w:t>
      </w:r>
      <w:r>
        <w:rPr>
          <w:spacing w:val="-1"/>
        </w:rPr>
        <w:t xml:space="preserve"> </w:t>
      </w:r>
      <w:r>
        <w:t>and</w:t>
      </w:r>
      <w:r>
        <w:rPr>
          <w:spacing w:val="-1"/>
        </w:rPr>
        <w:t xml:space="preserve"> </w:t>
      </w:r>
      <w:r>
        <w:t>professional</w:t>
      </w:r>
      <w:r>
        <w:rPr>
          <w:spacing w:val="-1"/>
        </w:rPr>
        <w:t xml:space="preserve"> </w:t>
      </w:r>
      <w:r>
        <w:t>practice</w:t>
      </w:r>
      <w:r>
        <w:rPr>
          <w:spacing w:val="-1"/>
        </w:rPr>
        <w:t xml:space="preserve"> </w:t>
      </w:r>
      <w:r>
        <w:t>has</w:t>
      </w:r>
      <w:r>
        <w:rPr>
          <w:spacing w:val="-1"/>
        </w:rPr>
        <w:t xml:space="preserve"> </w:t>
      </w:r>
      <w:r>
        <w:t>been</w:t>
      </w:r>
      <w:r>
        <w:rPr>
          <w:spacing w:val="-1"/>
        </w:rPr>
        <w:t xml:space="preserve"> </w:t>
      </w:r>
      <w:proofErr w:type="spellStart"/>
      <w:r>
        <w:t>recognised</w:t>
      </w:r>
      <w:proofErr w:type="spellEnd"/>
      <w:r>
        <w:rPr>
          <w:spacing w:val="-1"/>
        </w:rPr>
        <w:t xml:space="preserve"> </w:t>
      </w:r>
      <w:r>
        <w:t>through</w:t>
      </w:r>
      <w:r>
        <w:rPr>
          <w:spacing w:val="-1"/>
        </w:rPr>
        <w:t xml:space="preserve"> </w:t>
      </w:r>
      <w:r>
        <w:t>multiple</w:t>
      </w:r>
      <w:r>
        <w:rPr>
          <w:spacing w:val="-1"/>
        </w:rPr>
        <w:t xml:space="preserve"> </w:t>
      </w:r>
      <w:r>
        <w:t>awards</w:t>
      </w:r>
      <w:r>
        <w:rPr>
          <w:spacing w:val="-1"/>
        </w:rPr>
        <w:t xml:space="preserve"> </w:t>
      </w:r>
      <w:r>
        <w:t>and seven honorary university appointments.</w:t>
      </w:r>
    </w:p>
    <w:p w14:paraId="66990793" w14:textId="77777777" w:rsidR="009D54AF" w:rsidRDefault="00000000">
      <w:pPr>
        <w:spacing w:before="142"/>
        <w:ind w:left="142"/>
        <w:rPr>
          <w:sz w:val="21"/>
        </w:rPr>
      </w:pPr>
      <w:r>
        <w:rPr>
          <w:b/>
          <w:sz w:val="21"/>
        </w:rPr>
        <w:lastRenderedPageBreak/>
        <w:t>Qualifications:</w:t>
      </w:r>
      <w:r>
        <w:rPr>
          <w:b/>
          <w:spacing w:val="-3"/>
          <w:sz w:val="21"/>
        </w:rPr>
        <w:t xml:space="preserve"> </w:t>
      </w:r>
      <w:r>
        <w:rPr>
          <w:sz w:val="21"/>
        </w:rPr>
        <w:t>RN,</w:t>
      </w:r>
      <w:r>
        <w:rPr>
          <w:spacing w:val="1"/>
          <w:sz w:val="21"/>
        </w:rPr>
        <w:t xml:space="preserve"> </w:t>
      </w:r>
      <w:proofErr w:type="spellStart"/>
      <w:r>
        <w:rPr>
          <w:sz w:val="21"/>
        </w:rPr>
        <w:t>MMgt</w:t>
      </w:r>
      <w:proofErr w:type="spellEnd"/>
      <w:r>
        <w:rPr>
          <w:sz w:val="21"/>
        </w:rPr>
        <w:t>,</w:t>
      </w:r>
      <w:r>
        <w:rPr>
          <w:spacing w:val="1"/>
          <w:sz w:val="21"/>
        </w:rPr>
        <w:t xml:space="preserve"> </w:t>
      </w:r>
      <w:r>
        <w:rPr>
          <w:sz w:val="21"/>
        </w:rPr>
        <w:t>FAICD,</w:t>
      </w:r>
      <w:r>
        <w:rPr>
          <w:spacing w:val="1"/>
          <w:sz w:val="21"/>
        </w:rPr>
        <w:t xml:space="preserve"> </w:t>
      </w:r>
      <w:r>
        <w:rPr>
          <w:sz w:val="21"/>
        </w:rPr>
        <w:t>Hon</w:t>
      </w:r>
      <w:r>
        <w:rPr>
          <w:spacing w:val="1"/>
          <w:sz w:val="21"/>
        </w:rPr>
        <w:t xml:space="preserve"> </w:t>
      </w:r>
      <w:r>
        <w:rPr>
          <w:sz w:val="21"/>
        </w:rPr>
        <w:t>FCHSM,</w:t>
      </w:r>
      <w:r>
        <w:rPr>
          <w:spacing w:val="1"/>
          <w:sz w:val="21"/>
        </w:rPr>
        <w:t xml:space="preserve"> </w:t>
      </w:r>
      <w:r>
        <w:rPr>
          <w:sz w:val="21"/>
        </w:rPr>
        <w:t>Wharton</w:t>
      </w:r>
      <w:r>
        <w:rPr>
          <w:spacing w:val="1"/>
          <w:sz w:val="21"/>
        </w:rPr>
        <w:t xml:space="preserve"> </w:t>
      </w:r>
      <w:r>
        <w:rPr>
          <w:spacing w:val="-2"/>
          <w:sz w:val="21"/>
        </w:rPr>
        <w:t>Fellow.</w:t>
      </w:r>
    </w:p>
    <w:p w14:paraId="17C46FC4" w14:textId="77777777" w:rsidR="009D54AF" w:rsidRDefault="00000000">
      <w:pPr>
        <w:spacing w:before="180"/>
        <w:ind w:left="142"/>
        <w:rPr>
          <w:sz w:val="21"/>
        </w:rPr>
      </w:pPr>
      <w:r>
        <w:rPr>
          <w:b/>
          <w:sz w:val="21"/>
        </w:rPr>
        <w:t>Board membership:</w:t>
      </w:r>
      <w:r>
        <w:rPr>
          <w:b/>
          <w:spacing w:val="-1"/>
          <w:sz w:val="21"/>
        </w:rPr>
        <w:t xml:space="preserve"> </w:t>
      </w:r>
      <w:r>
        <w:rPr>
          <w:sz w:val="21"/>
        </w:rPr>
        <w:t xml:space="preserve">31 March 2022 – 30 June </w:t>
      </w:r>
      <w:r>
        <w:rPr>
          <w:spacing w:val="-4"/>
          <w:sz w:val="21"/>
        </w:rPr>
        <w:t>2026.</w:t>
      </w:r>
    </w:p>
    <w:p w14:paraId="6600721D" w14:textId="77777777" w:rsidR="009D54AF" w:rsidRDefault="009D54AF">
      <w:pPr>
        <w:pStyle w:val="BodyText"/>
        <w:spacing w:before="102"/>
      </w:pPr>
    </w:p>
    <w:p w14:paraId="3A26C06A" w14:textId="77777777" w:rsidR="009D54AF" w:rsidRDefault="00000000">
      <w:pPr>
        <w:pStyle w:val="Heading7"/>
      </w:pPr>
      <w:proofErr w:type="spellStart"/>
      <w:r>
        <w:t>Ms</w:t>
      </w:r>
      <w:proofErr w:type="spellEnd"/>
      <w:r>
        <w:rPr>
          <w:spacing w:val="-3"/>
        </w:rPr>
        <w:t xml:space="preserve"> </w:t>
      </w:r>
      <w:r>
        <w:t>Leanne</w:t>
      </w:r>
      <w:r>
        <w:rPr>
          <w:spacing w:val="-1"/>
        </w:rPr>
        <w:t xml:space="preserve"> </w:t>
      </w:r>
      <w:r>
        <w:rPr>
          <w:spacing w:val="-4"/>
        </w:rPr>
        <w:t>Wells</w:t>
      </w:r>
    </w:p>
    <w:p w14:paraId="389BFB28" w14:textId="626A0E0B" w:rsidR="009D54AF" w:rsidRDefault="00000000" w:rsidP="008F5B74">
      <w:pPr>
        <w:pStyle w:val="BodyText"/>
        <w:spacing w:before="141" w:line="278" w:lineRule="auto"/>
        <w:ind w:left="142" w:right="285"/>
      </w:pPr>
      <w:proofErr w:type="spellStart"/>
      <w:r>
        <w:t>Ms</w:t>
      </w:r>
      <w:proofErr w:type="spellEnd"/>
      <w:r>
        <w:t xml:space="preserve"> Wells is a health advocate and is the former longstanding Chief Executive Officer of the Consumers Health</w:t>
      </w:r>
      <w:r>
        <w:rPr>
          <w:spacing w:val="-2"/>
        </w:rPr>
        <w:t xml:space="preserve"> </w:t>
      </w:r>
      <w:r>
        <w:t>Forum</w:t>
      </w:r>
      <w:r>
        <w:rPr>
          <w:spacing w:val="-2"/>
        </w:rPr>
        <w:t xml:space="preserve"> </w:t>
      </w:r>
      <w:r>
        <w:t>of</w:t>
      </w:r>
      <w:r>
        <w:rPr>
          <w:spacing w:val="-2"/>
        </w:rPr>
        <w:t xml:space="preserve"> </w:t>
      </w:r>
      <w:r>
        <w:t>Australia.</w:t>
      </w:r>
      <w:r>
        <w:rPr>
          <w:spacing w:val="-2"/>
        </w:rPr>
        <w:t xml:space="preserve"> </w:t>
      </w:r>
      <w:r>
        <w:t>Her</w:t>
      </w:r>
      <w:r>
        <w:rPr>
          <w:spacing w:val="-2"/>
        </w:rPr>
        <w:t xml:space="preserve"> </w:t>
      </w:r>
      <w:r>
        <w:t>appointment</w:t>
      </w:r>
      <w:r>
        <w:rPr>
          <w:spacing w:val="-2"/>
        </w:rPr>
        <w:t xml:space="preserve"> </w:t>
      </w:r>
      <w:r>
        <w:t>brings</w:t>
      </w:r>
      <w:r>
        <w:rPr>
          <w:spacing w:val="-2"/>
        </w:rPr>
        <w:t xml:space="preserve"> </w:t>
      </w:r>
      <w:r>
        <w:t>a</w:t>
      </w:r>
      <w:r>
        <w:rPr>
          <w:spacing w:val="-2"/>
        </w:rPr>
        <w:t xml:space="preserve"> </w:t>
      </w:r>
      <w:r>
        <w:t>health</w:t>
      </w:r>
      <w:r>
        <w:rPr>
          <w:spacing w:val="-2"/>
        </w:rPr>
        <w:t xml:space="preserve"> </w:t>
      </w:r>
      <w:r>
        <w:t>consumer</w:t>
      </w:r>
      <w:r>
        <w:rPr>
          <w:spacing w:val="-2"/>
        </w:rPr>
        <w:t xml:space="preserve"> </w:t>
      </w:r>
      <w:r>
        <w:t>advocacy</w:t>
      </w:r>
      <w:r>
        <w:rPr>
          <w:spacing w:val="-2"/>
        </w:rPr>
        <w:t xml:space="preserve"> </w:t>
      </w:r>
      <w:r>
        <w:t>perspective</w:t>
      </w:r>
      <w:r>
        <w:rPr>
          <w:spacing w:val="-2"/>
        </w:rPr>
        <w:t xml:space="preserve"> </w:t>
      </w:r>
      <w:r>
        <w:t>to</w:t>
      </w:r>
      <w:r>
        <w:rPr>
          <w:spacing w:val="-2"/>
        </w:rPr>
        <w:t xml:space="preserve"> </w:t>
      </w:r>
      <w:r>
        <w:t>the</w:t>
      </w:r>
      <w:r>
        <w:rPr>
          <w:spacing w:val="-2"/>
        </w:rPr>
        <w:t xml:space="preserve"> </w:t>
      </w:r>
      <w:r>
        <w:t>Board,</w:t>
      </w:r>
      <w:r w:rsidR="008F5B74">
        <w:t xml:space="preserve"> </w:t>
      </w:r>
      <w:r>
        <w:t>as</w:t>
      </w:r>
      <w:r>
        <w:rPr>
          <w:spacing w:val="-2"/>
        </w:rPr>
        <w:t xml:space="preserve"> </w:t>
      </w:r>
      <w:r>
        <w:t>well</w:t>
      </w:r>
      <w:r>
        <w:rPr>
          <w:spacing w:val="-2"/>
        </w:rPr>
        <w:t xml:space="preserve"> </w:t>
      </w:r>
      <w:r>
        <w:t>as</w:t>
      </w:r>
      <w:r>
        <w:rPr>
          <w:spacing w:val="-2"/>
        </w:rPr>
        <w:t xml:space="preserve"> </w:t>
      </w:r>
      <w:r>
        <w:t>extensive</w:t>
      </w:r>
      <w:r>
        <w:rPr>
          <w:spacing w:val="-2"/>
        </w:rPr>
        <w:t xml:space="preserve"> </w:t>
      </w:r>
      <w:r>
        <w:t>governance</w:t>
      </w:r>
      <w:r>
        <w:rPr>
          <w:spacing w:val="-2"/>
        </w:rPr>
        <w:t xml:space="preserve"> </w:t>
      </w:r>
      <w:r>
        <w:t>experience.</w:t>
      </w:r>
      <w:r>
        <w:rPr>
          <w:spacing w:val="-2"/>
        </w:rPr>
        <w:t xml:space="preserve"> </w:t>
      </w:r>
      <w:proofErr w:type="spellStart"/>
      <w:r>
        <w:t>Ms</w:t>
      </w:r>
      <w:proofErr w:type="spellEnd"/>
      <w:r>
        <w:rPr>
          <w:spacing w:val="-2"/>
        </w:rPr>
        <w:t xml:space="preserve"> </w:t>
      </w:r>
      <w:r>
        <w:t>Wells</w:t>
      </w:r>
      <w:r>
        <w:rPr>
          <w:spacing w:val="-2"/>
        </w:rPr>
        <w:t xml:space="preserve"> </w:t>
      </w:r>
      <w:r>
        <w:t>is</w:t>
      </w:r>
      <w:r>
        <w:rPr>
          <w:spacing w:val="-2"/>
        </w:rPr>
        <w:t xml:space="preserve"> </w:t>
      </w:r>
      <w:r>
        <w:t>also</w:t>
      </w:r>
      <w:r>
        <w:rPr>
          <w:spacing w:val="-2"/>
        </w:rPr>
        <w:t xml:space="preserve"> </w:t>
      </w:r>
      <w:r>
        <w:t>a</w:t>
      </w:r>
      <w:r>
        <w:rPr>
          <w:spacing w:val="-2"/>
        </w:rPr>
        <w:t xml:space="preserve"> </w:t>
      </w:r>
      <w:r>
        <w:t>member</w:t>
      </w:r>
      <w:r>
        <w:rPr>
          <w:spacing w:val="-2"/>
        </w:rPr>
        <w:t xml:space="preserve"> </w:t>
      </w:r>
      <w:r>
        <w:t>and</w:t>
      </w:r>
      <w:r>
        <w:rPr>
          <w:spacing w:val="-2"/>
        </w:rPr>
        <w:t xml:space="preserve"> </w:t>
      </w:r>
      <w:r>
        <w:t>Chair</w:t>
      </w:r>
      <w:r>
        <w:rPr>
          <w:spacing w:val="-2"/>
        </w:rPr>
        <w:t xml:space="preserve"> </w:t>
      </w:r>
      <w:r>
        <w:t>of</w:t>
      </w:r>
      <w:r>
        <w:rPr>
          <w:spacing w:val="-2"/>
        </w:rPr>
        <w:t xml:space="preserve"> </w:t>
      </w:r>
      <w:r>
        <w:t>the</w:t>
      </w:r>
      <w:r>
        <w:rPr>
          <w:spacing w:val="-2"/>
        </w:rPr>
        <w:t xml:space="preserve"> </w:t>
      </w:r>
      <w:r>
        <w:t>Primary</w:t>
      </w:r>
      <w:r>
        <w:rPr>
          <w:spacing w:val="-2"/>
        </w:rPr>
        <w:t xml:space="preserve"> </w:t>
      </w:r>
      <w:r>
        <w:t xml:space="preserve">Care </w:t>
      </w:r>
      <w:r>
        <w:rPr>
          <w:spacing w:val="-2"/>
        </w:rPr>
        <w:t>Committee.</w:t>
      </w:r>
    </w:p>
    <w:p w14:paraId="52FF014D" w14:textId="77777777" w:rsidR="009D54AF" w:rsidRDefault="00000000">
      <w:pPr>
        <w:pStyle w:val="BodyText"/>
        <w:spacing w:before="141" w:line="278" w:lineRule="auto"/>
        <w:ind w:left="142" w:right="214"/>
      </w:pPr>
      <w:proofErr w:type="spellStart"/>
      <w:r>
        <w:t>Ms</w:t>
      </w:r>
      <w:proofErr w:type="spellEnd"/>
      <w:r>
        <w:t xml:space="preserve"> Wells has been a member of various advisory groups, including the Strengthening Medicare Taskforce, the</w:t>
      </w:r>
      <w:r>
        <w:rPr>
          <w:spacing w:val="-3"/>
        </w:rPr>
        <w:t xml:space="preserve"> </w:t>
      </w:r>
      <w:r>
        <w:t>Primary</w:t>
      </w:r>
      <w:r>
        <w:rPr>
          <w:spacing w:val="-3"/>
        </w:rPr>
        <w:t xml:space="preserve"> </w:t>
      </w:r>
      <w:r>
        <w:t>Health</w:t>
      </w:r>
      <w:r>
        <w:rPr>
          <w:spacing w:val="-3"/>
        </w:rPr>
        <w:t xml:space="preserve"> </w:t>
      </w:r>
      <w:r>
        <w:t>Care</w:t>
      </w:r>
      <w:r>
        <w:rPr>
          <w:spacing w:val="-3"/>
        </w:rPr>
        <w:t xml:space="preserve"> </w:t>
      </w:r>
      <w:r>
        <w:t>10</w:t>
      </w:r>
      <w:r>
        <w:rPr>
          <w:spacing w:val="-3"/>
        </w:rPr>
        <w:t xml:space="preserve"> </w:t>
      </w:r>
      <w:r>
        <w:t>Year</w:t>
      </w:r>
      <w:r>
        <w:rPr>
          <w:spacing w:val="-3"/>
        </w:rPr>
        <w:t xml:space="preserve"> </w:t>
      </w:r>
      <w:r>
        <w:t>Plan</w:t>
      </w:r>
      <w:r>
        <w:rPr>
          <w:spacing w:val="-3"/>
        </w:rPr>
        <w:t xml:space="preserve"> </w:t>
      </w:r>
      <w:r>
        <w:t>and</w:t>
      </w:r>
      <w:r>
        <w:rPr>
          <w:spacing w:val="-3"/>
        </w:rPr>
        <w:t xml:space="preserve"> </w:t>
      </w:r>
      <w:r>
        <w:t>the</w:t>
      </w:r>
      <w:r>
        <w:rPr>
          <w:spacing w:val="-3"/>
        </w:rPr>
        <w:t xml:space="preserve"> </w:t>
      </w:r>
      <w:r>
        <w:t>National</w:t>
      </w:r>
      <w:r>
        <w:rPr>
          <w:spacing w:val="-3"/>
        </w:rPr>
        <w:t xml:space="preserve"> </w:t>
      </w:r>
      <w:r>
        <w:t>Preventive</w:t>
      </w:r>
      <w:r>
        <w:rPr>
          <w:spacing w:val="-3"/>
        </w:rPr>
        <w:t xml:space="preserve"> </w:t>
      </w:r>
      <w:r>
        <w:t>Health</w:t>
      </w:r>
      <w:r>
        <w:rPr>
          <w:spacing w:val="-3"/>
        </w:rPr>
        <w:t xml:space="preserve"> </w:t>
      </w:r>
      <w:r>
        <w:t>Strategy</w:t>
      </w:r>
      <w:r>
        <w:rPr>
          <w:spacing w:val="-3"/>
        </w:rPr>
        <w:t xml:space="preserve"> </w:t>
      </w:r>
      <w:r>
        <w:t>2021–30,</w:t>
      </w:r>
      <w:r>
        <w:rPr>
          <w:spacing w:val="-3"/>
        </w:rPr>
        <w:t xml:space="preserve"> </w:t>
      </w:r>
      <w:r>
        <w:t>and</w:t>
      </w:r>
      <w:r>
        <w:rPr>
          <w:spacing w:val="-3"/>
        </w:rPr>
        <w:t xml:space="preserve"> </w:t>
      </w:r>
      <w:r>
        <w:t>has</w:t>
      </w:r>
      <w:r>
        <w:rPr>
          <w:spacing w:val="-3"/>
        </w:rPr>
        <w:t xml:space="preserve"> </w:t>
      </w:r>
      <w:r>
        <w:t>served on several not-for-profit boards in the health sector.</w:t>
      </w:r>
    </w:p>
    <w:p w14:paraId="1BE1C3A9" w14:textId="77777777" w:rsidR="009D54AF" w:rsidRDefault="00000000">
      <w:pPr>
        <w:spacing w:before="142"/>
        <w:ind w:left="142"/>
        <w:rPr>
          <w:sz w:val="21"/>
        </w:rPr>
      </w:pPr>
      <w:r>
        <w:rPr>
          <w:b/>
          <w:sz w:val="21"/>
        </w:rPr>
        <w:t>Qualifications:</w:t>
      </w:r>
      <w:r>
        <w:rPr>
          <w:b/>
          <w:spacing w:val="-5"/>
          <w:sz w:val="21"/>
        </w:rPr>
        <w:t xml:space="preserve"> </w:t>
      </w:r>
      <w:r>
        <w:rPr>
          <w:sz w:val="21"/>
        </w:rPr>
        <w:t>BA</w:t>
      </w:r>
      <w:r>
        <w:rPr>
          <w:spacing w:val="-2"/>
          <w:sz w:val="21"/>
        </w:rPr>
        <w:t xml:space="preserve"> </w:t>
      </w:r>
      <w:r>
        <w:rPr>
          <w:sz w:val="21"/>
        </w:rPr>
        <w:t>(Comms),</w:t>
      </w:r>
      <w:r>
        <w:rPr>
          <w:spacing w:val="-1"/>
          <w:sz w:val="21"/>
        </w:rPr>
        <w:t xml:space="preserve"> </w:t>
      </w:r>
      <w:r>
        <w:rPr>
          <w:sz w:val="21"/>
        </w:rPr>
        <w:t>Adv</w:t>
      </w:r>
      <w:r>
        <w:rPr>
          <w:spacing w:val="-2"/>
          <w:sz w:val="21"/>
        </w:rPr>
        <w:t xml:space="preserve"> </w:t>
      </w:r>
      <w:proofErr w:type="spellStart"/>
      <w:r>
        <w:rPr>
          <w:sz w:val="21"/>
        </w:rPr>
        <w:t>DipBus</w:t>
      </w:r>
      <w:proofErr w:type="spellEnd"/>
      <w:r>
        <w:rPr>
          <w:sz w:val="21"/>
        </w:rPr>
        <w:t>,</w:t>
      </w:r>
      <w:r>
        <w:rPr>
          <w:spacing w:val="-2"/>
          <w:sz w:val="21"/>
        </w:rPr>
        <w:t xml:space="preserve"> </w:t>
      </w:r>
      <w:r>
        <w:rPr>
          <w:sz w:val="21"/>
        </w:rPr>
        <w:t>MAICD,</w:t>
      </w:r>
      <w:r>
        <w:rPr>
          <w:spacing w:val="-1"/>
          <w:sz w:val="21"/>
        </w:rPr>
        <w:t xml:space="preserve"> </w:t>
      </w:r>
      <w:r>
        <w:rPr>
          <w:spacing w:val="-2"/>
          <w:sz w:val="21"/>
        </w:rPr>
        <w:t>MAIML</w:t>
      </w:r>
    </w:p>
    <w:p w14:paraId="3F1BF852" w14:textId="77777777" w:rsidR="009D54AF" w:rsidRDefault="00000000">
      <w:pPr>
        <w:spacing w:before="180"/>
        <w:ind w:left="142"/>
        <w:rPr>
          <w:sz w:val="21"/>
        </w:rPr>
      </w:pPr>
      <w:r>
        <w:rPr>
          <w:b/>
          <w:sz w:val="21"/>
        </w:rPr>
        <w:t>Board</w:t>
      </w:r>
      <w:r>
        <w:rPr>
          <w:b/>
          <w:spacing w:val="-1"/>
          <w:sz w:val="21"/>
        </w:rPr>
        <w:t xml:space="preserve"> </w:t>
      </w:r>
      <w:r>
        <w:rPr>
          <w:b/>
          <w:sz w:val="21"/>
        </w:rPr>
        <w:t>membership:</w:t>
      </w:r>
      <w:r>
        <w:rPr>
          <w:b/>
          <w:spacing w:val="-1"/>
          <w:sz w:val="21"/>
        </w:rPr>
        <w:t xml:space="preserve"> </w:t>
      </w:r>
      <w:r>
        <w:rPr>
          <w:sz w:val="21"/>
        </w:rPr>
        <w:t>1 April 2024</w:t>
      </w:r>
      <w:r>
        <w:rPr>
          <w:spacing w:val="-1"/>
          <w:sz w:val="21"/>
        </w:rPr>
        <w:t xml:space="preserve"> </w:t>
      </w:r>
      <w:r>
        <w:rPr>
          <w:sz w:val="21"/>
        </w:rPr>
        <w:t xml:space="preserve">– 31 March </w:t>
      </w:r>
      <w:r>
        <w:rPr>
          <w:spacing w:val="-4"/>
          <w:sz w:val="21"/>
        </w:rPr>
        <w:t>2028.</w:t>
      </w:r>
    </w:p>
    <w:p w14:paraId="2F123808" w14:textId="77777777" w:rsidR="009D54AF" w:rsidRDefault="009D54AF">
      <w:pPr>
        <w:pStyle w:val="BodyText"/>
        <w:spacing w:before="102"/>
      </w:pPr>
    </w:p>
    <w:p w14:paraId="68FC675E" w14:textId="77777777" w:rsidR="009D54AF" w:rsidRDefault="00000000">
      <w:pPr>
        <w:pStyle w:val="Heading7"/>
      </w:pPr>
      <w:r>
        <w:t>Dr</w:t>
      </w:r>
      <w:r>
        <w:rPr>
          <w:spacing w:val="-1"/>
        </w:rPr>
        <w:t xml:space="preserve"> </w:t>
      </w:r>
      <w:r>
        <w:t xml:space="preserve">Helena </w:t>
      </w:r>
      <w:r>
        <w:rPr>
          <w:spacing w:val="-2"/>
        </w:rPr>
        <w:t>Williams</w:t>
      </w:r>
    </w:p>
    <w:p w14:paraId="36166088" w14:textId="77777777" w:rsidR="009D54AF" w:rsidRDefault="00000000">
      <w:pPr>
        <w:pStyle w:val="BodyText"/>
        <w:spacing w:before="141" w:line="278" w:lineRule="auto"/>
        <w:ind w:left="142" w:right="285"/>
      </w:pPr>
      <w:r>
        <w:t>Dr Williams brings to the Board expertise as a registered specialist general practitioner, with 35 years of experience in family practice and, more recently, refugee health, aged care and clinical trials. She was Medical</w:t>
      </w:r>
      <w:r>
        <w:rPr>
          <w:spacing w:val="-1"/>
        </w:rPr>
        <w:t xml:space="preserve"> </w:t>
      </w:r>
      <w:r>
        <w:t>Director</w:t>
      </w:r>
      <w:r>
        <w:rPr>
          <w:spacing w:val="-1"/>
        </w:rPr>
        <w:t xml:space="preserve"> </w:t>
      </w:r>
      <w:r>
        <w:t>for</w:t>
      </w:r>
      <w:r>
        <w:rPr>
          <w:spacing w:val="-1"/>
        </w:rPr>
        <w:t xml:space="preserve"> </w:t>
      </w:r>
      <w:r>
        <w:t>the</w:t>
      </w:r>
      <w:r>
        <w:rPr>
          <w:spacing w:val="-1"/>
        </w:rPr>
        <w:t xml:space="preserve"> </w:t>
      </w:r>
      <w:proofErr w:type="spellStart"/>
      <w:r>
        <w:t>SilverChain</w:t>
      </w:r>
      <w:proofErr w:type="spellEnd"/>
      <w:r>
        <w:rPr>
          <w:spacing w:val="-1"/>
        </w:rPr>
        <w:t xml:space="preserve"> </w:t>
      </w:r>
      <w:r>
        <w:t>Group,</w:t>
      </w:r>
      <w:r>
        <w:rPr>
          <w:spacing w:val="-1"/>
        </w:rPr>
        <w:t xml:space="preserve"> </w:t>
      </w:r>
      <w:r>
        <w:t>working</w:t>
      </w:r>
      <w:r>
        <w:rPr>
          <w:spacing w:val="-1"/>
        </w:rPr>
        <w:t xml:space="preserve"> </w:t>
      </w:r>
      <w:r>
        <w:t>in</w:t>
      </w:r>
      <w:r>
        <w:rPr>
          <w:spacing w:val="-1"/>
        </w:rPr>
        <w:t xml:space="preserve"> </w:t>
      </w:r>
      <w:r>
        <w:t>both</w:t>
      </w:r>
      <w:r>
        <w:rPr>
          <w:spacing w:val="-1"/>
        </w:rPr>
        <w:t xml:space="preserve"> </w:t>
      </w:r>
      <w:r>
        <w:t>health</w:t>
      </w:r>
      <w:r>
        <w:rPr>
          <w:spacing w:val="-1"/>
        </w:rPr>
        <w:t xml:space="preserve"> </w:t>
      </w:r>
      <w:r>
        <w:t>and</w:t>
      </w:r>
      <w:r>
        <w:rPr>
          <w:spacing w:val="-1"/>
        </w:rPr>
        <w:t xml:space="preserve"> </w:t>
      </w:r>
      <w:r>
        <w:t>aged</w:t>
      </w:r>
      <w:r>
        <w:rPr>
          <w:spacing w:val="-1"/>
        </w:rPr>
        <w:t xml:space="preserve"> </w:t>
      </w:r>
      <w:r>
        <w:t>care</w:t>
      </w:r>
      <w:r>
        <w:rPr>
          <w:spacing w:val="-1"/>
        </w:rPr>
        <w:t xml:space="preserve"> </w:t>
      </w:r>
      <w:r>
        <w:t>spaces</w:t>
      </w:r>
      <w:r>
        <w:rPr>
          <w:spacing w:val="-1"/>
        </w:rPr>
        <w:t xml:space="preserve"> </w:t>
      </w:r>
      <w:r>
        <w:t>for</w:t>
      </w:r>
      <w:r>
        <w:rPr>
          <w:spacing w:val="-1"/>
        </w:rPr>
        <w:t xml:space="preserve"> </w:t>
      </w:r>
      <w:r>
        <w:t>almost</w:t>
      </w:r>
      <w:r>
        <w:rPr>
          <w:spacing w:val="-1"/>
        </w:rPr>
        <w:t xml:space="preserve"> </w:t>
      </w:r>
      <w:r>
        <w:t>7</w:t>
      </w:r>
      <w:r>
        <w:rPr>
          <w:spacing w:val="-1"/>
        </w:rPr>
        <w:t xml:space="preserve"> </w:t>
      </w:r>
      <w:r>
        <w:t xml:space="preserve">years, and is now working as Head of Medical Services for </w:t>
      </w:r>
      <w:proofErr w:type="spellStart"/>
      <w:r>
        <w:t>Amplar</w:t>
      </w:r>
      <w:proofErr w:type="spellEnd"/>
      <w:r>
        <w:t xml:space="preserve"> Health Home Hospital.</w:t>
      </w:r>
    </w:p>
    <w:p w14:paraId="13822404" w14:textId="77777777" w:rsidR="009D54AF" w:rsidRDefault="00000000">
      <w:pPr>
        <w:pStyle w:val="BodyText"/>
        <w:spacing w:before="141" w:line="278" w:lineRule="auto"/>
        <w:ind w:left="142"/>
      </w:pPr>
      <w:r>
        <w:t>Dr Williams’s governance experience includes 6 years as the Presiding Member (Chair) of the Southern Adelaide</w:t>
      </w:r>
      <w:r>
        <w:rPr>
          <w:spacing w:val="-1"/>
        </w:rPr>
        <w:t xml:space="preserve"> </w:t>
      </w:r>
      <w:r>
        <w:t>Local</w:t>
      </w:r>
      <w:r>
        <w:rPr>
          <w:spacing w:val="-1"/>
        </w:rPr>
        <w:t xml:space="preserve"> </w:t>
      </w:r>
      <w:r>
        <w:t>Health</w:t>
      </w:r>
      <w:r>
        <w:rPr>
          <w:spacing w:val="-1"/>
        </w:rPr>
        <w:t xml:space="preserve"> </w:t>
      </w:r>
      <w:r>
        <w:t>Network</w:t>
      </w:r>
      <w:r>
        <w:rPr>
          <w:spacing w:val="-1"/>
        </w:rPr>
        <w:t xml:space="preserve"> </w:t>
      </w:r>
      <w:r>
        <w:t>Governing</w:t>
      </w:r>
      <w:r>
        <w:rPr>
          <w:spacing w:val="-1"/>
        </w:rPr>
        <w:t xml:space="preserve"> </w:t>
      </w:r>
      <w:r>
        <w:t>Council,</w:t>
      </w:r>
      <w:r>
        <w:rPr>
          <w:spacing w:val="-1"/>
        </w:rPr>
        <w:t xml:space="preserve"> </w:t>
      </w:r>
      <w:r>
        <w:t>and</w:t>
      </w:r>
      <w:r>
        <w:rPr>
          <w:spacing w:val="-1"/>
        </w:rPr>
        <w:t xml:space="preserve"> </w:t>
      </w:r>
      <w:r>
        <w:t>she</w:t>
      </w:r>
      <w:r>
        <w:rPr>
          <w:spacing w:val="-1"/>
        </w:rPr>
        <w:t xml:space="preserve"> </w:t>
      </w:r>
      <w:r>
        <w:t>is</w:t>
      </w:r>
      <w:r>
        <w:rPr>
          <w:spacing w:val="-1"/>
        </w:rPr>
        <w:t xml:space="preserve"> </w:t>
      </w:r>
      <w:r>
        <w:t>currently</w:t>
      </w:r>
      <w:r>
        <w:rPr>
          <w:spacing w:val="-1"/>
        </w:rPr>
        <w:t xml:space="preserve"> </w:t>
      </w:r>
      <w:r>
        <w:t>a</w:t>
      </w:r>
      <w:r>
        <w:rPr>
          <w:spacing w:val="-1"/>
        </w:rPr>
        <w:t xml:space="preserve"> </w:t>
      </w:r>
      <w:r>
        <w:t>director</w:t>
      </w:r>
      <w:r>
        <w:rPr>
          <w:spacing w:val="-1"/>
        </w:rPr>
        <w:t xml:space="preserve"> </w:t>
      </w:r>
      <w:r>
        <w:t>on</w:t>
      </w:r>
      <w:r>
        <w:rPr>
          <w:spacing w:val="-1"/>
        </w:rPr>
        <w:t xml:space="preserve"> </w:t>
      </w:r>
      <w:r>
        <w:t>both</w:t>
      </w:r>
      <w:r>
        <w:rPr>
          <w:spacing w:val="-1"/>
        </w:rPr>
        <w:t xml:space="preserve"> </w:t>
      </w:r>
      <w:r>
        <w:t>the</w:t>
      </w:r>
      <w:r>
        <w:rPr>
          <w:spacing w:val="-1"/>
        </w:rPr>
        <w:t xml:space="preserve"> </w:t>
      </w:r>
      <w:r>
        <w:t>Barossa</w:t>
      </w:r>
      <w:r>
        <w:rPr>
          <w:spacing w:val="-1"/>
        </w:rPr>
        <w:t xml:space="preserve"> </w:t>
      </w:r>
      <w:r>
        <w:t xml:space="preserve">Hills </w:t>
      </w:r>
      <w:proofErr w:type="spellStart"/>
      <w:r>
        <w:t>Fleurieu</w:t>
      </w:r>
      <w:proofErr w:type="spellEnd"/>
      <w:r>
        <w:t xml:space="preserve"> Local Health Network Board and the ECH Board.</w:t>
      </w:r>
    </w:p>
    <w:p w14:paraId="02AC626E" w14:textId="77777777" w:rsidR="009D54AF" w:rsidRDefault="00000000">
      <w:pPr>
        <w:pStyle w:val="BodyText"/>
        <w:spacing w:before="142" w:line="278" w:lineRule="auto"/>
        <w:ind w:left="142"/>
      </w:pPr>
      <w:r>
        <w:t>Past</w:t>
      </w:r>
      <w:r>
        <w:rPr>
          <w:spacing w:val="-1"/>
        </w:rPr>
        <w:t xml:space="preserve"> </w:t>
      </w:r>
      <w:r>
        <w:t>directorships</w:t>
      </w:r>
      <w:r>
        <w:rPr>
          <w:spacing w:val="-1"/>
        </w:rPr>
        <w:t xml:space="preserve"> </w:t>
      </w:r>
      <w:r>
        <w:t>include</w:t>
      </w:r>
      <w:r>
        <w:rPr>
          <w:spacing w:val="-1"/>
        </w:rPr>
        <w:t xml:space="preserve"> </w:t>
      </w:r>
      <w:r>
        <w:t>the</w:t>
      </w:r>
      <w:r>
        <w:rPr>
          <w:spacing w:val="-1"/>
        </w:rPr>
        <w:t xml:space="preserve"> </w:t>
      </w:r>
      <w:r>
        <w:t>Southern</w:t>
      </w:r>
      <w:r>
        <w:rPr>
          <w:spacing w:val="-1"/>
        </w:rPr>
        <w:t xml:space="preserve"> </w:t>
      </w:r>
      <w:r>
        <w:t>Adelaide</w:t>
      </w:r>
      <w:r>
        <w:rPr>
          <w:spacing w:val="-1"/>
        </w:rPr>
        <w:t xml:space="preserve"> </w:t>
      </w:r>
      <w:r>
        <w:t>Health</w:t>
      </w:r>
      <w:r>
        <w:rPr>
          <w:spacing w:val="-1"/>
        </w:rPr>
        <w:t xml:space="preserve"> </w:t>
      </w:r>
      <w:r>
        <w:t>Service,</w:t>
      </w:r>
      <w:r>
        <w:rPr>
          <w:spacing w:val="-1"/>
        </w:rPr>
        <w:t xml:space="preserve"> </w:t>
      </w:r>
      <w:r>
        <w:t>Cancer</w:t>
      </w:r>
      <w:r>
        <w:rPr>
          <w:spacing w:val="-1"/>
        </w:rPr>
        <w:t xml:space="preserve"> </w:t>
      </w:r>
      <w:r>
        <w:t>Council</w:t>
      </w:r>
      <w:r>
        <w:rPr>
          <w:spacing w:val="-1"/>
        </w:rPr>
        <w:t xml:space="preserve"> </w:t>
      </w:r>
      <w:r>
        <w:t>South</w:t>
      </w:r>
      <w:r>
        <w:rPr>
          <w:spacing w:val="-1"/>
        </w:rPr>
        <w:t xml:space="preserve"> </w:t>
      </w:r>
      <w:r>
        <w:t>Australia,</w:t>
      </w:r>
      <w:r>
        <w:rPr>
          <w:spacing w:val="-1"/>
        </w:rPr>
        <w:t xml:space="preserve"> </w:t>
      </w:r>
      <w:r>
        <w:t xml:space="preserve">Noarlunga Health Services, the South Australian Divisions of General Practice, and the Australian General Practice </w:t>
      </w:r>
      <w:r>
        <w:rPr>
          <w:spacing w:val="-2"/>
        </w:rPr>
        <w:t>Network.</w:t>
      </w:r>
    </w:p>
    <w:p w14:paraId="2A48D98C" w14:textId="77777777" w:rsidR="009D54AF" w:rsidRDefault="00000000">
      <w:pPr>
        <w:spacing w:before="141"/>
        <w:ind w:left="142"/>
        <w:rPr>
          <w:sz w:val="21"/>
        </w:rPr>
      </w:pPr>
      <w:r>
        <w:rPr>
          <w:b/>
          <w:sz w:val="21"/>
        </w:rPr>
        <w:t>Qualifications:</w:t>
      </w:r>
      <w:r>
        <w:rPr>
          <w:b/>
          <w:spacing w:val="-3"/>
          <w:sz w:val="21"/>
        </w:rPr>
        <w:t xml:space="preserve"> </w:t>
      </w:r>
      <w:r>
        <w:rPr>
          <w:sz w:val="21"/>
        </w:rPr>
        <w:t>MBBS,</w:t>
      </w:r>
      <w:r>
        <w:rPr>
          <w:spacing w:val="-2"/>
          <w:sz w:val="21"/>
        </w:rPr>
        <w:t xml:space="preserve"> </w:t>
      </w:r>
      <w:r>
        <w:rPr>
          <w:sz w:val="21"/>
        </w:rPr>
        <w:t>FRACGP,</w:t>
      </w:r>
      <w:r>
        <w:rPr>
          <w:spacing w:val="-2"/>
          <w:sz w:val="21"/>
        </w:rPr>
        <w:t xml:space="preserve"> AFRACMA</w:t>
      </w:r>
    </w:p>
    <w:p w14:paraId="47CEA38E" w14:textId="77777777" w:rsidR="009D54AF" w:rsidRDefault="00000000">
      <w:pPr>
        <w:pStyle w:val="BodyText"/>
        <w:spacing w:before="180" w:line="278" w:lineRule="auto"/>
        <w:ind w:left="142" w:right="285"/>
      </w:pPr>
      <w:r>
        <w:rPr>
          <w:b/>
        </w:rPr>
        <w:t xml:space="preserve">Board membership: </w:t>
      </w:r>
      <w:r>
        <w:t>Appointed as a Commission member in April 2008; appointed to the Board on 1 July 2011</w:t>
      </w:r>
      <w:r>
        <w:rPr>
          <w:spacing w:val="-7"/>
        </w:rPr>
        <w:t xml:space="preserve"> </w:t>
      </w:r>
      <w:r>
        <w:t>(term</w:t>
      </w:r>
      <w:r>
        <w:rPr>
          <w:spacing w:val="-7"/>
        </w:rPr>
        <w:t xml:space="preserve"> </w:t>
      </w:r>
      <w:r>
        <w:t>concluded</w:t>
      </w:r>
      <w:r>
        <w:rPr>
          <w:spacing w:val="-7"/>
        </w:rPr>
        <w:t xml:space="preserve"> </w:t>
      </w:r>
      <w:r>
        <w:t>30</w:t>
      </w:r>
      <w:r>
        <w:rPr>
          <w:spacing w:val="-7"/>
        </w:rPr>
        <w:t xml:space="preserve"> </w:t>
      </w:r>
      <w:r>
        <w:t>June</w:t>
      </w:r>
      <w:r>
        <w:rPr>
          <w:spacing w:val="-7"/>
        </w:rPr>
        <w:t xml:space="preserve"> </w:t>
      </w:r>
      <w:r>
        <w:t>2018);</w:t>
      </w:r>
      <w:r>
        <w:rPr>
          <w:spacing w:val="-7"/>
        </w:rPr>
        <w:t xml:space="preserve"> </w:t>
      </w:r>
      <w:r>
        <w:t>reappointed</w:t>
      </w:r>
      <w:r>
        <w:rPr>
          <w:spacing w:val="-7"/>
        </w:rPr>
        <w:t xml:space="preserve"> </w:t>
      </w:r>
      <w:r>
        <w:t>1</w:t>
      </w:r>
      <w:r>
        <w:rPr>
          <w:spacing w:val="-7"/>
        </w:rPr>
        <w:t xml:space="preserve"> </w:t>
      </w:r>
      <w:r>
        <w:t>April</w:t>
      </w:r>
      <w:r>
        <w:rPr>
          <w:spacing w:val="-7"/>
        </w:rPr>
        <w:t xml:space="preserve"> </w:t>
      </w:r>
      <w:r>
        <w:t>2019</w:t>
      </w:r>
      <w:r>
        <w:rPr>
          <w:spacing w:val="-7"/>
        </w:rPr>
        <w:t xml:space="preserve"> </w:t>
      </w:r>
      <w:r>
        <w:t>–</w:t>
      </w:r>
      <w:r>
        <w:rPr>
          <w:spacing w:val="-7"/>
        </w:rPr>
        <w:t xml:space="preserve"> </w:t>
      </w:r>
      <w:r>
        <w:t>31</w:t>
      </w:r>
      <w:r>
        <w:rPr>
          <w:spacing w:val="-7"/>
        </w:rPr>
        <w:t xml:space="preserve"> </w:t>
      </w:r>
      <w:r>
        <w:t>March</w:t>
      </w:r>
      <w:r>
        <w:rPr>
          <w:spacing w:val="-7"/>
        </w:rPr>
        <w:t xml:space="preserve"> </w:t>
      </w:r>
      <w:r>
        <w:t>2024;</w:t>
      </w:r>
      <w:r>
        <w:rPr>
          <w:spacing w:val="-7"/>
        </w:rPr>
        <w:t xml:space="preserve"> </w:t>
      </w:r>
      <w:r>
        <w:t>reappointed</w:t>
      </w:r>
      <w:r>
        <w:rPr>
          <w:spacing w:val="-9"/>
        </w:rPr>
        <w:t xml:space="preserve"> </w:t>
      </w:r>
      <w:r>
        <w:t>1</w:t>
      </w:r>
      <w:r>
        <w:rPr>
          <w:spacing w:val="-9"/>
        </w:rPr>
        <w:t xml:space="preserve"> </w:t>
      </w:r>
      <w:r>
        <w:t>April</w:t>
      </w:r>
      <w:r>
        <w:rPr>
          <w:spacing w:val="-9"/>
        </w:rPr>
        <w:t xml:space="preserve"> </w:t>
      </w:r>
      <w:r>
        <w:t>2024</w:t>
      </w:r>
      <w:r>
        <w:rPr>
          <w:spacing w:val="-9"/>
        </w:rPr>
        <w:t xml:space="preserve"> </w:t>
      </w:r>
      <w:r>
        <w:t>–</w:t>
      </w:r>
    </w:p>
    <w:p w14:paraId="5D656B4E" w14:textId="77777777" w:rsidR="009D54AF" w:rsidRDefault="00000000">
      <w:pPr>
        <w:pStyle w:val="BodyText"/>
        <w:spacing w:line="241" w:lineRule="exact"/>
        <w:ind w:left="142"/>
      </w:pPr>
      <w:r>
        <w:t>31</w:t>
      </w:r>
      <w:r>
        <w:rPr>
          <w:spacing w:val="-10"/>
        </w:rPr>
        <w:t xml:space="preserve"> </w:t>
      </w:r>
      <w:r>
        <w:t>March</w:t>
      </w:r>
      <w:r>
        <w:rPr>
          <w:spacing w:val="-10"/>
        </w:rPr>
        <w:t xml:space="preserve"> </w:t>
      </w:r>
      <w:r>
        <w:rPr>
          <w:spacing w:val="-2"/>
        </w:rPr>
        <w:t>2026.</w:t>
      </w:r>
    </w:p>
    <w:p w14:paraId="16D27EAF" w14:textId="77777777" w:rsidR="009D54AF" w:rsidRDefault="009D54AF">
      <w:pPr>
        <w:pStyle w:val="BodyText"/>
        <w:spacing w:before="105"/>
      </w:pPr>
    </w:p>
    <w:p w14:paraId="1B83F1CB" w14:textId="77777777" w:rsidR="008F5B74" w:rsidRDefault="008F5B74">
      <w:pPr>
        <w:rPr>
          <w:b/>
          <w:bCs/>
          <w:sz w:val="30"/>
          <w:szCs w:val="30"/>
        </w:rPr>
      </w:pPr>
      <w:r>
        <w:br w:type="page"/>
      </w:r>
    </w:p>
    <w:p w14:paraId="2452AFE8" w14:textId="19A9A0A1" w:rsidR="009D54AF" w:rsidRDefault="00000000">
      <w:pPr>
        <w:pStyle w:val="Heading5"/>
      </w:pPr>
      <w:r>
        <w:lastRenderedPageBreak/>
        <w:t>Board</w:t>
      </w:r>
      <w:r>
        <w:rPr>
          <w:spacing w:val="-3"/>
        </w:rPr>
        <w:t xml:space="preserve"> </w:t>
      </w:r>
      <w:r>
        <w:t>meetings</w:t>
      </w:r>
      <w:r>
        <w:rPr>
          <w:spacing w:val="-3"/>
        </w:rPr>
        <w:t xml:space="preserve"> </w:t>
      </w:r>
      <w:r>
        <w:t>and</w:t>
      </w:r>
      <w:r>
        <w:rPr>
          <w:spacing w:val="-2"/>
        </w:rPr>
        <w:t xml:space="preserve"> attendance</w:t>
      </w:r>
    </w:p>
    <w:p w14:paraId="133310D4" w14:textId="77777777" w:rsidR="009D54AF" w:rsidRDefault="00000000">
      <w:pPr>
        <w:pStyle w:val="BodyText"/>
        <w:spacing w:before="133"/>
        <w:ind w:left="142"/>
      </w:pPr>
      <w:r>
        <w:t>Table</w:t>
      </w:r>
      <w:r>
        <w:rPr>
          <w:spacing w:val="-5"/>
        </w:rPr>
        <w:t xml:space="preserve"> </w:t>
      </w:r>
      <w:r>
        <w:t>2</w:t>
      </w:r>
      <w:r>
        <w:rPr>
          <w:spacing w:val="-3"/>
        </w:rPr>
        <w:t xml:space="preserve"> </w:t>
      </w:r>
      <w:r>
        <w:t>shows</w:t>
      </w:r>
      <w:r>
        <w:rPr>
          <w:spacing w:val="-3"/>
        </w:rPr>
        <w:t xml:space="preserve"> </w:t>
      </w:r>
      <w:r>
        <w:t>attendance</w:t>
      </w:r>
      <w:r>
        <w:rPr>
          <w:spacing w:val="-2"/>
        </w:rPr>
        <w:t xml:space="preserve"> </w:t>
      </w:r>
      <w:r>
        <w:t>at</w:t>
      </w:r>
      <w:r>
        <w:rPr>
          <w:spacing w:val="-3"/>
        </w:rPr>
        <w:t xml:space="preserve"> </w:t>
      </w:r>
      <w:r>
        <w:t>Board</w:t>
      </w:r>
      <w:r>
        <w:rPr>
          <w:spacing w:val="-3"/>
        </w:rPr>
        <w:t xml:space="preserve"> </w:t>
      </w:r>
      <w:r>
        <w:t>meetings</w:t>
      </w:r>
      <w:r>
        <w:rPr>
          <w:spacing w:val="-3"/>
        </w:rPr>
        <w:t xml:space="preserve"> </w:t>
      </w:r>
      <w:r>
        <w:t>and</w:t>
      </w:r>
      <w:r>
        <w:rPr>
          <w:spacing w:val="-2"/>
        </w:rPr>
        <w:t xml:space="preserve"> </w:t>
      </w:r>
      <w:r>
        <w:t>the</w:t>
      </w:r>
      <w:r>
        <w:rPr>
          <w:spacing w:val="-3"/>
        </w:rPr>
        <w:t xml:space="preserve"> </w:t>
      </w:r>
      <w:r>
        <w:t>beginning</w:t>
      </w:r>
      <w:r>
        <w:rPr>
          <w:spacing w:val="-3"/>
        </w:rPr>
        <w:t xml:space="preserve"> </w:t>
      </w:r>
      <w:r>
        <w:t>and</w:t>
      </w:r>
      <w:r>
        <w:rPr>
          <w:spacing w:val="-3"/>
        </w:rPr>
        <w:t xml:space="preserve"> </w:t>
      </w:r>
      <w:r>
        <w:t>ending</w:t>
      </w:r>
      <w:r>
        <w:rPr>
          <w:spacing w:val="-2"/>
        </w:rPr>
        <w:t xml:space="preserve"> </w:t>
      </w:r>
      <w:r>
        <w:t>of</w:t>
      </w:r>
      <w:r>
        <w:rPr>
          <w:spacing w:val="-3"/>
        </w:rPr>
        <w:t xml:space="preserve"> </w:t>
      </w:r>
      <w:r>
        <w:t>Board</w:t>
      </w:r>
      <w:r>
        <w:rPr>
          <w:spacing w:val="-3"/>
        </w:rPr>
        <w:t xml:space="preserve"> </w:t>
      </w:r>
      <w:r>
        <w:t>member</w:t>
      </w:r>
      <w:r>
        <w:rPr>
          <w:spacing w:val="-2"/>
        </w:rPr>
        <w:t xml:space="preserve"> terms.</w:t>
      </w:r>
    </w:p>
    <w:p w14:paraId="29195BAD" w14:textId="77777777" w:rsidR="009D54AF" w:rsidRDefault="009D54AF">
      <w:pPr>
        <w:pStyle w:val="BodyText"/>
        <w:spacing w:before="18"/>
      </w:pPr>
    </w:p>
    <w:p w14:paraId="4CDEBA56" w14:textId="77777777" w:rsidR="009D54AF" w:rsidRDefault="00000000">
      <w:pPr>
        <w:spacing w:before="1"/>
        <w:ind w:left="142"/>
        <w:rPr>
          <w:sz w:val="19"/>
        </w:rPr>
      </w:pPr>
      <w:r>
        <w:rPr>
          <w:b/>
          <w:sz w:val="19"/>
        </w:rPr>
        <w:t>Table</w:t>
      </w:r>
      <w:r>
        <w:rPr>
          <w:b/>
          <w:spacing w:val="2"/>
          <w:sz w:val="19"/>
        </w:rPr>
        <w:t xml:space="preserve"> </w:t>
      </w:r>
      <w:r>
        <w:rPr>
          <w:b/>
          <w:sz w:val="19"/>
        </w:rPr>
        <w:t>2</w:t>
      </w:r>
      <w:r>
        <w:rPr>
          <w:b/>
          <w:spacing w:val="20"/>
          <w:sz w:val="19"/>
        </w:rPr>
        <w:t xml:space="preserve"> </w:t>
      </w:r>
      <w:r>
        <w:rPr>
          <w:sz w:val="19"/>
        </w:rPr>
        <w:t>Attendance</w:t>
      </w:r>
      <w:r>
        <w:rPr>
          <w:spacing w:val="2"/>
          <w:sz w:val="19"/>
        </w:rPr>
        <w:t xml:space="preserve"> </w:t>
      </w:r>
      <w:r>
        <w:rPr>
          <w:sz w:val="19"/>
        </w:rPr>
        <w:t>at</w:t>
      </w:r>
      <w:r>
        <w:rPr>
          <w:spacing w:val="3"/>
          <w:sz w:val="19"/>
        </w:rPr>
        <w:t xml:space="preserve"> </w:t>
      </w:r>
      <w:r>
        <w:rPr>
          <w:sz w:val="19"/>
        </w:rPr>
        <w:t>Board</w:t>
      </w:r>
      <w:r>
        <w:rPr>
          <w:spacing w:val="2"/>
          <w:sz w:val="19"/>
        </w:rPr>
        <w:t xml:space="preserve"> </w:t>
      </w:r>
      <w:r>
        <w:rPr>
          <w:sz w:val="19"/>
        </w:rPr>
        <w:t>meetings,</w:t>
      </w:r>
      <w:r>
        <w:rPr>
          <w:spacing w:val="3"/>
          <w:sz w:val="19"/>
        </w:rPr>
        <w:t xml:space="preserve"> </w:t>
      </w:r>
      <w:r>
        <w:rPr>
          <w:sz w:val="19"/>
        </w:rPr>
        <w:t>2025–</w:t>
      </w:r>
      <w:r>
        <w:rPr>
          <w:spacing w:val="-5"/>
          <w:sz w:val="19"/>
        </w:rPr>
        <w:t>26</w:t>
      </w:r>
    </w:p>
    <w:p w14:paraId="179F61D1" w14:textId="77777777" w:rsidR="009D54AF" w:rsidRDefault="009D54AF">
      <w:pPr>
        <w:pStyle w:val="BodyText"/>
        <w:spacing w:before="2"/>
        <w:rPr>
          <w:sz w:val="8"/>
        </w:rPr>
      </w:pPr>
    </w:p>
    <w:tbl>
      <w:tblPr>
        <w:tblW w:w="0" w:type="auto"/>
        <w:tblInd w:w="149"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CellMar>
          <w:left w:w="0" w:type="dxa"/>
          <w:right w:w="0" w:type="dxa"/>
        </w:tblCellMar>
        <w:tblLook w:val="01E0" w:firstRow="1" w:lastRow="1" w:firstColumn="1" w:lastColumn="1" w:noHBand="0" w:noVBand="0"/>
      </w:tblPr>
      <w:tblGrid>
        <w:gridCol w:w="3402"/>
        <w:gridCol w:w="1134"/>
        <w:gridCol w:w="1134"/>
        <w:gridCol w:w="1134"/>
        <w:gridCol w:w="1134"/>
        <w:gridCol w:w="1134"/>
        <w:gridCol w:w="1134"/>
      </w:tblGrid>
      <w:tr w:rsidR="009D54AF" w14:paraId="6ECF77E8" w14:textId="77777777">
        <w:trPr>
          <w:trHeight w:val="504"/>
        </w:trPr>
        <w:tc>
          <w:tcPr>
            <w:tcW w:w="3402" w:type="dxa"/>
            <w:vMerge w:val="restart"/>
            <w:tcBorders>
              <w:top w:val="nil"/>
              <w:left w:val="nil"/>
              <w:bottom w:val="nil"/>
            </w:tcBorders>
            <w:shd w:val="clear" w:color="auto" w:fill="000000"/>
          </w:tcPr>
          <w:p w14:paraId="587849F8" w14:textId="77777777" w:rsidR="009D54AF" w:rsidRDefault="009D54AF">
            <w:pPr>
              <w:pStyle w:val="TableParagraph"/>
              <w:rPr>
                <w:sz w:val="19"/>
              </w:rPr>
            </w:pPr>
          </w:p>
          <w:p w14:paraId="19BA8E08" w14:textId="77777777" w:rsidR="009D54AF" w:rsidRDefault="009D54AF">
            <w:pPr>
              <w:pStyle w:val="TableParagraph"/>
              <w:rPr>
                <w:sz w:val="19"/>
              </w:rPr>
            </w:pPr>
          </w:p>
          <w:p w14:paraId="24E781B4" w14:textId="77777777" w:rsidR="009D54AF" w:rsidRDefault="009D54AF">
            <w:pPr>
              <w:pStyle w:val="TableParagraph"/>
              <w:spacing w:before="106"/>
              <w:rPr>
                <w:sz w:val="19"/>
              </w:rPr>
            </w:pPr>
          </w:p>
          <w:p w14:paraId="6067A417" w14:textId="77777777" w:rsidR="009D54AF" w:rsidRDefault="00000000">
            <w:pPr>
              <w:pStyle w:val="TableParagraph"/>
              <w:spacing w:before="1"/>
              <w:ind w:left="85"/>
              <w:rPr>
                <w:b/>
                <w:sz w:val="19"/>
              </w:rPr>
            </w:pPr>
            <w:r>
              <w:rPr>
                <w:b/>
                <w:color w:val="FFFFFF"/>
                <w:spacing w:val="-4"/>
                <w:sz w:val="19"/>
              </w:rPr>
              <w:t>Name</w:t>
            </w:r>
          </w:p>
        </w:tc>
        <w:tc>
          <w:tcPr>
            <w:tcW w:w="6804" w:type="dxa"/>
            <w:gridSpan w:val="6"/>
            <w:tcBorders>
              <w:top w:val="nil"/>
              <w:right w:val="nil"/>
            </w:tcBorders>
            <w:shd w:val="clear" w:color="auto" w:fill="000000"/>
          </w:tcPr>
          <w:p w14:paraId="030EEE0F" w14:textId="77777777" w:rsidR="009D54AF" w:rsidRDefault="00000000">
            <w:pPr>
              <w:pStyle w:val="TableParagraph"/>
              <w:spacing w:before="145"/>
              <w:ind w:right="4"/>
              <w:jc w:val="center"/>
              <w:rPr>
                <w:b/>
                <w:sz w:val="19"/>
              </w:rPr>
            </w:pPr>
            <w:r>
              <w:rPr>
                <w:b/>
                <w:color w:val="FFFFFF"/>
                <w:sz w:val="19"/>
              </w:rPr>
              <w:t xml:space="preserve">Meeting </w:t>
            </w:r>
            <w:r>
              <w:rPr>
                <w:b/>
                <w:color w:val="FFFFFF"/>
                <w:spacing w:val="-4"/>
                <w:sz w:val="19"/>
              </w:rPr>
              <w:t>date</w:t>
            </w:r>
          </w:p>
        </w:tc>
      </w:tr>
      <w:tr w:rsidR="009D54AF" w14:paraId="48C845BB" w14:textId="77777777">
        <w:trPr>
          <w:trHeight w:val="511"/>
        </w:trPr>
        <w:tc>
          <w:tcPr>
            <w:tcW w:w="3402" w:type="dxa"/>
            <w:vMerge/>
            <w:tcBorders>
              <w:top w:val="nil"/>
              <w:left w:val="nil"/>
              <w:bottom w:val="nil"/>
            </w:tcBorders>
            <w:shd w:val="clear" w:color="auto" w:fill="000000"/>
          </w:tcPr>
          <w:p w14:paraId="283803E9" w14:textId="77777777" w:rsidR="009D54AF" w:rsidRDefault="009D54AF">
            <w:pPr>
              <w:rPr>
                <w:sz w:val="2"/>
                <w:szCs w:val="2"/>
              </w:rPr>
            </w:pPr>
          </w:p>
        </w:tc>
        <w:tc>
          <w:tcPr>
            <w:tcW w:w="1134" w:type="dxa"/>
            <w:tcBorders>
              <w:bottom w:val="nil"/>
            </w:tcBorders>
            <w:shd w:val="clear" w:color="auto" w:fill="000000"/>
          </w:tcPr>
          <w:p w14:paraId="07FAB92C" w14:textId="77777777" w:rsidR="009D54AF" w:rsidRDefault="00000000">
            <w:pPr>
              <w:pStyle w:val="TableParagraph"/>
              <w:spacing w:before="38" w:line="214" w:lineRule="exact"/>
              <w:ind w:left="292"/>
              <w:rPr>
                <w:b/>
                <w:sz w:val="19"/>
              </w:rPr>
            </w:pPr>
            <w:r>
              <w:rPr>
                <w:b/>
                <w:color w:val="FFFFFF"/>
                <w:sz w:val="19"/>
              </w:rPr>
              <w:t>21</w:t>
            </w:r>
            <w:r>
              <w:rPr>
                <w:b/>
                <w:color w:val="FFFFFF"/>
                <w:spacing w:val="-3"/>
                <w:sz w:val="19"/>
              </w:rPr>
              <w:t xml:space="preserve"> </w:t>
            </w:r>
            <w:r>
              <w:rPr>
                <w:b/>
                <w:color w:val="FFFFFF"/>
                <w:spacing w:val="-5"/>
                <w:sz w:val="19"/>
              </w:rPr>
              <w:t>Jul</w:t>
            </w:r>
          </w:p>
          <w:p w14:paraId="389E70F3" w14:textId="77777777" w:rsidR="009D54AF" w:rsidRDefault="00000000">
            <w:pPr>
              <w:pStyle w:val="TableParagraph"/>
              <w:spacing w:line="214" w:lineRule="exact"/>
              <w:ind w:left="348"/>
              <w:rPr>
                <w:b/>
                <w:sz w:val="19"/>
              </w:rPr>
            </w:pPr>
            <w:r>
              <w:rPr>
                <w:b/>
                <w:color w:val="FFFFFF"/>
                <w:spacing w:val="-4"/>
                <w:sz w:val="19"/>
              </w:rPr>
              <w:t>2025</w:t>
            </w:r>
          </w:p>
        </w:tc>
        <w:tc>
          <w:tcPr>
            <w:tcW w:w="1134" w:type="dxa"/>
            <w:tcBorders>
              <w:bottom w:val="nil"/>
            </w:tcBorders>
            <w:shd w:val="clear" w:color="auto" w:fill="000000"/>
          </w:tcPr>
          <w:p w14:paraId="315FFB50" w14:textId="77777777" w:rsidR="009D54AF" w:rsidRDefault="00000000">
            <w:pPr>
              <w:pStyle w:val="TableParagraph"/>
              <w:spacing w:before="38" w:line="214" w:lineRule="exact"/>
              <w:ind w:left="305"/>
              <w:rPr>
                <w:b/>
                <w:sz w:val="19"/>
              </w:rPr>
            </w:pPr>
            <w:r>
              <w:rPr>
                <w:b/>
                <w:color w:val="FFFFFF"/>
                <w:sz w:val="19"/>
              </w:rPr>
              <w:t xml:space="preserve">2 </w:t>
            </w:r>
            <w:r>
              <w:rPr>
                <w:b/>
                <w:color w:val="FFFFFF"/>
                <w:spacing w:val="-5"/>
                <w:sz w:val="19"/>
              </w:rPr>
              <w:t>Sep</w:t>
            </w:r>
          </w:p>
          <w:p w14:paraId="4A38E828" w14:textId="77777777" w:rsidR="009D54AF" w:rsidRDefault="00000000">
            <w:pPr>
              <w:pStyle w:val="TableParagraph"/>
              <w:spacing w:line="214" w:lineRule="exact"/>
              <w:ind w:left="348"/>
              <w:rPr>
                <w:b/>
                <w:sz w:val="19"/>
              </w:rPr>
            </w:pPr>
            <w:r>
              <w:rPr>
                <w:b/>
                <w:color w:val="FFFFFF"/>
                <w:spacing w:val="-4"/>
                <w:sz w:val="19"/>
              </w:rPr>
              <w:t>2025</w:t>
            </w:r>
          </w:p>
        </w:tc>
        <w:tc>
          <w:tcPr>
            <w:tcW w:w="1134" w:type="dxa"/>
            <w:tcBorders>
              <w:bottom w:val="nil"/>
            </w:tcBorders>
            <w:shd w:val="clear" w:color="auto" w:fill="000000"/>
          </w:tcPr>
          <w:p w14:paraId="042F13F0" w14:textId="77777777" w:rsidR="009D54AF" w:rsidRDefault="00000000">
            <w:pPr>
              <w:pStyle w:val="TableParagraph"/>
              <w:spacing w:before="38" w:line="214" w:lineRule="exact"/>
              <w:ind w:left="267"/>
              <w:rPr>
                <w:b/>
                <w:sz w:val="19"/>
              </w:rPr>
            </w:pPr>
            <w:r>
              <w:rPr>
                <w:b/>
                <w:color w:val="FFFFFF"/>
                <w:sz w:val="19"/>
              </w:rPr>
              <w:t xml:space="preserve">23 </w:t>
            </w:r>
            <w:r>
              <w:rPr>
                <w:b/>
                <w:color w:val="FFFFFF"/>
                <w:spacing w:val="-5"/>
                <w:sz w:val="19"/>
              </w:rPr>
              <w:t>Oct</w:t>
            </w:r>
          </w:p>
          <w:p w14:paraId="1D1C83A7" w14:textId="77777777" w:rsidR="009D54AF" w:rsidRDefault="00000000">
            <w:pPr>
              <w:pStyle w:val="TableParagraph"/>
              <w:spacing w:line="214" w:lineRule="exact"/>
              <w:ind w:left="348"/>
              <w:rPr>
                <w:b/>
                <w:sz w:val="19"/>
              </w:rPr>
            </w:pPr>
            <w:r>
              <w:rPr>
                <w:b/>
                <w:color w:val="FFFFFF"/>
                <w:spacing w:val="-4"/>
                <w:sz w:val="19"/>
              </w:rPr>
              <w:t>2025</w:t>
            </w:r>
          </w:p>
        </w:tc>
        <w:tc>
          <w:tcPr>
            <w:tcW w:w="1134" w:type="dxa"/>
            <w:tcBorders>
              <w:bottom w:val="nil"/>
            </w:tcBorders>
            <w:shd w:val="clear" w:color="auto" w:fill="000000"/>
          </w:tcPr>
          <w:p w14:paraId="69F3709D" w14:textId="77777777" w:rsidR="009D54AF" w:rsidRDefault="00000000">
            <w:pPr>
              <w:pStyle w:val="TableParagraph"/>
              <w:spacing w:before="38" w:line="214" w:lineRule="exact"/>
              <w:ind w:left="258"/>
              <w:rPr>
                <w:b/>
                <w:sz w:val="19"/>
              </w:rPr>
            </w:pPr>
            <w:r>
              <w:rPr>
                <w:b/>
                <w:color w:val="FFFFFF"/>
                <w:sz w:val="19"/>
              </w:rPr>
              <w:t>24</w:t>
            </w:r>
            <w:r>
              <w:rPr>
                <w:b/>
                <w:color w:val="FFFFFF"/>
                <w:spacing w:val="2"/>
                <w:sz w:val="19"/>
              </w:rPr>
              <w:t xml:space="preserve"> </w:t>
            </w:r>
            <w:r>
              <w:rPr>
                <w:b/>
                <w:color w:val="FFFFFF"/>
                <w:spacing w:val="-5"/>
                <w:sz w:val="19"/>
              </w:rPr>
              <w:t>Feb</w:t>
            </w:r>
          </w:p>
          <w:p w14:paraId="3B3413CC" w14:textId="77777777" w:rsidR="009D54AF" w:rsidRDefault="00000000">
            <w:pPr>
              <w:pStyle w:val="TableParagraph"/>
              <w:spacing w:line="214" w:lineRule="exact"/>
              <w:ind w:left="347"/>
              <w:rPr>
                <w:b/>
                <w:sz w:val="19"/>
              </w:rPr>
            </w:pPr>
            <w:r>
              <w:rPr>
                <w:b/>
                <w:color w:val="FFFFFF"/>
                <w:spacing w:val="-4"/>
                <w:sz w:val="19"/>
              </w:rPr>
              <w:t>2026</w:t>
            </w:r>
          </w:p>
        </w:tc>
        <w:tc>
          <w:tcPr>
            <w:tcW w:w="1134" w:type="dxa"/>
            <w:tcBorders>
              <w:bottom w:val="nil"/>
            </w:tcBorders>
            <w:shd w:val="clear" w:color="auto" w:fill="000000"/>
          </w:tcPr>
          <w:p w14:paraId="57E84E01" w14:textId="77777777" w:rsidR="009D54AF" w:rsidRDefault="00000000">
            <w:pPr>
              <w:pStyle w:val="TableParagraph"/>
              <w:spacing w:before="38" w:line="214" w:lineRule="exact"/>
              <w:ind w:left="266"/>
              <w:rPr>
                <w:b/>
                <w:sz w:val="19"/>
              </w:rPr>
            </w:pPr>
            <w:r>
              <w:rPr>
                <w:b/>
                <w:color w:val="FFFFFF"/>
                <w:sz w:val="19"/>
              </w:rPr>
              <w:t>17</w:t>
            </w:r>
            <w:r>
              <w:rPr>
                <w:b/>
                <w:color w:val="FFFFFF"/>
                <w:spacing w:val="-9"/>
                <w:sz w:val="19"/>
              </w:rPr>
              <w:t xml:space="preserve"> </w:t>
            </w:r>
            <w:r>
              <w:rPr>
                <w:b/>
                <w:color w:val="FFFFFF"/>
                <w:spacing w:val="-5"/>
                <w:sz w:val="19"/>
              </w:rPr>
              <w:t>Apr</w:t>
            </w:r>
          </w:p>
          <w:p w14:paraId="06054E7D" w14:textId="77777777" w:rsidR="009D54AF" w:rsidRDefault="00000000">
            <w:pPr>
              <w:pStyle w:val="TableParagraph"/>
              <w:spacing w:line="214" w:lineRule="exact"/>
              <w:ind w:left="347"/>
              <w:rPr>
                <w:b/>
                <w:sz w:val="19"/>
              </w:rPr>
            </w:pPr>
            <w:r>
              <w:rPr>
                <w:b/>
                <w:color w:val="FFFFFF"/>
                <w:spacing w:val="-4"/>
                <w:sz w:val="19"/>
              </w:rPr>
              <w:t>2026</w:t>
            </w:r>
          </w:p>
        </w:tc>
        <w:tc>
          <w:tcPr>
            <w:tcW w:w="1134" w:type="dxa"/>
            <w:tcBorders>
              <w:bottom w:val="nil"/>
              <w:right w:val="nil"/>
            </w:tcBorders>
            <w:shd w:val="clear" w:color="auto" w:fill="000000"/>
          </w:tcPr>
          <w:p w14:paraId="14A0C7E3" w14:textId="77777777" w:rsidR="009D54AF" w:rsidRDefault="00000000">
            <w:pPr>
              <w:pStyle w:val="TableParagraph"/>
              <w:spacing w:before="38" w:line="214" w:lineRule="exact"/>
              <w:ind w:left="257"/>
              <w:rPr>
                <w:b/>
                <w:sz w:val="19"/>
              </w:rPr>
            </w:pPr>
            <w:r>
              <w:rPr>
                <w:b/>
                <w:color w:val="FFFFFF"/>
                <w:sz w:val="19"/>
              </w:rPr>
              <w:t>30</w:t>
            </w:r>
            <w:r>
              <w:rPr>
                <w:b/>
                <w:color w:val="FFFFFF"/>
                <w:spacing w:val="2"/>
                <w:sz w:val="19"/>
              </w:rPr>
              <w:t xml:space="preserve"> </w:t>
            </w:r>
            <w:r>
              <w:rPr>
                <w:b/>
                <w:color w:val="FFFFFF"/>
                <w:spacing w:val="-5"/>
                <w:sz w:val="19"/>
              </w:rPr>
              <w:t>Jun</w:t>
            </w:r>
          </w:p>
          <w:p w14:paraId="772104F6" w14:textId="77777777" w:rsidR="009D54AF" w:rsidRDefault="00000000">
            <w:pPr>
              <w:pStyle w:val="TableParagraph"/>
              <w:spacing w:line="214" w:lineRule="exact"/>
              <w:ind w:left="347"/>
              <w:rPr>
                <w:b/>
                <w:sz w:val="19"/>
              </w:rPr>
            </w:pPr>
            <w:r>
              <w:rPr>
                <w:b/>
                <w:color w:val="FFFFFF"/>
                <w:spacing w:val="-4"/>
                <w:sz w:val="19"/>
              </w:rPr>
              <w:t>2026</w:t>
            </w:r>
          </w:p>
        </w:tc>
      </w:tr>
      <w:tr w:rsidR="009D54AF" w14:paraId="04551A1D" w14:textId="77777777">
        <w:trPr>
          <w:trHeight w:val="507"/>
        </w:trPr>
        <w:tc>
          <w:tcPr>
            <w:tcW w:w="3402" w:type="dxa"/>
            <w:tcBorders>
              <w:top w:val="nil"/>
              <w:left w:val="nil"/>
              <w:bottom w:val="single" w:sz="2" w:space="0" w:color="000000"/>
              <w:right w:val="single" w:sz="2" w:space="0" w:color="000000"/>
            </w:tcBorders>
          </w:tcPr>
          <w:p w14:paraId="4627F438" w14:textId="77777777" w:rsidR="009D54AF" w:rsidRDefault="00000000">
            <w:pPr>
              <w:pStyle w:val="TableParagraph"/>
              <w:spacing w:before="144"/>
              <w:ind w:left="85"/>
              <w:rPr>
                <w:sz w:val="19"/>
              </w:rPr>
            </w:pPr>
            <w:r>
              <w:rPr>
                <w:sz w:val="19"/>
              </w:rPr>
              <w:t>Prof</w:t>
            </w:r>
            <w:r>
              <w:rPr>
                <w:spacing w:val="2"/>
                <w:sz w:val="19"/>
              </w:rPr>
              <w:t xml:space="preserve"> </w:t>
            </w:r>
            <w:r>
              <w:rPr>
                <w:sz w:val="19"/>
              </w:rPr>
              <w:t>Christine</w:t>
            </w:r>
            <w:r>
              <w:rPr>
                <w:spacing w:val="4"/>
                <w:sz w:val="19"/>
              </w:rPr>
              <w:t xml:space="preserve"> </w:t>
            </w:r>
            <w:r>
              <w:rPr>
                <w:sz w:val="19"/>
              </w:rPr>
              <w:t>Kilpatrick</w:t>
            </w:r>
            <w:r>
              <w:rPr>
                <w:spacing w:val="5"/>
                <w:sz w:val="19"/>
              </w:rPr>
              <w:t xml:space="preserve"> </w:t>
            </w:r>
            <w:r>
              <w:rPr>
                <w:spacing w:val="-5"/>
                <w:sz w:val="19"/>
              </w:rPr>
              <w:t>AO</w:t>
            </w:r>
          </w:p>
        </w:tc>
        <w:tc>
          <w:tcPr>
            <w:tcW w:w="1134" w:type="dxa"/>
            <w:tcBorders>
              <w:top w:val="nil"/>
              <w:left w:val="single" w:sz="2" w:space="0" w:color="000000"/>
              <w:bottom w:val="single" w:sz="2" w:space="0" w:color="000000"/>
              <w:right w:val="single" w:sz="2" w:space="0" w:color="000000"/>
            </w:tcBorders>
          </w:tcPr>
          <w:p w14:paraId="05D0E7A8" w14:textId="77777777" w:rsidR="009D54AF" w:rsidRDefault="00000000">
            <w:pPr>
              <w:pStyle w:val="TableParagraph"/>
              <w:spacing w:before="144"/>
              <w:ind w:left="51" w:right="51"/>
              <w:jc w:val="center"/>
              <w:rPr>
                <w:sz w:val="19"/>
              </w:rPr>
            </w:pPr>
            <w:r>
              <w:rPr>
                <w:spacing w:val="-10"/>
                <w:sz w:val="19"/>
              </w:rPr>
              <w:t>p</w:t>
            </w:r>
          </w:p>
        </w:tc>
        <w:tc>
          <w:tcPr>
            <w:tcW w:w="1134" w:type="dxa"/>
            <w:tcBorders>
              <w:top w:val="nil"/>
              <w:left w:val="single" w:sz="2" w:space="0" w:color="000000"/>
              <w:bottom w:val="single" w:sz="2" w:space="0" w:color="000000"/>
              <w:right w:val="single" w:sz="2" w:space="0" w:color="000000"/>
            </w:tcBorders>
          </w:tcPr>
          <w:p w14:paraId="3A53CD4E" w14:textId="77777777" w:rsidR="009D54AF" w:rsidRDefault="00000000">
            <w:pPr>
              <w:pStyle w:val="TableParagraph"/>
              <w:spacing w:before="144"/>
              <w:ind w:left="51" w:right="52"/>
              <w:jc w:val="center"/>
              <w:rPr>
                <w:sz w:val="19"/>
              </w:rPr>
            </w:pPr>
            <w:r>
              <w:rPr>
                <w:spacing w:val="-10"/>
                <w:sz w:val="19"/>
              </w:rPr>
              <w:t>p</w:t>
            </w:r>
          </w:p>
        </w:tc>
        <w:tc>
          <w:tcPr>
            <w:tcW w:w="1134" w:type="dxa"/>
            <w:tcBorders>
              <w:top w:val="nil"/>
              <w:left w:val="single" w:sz="2" w:space="0" w:color="000000"/>
              <w:bottom w:val="single" w:sz="2" w:space="0" w:color="000000"/>
              <w:right w:val="single" w:sz="2" w:space="0" w:color="000000"/>
            </w:tcBorders>
          </w:tcPr>
          <w:p w14:paraId="3BF808CC" w14:textId="77777777" w:rsidR="009D54AF" w:rsidRDefault="00000000">
            <w:pPr>
              <w:pStyle w:val="TableParagraph"/>
              <w:spacing w:before="144"/>
              <w:ind w:left="51" w:right="52"/>
              <w:jc w:val="center"/>
              <w:rPr>
                <w:sz w:val="19"/>
              </w:rPr>
            </w:pPr>
            <w:r>
              <w:rPr>
                <w:spacing w:val="-10"/>
                <w:sz w:val="19"/>
              </w:rPr>
              <w:t>p</w:t>
            </w:r>
          </w:p>
        </w:tc>
        <w:tc>
          <w:tcPr>
            <w:tcW w:w="1134" w:type="dxa"/>
            <w:tcBorders>
              <w:top w:val="nil"/>
              <w:left w:val="single" w:sz="2" w:space="0" w:color="000000"/>
              <w:bottom w:val="single" w:sz="2" w:space="0" w:color="000000"/>
              <w:right w:val="single" w:sz="2" w:space="0" w:color="000000"/>
            </w:tcBorders>
          </w:tcPr>
          <w:p w14:paraId="35763D52" w14:textId="77777777" w:rsidR="009D54AF" w:rsidRDefault="00000000">
            <w:pPr>
              <w:pStyle w:val="TableParagraph"/>
              <w:spacing w:before="144"/>
              <w:ind w:left="51" w:right="52"/>
              <w:jc w:val="center"/>
              <w:rPr>
                <w:sz w:val="19"/>
              </w:rPr>
            </w:pPr>
            <w:r>
              <w:rPr>
                <w:spacing w:val="-10"/>
                <w:sz w:val="19"/>
              </w:rPr>
              <w:t>p</w:t>
            </w:r>
          </w:p>
        </w:tc>
        <w:tc>
          <w:tcPr>
            <w:tcW w:w="1134" w:type="dxa"/>
            <w:tcBorders>
              <w:top w:val="nil"/>
              <w:left w:val="single" w:sz="2" w:space="0" w:color="000000"/>
              <w:bottom w:val="single" w:sz="2" w:space="0" w:color="000000"/>
              <w:right w:val="single" w:sz="2" w:space="0" w:color="000000"/>
            </w:tcBorders>
          </w:tcPr>
          <w:p w14:paraId="141B4A02" w14:textId="77777777" w:rsidR="009D54AF" w:rsidRDefault="00000000">
            <w:pPr>
              <w:pStyle w:val="TableParagraph"/>
              <w:spacing w:before="144"/>
              <w:ind w:left="51" w:right="51"/>
              <w:jc w:val="center"/>
              <w:rPr>
                <w:sz w:val="19"/>
              </w:rPr>
            </w:pPr>
            <w:r>
              <w:rPr>
                <w:spacing w:val="-10"/>
                <w:sz w:val="19"/>
              </w:rPr>
              <w:t>p</w:t>
            </w:r>
          </w:p>
        </w:tc>
        <w:tc>
          <w:tcPr>
            <w:tcW w:w="1134" w:type="dxa"/>
            <w:tcBorders>
              <w:top w:val="nil"/>
              <w:left w:val="single" w:sz="2" w:space="0" w:color="000000"/>
              <w:bottom w:val="single" w:sz="2" w:space="0" w:color="000000"/>
              <w:right w:val="nil"/>
            </w:tcBorders>
          </w:tcPr>
          <w:p w14:paraId="75F2F2AF" w14:textId="77777777" w:rsidR="009D54AF" w:rsidRDefault="00000000">
            <w:pPr>
              <w:pStyle w:val="TableParagraph"/>
              <w:spacing w:before="144"/>
              <w:ind w:left="2" w:right="4"/>
              <w:jc w:val="center"/>
              <w:rPr>
                <w:sz w:val="19"/>
              </w:rPr>
            </w:pPr>
            <w:r>
              <w:rPr>
                <w:spacing w:val="-10"/>
                <w:sz w:val="19"/>
              </w:rPr>
              <w:t>p</w:t>
            </w:r>
          </w:p>
        </w:tc>
      </w:tr>
      <w:tr w:rsidR="009D54AF" w14:paraId="5644BA94" w14:textId="77777777">
        <w:trPr>
          <w:trHeight w:val="505"/>
        </w:trPr>
        <w:tc>
          <w:tcPr>
            <w:tcW w:w="3402" w:type="dxa"/>
            <w:tcBorders>
              <w:top w:val="single" w:sz="2" w:space="0" w:color="000000"/>
              <w:left w:val="nil"/>
              <w:bottom w:val="single" w:sz="2" w:space="0" w:color="000000"/>
              <w:right w:val="single" w:sz="2" w:space="0" w:color="000000"/>
            </w:tcBorders>
          </w:tcPr>
          <w:p w14:paraId="4FD78BCC" w14:textId="77777777" w:rsidR="009D54AF" w:rsidRDefault="00000000">
            <w:pPr>
              <w:pStyle w:val="TableParagraph"/>
              <w:spacing w:before="142"/>
              <w:ind w:left="85"/>
              <w:rPr>
                <w:sz w:val="19"/>
              </w:rPr>
            </w:pPr>
            <w:proofErr w:type="spellStart"/>
            <w:r>
              <w:rPr>
                <w:sz w:val="19"/>
              </w:rPr>
              <w:t>Mr</w:t>
            </w:r>
            <w:proofErr w:type="spellEnd"/>
            <w:r>
              <w:rPr>
                <w:spacing w:val="1"/>
                <w:sz w:val="19"/>
              </w:rPr>
              <w:t xml:space="preserve"> </w:t>
            </w:r>
            <w:r>
              <w:rPr>
                <w:sz w:val="19"/>
              </w:rPr>
              <w:t>David</w:t>
            </w:r>
            <w:r>
              <w:rPr>
                <w:spacing w:val="1"/>
                <w:sz w:val="19"/>
              </w:rPr>
              <w:t xml:space="preserve"> </w:t>
            </w:r>
            <w:r>
              <w:rPr>
                <w:spacing w:val="-4"/>
                <w:sz w:val="19"/>
              </w:rPr>
              <w:t>Swan</w:t>
            </w:r>
          </w:p>
        </w:tc>
        <w:tc>
          <w:tcPr>
            <w:tcW w:w="1134" w:type="dxa"/>
            <w:tcBorders>
              <w:top w:val="single" w:sz="2" w:space="0" w:color="000000"/>
              <w:left w:val="single" w:sz="2" w:space="0" w:color="000000"/>
              <w:bottom w:val="single" w:sz="2" w:space="0" w:color="000000"/>
              <w:right w:val="single" w:sz="2" w:space="0" w:color="000000"/>
            </w:tcBorders>
          </w:tcPr>
          <w:p w14:paraId="1B1AF2F8" w14:textId="77777777" w:rsidR="009D54AF" w:rsidRDefault="00000000">
            <w:pPr>
              <w:pStyle w:val="TableParagraph"/>
              <w:spacing w:before="142"/>
              <w:ind w:left="51" w:right="51"/>
              <w:jc w:val="center"/>
              <w:rPr>
                <w:sz w:val="19"/>
              </w:rPr>
            </w:pPr>
            <w:r>
              <w:rPr>
                <w:spacing w:val="-10"/>
                <w:sz w:val="19"/>
              </w:rPr>
              <w:t>p</w:t>
            </w:r>
          </w:p>
        </w:tc>
        <w:tc>
          <w:tcPr>
            <w:tcW w:w="1134" w:type="dxa"/>
            <w:tcBorders>
              <w:top w:val="single" w:sz="2" w:space="0" w:color="000000"/>
              <w:left w:val="single" w:sz="2" w:space="0" w:color="000000"/>
              <w:bottom w:val="single" w:sz="2" w:space="0" w:color="000000"/>
              <w:right w:val="single" w:sz="2" w:space="0" w:color="000000"/>
            </w:tcBorders>
          </w:tcPr>
          <w:p w14:paraId="73E7D01C" w14:textId="77777777" w:rsidR="009D54AF" w:rsidRDefault="00000000">
            <w:pPr>
              <w:pStyle w:val="TableParagraph"/>
              <w:spacing w:before="142"/>
              <w:ind w:left="51" w:right="52"/>
              <w:jc w:val="center"/>
              <w:rPr>
                <w:sz w:val="19"/>
              </w:rPr>
            </w:pPr>
            <w:r>
              <w:rPr>
                <w:spacing w:val="-10"/>
                <w:sz w:val="19"/>
              </w:rPr>
              <w:t>p</w:t>
            </w:r>
          </w:p>
        </w:tc>
        <w:tc>
          <w:tcPr>
            <w:tcW w:w="1134" w:type="dxa"/>
            <w:tcBorders>
              <w:top w:val="single" w:sz="2" w:space="0" w:color="000000"/>
              <w:left w:val="single" w:sz="2" w:space="0" w:color="000000"/>
              <w:bottom w:val="single" w:sz="2" w:space="0" w:color="000000"/>
              <w:right w:val="single" w:sz="2" w:space="0" w:color="000000"/>
            </w:tcBorders>
          </w:tcPr>
          <w:p w14:paraId="1F27AEF8" w14:textId="77777777" w:rsidR="009D54AF" w:rsidRDefault="00000000">
            <w:pPr>
              <w:pStyle w:val="TableParagraph"/>
              <w:spacing w:before="142"/>
              <w:ind w:left="51" w:right="52"/>
              <w:jc w:val="center"/>
              <w:rPr>
                <w:sz w:val="19"/>
              </w:rPr>
            </w:pPr>
            <w:r>
              <w:rPr>
                <w:spacing w:val="-10"/>
                <w:sz w:val="19"/>
              </w:rPr>
              <w:t>p</w:t>
            </w:r>
          </w:p>
        </w:tc>
        <w:tc>
          <w:tcPr>
            <w:tcW w:w="1134" w:type="dxa"/>
            <w:tcBorders>
              <w:top w:val="single" w:sz="2" w:space="0" w:color="000000"/>
              <w:left w:val="single" w:sz="2" w:space="0" w:color="000000"/>
              <w:bottom w:val="single" w:sz="2" w:space="0" w:color="000000"/>
              <w:right w:val="single" w:sz="2" w:space="0" w:color="000000"/>
            </w:tcBorders>
          </w:tcPr>
          <w:p w14:paraId="5070300B" w14:textId="77777777" w:rsidR="009D54AF" w:rsidRDefault="00000000">
            <w:pPr>
              <w:pStyle w:val="TableParagraph"/>
              <w:spacing w:before="142"/>
              <w:ind w:left="51" w:right="52"/>
              <w:jc w:val="center"/>
              <w:rPr>
                <w:sz w:val="19"/>
              </w:rPr>
            </w:pPr>
            <w:r>
              <w:rPr>
                <w:spacing w:val="-10"/>
                <w:sz w:val="19"/>
              </w:rPr>
              <w:t>p</w:t>
            </w:r>
          </w:p>
        </w:tc>
        <w:tc>
          <w:tcPr>
            <w:tcW w:w="1134" w:type="dxa"/>
            <w:tcBorders>
              <w:top w:val="single" w:sz="2" w:space="0" w:color="000000"/>
              <w:left w:val="single" w:sz="2" w:space="0" w:color="000000"/>
              <w:bottom w:val="single" w:sz="2" w:space="0" w:color="000000"/>
              <w:right w:val="single" w:sz="2" w:space="0" w:color="000000"/>
            </w:tcBorders>
          </w:tcPr>
          <w:p w14:paraId="7AEFE890" w14:textId="77777777" w:rsidR="009D54AF" w:rsidRDefault="00000000">
            <w:pPr>
              <w:pStyle w:val="TableParagraph"/>
              <w:spacing w:before="142"/>
              <w:ind w:left="51" w:right="51"/>
              <w:jc w:val="center"/>
              <w:rPr>
                <w:sz w:val="19"/>
              </w:rPr>
            </w:pPr>
            <w:r>
              <w:rPr>
                <w:spacing w:val="-10"/>
                <w:sz w:val="19"/>
              </w:rPr>
              <w:t>p</w:t>
            </w:r>
          </w:p>
        </w:tc>
        <w:tc>
          <w:tcPr>
            <w:tcW w:w="1134" w:type="dxa"/>
            <w:tcBorders>
              <w:top w:val="single" w:sz="2" w:space="0" w:color="000000"/>
              <w:left w:val="single" w:sz="2" w:space="0" w:color="000000"/>
              <w:bottom w:val="single" w:sz="2" w:space="0" w:color="000000"/>
              <w:right w:val="nil"/>
            </w:tcBorders>
          </w:tcPr>
          <w:p w14:paraId="60B9E2F5" w14:textId="77777777" w:rsidR="009D54AF" w:rsidRDefault="00000000">
            <w:pPr>
              <w:pStyle w:val="TableParagraph"/>
              <w:spacing w:before="142"/>
              <w:ind w:left="2" w:right="4"/>
              <w:jc w:val="center"/>
              <w:rPr>
                <w:sz w:val="19"/>
              </w:rPr>
            </w:pPr>
            <w:r>
              <w:rPr>
                <w:spacing w:val="-10"/>
                <w:sz w:val="19"/>
              </w:rPr>
              <w:t>p</w:t>
            </w:r>
          </w:p>
        </w:tc>
      </w:tr>
      <w:tr w:rsidR="009D54AF" w14:paraId="28AD0ED1" w14:textId="77777777">
        <w:trPr>
          <w:trHeight w:val="505"/>
        </w:trPr>
        <w:tc>
          <w:tcPr>
            <w:tcW w:w="3402" w:type="dxa"/>
            <w:tcBorders>
              <w:top w:val="single" w:sz="2" w:space="0" w:color="000000"/>
              <w:left w:val="nil"/>
              <w:bottom w:val="single" w:sz="2" w:space="0" w:color="000000"/>
              <w:right w:val="single" w:sz="2" w:space="0" w:color="000000"/>
            </w:tcBorders>
          </w:tcPr>
          <w:p w14:paraId="25B696FC" w14:textId="77777777" w:rsidR="009D54AF" w:rsidRDefault="00000000">
            <w:pPr>
              <w:pStyle w:val="TableParagraph"/>
              <w:spacing w:before="142"/>
              <w:ind w:left="85"/>
              <w:rPr>
                <w:sz w:val="19"/>
              </w:rPr>
            </w:pPr>
            <w:proofErr w:type="spellStart"/>
            <w:r>
              <w:rPr>
                <w:sz w:val="19"/>
              </w:rPr>
              <w:t>Ms</w:t>
            </w:r>
            <w:proofErr w:type="spellEnd"/>
            <w:r>
              <w:rPr>
                <w:spacing w:val="3"/>
                <w:sz w:val="19"/>
              </w:rPr>
              <w:t xml:space="preserve"> </w:t>
            </w:r>
            <w:r>
              <w:rPr>
                <w:sz w:val="19"/>
              </w:rPr>
              <w:t>Christine</w:t>
            </w:r>
            <w:r>
              <w:rPr>
                <w:spacing w:val="3"/>
                <w:sz w:val="19"/>
              </w:rPr>
              <w:t xml:space="preserve"> </w:t>
            </w:r>
            <w:r>
              <w:rPr>
                <w:sz w:val="19"/>
              </w:rPr>
              <w:t>Gee</w:t>
            </w:r>
            <w:r>
              <w:rPr>
                <w:spacing w:val="4"/>
                <w:sz w:val="19"/>
              </w:rPr>
              <w:t xml:space="preserve"> </w:t>
            </w:r>
            <w:r>
              <w:rPr>
                <w:spacing w:val="-5"/>
                <w:sz w:val="19"/>
              </w:rPr>
              <w:t>AM</w:t>
            </w:r>
          </w:p>
        </w:tc>
        <w:tc>
          <w:tcPr>
            <w:tcW w:w="1134" w:type="dxa"/>
            <w:tcBorders>
              <w:top w:val="single" w:sz="2" w:space="0" w:color="000000"/>
              <w:left w:val="single" w:sz="2" w:space="0" w:color="000000"/>
              <w:bottom w:val="single" w:sz="2" w:space="0" w:color="000000"/>
              <w:right w:val="single" w:sz="2" w:space="0" w:color="000000"/>
            </w:tcBorders>
          </w:tcPr>
          <w:p w14:paraId="68CB0581" w14:textId="77777777" w:rsidR="009D54AF" w:rsidRDefault="00000000">
            <w:pPr>
              <w:pStyle w:val="TableParagraph"/>
              <w:spacing w:before="142"/>
              <w:ind w:left="51" w:right="51"/>
              <w:jc w:val="center"/>
              <w:rPr>
                <w:sz w:val="19"/>
              </w:rPr>
            </w:pPr>
            <w:r>
              <w:rPr>
                <w:spacing w:val="-10"/>
                <w:sz w:val="19"/>
              </w:rPr>
              <w:t>p</w:t>
            </w:r>
          </w:p>
        </w:tc>
        <w:tc>
          <w:tcPr>
            <w:tcW w:w="1134" w:type="dxa"/>
            <w:tcBorders>
              <w:top w:val="single" w:sz="2" w:space="0" w:color="000000"/>
              <w:left w:val="single" w:sz="2" w:space="0" w:color="000000"/>
              <w:bottom w:val="single" w:sz="2" w:space="0" w:color="000000"/>
              <w:right w:val="single" w:sz="2" w:space="0" w:color="000000"/>
            </w:tcBorders>
          </w:tcPr>
          <w:p w14:paraId="4F9F1C66" w14:textId="77777777" w:rsidR="009D54AF" w:rsidRDefault="00000000">
            <w:pPr>
              <w:pStyle w:val="TableParagraph"/>
              <w:spacing w:before="142"/>
              <w:ind w:left="51" w:right="52"/>
              <w:jc w:val="center"/>
              <w:rPr>
                <w:sz w:val="19"/>
              </w:rPr>
            </w:pPr>
            <w:r>
              <w:rPr>
                <w:spacing w:val="-10"/>
                <w:sz w:val="19"/>
              </w:rPr>
              <w:t>a</w:t>
            </w:r>
          </w:p>
        </w:tc>
        <w:tc>
          <w:tcPr>
            <w:tcW w:w="1134" w:type="dxa"/>
            <w:tcBorders>
              <w:top w:val="single" w:sz="2" w:space="0" w:color="000000"/>
              <w:left w:val="single" w:sz="2" w:space="0" w:color="000000"/>
              <w:bottom w:val="single" w:sz="2" w:space="0" w:color="000000"/>
              <w:right w:val="single" w:sz="2" w:space="0" w:color="000000"/>
            </w:tcBorders>
          </w:tcPr>
          <w:p w14:paraId="26115C88" w14:textId="77777777" w:rsidR="009D54AF" w:rsidRDefault="00000000">
            <w:pPr>
              <w:pStyle w:val="TableParagraph"/>
              <w:spacing w:before="142"/>
              <w:ind w:left="51" w:right="52"/>
              <w:jc w:val="center"/>
              <w:rPr>
                <w:sz w:val="19"/>
              </w:rPr>
            </w:pPr>
            <w:r>
              <w:rPr>
                <w:spacing w:val="-10"/>
                <w:sz w:val="19"/>
              </w:rPr>
              <w:t>p</w:t>
            </w:r>
          </w:p>
        </w:tc>
        <w:tc>
          <w:tcPr>
            <w:tcW w:w="1134" w:type="dxa"/>
            <w:tcBorders>
              <w:top w:val="single" w:sz="2" w:space="0" w:color="000000"/>
              <w:left w:val="single" w:sz="2" w:space="0" w:color="000000"/>
              <w:bottom w:val="single" w:sz="2" w:space="0" w:color="000000"/>
              <w:right w:val="single" w:sz="2" w:space="0" w:color="000000"/>
            </w:tcBorders>
          </w:tcPr>
          <w:p w14:paraId="0317A154" w14:textId="77777777" w:rsidR="009D54AF" w:rsidRDefault="00000000">
            <w:pPr>
              <w:pStyle w:val="TableParagraph"/>
              <w:spacing w:before="142"/>
              <w:ind w:left="51" w:right="52"/>
              <w:jc w:val="center"/>
              <w:rPr>
                <w:sz w:val="19"/>
              </w:rPr>
            </w:pPr>
            <w:r>
              <w:rPr>
                <w:spacing w:val="-10"/>
                <w:sz w:val="19"/>
              </w:rPr>
              <w:t>p</w:t>
            </w:r>
          </w:p>
        </w:tc>
        <w:tc>
          <w:tcPr>
            <w:tcW w:w="1134" w:type="dxa"/>
            <w:tcBorders>
              <w:top w:val="single" w:sz="2" w:space="0" w:color="000000"/>
              <w:left w:val="single" w:sz="2" w:space="0" w:color="000000"/>
              <w:bottom w:val="single" w:sz="2" w:space="0" w:color="000000"/>
              <w:right w:val="single" w:sz="2" w:space="0" w:color="000000"/>
            </w:tcBorders>
          </w:tcPr>
          <w:p w14:paraId="3C94D7C7" w14:textId="77777777" w:rsidR="009D54AF" w:rsidRDefault="00000000">
            <w:pPr>
              <w:pStyle w:val="TableParagraph"/>
              <w:spacing w:before="142"/>
              <w:ind w:left="51" w:right="51"/>
              <w:jc w:val="center"/>
              <w:rPr>
                <w:sz w:val="19"/>
              </w:rPr>
            </w:pPr>
            <w:r>
              <w:rPr>
                <w:spacing w:val="-10"/>
                <w:sz w:val="19"/>
              </w:rPr>
              <w:t>p</w:t>
            </w:r>
          </w:p>
        </w:tc>
        <w:tc>
          <w:tcPr>
            <w:tcW w:w="1134" w:type="dxa"/>
            <w:tcBorders>
              <w:top w:val="single" w:sz="2" w:space="0" w:color="000000"/>
              <w:left w:val="single" w:sz="2" w:space="0" w:color="000000"/>
              <w:bottom w:val="single" w:sz="2" w:space="0" w:color="000000"/>
              <w:right w:val="nil"/>
            </w:tcBorders>
          </w:tcPr>
          <w:p w14:paraId="3526B2FB" w14:textId="77777777" w:rsidR="009D54AF" w:rsidRDefault="00000000">
            <w:pPr>
              <w:pStyle w:val="TableParagraph"/>
              <w:spacing w:before="142"/>
              <w:ind w:left="2" w:right="4"/>
              <w:jc w:val="center"/>
              <w:rPr>
                <w:sz w:val="19"/>
              </w:rPr>
            </w:pPr>
            <w:r>
              <w:rPr>
                <w:spacing w:val="-10"/>
                <w:sz w:val="19"/>
              </w:rPr>
              <w:t>p</w:t>
            </w:r>
          </w:p>
        </w:tc>
      </w:tr>
      <w:tr w:rsidR="009D54AF" w14:paraId="2BB17867" w14:textId="77777777">
        <w:trPr>
          <w:trHeight w:val="505"/>
        </w:trPr>
        <w:tc>
          <w:tcPr>
            <w:tcW w:w="3402" w:type="dxa"/>
            <w:tcBorders>
              <w:top w:val="single" w:sz="2" w:space="0" w:color="000000"/>
              <w:left w:val="nil"/>
              <w:bottom w:val="single" w:sz="2" w:space="0" w:color="000000"/>
              <w:right w:val="single" w:sz="2" w:space="0" w:color="000000"/>
            </w:tcBorders>
          </w:tcPr>
          <w:p w14:paraId="121E3448" w14:textId="77777777" w:rsidR="009D54AF" w:rsidRDefault="00000000">
            <w:pPr>
              <w:pStyle w:val="TableParagraph"/>
              <w:spacing w:before="142"/>
              <w:ind w:left="85"/>
              <w:rPr>
                <w:sz w:val="19"/>
              </w:rPr>
            </w:pPr>
            <w:r>
              <w:rPr>
                <w:sz w:val="19"/>
              </w:rPr>
              <w:t>The Hon</w:t>
            </w:r>
            <w:r>
              <w:rPr>
                <w:spacing w:val="2"/>
                <w:sz w:val="19"/>
              </w:rPr>
              <w:t xml:space="preserve"> </w:t>
            </w:r>
            <w:r>
              <w:rPr>
                <w:sz w:val="19"/>
              </w:rPr>
              <w:t>Peter</w:t>
            </w:r>
            <w:r>
              <w:rPr>
                <w:spacing w:val="3"/>
                <w:sz w:val="19"/>
              </w:rPr>
              <w:t xml:space="preserve"> </w:t>
            </w:r>
            <w:r>
              <w:rPr>
                <w:sz w:val="19"/>
              </w:rPr>
              <w:t>McClellan</w:t>
            </w:r>
            <w:r>
              <w:rPr>
                <w:spacing w:val="2"/>
                <w:sz w:val="19"/>
              </w:rPr>
              <w:t xml:space="preserve"> </w:t>
            </w:r>
            <w:r>
              <w:rPr>
                <w:sz w:val="19"/>
              </w:rPr>
              <w:t>AM</w:t>
            </w:r>
            <w:r>
              <w:rPr>
                <w:spacing w:val="3"/>
                <w:sz w:val="19"/>
              </w:rPr>
              <w:t xml:space="preserve"> </w:t>
            </w:r>
            <w:r>
              <w:rPr>
                <w:spacing w:val="-5"/>
                <w:sz w:val="19"/>
              </w:rPr>
              <w:t>KC</w:t>
            </w:r>
          </w:p>
        </w:tc>
        <w:tc>
          <w:tcPr>
            <w:tcW w:w="1134" w:type="dxa"/>
            <w:tcBorders>
              <w:top w:val="single" w:sz="2" w:space="0" w:color="000000"/>
              <w:left w:val="single" w:sz="2" w:space="0" w:color="000000"/>
              <w:bottom w:val="single" w:sz="2" w:space="0" w:color="000000"/>
              <w:right w:val="single" w:sz="2" w:space="0" w:color="000000"/>
            </w:tcBorders>
          </w:tcPr>
          <w:p w14:paraId="2BC86528" w14:textId="77777777" w:rsidR="009D54AF" w:rsidRDefault="00000000">
            <w:pPr>
              <w:pStyle w:val="TableParagraph"/>
              <w:spacing w:before="142"/>
              <w:ind w:left="51" w:right="51"/>
              <w:jc w:val="center"/>
              <w:rPr>
                <w:sz w:val="19"/>
              </w:rPr>
            </w:pPr>
            <w:r>
              <w:rPr>
                <w:spacing w:val="-10"/>
                <w:sz w:val="19"/>
              </w:rPr>
              <w:t>a</w:t>
            </w:r>
          </w:p>
        </w:tc>
        <w:tc>
          <w:tcPr>
            <w:tcW w:w="1134" w:type="dxa"/>
            <w:tcBorders>
              <w:top w:val="single" w:sz="2" w:space="0" w:color="000000"/>
              <w:left w:val="single" w:sz="2" w:space="0" w:color="000000"/>
              <w:bottom w:val="single" w:sz="2" w:space="0" w:color="000000"/>
              <w:right w:val="single" w:sz="2" w:space="0" w:color="000000"/>
            </w:tcBorders>
          </w:tcPr>
          <w:p w14:paraId="41DD6F72" w14:textId="77777777" w:rsidR="009D54AF" w:rsidRDefault="00000000">
            <w:pPr>
              <w:pStyle w:val="TableParagraph"/>
              <w:spacing w:before="142"/>
              <w:ind w:left="51" w:right="52"/>
              <w:jc w:val="center"/>
              <w:rPr>
                <w:sz w:val="19"/>
              </w:rPr>
            </w:pPr>
            <w:r>
              <w:rPr>
                <w:spacing w:val="-10"/>
                <w:sz w:val="19"/>
              </w:rPr>
              <w:t>p</w:t>
            </w:r>
          </w:p>
        </w:tc>
        <w:tc>
          <w:tcPr>
            <w:tcW w:w="1134" w:type="dxa"/>
            <w:tcBorders>
              <w:top w:val="single" w:sz="2" w:space="0" w:color="000000"/>
              <w:left w:val="single" w:sz="2" w:space="0" w:color="000000"/>
              <w:bottom w:val="single" w:sz="2" w:space="0" w:color="000000"/>
              <w:right w:val="single" w:sz="2" w:space="0" w:color="000000"/>
            </w:tcBorders>
          </w:tcPr>
          <w:p w14:paraId="67093FEE" w14:textId="77777777" w:rsidR="009D54AF" w:rsidRDefault="00000000">
            <w:pPr>
              <w:pStyle w:val="TableParagraph"/>
              <w:spacing w:before="142"/>
              <w:ind w:left="51" w:right="52"/>
              <w:jc w:val="center"/>
              <w:rPr>
                <w:sz w:val="19"/>
              </w:rPr>
            </w:pPr>
            <w:r>
              <w:rPr>
                <w:spacing w:val="-10"/>
                <w:sz w:val="19"/>
              </w:rPr>
              <w:t>p</w:t>
            </w:r>
          </w:p>
        </w:tc>
        <w:tc>
          <w:tcPr>
            <w:tcW w:w="1134" w:type="dxa"/>
            <w:tcBorders>
              <w:top w:val="single" w:sz="2" w:space="0" w:color="000000"/>
              <w:left w:val="single" w:sz="2" w:space="0" w:color="000000"/>
              <w:bottom w:val="single" w:sz="2" w:space="0" w:color="000000"/>
              <w:right w:val="single" w:sz="2" w:space="0" w:color="000000"/>
            </w:tcBorders>
          </w:tcPr>
          <w:p w14:paraId="68E66D4B" w14:textId="77777777" w:rsidR="009D54AF" w:rsidRDefault="00000000">
            <w:pPr>
              <w:pStyle w:val="TableParagraph"/>
              <w:spacing w:before="142"/>
              <w:ind w:left="51" w:right="52"/>
              <w:jc w:val="center"/>
              <w:rPr>
                <w:sz w:val="19"/>
              </w:rPr>
            </w:pPr>
            <w:r>
              <w:rPr>
                <w:spacing w:val="-10"/>
                <w:sz w:val="19"/>
              </w:rPr>
              <w:t>p</w:t>
            </w:r>
          </w:p>
        </w:tc>
        <w:tc>
          <w:tcPr>
            <w:tcW w:w="1134" w:type="dxa"/>
            <w:tcBorders>
              <w:top w:val="single" w:sz="2" w:space="0" w:color="000000"/>
              <w:left w:val="single" w:sz="2" w:space="0" w:color="000000"/>
              <w:bottom w:val="single" w:sz="2" w:space="0" w:color="000000"/>
              <w:right w:val="single" w:sz="2" w:space="0" w:color="000000"/>
            </w:tcBorders>
          </w:tcPr>
          <w:p w14:paraId="6AFBBC4C" w14:textId="77777777" w:rsidR="009D54AF" w:rsidRDefault="00000000">
            <w:pPr>
              <w:pStyle w:val="TableParagraph"/>
              <w:spacing w:before="142"/>
              <w:ind w:left="51" w:right="51"/>
              <w:jc w:val="center"/>
              <w:rPr>
                <w:sz w:val="19"/>
              </w:rPr>
            </w:pPr>
            <w:r>
              <w:rPr>
                <w:spacing w:val="-10"/>
                <w:sz w:val="19"/>
              </w:rPr>
              <w:t>p</w:t>
            </w:r>
          </w:p>
        </w:tc>
        <w:tc>
          <w:tcPr>
            <w:tcW w:w="1134" w:type="dxa"/>
            <w:tcBorders>
              <w:top w:val="single" w:sz="2" w:space="0" w:color="000000"/>
              <w:left w:val="single" w:sz="2" w:space="0" w:color="000000"/>
              <w:bottom w:val="single" w:sz="2" w:space="0" w:color="000000"/>
              <w:right w:val="nil"/>
            </w:tcBorders>
          </w:tcPr>
          <w:p w14:paraId="56739895" w14:textId="77777777" w:rsidR="009D54AF" w:rsidRDefault="00000000">
            <w:pPr>
              <w:pStyle w:val="TableParagraph"/>
              <w:spacing w:before="142"/>
              <w:ind w:left="2" w:right="4"/>
              <w:jc w:val="center"/>
              <w:rPr>
                <w:sz w:val="19"/>
              </w:rPr>
            </w:pPr>
            <w:r>
              <w:rPr>
                <w:spacing w:val="-10"/>
                <w:sz w:val="19"/>
              </w:rPr>
              <w:t>p</w:t>
            </w:r>
          </w:p>
        </w:tc>
      </w:tr>
      <w:tr w:rsidR="009D54AF" w14:paraId="5365DC82" w14:textId="77777777">
        <w:trPr>
          <w:trHeight w:val="505"/>
        </w:trPr>
        <w:tc>
          <w:tcPr>
            <w:tcW w:w="3402" w:type="dxa"/>
            <w:tcBorders>
              <w:top w:val="single" w:sz="2" w:space="0" w:color="000000"/>
              <w:left w:val="nil"/>
              <w:bottom w:val="single" w:sz="2" w:space="0" w:color="000000"/>
              <w:right w:val="single" w:sz="2" w:space="0" w:color="000000"/>
            </w:tcBorders>
          </w:tcPr>
          <w:p w14:paraId="5264CCF3" w14:textId="77777777" w:rsidR="009D54AF" w:rsidRDefault="00000000">
            <w:pPr>
              <w:pStyle w:val="TableParagraph"/>
              <w:spacing w:before="142"/>
              <w:ind w:left="85"/>
              <w:rPr>
                <w:sz w:val="19"/>
              </w:rPr>
            </w:pPr>
            <w:r>
              <w:rPr>
                <w:sz w:val="19"/>
              </w:rPr>
              <w:t>Dr</w:t>
            </w:r>
            <w:r>
              <w:rPr>
                <w:spacing w:val="2"/>
                <w:sz w:val="19"/>
              </w:rPr>
              <w:t xml:space="preserve"> </w:t>
            </w:r>
            <w:r>
              <w:rPr>
                <w:sz w:val="19"/>
              </w:rPr>
              <w:t>Hannah</w:t>
            </w:r>
            <w:r>
              <w:rPr>
                <w:spacing w:val="2"/>
                <w:sz w:val="19"/>
              </w:rPr>
              <w:t xml:space="preserve"> </w:t>
            </w:r>
            <w:r>
              <w:rPr>
                <w:spacing w:val="-2"/>
                <w:sz w:val="19"/>
              </w:rPr>
              <w:t>Seymour</w:t>
            </w:r>
          </w:p>
        </w:tc>
        <w:tc>
          <w:tcPr>
            <w:tcW w:w="1134" w:type="dxa"/>
            <w:tcBorders>
              <w:top w:val="single" w:sz="2" w:space="0" w:color="000000"/>
              <w:left w:val="single" w:sz="2" w:space="0" w:color="000000"/>
              <w:bottom w:val="single" w:sz="2" w:space="0" w:color="000000"/>
              <w:right w:val="single" w:sz="2" w:space="0" w:color="000000"/>
            </w:tcBorders>
          </w:tcPr>
          <w:p w14:paraId="001775B3" w14:textId="77777777" w:rsidR="009D54AF" w:rsidRDefault="00000000">
            <w:pPr>
              <w:pStyle w:val="TableParagraph"/>
              <w:spacing w:before="142"/>
              <w:ind w:left="51" w:right="51"/>
              <w:jc w:val="center"/>
              <w:rPr>
                <w:sz w:val="19"/>
              </w:rPr>
            </w:pPr>
            <w:r>
              <w:rPr>
                <w:spacing w:val="-10"/>
                <w:sz w:val="19"/>
              </w:rPr>
              <w:t>p</w:t>
            </w:r>
          </w:p>
        </w:tc>
        <w:tc>
          <w:tcPr>
            <w:tcW w:w="1134" w:type="dxa"/>
            <w:tcBorders>
              <w:top w:val="single" w:sz="2" w:space="0" w:color="000000"/>
              <w:left w:val="single" w:sz="2" w:space="0" w:color="000000"/>
              <w:bottom w:val="single" w:sz="2" w:space="0" w:color="000000"/>
              <w:right w:val="single" w:sz="2" w:space="0" w:color="000000"/>
            </w:tcBorders>
          </w:tcPr>
          <w:p w14:paraId="1F0B0B54" w14:textId="77777777" w:rsidR="009D54AF" w:rsidRDefault="00000000">
            <w:pPr>
              <w:pStyle w:val="TableParagraph"/>
              <w:spacing w:before="142"/>
              <w:ind w:left="51" w:right="52"/>
              <w:jc w:val="center"/>
              <w:rPr>
                <w:sz w:val="19"/>
              </w:rPr>
            </w:pPr>
            <w:r>
              <w:rPr>
                <w:spacing w:val="-10"/>
                <w:sz w:val="19"/>
              </w:rPr>
              <w:t>a</w:t>
            </w:r>
          </w:p>
        </w:tc>
        <w:tc>
          <w:tcPr>
            <w:tcW w:w="1134" w:type="dxa"/>
            <w:tcBorders>
              <w:top w:val="single" w:sz="2" w:space="0" w:color="000000"/>
              <w:left w:val="single" w:sz="2" w:space="0" w:color="000000"/>
              <w:bottom w:val="single" w:sz="2" w:space="0" w:color="000000"/>
              <w:right w:val="single" w:sz="2" w:space="0" w:color="000000"/>
            </w:tcBorders>
          </w:tcPr>
          <w:p w14:paraId="05BE4AF2" w14:textId="77777777" w:rsidR="009D54AF" w:rsidRDefault="00000000">
            <w:pPr>
              <w:pStyle w:val="TableParagraph"/>
              <w:spacing w:before="142"/>
              <w:ind w:left="51" w:right="52"/>
              <w:jc w:val="center"/>
              <w:rPr>
                <w:sz w:val="19"/>
              </w:rPr>
            </w:pPr>
            <w:r>
              <w:rPr>
                <w:spacing w:val="-10"/>
                <w:sz w:val="19"/>
              </w:rPr>
              <w:t>p</w:t>
            </w:r>
          </w:p>
        </w:tc>
        <w:tc>
          <w:tcPr>
            <w:tcW w:w="1134" w:type="dxa"/>
            <w:tcBorders>
              <w:top w:val="single" w:sz="2" w:space="0" w:color="000000"/>
              <w:left w:val="single" w:sz="2" w:space="0" w:color="000000"/>
              <w:bottom w:val="single" w:sz="2" w:space="0" w:color="000000"/>
              <w:right w:val="single" w:sz="2" w:space="0" w:color="000000"/>
            </w:tcBorders>
          </w:tcPr>
          <w:p w14:paraId="704DD438" w14:textId="77777777" w:rsidR="009D54AF" w:rsidRDefault="00000000">
            <w:pPr>
              <w:pStyle w:val="TableParagraph"/>
              <w:spacing w:before="142"/>
              <w:ind w:left="51" w:right="52"/>
              <w:jc w:val="center"/>
              <w:rPr>
                <w:sz w:val="19"/>
              </w:rPr>
            </w:pPr>
            <w:r>
              <w:rPr>
                <w:spacing w:val="-10"/>
                <w:sz w:val="19"/>
              </w:rPr>
              <w:t>p</w:t>
            </w:r>
          </w:p>
        </w:tc>
        <w:tc>
          <w:tcPr>
            <w:tcW w:w="1134" w:type="dxa"/>
            <w:tcBorders>
              <w:top w:val="single" w:sz="2" w:space="0" w:color="000000"/>
              <w:left w:val="single" w:sz="2" w:space="0" w:color="000000"/>
              <w:bottom w:val="single" w:sz="2" w:space="0" w:color="000000"/>
              <w:right w:val="single" w:sz="2" w:space="0" w:color="000000"/>
            </w:tcBorders>
          </w:tcPr>
          <w:p w14:paraId="74D34BEC" w14:textId="77777777" w:rsidR="009D54AF" w:rsidRDefault="00000000">
            <w:pPr>
              <w:pStyle w:val="TableParagraph"/>
              <w:spacing w:before="142"/>
              <w:ind w:left="51" w:right="51"/>
              <w:jc w:val="center"/>
              <w:rPr>
                <w:sz w:val="19"/>
              </w:rPr>
            </w:pPr>
            <w:r>
              <w:rPr>
                <w:spacing w:val="-10"/>
                <w:sz w:val="19"/>
              </w:rPr>
              <w:t>p</w:t>
            </w:r>
          </w:p>
        </w:tc>
        <w:tc>
          <w:tcPr>
            <w:tcW w:w="1134" w:type="dxa"/>
            <w:tcBorders>
              <w:top w:val="single" w:sz="2" w:space="0" w:color="000000"/>
              <w:left w:val="single" w:sz="2" w:space="0" w:color="000000"/>
              <w:bottom w:val="single" w:sz="2" w:space="0" w:color="000000"/>
              <w:right w:val="nil"/>
            </w:tcBorders>
          </w:tcPr>
          <w:p w14:paraId="69148602" w14:textId="77777777" w:rsidR="009D54AF" w:rsidRDefault="00000000">
            <w:pPr>
              <w:pStyle w:val="TableParagraph"/>
              <w:spacing w:before="142"/>
              <w:ind w:left="2" w:right="4"/>
              <w:jc w:val="center"/>
              <w:rPr>
                <w:sz w:val="19"/>
              </w:rPr>
            </w:pPr>
            <w:r>
              <w:rPr>
                <w:spacing w:val="-10"/>
                <w:sz w:val="19"/>
              </w:rPr>
              <w:t>p</w:t>
            </w:r>
          </w:p>
        </w:tc>
      </w:tr>
      <w:tr w:rsidR="009D54AF" w14:paraId="584FF256" w14:textId="77777777">
        <w:trPr>
          <w:trHeight w:val="505"/>
        </w:trPr>
        <w:tc>
          <w:tcPr>
            <w:tcW w:w="3402" w:type="dxa"/>
            <w:tcBorders>
              <w:top w:val="single" w:sz="2" w:space="0" w:color="000000"/>
              <w:left w:val="nil"/>
              <w:bottom w:val="single" w:sz="2" w:space="0" w:color="000000"/>
              <w:right w:val="single" w:sz="2" w:space="0" w:color="000000"/>
            </w:tcBorders>
          </w:tcPr>
          <w:p w14:paraId="05C942A5" w14:textId="77777777" w:rsidR="009D54AF" w:rsidRDefault="00000000">
            <w:pPr>
              <w:pStyle w:val="TableParagraph"/>
              <w:spacing w:before="142"/>
              <w:ind w:left="85"/>
              <w:rPr>
                <w:sz w:val="19"/>
              </w:rPr>
            </w:pPr>
            <w:r>
              <w:rPr>
                <w:sz w:val="19"/>
              </w:rPr>
              <w:t>Adjunct</w:t>
            </w:r>
            <w:r>
              <w:rPr>
                <w:spacing w:val="-3"/>
                <w:sz w:val="19"/>
              </w:rPr>
              <w:t xml:space="preserve"> </w:t>
            </w:r>
            <w:r>
              <w:rPr>
                <w:sz w:val="19"/>
              </w:rPr>
              <w:t>Professor</w:t>
            </w:r>
            <w:r>
              <w:rPr>
                <w:spacing w:val="-1"/>
                <w:sz w:val="19"/>
              </w:rPr>
              <w:t xml:space="preserve"> </w:t>
            </w:r>
            <w:r>
              <w:rPr>
                <w:sz w:val="19"/>
              </w:rPr>
              <w:t>Kylie</w:t>
            </w:r>
            <w:r>
              <w:rPr>
                <w:spacing w:val="-1"/>
                <w:sz w:val="19"/>
              </w:rPr>
              <w:t xml:space="preserve"> </w:t>
            </w:r>
            <w:r>
              <w:rPr>
                <w:spacing w:val="-4"/>
                <w:sz w:val="19"/>
              </w:rPr>
              <w:t>Ward</w:t>
            </w:r>
          </w:p>
        </w:tc>
        <w:tc>
          <w:tcPr>
            <w:tcW w:w="1134" w:type="dxa"/>
            <w:tcBorders>
              <w:top w:val="single" w:sz="2" w:space="0" w:color="000000"/>
              <w:left w:val="single" w:sz="2" w:space="0" w:color="000000"/>
              <w:bottom w:val="single" w:sz="2" w:space="0" w:color="000000"/>
              <w:right w:val="single" w:sz="2" w:space="0" w:color="000000"/>
            </w:tcBorders>
          </w:tcPr>
          <w:p w14:paraId="150E5822" w14:textId="77777777" w:rsidR="009D54AF" w:rsidRDefault="00000000">
            <w:pPr>
              <w:pStyle w:val="TableParagraph"/>
              <w:spacing w:before="142"/>
              <w:ind w:left="51" w:right="51"/>
              <w:jc w:val="center"/>
              <w:rPr>
                <w:sz w:val="19"/>
              </w:rPr>
            </w:pPr>
            <w:r>
              <w:rPr>
                <w:spacing w:val="-10"/>
                <w:sz w:val="19"/>
              </w:rPr>
              <w:t>l</w:t>
            </w:r>
          </w:p>
        </w:tc>
        <w:tc>
          <w:tcPr>
            <w:tcW w:w="1134" w:type="dxa"/>
            <w:tcBorders>
              <w:top w:val="single" w:sz="2" w:space="0" w:color="000000"/>
              <w:left w:val="single" w:sz="2" w:space="0" w:color="000000"/>
              <w:bottom w:val="single" w:sz="2" w:space="0" w:color="000000"/>
              <w:right w:val="single" w:sz="2" w:space="0" w:color="000000"/>
            </w:tcBorders>
          </w:tcPr>
          <w:p w14:paraId="6257DFEC" w14:textId="77777777" w:rsidR="009D54AF" w:rsidRDefault="00000000">
            <w:pPr>
              <w:pStyle w:val="TableParagraph"/>
              <w:spacing w:before="142"/>
              <w:ind w:left="51" w:right="52"/>
              <w:jc w:val="center"/>
              <w:rPr>
                <w:sz w:val="19"/>
              </w:rPr>
            </w:pPr>
            <w:r>
              <w:rPr>
                <w:spacing w:val="-10"/>
                <w:sz w:val="19"/>
              </w:rPr>
              <w:t>l</w:t>
            </w:r>
          </w:p>
        </w:tc>
        <w:tc>
          <w:tcPr>
            <w:tcW w:w="1134" w:type="dxa"/>
            <w:tcBorders>
              <w:top w:val="single" w:sz="2" w:space="0" w:color="000000"/>
              <w:left w:val="single" w:sz="2" w:space="0" w:color="000000"/>
              <w:bottom w:val="single" w:sz="2" w:space="0" w:color="000000"/>
              <w:right w:val="single" w:sz="2" w:space="0" w:color="000000"/>
            </w:tcBorders>
          </w:tcPr>
          <w:p w14:paraId="60365D30" w14:textId="77777777" w:rsidR="009D54AF" w:rsidRDefault="00000000">
            <w:pPr>
              <w:pStyle w:val="TableParagraph"/>
              <w:spacing w:before="142"/>
              <w:ind w:left="51" w:right="52"/>
              <w:jc w:val="center"/>
              <w:rPr>
                <w:sz w:val="19"/>
              </w:rPr>
            </w:pPr>
            <w:r>
              <w:rPr>
                <w:spacing w:val="-10"/>
                <w:sz w:val="19"/>
              </w:rPr>
              <w:t>l</w:t>
            </w:r>
          </w:p>
        </w:tc>
        <w:tc>
          <w:tcPr>
            <w:tcW w:w="1134" w:type="dxa"/>
            <w:tcBorders>
              <w:top w:val="single" w:sz="2" w:space="0" w:color="000000"/>
              <w:left w:val="single" w:sz="2" w:space="0" w:color="000000"/>
              <w:bottom w:val="single" w:sz="2" w:space="0" w:color="000000"/>
              <w:right w:val="single" w:sz="2" w:space="0" w:color="000000"/>
            </w:tcBorders>
          </w:tcPr>
          <w:p w14:paraId="20A1EF54" w14:textId="77777777" w:rsidR="009D54AF" w:rsidRDefault="00000000">
            <w:pPr>
              <w:pStyle w:val="TableParagraph"/>
              <w:spacing w:before="142"/>
              <w:ind w:left="58" w:right="7"/>
              <w:jc w:val="center"/>
              <w:rPr>
                <w:sz w:val="19"/>
              </w:rPr>
            </w:pPr>
            <w:r>
              <w:rPr>
                <w:spacing w:val="-10"/>
                <w:sz w:val="19"/>
              </w:rPr>
              <w:t>l</w:t>
            </w:r>
          </w:p>
        </w:tc>
        <w:tc>
          <w:tcPr>
            <w:tcW w:w="1134" w:type="dxa"/>
            <w:tcBorders>
              <w:top w:val="single" w:sz="2" w:space="0" w:color="000000"/>
              <w:left w:val="single" w:sz="2" w:space="0" w:color="000000"/>
              <w:bottom w:val="single" w:sz="2" w:space="0" w:color="000000"/>
              <w:right w:val="single" w:sz="2" w:space="0" w:color="000000"/>
            </w:tcBorders>
          </w:tcPr>
          <w:p w14:paraId="7F672AC6" w14:textId="77777777" w:rsidR="009D54AF" w:rsidRDefault="00000000">
            <w:pPr>
              <w:pStyle w:val="TableParagraph"/>
              <w:spacing w:before="142"/>
              <w:ind w:left="51" w:right="51"/>
              <w:jc w:val="center"/>
              <w:rPr>
                <w:sz w:val="19"/>
              </w:rPr>
            </w:pPr>
            <w:r>
              <w:rPr>
                <w:spacing w:val="-10"/>
                <w:sz w:val="19"/>
              </w:rPr>
              <w:t>l</w:t>
            </w:r>
          </w:p>
        </w:tc>
        <w:tc>
          <w:tcPr>
            <w:tcW w:w="1134" w:type="dxa"/>
            <w:tcBorders>
              <w:top w:val="single" w:sz="2" w:space="0" w:color="000000"/>
              <w:left w:val="single" w:sz="2" w:space="0" w:color="000000"/>
              <w:bottom w:val="single" w:sz="2" w:space="0" w:color="000000"/>
              <w:right w:val="nil"/>
            </w:tcBorders>
          </w:tcPr>
          <w:p w14:paraId="33E0F627" w14:textId="77777777" w:rsidR="009D54AF" w:rsidRDefault="00000000">
            <w:pPr>
              <w:pStyle w:val="TableParagraph"/>
              <w:spacing w:before="142"/>
              <w:ind w:left="2" w:right="4"/>
              <w:jc w:val="center"/>
              <w:rPr>
                <w:sz w:val="19"/>
              </w:rPr>
            </w:pPr>
            <w:r>
              <w:rPr>
                <w:spacing w:val="-10"/>
                <w:sz w:val="19"/>
              </w:rPr>
              <w:t>l</w:t>
            </w:r>
          </w:p>
        </w:tc>
      </w:tr>
      <w:tr w:rsidR="009D54AF" w14:paraId="24E50DBE" w14:textId="77777777">
        <w:trPr>
          <w:trHeight w:val="505"/>
        </w:trPr>
        <w:tc>
          <w:tcPr>
            <w:tcW w:w="3402" w:type="dxa"/>
            <w:tcBorders>
              <w:top w:val="single" w:sz="2" w:space="0" w:color="000000"/>
              <w:left w:val="nil"/>
              <w:bottom w:val="single" w:sz="2" w:space="0" w:color="000000"/>
              <w:right w:val="single" w:sz="2" w:space="0" w:color="000000"/>
            </w:tcBorders>
          </w:tcPr>
          <w:p w14:paraId="0E10A19D" w14:textId="77777777" w:rsidR="009D54AF" w:rsidRDefault="00000000">
            <w:pPr>
              <w:pStyle w:val="TableParagraph"/>
              <w:spacing w:before="142"/>
              <w:ind w:left="85"/>
              <w:rPr>
                <w:sz w:val="19"/>
              </w:rPr>
            </w:pPr>
            <w:r>
              <w:rPr>
                <w:sz w:val="19"/>
              </w:rPr>
              <w:t>Dr</w:t>
            </w:r>
            <w:r>
              <w:rPr>
                <w:spacing w:val="1"/>
                <w:sz w:val="19"/>
              </w:rPr>
              <w:t xml:space="preserve"> </w:t>
            </w:r>
            <w:r>
              <w:rPr>
                <w:sz w:val="19"/>
              </w:rPr>
              <w:t>Helena</w:t>
            </w:r>
            <w:r>
              <w:rPr>
                <w:spacing w:val="3"/>
                <w:sz w:val="19"/>
              </w:rPr>
              <w:t xml:space="preserve"> </w:t>
            </w:r>
            <w:r>
              <w:rPr>
                <w:spacing w:val="-2"/>
                <w:sz w:val="19"/>
              </w:rPr>
              <w:t>Williams</w:t>
            </w:r>
          </w:p>
        </w:tc>
        <w:tc>
          <w:tcPr>
            <w:tcW w:w="1134" w:type="dxa"/>
            <w:tcBorders>
              <w:top w:val="single" w:sz="2" w:space="0" w:color="000000"/>
              <w:left w:val="single" w:sz="2" w:space="0" w:color="000000"/>
              <w:bottom w:val="single" w:sz="2" w:space="0" w:color="000000"/>
              <w:right w:val="single" w:sz="2" w:space="0" w:color="000000"/>
            </w:tcBorders>
          </w:tcPr>
          <w:p w14:paraId="2F14CBBE" w14:textId="77777777" w:rsidR="009D54AF" w:rsidRDefault="00000000">
            <w:pPr>
              <w:pStyle w:val="TableParagraph"/>
              <w:spacing w:before="142"/>
              <w:ind w:left="51" w:right="51"/>
              <w:jc w:val="center"/>
              <w:rPr>
                <w:sz w:val="19"/>
              </w:rPr>
            </w:pPr>
            <w:r>
              <w:rPr>
                <w:spacing w:val="-10"/>
                <w:sz w:val="19"/>
              </w:rPr>
              <w:t>a</w:t>
            </w:r>
          </w:p>
        </w:tc>
        <w:tc>
          <w:tcPr>
            <w:tcW w:w="1134" w:type="dxa"/>
            <w:tcBorders>
              <w:top w:val="single" w:sz="2" w:space="0" w:color="000000"/>
              <w:left w:val="single" w:sz="2" w:space="0" w:color="000000"/>
              <w:bottom w:val="single" w:sz="2" w:space="0" w:color="000000"/>
              <w:right w:val="single" w:sz="2" w:space="0" w:color="000000"/>
            </w:tcBorders>
          </w:tcPr>
          <w:p w14:paraId="4BD90B58" w14:textId="77777777" w:rsidR="009D54AF" w:rsidRDefault="00000000">
            <w:pPr>
              <w:pStyle w:val="TableParagraph"/>
              <w:spacing w:before="142"/>
              <w:ind w:left="51" w:right="52"/>
              <w:jc w:val="center"/>
              <w:rPr>
                <w:sz w:val="19"/>
              </w:rPr>
            </w:pPr>
            <w:r>
              <w:rPr>
                <w:spacing w:val="-10"/>
                <w:sz w:val="19"/>
              </w:rPr>
              <w:t>p</w:t>
            </w:r>
          </w:p>
        </w:tc>
        <w:tc>
          <w:tcPr>
            <w:tcW w:w="1134" w:type="dxa"/>
            <w:tcBorders>
              <w:top w:val="single" w:sz="2" w:space="0" w:color="000000"/>
              <w:left w:val="single" w:sz="2" w:space="0" w:color="000000"/>
              <w:bottom w:val="single" w:sz="2" w:space="0" w:color="000000"/>
              <w:right w:val="single" w:sz="2" w:space="0" w:color="000000"/>
            </w:tcBorders>
          </w:tcPr>
          <w:p w14:paraId="60950835" w14:textId="77777777" w:rsidR="009D54AF" w:rsidRDefault="00000000">
            <w:pPr>
              <w:pStyle w:val="TableParagraph"/>
              <w:spacing w:before="142"/>
              <w:ind w:left="51" w:right="52"/>
              <w:jc w:val="center"/>
              <w:rPr>
                <w:sz w:val="19"/>
              </w:rPr>
            </w:pPr>
            <w:r>
              <w:rPr>
                <w:spacing w:val="-10"/>
                <w:sz w:val="19"/>
              </w:rPr>
              <w:t>p</w:t>
            </w:r>
          </w:p>
        </w:tc>
        <w:tc>
          <w:tcPr>
            <w:tcW w:w="1134" w:type="dxa"/>
            <w:tcBorders>
              <w:top w:val="single" w:sz="2" w:space="0" w:color="000000"/>
              <w:left w:val="single" w:sz="2" w:space="0" w:color="000000"/>
              <w:bottom w:val="single" w:sz="2" w:space="0" w:color="000000"/>
              <w:right w:val="single" w:sz="2" w:space="0" w:color="000000"/>
            </w:tcBorders>
          </w:tcPr>
          <w:p w14:paraId="5068BFE8" w14:textId="77777777" w:rsidR="009D54AF" w:rsidRDefault="00000000">
            <w:pPr>
              <w:pStyle w:val="TableParagraph"/>
              <w:spacing w:before="142"/>
              <w:ind w:left="51" w:right="52"/>
              <w:jc w:val="center"/>
              <w:rPr>
                <w:sz w:val="19"/>
              </w:rPr>
            </w:pPr>
            <w:r>
              <w:rPr>
                <w:spacing w:val="-10"/>
                <w:sz w:val="19"/>
              </w:rPr>
              <w:t>p</w:t>
            </w:r>
          </w:p>
        </w:tc>
        <w:tc>
          <w:tcPr>
            <w:tcW w:w="1134" w:type="dxa"/>
            <w:tcBorders>
              <w:top w:val="single" w:sz="2" w:space="0" w:color="000000"/>
              <w:left w:val="single" w:sz="2" w:space="0" w:color="000000"/>
              <w:bottom w:val="single" w:sz="2" w:space="0" w:color="000000"/>
              <w:right w:val="single" w:sz="2" w:space="0" w:color="000000"/>
            </w:tcBorders>
          </w:tcPr>
          <w:p w14:paraId="5D96FB46" w14:textId="77777777" w:rsidR="009D54AF" w:rsidRDefault="00000000">
            <w:pPr>
              <w:pStyle w:val="TableParagraph"/>
              <w:spacing w:before="142"/>
              <w:ind w:left="51" w:right="51"/>
              <w:jc w:val="center"/>
              <w:rPr>
                <w:sz w:val="19"/>
              </w:rPr>
            </w:pPr>
            <w:r>
              <w:rPr>
                <w:spacing w:val="-5"/>
                <w:sz w:val="19"/>
              </w:rPr>
              <w:t>n/a</w:t>
            </w:r>
          </w:p>
        </w:tc>
        <w:tc>
          <w:tcPr>
            <w:tcW w:w="1134" w:type="dxa"/>
            <w:tcBorders>
              <w:top w:val="single" w:sz="2" w:space="0" w:color="000000"/>
              <w:left w:val="single" w:sz="2" w:space="0" w:color="000000"/>
              <w:bottom w:val="single" w:sz="2" w:space="0" w:color="000000"/>
              <w:right w:val="nil"/>
            </w:tcBorders>
          </w:tcPr>
          <w:p w14:paraId="04329E06" w14:textId="77777777" w:rsidR="009D54AF" w:rsidRDefault="00000000">
            <w:pPr>
              <w:pStyle w:val="TableParagraph"/>
              <w:spacing w:before="142"/>
              <w:ind w:left="2" w:right="4"/>
              <w:jc w:val="center"/>
              <w:rPr>
                <w:sz w:val="19"/>
              </w:rPr>
            </w:pPr>
            <w:r>
              <w:rPr>
                <w:spacing w:val="-5"/>
                <w:sz w:val="19"/>
              </w:rPr>
              <w:t>n/a</w:t>
            </w:r>
          </w:p>
        </w:tc>
      </w:tr>
      <w:tr w:rsidR="009D54AF" w14:paraId="70E0F5C2" w14:textId="77777777">
        <w:trPr>
          <w:trHeight w:val="505"/>
        </w:trPr>
        <w:tc>
          <w:tcPr>
            <w:tcW w:w="3402" w:type="dxa"/>
            <w:tcBorders>
              <w:top w:val="single" w:sz="2" w:space="0" w:color="000000"/>
              <w:left w:val="nil"/>
              <w:bottom w:val="single" w:sz="2" w:space="0" w:color="000000"/>
              <w:right w:val="single" w:sz="2" w:space="0" w:color="000000"/>
            </w:tcBorders>
          </w:tcPr>
          <w:p w14:paraId="024D0965" w14:textId="77777777" w:rsidR="009D54AF" w:rsidRDefault="00000000">
            <w:pPr>
              <w:pStyle w:val="TableParagraph"/>
              <w:spacing w:before="142"/>
              <w:ind w:left="85"/>
              <w:rPr>
                <w:sz w:val="19"/>
              </w:rPr>
            </w:pPr>
            <w:r>
              <w:rPr>
                <w:sz w:val="19"/>
              </w:rPr>
              <w:t>Prof</w:t>
            </w:r>
            <w:r>
              <w:rPr>
                <w:spacing w:val="3"/>
                <w:sz w:val="19"/>
              </w:rPr>
              <w:t xml:space="preserve"> </w:t>
            </w:r>
            <w:r>
              <w:rPr>
                <w:sz w:val="19"/>
              </w:rPr>
              <w:t>Jeffrey</w:t>
            </w:r>
            <w:r>
              <w:rPr>
                <w:spacing w:val="3"/>
                <w:sz w:val="19"/>
              </w:rPr>
              <w:t xml:space="preserve"> </w:t>
            </w:r>
            <w:r>
              <w:rPr>
                <w:spacing w:val="-2"/>
                <w:sz w:val="19"/>
              </w:rPr>
              <w:t>Braithwaite</w:t>
            </w:r>
          </w:p>
        </w:tc>
        <w:tc>
          <w:tcPr>
            <w:tcW w:w="1134" w:type="dxa"/>
            <w:tcBorders>
              <w:top w:val="single" w:sz="2" w:space="0" w:color="000000"/>
              <w:left w:val="single" w:sz="2" w:space="0" w:color="000000"/>
              <w:bottom w:val="single" w:sz="2" w:space="0" w:color="000000"/>
              <w:right w:val="single" w:sz="2" w:space="0" w:color="000000"/>
            </w:tcBorders>
          </w:tcPr>
          <w:p w14:paraId="606E1339" w14:textId="77777777" w:rsidR="009D54AF" w:rsidRDefault="00000000">
            <w:pPr>
              <w:pStyle w:val="TableParagraph"/>
              <w:spacing w:before="142"/>
              <w:ind w:left="51" w:right="51"/>
              <w:jc w:val="center"/>
              <w:rPr>
                <w:sz w:val="19"/>
              </w:rPr>
            </w:pPr>
            <w:r>
              <w:rPr>
                <w:spacing w:val="-10"/>
                <w:sz w:val="19"/>
              </w:rPr>
              <w:t>p</w:t>
            </w:r>
          </w:p>
        </w:tc>
        <w:tc>
          <w:tcPr>
            <w:tcW w:w="1134" w:type="dxa"/>
            <w:tcBorders>
              <w:top w:val="single" w:sz="2" w:space="0" w:color="000000"/>
              <w:left w:val="single" w:sz="2" w:space="0" w:color="000000"/>
              <w:bottom w:val="single" w:sz="2" w:space="0" w:color="000000"/>
              <w:right w:val="single" w:sz="2" w:space="0" w:color="000000"/>
            </w:tcBorders>
          </w:tcPr>
          <w:p w14:paraId="79E46000" w14:textId="77777777" w:rsidR="009D54AF" w:rsidRDefault="00000000">
            <w:pPr>
              <w:pStyle w:val="TableParagraph"/>
              <w:spacing w:before="142"/>
              <w:ind w:left="51" w:right="52"/>
              <w:jc w:val="center"/>
              <w:rPr>
                <w:sz w:val="19"/>
              </w:rPr>
            </w:pPr>
            <w:r>
              <w:rPr>
                <w:spacing w:val="-10"/>
                <w:sz w:val="19"/>
              </w:rPr>
              <w:t>p</w:t>
            </w:r>
          </w:p>
        </w:tc>
        <w:tc>
          <w:tcPr>
            <w:tcW w:w="1134" w:type="dxa"/>
            <w:tcBorders>
              <w:top w:val="single" w:sz="2" w:space="0" w:color="000000"/>
              <w:left w:val="single" w:sz="2" w:space="0" w:color="000000"/>
              <w:bottom w:val="single" w:sz="2" w:space="0" w:color="000000"/>
              <w:right w:val="single" w:sz="2" w:space="0" w:color="000000"/>
            </w:tcBorders>
          </w:tcPr>
          <w:p w14:paraId="4943DF3A" w14:textId="77777777" w:rsidR="009D54AF" w:rsidRDefault="00000000">
            <w:pPr>
              <w:pStyle w:val="TableParagraph"/>
              <w:spacing w:before="142"/>
              <w:ind w:left="51" w:right="52"/>
              <w:jc w:val="center"/>
              <w:rPr>
                <w:sz w:val="19"/>
              </w:rPr>
            </w:pPr>
            <w:r>
              <w:rPr>
                <w:spacing w:val="-10"/>
                <w:sz w:val="19"/>
              </w:rPr>
              <w:t>p</w:t>
            </w:r>
          </w:p>
        </w:tc>
        <w:tc>
          <w:tcPr>
            <w:tcW w:w="1134" w:type="dxa"/>
            <w:tcBorders>
              <w:top w:val="single" w:sz="2" w:space="0" w:color="000000"/>
              <w:left w:val="single" w:sz="2" w:space="0" w:color="000000"/>
              <w:bottom w:val="single" w:sz="2" w:space="0" w:color="000000"/>
              <w:right w:val="single" w:sz="2" w:space="0" w:color="000000"/>
            </w:tcBorders>
          </w:tcPr>
          <w:p w14:paraId="4BD79E65" w14:textId="77777777" w:rsidR="009D54AF" w:rsidRDefault="00000000">
            <w:pPr>
              <w:pStyle w:val="TableParagraph"/>
              <w:spacing w:before="142"/>
              <w:ind w:left="51" w:right="52"/>
              <w:jc w:val="center"/>
              <w:rPr>
                <w:sz w:val="19"/>
              </w:rPr>
            </w:pPr>
            <w:r>
              <w:rPr>
                <w:spacing w:val="-10"/>
                <w:sz w:val="19"/>
              </w:rPr>
              <w:t>p</w:t>
            </w:r>
          </w:p>
        </w:tc>
        <w:tc>
          <w:tcPr>
            <w:tcW w:w="1134" w:type="dxa"/>
            <w:tcBorders>
              <w:top w:val="single" w:sz="2" w:space="0" w:color="000000"/>
              <w:left w:val="single" w:sz="2" w:space="0" w:color="000000"/>
              <w:bottom w:val="single" w:sz="2" w:space="0" w:color="000000"/>
              <w:right w:val="single" w:sz="2" w:space="0" w:color="000000"/>
            </w:tcBorders>
          </w:tcPr>
          <w:p w14:paraId="29E458DE" w14:textId="77777777" w:rsidR="009D54AF" w:rsidRDefault="00000000">
            <w:pPr>
              <w:pStyle w:val="TableParagraph"/>
              <w:spacing w:before="142"/>
              <w:ind w:left="51" w:right="51"/>
              <w:jc w:val="center"/>
              <w:rPr>
                <w:sz w:val="19"/>
              </w:rPr>
            </w:pPr>
            <w:r>
              <w:rPr>
                <w:spacing w:val="-10"/>
                <w:sz w:val="19"/>
              </w:rPr>
              <w:t>p</w:t>
            </w:r>
          </w:p>
        </w:tc>
        <w:tc>
          <w:tcPr>
            <w:tcW w:w="1134" w:type="dxa"/>
            <w:tcBorders>
              <w:top w:val="single" w:sz="2" w:space="0" w:color="000000"/>
              <w:left w:val="single" w:sz="2" w:space="0" w:color="000000"/>
              <w:bottom w:val="single" w:sz="2" w:space="0" w:color="000000"/>
              <w:right w:val="nil"/>
            </w:tcBorders>
          </w:tcPr>
          <w:p w14:paraId="3831FDC3" w14:textId="77777777" w:rsidR="009D54AF" w:rsidRDefault="00000000">
            <w:pPr>
              <w:pStyle w:val="TableParagraph"/>
              <w:spacing w:before="142"/>
              <w:ind w:left="2" w:right="4"/>
              <w:jc w:val="center"/>
              <w:rPr>
                <w:sz w:val="19"/>
              </w:rPr>
            </w:pPr>
            <w:r>
              <w:rPr>
                <w:spacing w:val="-10"/>
                <w:sz w:val="19"/>
              </w:rPr>
              <w:t>p</w:t>
            </w:r>
          </w:p>
        </w:tc>
      </w:tr>
      <w:tr w:rsidR="009D54AF" w14:paraId="02E3153B" w14:textId="77777777">
        <w:trPr>
          <w:trHeight w:val="505"/>
        </w:trPr>
        <w:tc>
          <w:tcPr>
            <w:tcW w:w="3402" w:type="dxa"/>
            <w:tcBorders>
              <w:top w:val="single" w:sz="2" w:space="0" w:color="000000"/>
              <w:left w:val="nil"/>
              <w:bottom w:val="single" w:sz="2" w:space="0" w:color="000000"/>
              <w:right w:val="single" w:sz="2" w:space="0" w:color="000000"/>
            </w:tcBorders>
          </w:tcPr>
          <w:p w14:paraId="0140FE1B" w14:textId="77777777" w:rsidR="009D54AF" w:rsidRDefault="00000000">
            <w:pPr>
              <w:pStyle w:val="TableParagraph"/>
              <w:spacing w:before="142"/>
              <w:ind w:left="85"/>
              <w:rPr>
                <w:sz w:val="19"/>
              </w:rPr>
            </w:pPr>
            <w:proofErr w:type="spellStart"/>
            <w:r>
              <w:rPr>
                <w:sz w:val="19"/>
              </w:rPr>
              <w:t>Ms</w:t>
            </w:r>
            <w:proofErr w:type="spellEnd"/>
            <w:r>
              <w:rPr>
                <w:sz w:val="19"/>
              </w:rPr>
              <w:t xml:space="preserve"> Leanne</w:t>
            </w:r>
            <w:r>
              <w:rPr>
                <w:spacing w:val="1"/>
                <w:sz w:val="19"/>
              </w:rPr>
              <w:t xml:space="preserve"> </w:t>
            </w:r>
            <w:r>
              <w:rPr>
                <w:spacing w:val="-2"/>
                <w:sz w:val="19"/>
              </w:rPr>
              <w:t>Wells</w:t>
            </w:r>
          </w:p>
        </w:tc>
        <w:tc>
          <w:tcPr>
            <w:tcW w:w="1134" w:type="dxa"/>
            <w:tcBorders>
              <w:top w:val="single" w:sz="2" w:space="0" w:color="000000"/>
              <w:left w:val="single" w:sz="2" w:space="0" w:color="000000"/>
              <w:bottom w:val="single" w:sz="2" w:space="0" w:color="000000"/>
              <w:right w:val="single" w:sz="2" w:space="0" w:color="000000"/>
            </w:tcBorders>
          </w:tcPr>
          <w:p w14:paraId="3560F134" w14:textId="77777777" w:rsidR="009D54AF" w:rsidRDefault="00000000">
            <w:pPr>
              <w:pStyle w:val="TableParagraph"/>
              <w:spacing w:before="142"/>
              <w:ind w:left="51" w:right="51"/>
              <w:jc w:val="center"/>
              <w:rPr>
                <w:sz w:val="19"/>
              </w:rPr>
            </w:pPr>
            <w:r>
              <w:rPr>
                <w:spacing w:val="-10"/>
                <w:sz w:val="19"/>
              </w:rPr>
              <w:t>a</w:t>
            </w:r>
          </w:p>
        </w:tc>
        <w:tc>
          <w:tcPr>
            <w:tcW w:w="1134" w:type="dxa"/>
            <w:tcBorders>
              <w:top w:val="single" w:sz="2" w:space="0" w:color="000000"/>
              <w:left w:val="single" w:sz="2" w:space="0" w:color="000000"/>
              <w:bottom w:val="single" w:sz="2" w:space="0" w:color="000000"/>
              <w:right w:val="single" w:sz="2" w:space="0" w:color="000000"/>
            </w:tcBorders>
          </w:tcPr>
          <w:p w14:paraId="631235DA" w14:textId="77777777" w:rsidR="009D54AF" w:rsidRDefault="00000000">
            <w:pPr>
              <w:pStyle w:val="TableParagraph"/>
              <w:spacing w:before="142"/>
              <w:ind w:left="51" w:right="52"/>
              <w:jc w:val="center"/>
              <w:rPr>
                <w:sz w:val="19"/>
              </w:rPr>
            </w:pPr>
            <w:r>
              <w:rPr>
                <w:spacing w:val="-10"/>
                <w:sz w:val="19"/>
              </w:rPr>
              <w:t>p</w:t>
            </w:r>
          </w:p>
        </w:tc>
        <w:tc>
          <w:tcPr>
            <w:tcW w:w="1134" w:type="dxa"/>
            <w:tcBorders>
              <w:top w:val="single" w:sz="2" w:space="0" w:color="000000"/>
              <w:left w:val="single" w:sz="2" w:space="0" w:color="000000"/>
              <w:bottom w:val="single" w:sz="2" w:space="0" w:color="000000"/>
              <w:right w:val="single" w:sz="2" w:space="0" w:color="000000"/>
            </w:tcBorders>
          </w:tcPr>
          <w:p w14:paraId="4CA8C8FE" w14:textId="77777777" w:rsidR="009D54AF" w:rsidRDefault="00000000">
            <w:pPr>
              <w:pStyle w:val="TableParagraph"/>
              <w:spacing w:before="142"/>
              <w:ind w:left="51" w:right="52"/>
              <w:jc w:val="center"/>
              <w:rPr>
                <w:sz w:val="19"/>
              </w:rPr>
            </w:pPr>
            <w:r>
              <w:rPr>
                <w:spacing w:val="-10"/>
                <w:sz w:val="19"/>
              </w:rPr>
              <w:t>p</w:t>
            </w:r>
          </w:p>
        </w:tc>
        <w:tc>
          <w:tcPr>
            <w:tcW w:w="1134" w:type="dxa"/>
            <w:tcBorders>
              <w:top w:val="single" w:sz="2" w:space="0" w:color="000000"/>
              <w:left w:val="single" w:sz="2" w:space="0" w:color="000000"/>
              <w:bottom w:val="single" w:sz="2" w:space="0" w:color="000000"/>
              <w:right w:val="single" w:sz="2" w:space="0" w:color="000000"/>
            </w:tcBorders>
          </w:tcPr>
          <w:p w14:paraId="0233A3E0" w14:textId="77777777" w:rsidR="009D54AF" w:rsidRDefault="00000000">
            <w:pPr>
              <w:pStyle w:val="TableParagraph"/>
              <w:spacing w:before="142"/>
              <w:ind w:left="51" w:right="52"/>
              <w:jc w:val="center"/>
              <w:rPr>
                <w:sz w:val="19"/>
              </w:rPr>
            </w:pPr>
            <w:r>
              <w:rPr>
                <w:spacing w:val="-10"/>
                <w:sz w:val="19"/>
              </w:rPr>
              <w:t>p</w:t>
            </w:r>
          </w:p>
        </w:tc>
        <w:tc>
          <w:tcPr>
            <w:tcW w:w="1134" w:type="dxa"/>
            <w:tcBorders>
              <w:top w:val="single" w:sz="2" w:space="0" w:color="000000"/>
              <w:left w:val="single" w:sz="2" w:space="0" w:color="000000"/>
              <w:bottom w:val="single" w:sz="2" w:space="0" w:color="000000"/>
              <w:right w:val="single" w:sz="2" w:space="0" w:color="000000"/>
            </w:tcBorders>
          </w:tcPr>
          <w:p w14:paraId="1222758F" w14:textId="77777777" w:rsidR="009D54AF" w:rsidRDefault="00000000">
            <w:pPr>
              <w:pStyle w:val="TableParagraph"/>
              <w:spacing w:before="142"/>
              <w:ind w:left="51" w:right="51"/>
              <w:jc w:val="center"/>
              <w:rPr>
                <w:sz w:val="19"/>
              </w:rPr>
            </w:pPr>
            <w:r>
              <w:rPr>
                <w:spacing w:val="-10"/>
                <w:sz w:val="19"/>
              </w:rPr>
              <w:t>p</w:t>
            </w:r>
          </w:p>
        </w:tc>
        <w:tc>
          <w:tcPr>
            <w:tcW w:w="1134" w:type="dxa"/>
            <w:tcBorders>
              <w:top w:val="single" w:sz="2" w:space="0" w:color="000000"/>
              <w:left w:val="single" w:sz="2" w:space="0" w:color="000000"/>
              <w:bottom w:val="single" w:sz="2" w:space="0" w:color="000000"/>
              <w:right w:val="nil"/>
            </w:tcBorders>
          </w:tcPr>
          <w:p w14:paraId="4F04B6BB" w14:textId="77777777" w:rsidR="009D54AF" w:rsidRDefault="00000000">
            <w:pPr>
              <w:pStyle w:val="TableParagraph"/>
              <w:spacing w:before="142"/>
              <w:ind w:left="2" w:right="4"/>
              <w:jc w:val="center"/>
              <w:rPr>
                <w:sz w:val="19"/>
              </w:rPr>
            </w:pPr>
            <w:r>
              <w:rPr>
                <w:spacing w:val="-10"/>
                <w:sz w:val="19"/>
              </w:rPr>
              <w:t>p</w:t>
            </w:r>
          </w:p>
        </w:tc>
      </w:tr>
      <w:tr w:rsidR="009D54AF" w14:paraId="14F8A0F3" w14:textId="77777777">
        <w:trPr>
          <w:trHeight w:val="505"/>
        </w:trPr>
        <w:tc>
          <w:tcPr>
            <w:tcW w:w="3402" w:type="dxa"/>
            <w:tcBorders>
              <w:top w:val="single" w:sz="2" w:space="0" w:color="000000"/>
              <w:left w:val="nil"/>
              <w:bottom w:val="single" w:sz="2" w:space="0" w:color="000000"/>
              <w:right w:val="single" w:sz="2" w:space="0" w:color="000000"/>
            </w:tcBorders>
          </w:tcPr>
          <w:p w14:paraId="5CB21E1F" w14:textId="77777777" w:rsidR="009D54AF" w:rsidRDefault="00000000">
            <w:pPr>
              <w:pStyle w:val="TableParagraph"/>
              <w:spacing w:before="142"/>
              <w:ind w:left="85"/>
              <w:rPr>
                <w:sz w:val="19"/>
              </w:rPr>
            </w:pPr>
            <w:r>
              <w:rPr>
                <w:sz w:val="19"/>
              </w:rPr>
              <w:t>Dr</w:t>
            </w:r>
            <w:r>
              <w:rPr>
                <w:spacing w:val="4"/>
                <w:sz w:val="19"/>
              </w:rPr>
              <w:t xml:space="preserve"> </w:t>
            </w:r>
            <w:r>
              <w:rPr>
                <w:sz w:val="19"/>
              </w:rPr>
              <w:t>Alicia</w:t>
            </w:r>
            <w:r>
              <w:rPr>
                <w:spacing w:val="4"/>
                <w:sz w:val="19"/>
              </w:rPr>
              <w:t xml:space="preserve"> </w:t>
            </w:r>
            <w:r>
              <w:rPr>
                <w:spacing w:val="-2"/>
                <w:sz w:val="19"/>
              </w:rPr>
              <w:t>Veasey</w:t>
            </w:r>
          </w:p>
        </w:tc>
        <w:tc>
          <w:tcPr>
            <w:tcW w:w="1134" w:type="dxa"/>
            <w:tcBorders>
              <w:top w:val="single" w:sz="2" w:space="0" w:color="000000"/>
              <w:left w:val="single" w:sz="2" w:space="0" w:color="000000"/>
              <w:bottom w:val="single" w:sz="2" w:space="0" w:color="000000"/>
              <w:right w:val="single" w:sz="2" w:space="0" w:color="000000"/>
            </w:tcBorders>
          </w:tcPr>
          <w:p w14:paraId="383A731E" w14:textId="77777777" w:rsidR="009D54AF" w:rsidRDefault="00000000">
            <w:pPr>
              <w:pStyle w:val="TableParagraph"/>
              <w:spacing w:before="142"/>
              <w:ind w:left="51" w:right="51"/>
              <w:jc w:val="center"/>
              <w:rPr>
                <w:sz w:val="19"/>
              </w:rPr>
            </w:pPr>
            <w:r>
              <w:rPr>
                <w:spacing w:val="-10"/>
                <w:sz w:val="19"/>
              </w:rPr>
              <w:t>p</w:t>
            </w:r>
          </w:p>
        </w:tc>
        <w:tc>
          <w:tcPr>
            <w:tcW w:w="1134" w:type="dxa"/>
            <w:tcBorders>
              <w:top w:val="single" w:sz="2" w:space="0" w:color="000000"/>
              <w:left w:val="single" w:sz="2" w:space="0" w:color="000000"/>
              <w:bottom w:val="single" w:sz="2" w:space="0" w:color="000000"/>
              <w:right w:val="single" w:sz="2" w:space="0" w:color="000000"/>
            </w:tcBorders>
          </w:tcPr>
          <w:p w14:paraId="355F06F0" w14:textId="77777777" w:rsidR="009D54AF" w:rsidRDefault="00000000">
            <w:pPr>
              <w:pStyle w:val="TableParagraph"/>
              <w:spacing w:before="142"/>
              <w:ind w:left="51" w:right="52"/>
              <w:jc w:val="center"/>
              <w:rPr>
                <w:sz w:val="19"/>
              </w:rPr>
            </w:pPr>
            <w:r>
              <w:rPr>
                <w:spacing w:val="-10"/>
                <w:sz w:val="19"/>
              </w:rPr>
              <w:t>a</w:t>
            </w:r>
          </w:p>
        </w:tc>
        <w:tc>
          <w:tcPr>
            <w:tcW w:w="1134" w:type="dxa"/>
            <w:tcBorders>
              <w:top w:val="single" w:sz="2" w:space="0" w:color="000000"/>
              <w:left w:val="single" w:sz="2" w:space="0" w:color="000000"/>
              <w:bottom w:val="single" w:sz="2" w:space="0" w:color="000000"/>
              <w:right w:val="single" w:sz="2" w:space="0" w:color="000000"/>
            </w:tcBorders>
          </w:tcPr>
          <w:p w14:paraId="1999F224" w14:textId="77777777" w:rsidR="009D54AF" w:rsidRDefault="00000000">
            <w:pPr>
              <w:pStyle w:val="TableParagraph"/>
              <w:spacing w:before="142"/>
              <w:ind w:left="51" w:right="52"/>
              <w:jc w:val="center"/>
              <w:rPr>
                <w:sz w:val="19"/>
              </w:rPr>
            </w:pPr>
            <w:r>
              <w:rPr>
                <w:spacing w:val="-10"/>
                <w:sz w:val="19"/>
              </w:rPr>
              <w:t>p</w:t>
            </w:r>
          </w:p>
        </w:tc>
        <w:tc>
          <w:tcPr>
            <w:tcW w:w="1134" w:type="dxa"/>
            <w:tcBorders>
              <w:top w:val="single" w:sz="2" w:space="0" w:color="000000"/>
              <w:left w:val="single" w:sz="2" w:space="0" w:color="000000"/>
              <w:bottom w:val="single" w:sz="2" w:space="0" w:color="000000"/>
              <w:right w:val="single" w:sz="2" w:space="0" w:color="000000"/>
            </w:tcBorders>
          </w:tcPr>
          <w:p w14:paraId="41EB1776" w14:textId="77777777" w:rsidR="009D54AF" w:rsidRDefault="00000000">
            <w:pPr>
              <w:pStyle w:val="TableParagraph"/>
              <w:spacing w:before="142"/>
              <w:ind w:left="51" w:right="52"/>
              <w:jc w:val="center"/>
              <w:rPr>
                <w:sz w:val="19"/>
              </w:rPr>
            </w:pPr>
            <w:r>
              <w:rPr>
                <w:spacing w:val="-10"/>
                <w:sz w:val="19"/>
              </w:rPr>
              <w:t>p</w:t>
            </w:r>
          </w:p>
        </w:tc>
        <w:tc>
          <w:tcPr>
            <w:tcW w:w="1134" w:type="dxa"/>
            <w:tcBorders>
              <w:top w:val="single" w:sz="2" w:space="0" w:color="000000"/>
              <w:left w:val="single" w:sz="2" w:space="0" w:color="000000"/>
              <w:bottom w:val="single" w:sz="2" w:space="0" w:color="000000"/>
              <w:right w:val="single" w:sz="2" w:space="0" w:color="000000"/>
            </w:tcBorders>
          </w:tcPr>
          <w:p w14:paraId="72EFCF2C" w14:textId="77777777" w:rsidR="009D54AF" w:rsidRDefault="00000000">
            <w:pPr>
              <w:pStyle w:val="TableParagraph"/>
              <w:spacing w:before="142"/>
              <w:ind w:left="51" w:right="51"/>
              <w:jc w:val="center"/>
              <w:rPr>
                <w:sz w:val="19"/>
              </w:rPr>
            </w:pPr>
            <w:r>
              <w:rPr>
                <w:spacing w:val="-10"/>
                <w:sz w:val="19"/>
              </w:rPr>
              <w:t>p</w:t>
            </w:r>
          </w:p>
        </w:tc>
        <w:tc>
          <w:tcPr>
            <w:tcW w:w="1134" w:type="dxa"/>
            <w:tcBorders>
              <w:top w:val="single" w:sz="2" w:space="0" w:color="000000"/>
              <w:left w:val="single" w:sz="2" w:space="0" w:color="000000"/>
              <w:bottom w:val="single" w:sz="2" w:space="0" w:color="000000"/>
              <w:right w:val="nil"/>
            </w:tcBorders>
          </w:tcPr>
          <w:p w14:paraId="74EBCBDC" w14:textId="77777777" w:rsidR="009D54AF" w:rsidRDefault="00000000">
            <w:pPr>
              <w:pStyle w:val="TableParagraph"/>
              <w:spacing w:before="142"/>
              <w:ind w:left="2" w:right="4"/>
              <w:jc w:val="center"/>
              <w:rPr>
                <w:sz w:val="19"/>
              </w:rPr>
            </w:pPr>
            <w:r>
              <w:rPr>
                <w:spacing w:val="-10"/>
                <w:sz w:val="19"/>
              </w:rPr>
              <w:t>p</w:t>
            </w:r>
          </w:p>
        </w:tc>
      </w:tr>
      <w:tr w:rsidR="00426F87" w14:paraId="3F54650D" w14:textId="77777777" w:rsidTr="00426F87">
        <w:trPr>
          <w:trHeight w:val="505"/>
        </w:trPr>
        <w:tc>
          <w:tcPr>
            <w:tcW w:w="3402" w:type="dxa"/>
            <w:tcBorders>
              <w:top w:val="single" w:sz="2" w:space="0" w:color="000000"/>
              <w:left w:val="nil"/>
              <w:bottom w:val="single" w:sz="4" w:space="0" w:color="000000"/>
              <w:right w:val="single" w:sz="2" w:space="0" w:color="000000"/>
            </w:tcBorders>
          </w:tcPr>
          <w:p w14:paraId="2CF21171" w14:textId="79E6A4D0" w:rsidR="00426F87" w:rsidRDefault="00426F87" w:rsidP="00426F87">
            <w:pPr>
              <w:pStyle w:val="TableParagraph"/>
              <w:spacing w:before="142"/>
              <w:ind w:left="85"/>
              <w:rPr>
                <w:sz w:val="19"/>
              </w:rPr>
            </w:pPr>
            <w:r>
              <w:rPr>
                <w:sz w:val="19"/>
              </w:rPr>
              <w:t>Dr</w:t>
            </w:r>
            <w:r>
              <w:rPr>
                <w:spacing w:val="1"/>
                <w:sz w:val="19"/>
              </w:rPr>
              <w:t xml:space="preserve"> </w:t>
            </w:r>
            <w:r>
              <w:rPr>
                <w:sz w:val="19"/>
              </w:rPr>
              <w:t>Hung</w:t>
            </w:r>
            <w:r>
              <w:rPr>
                <w:spacing w:val="1"/>
                <w:sz w:val="19"/>
              </w:rPr>
              <w:t xml:space="preserve"> </w:t>
            </w:r>
            <w:r>
              <w:rPr>
                <w:sz w:val="19"/>
              </w:rPr>
              <w:t>The</w:t>
            </w:r>
            <w:r>
              <w:rPr>
                <w:spacing w:val="2"/>
                <w:sz w:val="19"/>
              </w:rPr>
              <w:t xml:space="preserve"> </w:t>
            </w:r>
            <w:r>
              <w:rPr>
                <w:spacing w:val="-2"/>
                <w:sz w:val="19"/>
              </w:rPr>
              <w:t>Nguyen</w:t>
            </w:r>
          </w:p>
        </w:tc>
        <w:tc>
          <w:tcPr>
            <w:tcW w:w="1134" w:type="dxa"/>
            <w:tcBorders>
              <w:top w:val="single" w:sz="2" w:space="0" w:color="000000"/>
              <w:left w:val="single" w:sz="2" w:space="0" w:color="000000"/>
              <w:bottom w:val="single" w:sz="4" w:space="0" w:color="000000"/>
              <w:right w:val="single" w:sz="2" w:space="0" w:color="000000"/>
            </w:tcBorders>
          </w:tcPr>
          <w:p w14:paraId="5D93E33B" w14:textId="204DBF64" w:rsidR="00426F87" w:rsidRDefault="00426F87" w:rsidP="00426F87">
            <w:pPr>
              <w:pStyle w:val="TableParagraph"/>
              <w:spacing w:before="142"/>
              <w:ind w:left="51" w:right="51"/>
              <w:jc w:val="center"/>
              <w:rPr>
                <w:spacing w:val="-10"/>
                <w:sz w:val="19"/>
              </w:rPr>
            </w:pPr>
            <w:r>
              <w:rPr>
                <w:spacing w:val="-5"/>
                <w:sz w:val="19"/>
              </w:rPr>
              <w:t>n/a</w:t>
            </w:r>
          </w:p>
        </w:tc>
        <w:tc>
          <w:tcPr>
            <w:tcW w:w="1134" w:type="dxa"/>
            <w:tcBorders>
              <w:top w:val="single" w:sz="2" w:space="0" w:color="000000"/>
              <w:left w:val="single" w:sz="2" w:space="0" w:color="000000"/>
              <w:bottom w:val="single" w:sz="4" w:space="0" w:color="000000"/>
              <w:right w:val="single" w:sz="2" w:space="0" w:color="000000"/>
            </w:tcBorders>
          </w:tcPr>
          <w:p w14:paraId="0D813DB5" w14:textId="61B434AB" w:rsidR="00426F87" w:rsidRDefault="00426F87" w:rsidP="00426F87">
            <w:pPr>
              <w:pStyle w:val="TableParagraph"/>
              <w:spacing w:before="142"/>
              <w:ind w:left="51" w:right="52"/>
              <w:jc w:val="center"/>
              <w:rPr>
                <w:spacing w:val="-10"/>
                <w:sz w:val="19"/>
              </w:rPr>
            </w:pPr>
            <w:r>
              <w:rPr>
                <w:spacing w:val="-5"/>
                <w:sz w:val="19"/>
              </w:rPr>
              <w:t>n/a</w:t>
            </w:r>
          </w:p>
        </w:tc>
        <w:tc>
          <w:tcPr>
            <w:tcW w:w="1134" w:type="dxa"/>
            <w:tcBorders>
              <w:top w:val="single" w:sz="2" w:space="0" w:color="000000"/>
              <w:left w:val="single" w:sz="2" w:space="0" w:color="000000"/>
              <w:bottom w:val="single" w:sz="4" w:space="0" w:color="000000"/>
              <w:right w:val="single" w:sz="2" w:space="0" w:color="000000"/>
            </w:tcBorders>
          </w:tcPr>
          <w:p w14:paraId="3228F21E" w14:textId="5955800D" w:rsidR="00426F87" w:rsidRDefault="00426F87" w:rsidP="00426F87">
            <w:pPr>
              <w:pStyle w:val="TableParagraph"/>
              <w:spacing w:before="142"/>
              <w:ind w:left="51" w:right="52"/>
              <w:jc w:val="center"/>
              <w:rPr>
                <w:spacing w:val="-10"/>
                <w:sz w:val="19"/>
              </w:rPr>
            </w:pPr>
            <w:r>
              <w:rPr>
                <w:spacing w:val="-5"/>
                <w:sz w:val="19"/>
              </w:rPr>
              <w:t>n/a</w:t>
            </w:r>
          </w:p>
        </w:tc>
        <w:tc>
          <w:tcPr>
            <w:tcW w:w="1134" w:type="dxa"/>
            <w:tcBorders>
              <w:top w:val="single" w:sz="2" w:space="0" w:color="000000"/>
              <w:left w:val="single" w:sz="2" w:space="0" w:color="000000"/>
              <w:bottom w:val="single" w:sz="4" w:space="0" w:color="000000"/>
              <w:right w:val="single" w:sz="2" w:space="0" w:color="000000"/>
            </w:tcBorders>
          </w:tcPr>
          <w:p w14:paraId="67DD2690" w14:textId="401E5D32" w:rsidR="00426F87" w:rsidRDefault="00426F87" w:rsidP="00426F87">
            <w:pPr>
              <w:pStyle w:val="TableParagraph"/>
              <w:spacing w:before="142"/>
              <w:ind w:left="51" w:right="52"/>
              <w:jc w:val="center"/>
              <w:rPr>
                <w:spacing w:val="-10"/>
                <w:sz w:val="19"/>
              </w:rPr>
            </w:pPr>
            <w:r>
              <w:rPr>
                <w:spacing w:val="-5"/>
                <w:sz w:val="19"/>
              </w:rPr>
              <w:t>n/a</w:t>
            </w:r>
          </w:p>
        </w:tc>
        <w:tc>
          <w:tcPr>
            <w:tcW w:w="1134" w:type="dxa"/>
            <w:tcBorders>
              <w:top w:val="single" w:sz="2" w:space="0" w:color="000000"/>
              <w:left w:val="single" w:sz="2" w:space="0" w:color="000000"/>
              <w:bottom w:val="single" w:sz="4" w:space="0" w:color="000000"/>
              <w:right w:val="single" w:sz="2" w:space="0" w:color="000000"/>
            </w:tcBorders>
          </w:tcPr>
          <w:p w14:paraId="2A1D4EF6" w14:textId="67EA2546" w:rsidR="00426F87" w:rsidRDefault="00426F87" w:rsidP="00426F87">
            <w:pPr>
              <w:pStyle w:val="TableParagraph"/>
              <w:spacing w:before="142"/>
              <w:ind w:left="51" w:right="51"/>
              <w:jc w:val="center"/>
              <w:rPr>
                <w:spacing w:val="-10"/>
                <w:sz w:val="19"/>
              </w:rPr>
            </w:pPr>
            <w:r>
              <w:rPr>
                <w:spacing w:val="-10"/>
                <w:sz w:val="19"/>
              </w:rPr>
              <w:t>p</w:t>
            </w:r>
          </w:p>
        </w:tc>
        <w:tc>
          <w:tcPr>
            <w:tcW w:w="1134" w:type="dxa"/>
            <w:tcBorders>
              <w:top w:val="single" w:sz="2" w:space="0" w:color="000000"/>
              <w:left w:val="single" w:sz="2" w:space="0" w:color="000000"/>
              <w:bottom w:val="single" w:sz="4" w:space="0" w:color="000000"/>
              <w:right w:val="nil"/>
            </w:tcBorders>
          </w:tcPr>
          <w:p w14:paraId="416AF561" w14:textId="1CA4CDAB" w:rsidR="00426F87" w:rsidRDefault="00426F87" w:rsidP="00426F87">
            <w:pPr>
              <w:pStyle w:val="TableParagraph"/>
              <w:spacing w:before="142"/>
              <w:ind w:left="2" w:right="4"/>
              <w:jc w:val="center"/>
              <w:rPr>
                <w:spacing w:val="-10"/>
                <w:sz w:val="19"/>
              </w:rPr>
            </w:pPr>
            <w:r>
              <w:rPr>
                <w:spacing w:val="-10"/>
                <w:sz w:val="19"/>
              </w:rPr>
              <w:t>p</w:t>
            </w:r>
          </w:p>
        </w:tc>
      </w:tr>
    </w:tbl>
    <w:p w14:paraId="5BBEAD1C" w14:textId="77777777" w:rsidR="00426F87" w:rsidRDefault="00426F87" w:rsidP="00426F87">
      <w:pPr>
        <w:spacing w:before="61"/>
        <w:ind w:left="142"/>
        <w:rPr>
          <w:sz w:val="17"/>
        </w:rPr>
      </w:pPr>
      <w:r>
        <w:rPr>
          <w:b/>
          <w:sz w:val="17"/>
        </w:rPr>
        <w:t>a</w:t>
      </w:r>
      <w:r>
        <w:rPr>
          <w:b/>
          <w:spacing w:val="1"/>
          <w:sz w:val="17"/>
        </w:rPr>
        <w:t xml:space="preserve"> </w:t>
      </w:r>
      <w:r>
        <w:rPr>
          <w:sz w:val="17"/>
        </w:rPr>
        <w:t>=</w:t>
      </w:r>
      <w:r>
        <w:rPr>
          <w:spacing w:val="1"/>
          <w:sz w:val="17"/>
        </w:rPr>
        <w:t xml:space="preserve"> </w:t>
      </w:r>
      <w:r>
        <w:rPr>
          <w:sz w:val="17"/>
        </w:rPr>
        <w:t>absent;</w:t>
      </w:r>
      <w:r>
        <w:rPr>
          <w:spacing w:val="2"/>
          <w:sz w:val="17"/>
        </w:rPr>
        <w:t xml:space="preserve"> </w:t>
      </w:r>
      <w:r>
        <w:rPr>
          <w:b/>
          <w:sz w:val="17"/>
        </w:rPr>
        <w:t>l</w:t>
      </w:r>
      <w:r>
        <w:rPr>
          <w:b/>
          <w:spacing w:val="1"/>
          <w:sz w:val="17"/>
        </w:rPr>
        <w:t xml:space="preserve"> </w:t>
      </w:r>
      <w:r>
        <w:rPr>
          <w:sz w:val="17"/>
        </w:rPr>
        <w:t>=</w:t>
      </w:r>
      <w:r>
        <w:rPr>
          <w:spacing w:val="2"/>
          <w:sz w:val="17"/>
        </w:rPr>
        <w:t xml:space="preserve"> </w:t>
      </w:r>
      <w:r>
        <w:rPr>
          <w:sz w:val="17"/>
        </w:rPr>
        <w:t>leave</w:t>
      </w:r>
      <w:r>
        <w:rPr>
          <w:spacing w:val="1"/>
          <w:sz w:val="17"/>
        </w:rPr>
        <w:t xml:space="preserve"> </w:t>
      </w:r>
      <w:r>
        <w:rPr>
          <w:sz w:val="17"/>
        </w:rPr>
        <w:t>of</w:t>
      </w:r>
      <w:r>
        <w:rPr>
          <w:spacing w:val="2"/>
          <w:sz w:val="17"/>
        </w:rPr>
        <w:t xml:space="preserve"> </w:t>
      </w:r>
      <w:r>
        <w:rPr>
          <w:sz w:val="17"/>
        </w:rPr>
        <w:t>absence;</w:t>
      </w:r>
      <w:r>
        <w:rPr>
          <w:spacing w:val="1"/>
          <w:sz w:val="17"/>
        </w:rPr>
        <w:t xml:space="preserve"> </w:t>
      </w:r>
      <w:r>
        <w:rPr>
          <w:b/>
          <w:sz w:val="17"/>
        </w:rPr>
        <w:t>n/a</w:t>
      </w:r>
      <w:r>
        <w:rPr>
          <w:b/>
          <w:spacing w:val="1"/>
          <w:sz w:val="17"/>
        </w:rPr>
        <w:t xml:space="preserve"> </w:t>
      </w:r>
      <w:r>
        <w:rPr>
          <w:sz w:val="17"/>
        </w:rPr>
        <w:t>=</w:t>
      </w:r>
      <w:r>
        <w:rPr>
          <w:spacing w:val="2"/>
          <w:sz w:val="17"/>
        </w:rPr>
        <w:t xml:space="preserve"> </w:t>
      </w:r>
      <w:r>
        <w:rPr>
          <w:sz w:val="17"/>
        </w:rPr>
        <w:t>not</w:t>
      </w:r>
      <w:r>
        <w:rPr>
          <w:spacing w:val="1"/>
          <w:sz w:val="17"/>
        </w:rPr>
        <w:t xml:space="preserve"> </w:t>
      </w:r>
      <w:r>
        <w:rPr>
          <w:sz w:val="17"/>
        </w:rPr>
        <w:t>applicable;</w:t>
      </w:r>
      <w:r>
        <w:rPr>
          <w:spacing w:val="2"/>
          <w:sz w:val="17"/>
        </w:rPr>
        <w:t xml:space="preserve"> </w:t>
      </w:r>
      <w:r>
        <w:rPr>
          <w:b/>
          <w:sz w:val="17"/>
        </w:rPr>
        <w:t>p</w:t>
      </w:r>
      <w:r>
        <w:rPr>
          <w:b/>
          <w:spacing w:val="1"/>
          <w:sz w:val="17"/>
        </w:rPr>
        <w:t xml:space="preserve"> </w:t>
      </w:r>
      <w:r>
        <w:rPr>
          <w:sz w:val="17"/>
        </w:rPr>
        <w:t>=</w:t>
      </w:r>
      <w:r>
        <w:rPr>
          <w:spacing w:val="2"/>
          <w:sz w:val="17"/>
        </w:rPr>
        <w:t xml:space="preserve"> </w:t>
      </w:r>
      <w:r>
        <w:rPr>
          <w:spacing w:val="-2"/>
          <w:sz w:val="17"/>
        </w:rPr>
        <w:t>present</w:t>
      </w:r>
    </w:p>
    <w:p w14:paraId="72138AF8" w14:textId="77777777" w:rsidR="009D54AF" w:rsidRDefault="009D54AF">
      <w:pPr>
        <w:pStyle w:val="BodyText"/>
        <w:spacing w:before="159"/>
        <w:rPr>
          <w:sz w:val="17"/>
        </w:rPr>
      </w:pPr>
    </w:p>
    <w:p w14:paraId="72C748B2" w14:textId="77777777" w:rsidR="009D54AF" w:rsidRDefault="00000000">
      <w:pPr>
        <w:pStyle w:val="Heading5"/>
      </w:pPr>
      <w:r>
        <w:t>Board</w:t>
      </w:r>
      <w:r>
        <w:rPr>
          <w:spacing w:val="-6"/>
        </w:rPr>
        <w:t xml:space="preserve"> </w:t>
      </w:r>
      <w:r>
        <w:rPr>
          <w:spacing w:val="-2"/>
        </w:rPr>
        <w:t>development</w:t>
      </w:r>
    </w:p>
    <w:p w14:paraId="623CD790" w14:textId="77777777" w:rsidR="009D54AF" w:rsidRDefault="00000000">
      <w:pPr>
        <w:pStyle w:val="BodyText"/>
        <w:spacing w:before="133" w:line="278" w:lineRule="auto"/>
        <w:ind w:left="142" w:right="145"/>
      </w:pPr>
      <w:r>
        <w:t>New Board members undertake formal induction, including a meeting with the Chair and the CEO. They receive</w:t>
      </w:r>
      <w:r>
        <w:rPr>
          <w:spacing w:val="-1"/>
        </w:rPr>
        <w:t xml:space="preserve"> </w:t>
      </w:r>
      <w:r>
        <w:t>an</w:t>
      </w:r>
      <w:r>
        <w:rPr>
          <w:spacing w:val="-1"/>
        </w:rPr>
        <w:t xml:space="preserve"> </w:t>
      </w:r>
      <w:r>
        <w:t>induction</w:t>
      </w:r>
      <w:r>
        <w:rPr>
          <w:spacing w:val="-1"/>
        </w:rPr>
        <w:t xml:space="preserve"> </w:t>
      </w:r>
      <w:r>
        <w:t>manual</w:t>
      </w:r>
      <w:r>
        <w:rPr>
          <w:spacing w:val="-1"/>
        </w:rPr>
        <w:t xml:space="preserve"> </w:t>
      </w:r>
      <w:r>
        <w:t>containing</w:t>
      </w:r>
      <w:r>
        <w:rPr>
          <w:spacing w:val="-1"/>
        </w:rPr>
        <w:t xml:space="preserve"> </w:t>
      </w:r>
      <w:r>
        <w:t>the</w:t>
      </w:r>
      <w:r>
        <w:rPr>
          <w:spacing w:val="-1"/>
        </w:rPr>
        <w:t xml:space="preserve"> </w:t>
      </w:r>
      <w:r>
        <w:t>Board</w:t>
      </w:r>
      <w:r>
        <w:rPr>
          <w:spacing w:val="-1"/>
        </w:rPr>
        <w:t xml:space="preserve"> </w:t>
      </w:r>
      <w:r>
        <w:t>operating</w:t>
      </w:r>
      <w:r>
        <w:rPr>
          <w:spacing w:val="-1"/>
        </w:rPr>
        <w:t xml:space="preserve"> </w:t>
      </w:r>
      <w:r>
        <w:t>guidelines,</w:t>
      </w:r>
      <w:r>
        <w:rPr>
          <w:spacing w:val="-1"/>
        </w:rPr>
        <w:t xml:space="preserve"> </w:t>
      </w:r>
      <w:r>
        <w:t>which</w:t>
      </w:r>
      <w:r>
        <w:rPr>
          <w:spacing w:val="-1"/>
        </w:rPr>
        <w:t xml:space="preserve"> </w:t>
      </w:r>
      <w:r>
        <w:t>inform</w:t>
      </w:r>
      <w:r>
        <w:rPr>
          <w:spacing w:val="-1"/>
        </w:rPr>
        <w:t xml:space="preserve"> </w:t>
      </w:r>
      <w:r>
        <w:t>the</w:t>
      </w:r>
      <w:r>
        <w:rPr>
          <w:spacing w:val="-1"/>
        </w:rPr>
        <w:t xml:space="preserve"> </w:t>
      </w:r>
      <w:r>
        <w:t>conduct</w:t>
      </w:r>
      <w:r>
        <w:rPr>
          <w:spacing w:val="-1"/>
        </w:rPr>
        <w:t xml:space="preserve"> </w:t>
      </w:r>
      <w:r>
        <w:t>of</w:t>
      </w:r>
      <w:r>
        <w:rPr>
          <w:spacing w:val="-1"/>
        </w:rPr>
        <w:t xml:space="preserve"> </w:t>
      </w:r>
      <w:r>
        <w:t>the</w:t>
      </w:r>
      <w:r>
        <w:rPr>
          <w:spacing w:val="-1"/>
        </w:rPr>
        <w:t xml:space="preserve"> </w:t>
      </w:r>
      <w:r>
        <w:t>Board members and describe their responsibilities and duties under legislation.</w:t>
      </w:r>
    </w:p>
    <w:p w14:paraId="532695BD" w14:textId="77777777" w:rsidR="009D54AF" w:rsidRDefault="00000000">
      <w:pPr>
        <w:pStyle w:val="BodyText"/>
        <w:spacing w:before="141" w:line="278" w:lineRule="auto"/>
        <w:ind w:left="142"/>
      </w:pPr>
      <w:r>
        <w:t>Board</w:t>
      </w:r>
      <w:r>
        <w:rPr>
          <w:spacing w:val="-3"/>
        </w:rPr>
        <w:t xml:space="preserve"> </w:t>
      </w:r>
      <w:r>
        <w:t>members</w:t>
      </w:r>
      <w:r>
        <w:rPr>
          <w:spacing w:val="-3"/>
        </w:rPr>
        <w:t xml:space="preserve"> </w:t>
      </w:r>
      <w:r>
        <w:t>are</w:t>
      </w:r>
      <w:r>
        <w:rPr>
          <w:spacing w:val="-3"/>
        </w:rPr>
        <w:t xml:space="preserve"> </w:t>
      </w:r>
      <w:r>
        <w:t>encouraged</w:t>
      </w:r>
      <w:r>
        <w:rPr>
          <w:spacing w:val="-3"/>
        </w:rPr>
        <w:t xml:space="preserve"> </w:t>
      </w:r>
      <w:r>
        <w:t>to</w:t>
      </w:r>
      <w:r>
        <w:rPr>
          <w:spacing w:val="-3"/>
        </w:rPr>
        <w:t xml:space="preserve"> </w:t>
      </w:r>
      <w:r>
        <w:t>undertake</w:t>
      </w:r>
      <w:r>
        <w:rPr>
          <w:spacing w:val="-3"/>
        </w:rPr>
        <w:t xml:space="preserve"> </w:t>
      </w:r>
      <w:r>
        <w:t>ongoing</w:t>
      </w:r>
      <w:r>
        <w:rPr>
          <w:spacing w:val="-3"/>
        </w:rPr>
        <w:t xml:space="preserve"> </w:t>
      </w:r>
      <w:r>
        <w:t>professional</w:t>
      </w:r>
      <w:r>
        <w:rPr>
          <w:spacing w:val="-3"/>
        </w:rPr>
        <w:t xml:space="preserve"> </w:t>
      </w:r>
      <w:r>
        <w:t>development</w:t>
      </w:r>
      <w:r>
        <w:rPr>
          <w:spacing w:val="-3"/>
        </w:rPr>
        <w:t xml:space="preserve"> </w:t>
      </w:r>
      <w:r>
        <w:t>relevant</w:t>
      </w:r>
      <w:r>
        <w:rPr>
          <w:spacing w:val="-3"/>
        </w:rPr>
        <w:t xml:space="preserve"> </w:t>
      </w:r>
      <w:r>
        <w:t>to,</w:t>
      </w:r>
      <w:r>
        <w:rPr>
          <w:spacing w:val="-3"/>
        </w:rPr>
        <w:t xml:space="preserve"> </w:t>
      </w:r>
      <w:r>
        <w:t>and</w:t>
      </w:r>
      <w:r>
        <w:rPr>
          <w:spacing w:val="-3"/>
        </w:rPr>
        <w:t xml:space="preserve"> </w:t>
      </w:r>
      <w:r>
        <w:t>appropriate for, the Commission’s needs. The Commission supports Board members to pursue these activities.</w:t>
      </w:r>
    </w:p>
    <w:p w14:paraId="0A4B591E" w14:textId="77777777" w:rsidR="009D54AF" w:rsidRDefault="009D54AF">
      <w:pPr>
        <w:pStyle w:val="BodyText"/>
        <w:spacing w:before="66"/>
      </w:pPr>
    </w:p>
    <w:p w14:paraId="07A68521" w14:textId="77777777" w:rsidR="009D54AF" w:rsidRDefault="00000000">
      <w:pPr>
        <w:pStyle w:val="Heading5"/>
      </w:pPr>
      <w:r>
        <w:t>Ethical</w:t>
      </w:r>
      <w:r>
        <w:rPr>
          <w:spacing w:val="-5"/>
        </w:rPr>
        <w:t xml:space="preserve"> </w:t>
      </w:r>
      <w:r>
        <w:rPr>
          <w:spacing w:val="-2"/>
        </w:rPr>
        <w:t>standards</w:t>
      </w:r>
    </w:p>
    <w:p w14:paraId="1A4E036E" w14:textId="77777777" w:rsidR="009D54AF" w:rsidRDefault="00000000">
      <w:pPr>
        <w:pStyle w:val="BodyText"/>
        <w:spacing w:before="133" w:line="278" w:lineRule="auto"/>
        <w:ind w:left="142" w:right="169"/>
      </w:pPr>
      <w:r>
        <w:t>The operating guidelines for the Commission’s Board provide a Board Charter that outlines the functions, duties, and responsibilities of the Board, as well as a code of conduct that defines the standard of conduct required of Board members and the ethics and values they are bound to uphold. The Duty to Disclose Interests</w:t>
      </w:r>
      <w:r>
        <w:rPr>
          <w:spacing w:val="-3"/>
        </w:rPr>
        <w:t xml:space="preserve"> </w:t>
      </w:r>
      <w:r>
        <w:t>Policy</w:t>
      </w:r>
      <w:r>
        <w:rPr>
          <w:spacing w:val="-3"/>
        </w:rPr>
        <w:t xml:space="preserve"> </w:t>
      </w:r>
      <w:r>
        <w:t>for</w:t>
      </w:r>
      <w:r>
        <w:rPr>
          <w:spacing w:val="-3"/>
        </w:rPr>
        <w:t xml:space="preserve"> </w:t>
      </w:r>
      <w:r>
        <w:t>Board</w:t>
      </w:r>
      <w:r>
        <w:rPr>
          <w:spacing w:val="-3"/>
        </w:rPr>
        <w:t xml:space="preserve"> </w:t>
      </w:r>
      <w:r>
        <w:t>Members</w:t>
      </w:r>
      <w:r>
        <w:rPr>
          <w:spacing w:val="-3"/>
        </w:rPr>
        <w:t xml:space="preserve"> </w:t>
      </w:r>
      <w:r>
        <w:t>requires</w:t>
      </w:r>
      <w:r>
        <w:rPr>
          <w:spacing w:val="-3"/>
        </w:rPr>
        <w:t xml:space="preserve"> </w:t>
      </w:r>
      <w:r>
        <w:t>them</w:t>
      </w:r>
      <w:r>
        <w:rPr>
          <w:spacing w:val="-3"/>
        </w:rPr>
        <w:t xml:space="preserve"> </w:t>
      </w:r>
      <w:r>
        <w:t>to</w:t>
      </w:r>
      <w:r>
        <w:rPr>
          <w:spacing w:val="-3"/>
        </w:rPr>
        <w:t xml:space="preserve"> </w:t>
      </w:r>
      <w:proofErr w:type="spellStart"/>
      <w:r>
        <w:t>recognise</w:t>
      </w:r>
      <w:proofErr w:type="spellEnd"/>
      <w:r>
        <w:t>,</w:t>
      </w:r>
      <w:r>
        <w:rPr>
          <w:spacing w:val="-3"/>
        </w:rPr>
        <w:t xml:space="preserve"> </w:t>
      </w:r>
      <w:r>
        <w:t>declare</w:t>
      </w:r>
      <w:r>
        <w:rPr>
          <w:spacing w:val="-3"/>
        </w:rPr>
        <w:t xml:space="preserve"> </w:t>
      </w:r>
      <w:r>
        <w:t>and</w:t>
      </w:r>
      <w:r>
        <w:rPr>
          <w:spacing w:val="-3"/>
        </w:rPr>
        <w:t xml:space="preserve"> </w:t>
      </w:r>
      <w:r>
        <w:t>take</w:t>
      </w:r>
      <w:r>
        <w:rPr>
          <w:spacing w:val="-3"/>
        </w:rPr>
        <w:t xml:space="preserve"> </w:t>
      </w:r>
      <w:r>
        <w:t>reasonable</w:t>
      </w:r>
      <w:r>
        <w:rPr>
          <w:spacing w:val="-3"/>
        </w:rPr>
        <w:t xml:space="preserve"> </w:t>
      </w:r>
      <w:r>
        <w:t>steps</w:t>
      </w:r>
      <w:r>
        <w:rPr>
          <w:spacing w:val="-3"/>
        </w:rPr>
        <w:t xml:space="preserve"> </w:t>
      </w:r>
      <w:r>
        <w:t>to</w:t>
      </w:r>
      <w:r>
        <w:rPr>
          <w:spacing w:val="-3"/>
        </w:rPr>
        <w:t xml:space="preserve"> </w:t>
      </w:r>
      <w:r>
        <w:t>avoid</w:t>
      </w:r>
      <w:r>
        <w:rPr>
          <w:spacing w:val="-3"/>
        </w:rPr>
        <w:t xml:space="preserve"> </w:t>
      </w:r>
      <w:r>
        <w:t>or appropriately manage any conflicts of interest. This includes the duty to disclose material personal interests</w:t>
      </w:r>
      <w:r>
        <w:rPr>
          <w:spacing w:val="40"/>
        </w:rPr>
        <w:t xml:space="preserve"> </w:t>
      </w:r>
      <w:r>
        <w:t xml:space="preserve">as required under section 29 of the </w:t>
      </w:r>
      <w:r>
        <w:rPr>
          <w:i/>
        </w:rPr>
        <w:t>Public Governance, Performance and Accountability Act 2013</w:t>
      </w:r>
      <w:r>
        <w:t>.</w:t>
      </w:r>
    </w:p>
    <w:p w14:paraId="475DB3F6" w14:textId="77777777" w:rsidR="00426F87" w:rsidRDefault="00426F87">
      <w:pPr>
        <w:rPr>
          <w:b/>
          <w:bCs/>
          <w:spacing w:val="-2"/>
          <w:sz w:val="40"/>
          <w:szCs w:val="40"/>
        </w:rPr>
      </w:pPr>
      <w:bookmarkStart w:id="47" w:name="_Committees"/>
      <w:bookmarkEnd w:id="47"/>
      <w:r>
        <w:rPr>
          <w:spacing w:val="-2"/>
        </w:rPr>
        <w:br w:type="page"/>
      </w:r>
    </w:p>
    <w:p w14:paraId="3DE64E88" w14:textId="5A2E902B" w:rsidR="009D54AF" w:rsidRDefault="00000000">
      <w:pPr>
        <w:pStyle w:val="Heading1"/>
      </w:pPr>
      <w:bookmarkStart w:id="48" w:name="_Toc243037281"/>
      <w:r>
        <w:rPr>
          <w:spacing w:val="-2"/>
        </w:rPr>
        <w:lastRenderedPageBreak/>
        <w:t>Committees</w:t>
      </w:r>
      <w:bookmarkEnd w:id="48"/>
    </w:p>
    <w:p w14:paraId="475F7A64" w14:textId="77777777" w:rsidR="009D54AF" w:rsidRDefault="00000000">
      <w:pPr>
        <w:pStyle w:val="Heading9"/>
        <w:spacing w:line="268" w:lineRule="auto"/>
      </w:pPr>
      <w:r>
        <w:t>In</w:t>
      </w:r>
      <w:r>
        <w:rPr>
          <w:spacing w:val="-9"/>
        </w:rPr>
        <w:t xml:space="preserve"> </w:t>
      </w:r>
      <w:r>
        <w:t>2006,</w:t>
      </w:r>
      <w:r>
        <w:rPr>
          <w:spacing w:val="-9"/>
        </w:rPr>
        <w:t xml:space="preserve"> </w:t>
      </w:r>
      <w:r>
        <w:t>the</w:t>
      </w:r>
      <w:r>
        <w:rPr>
          <w:spacing w:val="-9"/>
        </w:rPr>
        <w:t xml:space="preserve"> </w:t>
      </w:r>
      <w:r>
        <w:t>Council</w:t>
      </w:r>
      <w:r>
        <w:rPr>
          <w:spacing w:val="-9"/>
        </w:rPr>
        <w:t xml:space="preserve"> </w:t>
      </w:r>
      <w:r>
        <w:t>of</w:t>
      </w:r>
      <w:r>
        <w:rPr>
          <w:spacing w:val="-9"/>
        </w:rPr>
        <w:t xml:space="preserve"> </w:t>
      </w:r>
      <w:r>
        <w:t>Australian</w:t>
      </w:r>
      <w:r>
        <w:rPr>
          <w:spacing w:val="-9"/>
        </w:rPr>
        <w:t xml:space="preserve"> </w:t>
      </w:r>
      <w:r>
        <w:t>Governments</w:t>
      </w:r>
      <w:r>
        <w:rPr>
          <w:spacing w:val="-9"/>
        </w:rPr>
        <w:t xml:space="preserve"> </w:t>
      </w:r>
      <w:r>
        <w:t>established</w:t>
      </w:r>
      <w:r>
        <w:rPr>
          <w:spacing w:val="-9"/>
        </w:rPr>
        <w:t xml:space="preserve"> </w:t>
      </w:r>
      <w:r>
        <w:t>the</w:t>
      </w:r>
      <w:r>
        <w:rPr>
          <w:spacing w:val="-9"/>
        </w:rPr>
        <w:t xml:space="preserve"> </w:t>
      </w:r>
      <w:r>
        <w:t>Commission</w:t>
      </w:r>
      <w:r>
        <w:rPr>
          <w:spacing w:val="-9"/>
        </w:rPr>
        <w:t xml:space="preserve"> </w:t>
      </w:r>
      <w:r>
        <w:t>to</w:t>
      </w:r>
      <w:r>
        <w:rPr>
          <w:spacing w:val="-9"/>
        </w:rPr>
        <w:t xml:space="preserve"> </w:t>
      </w:r>
      <w:r>
        <w:t>lead</w:t>
      </w:r>
      <w:r>
        <w:rPr>
          <w:spacing w:val="-9"/>
        </w:rPr>
        <w:t xml:space="preserve"> </w:t>
      </w:r>
      <w:r>
        <w:t>and coordinate national improvements in the safety and quality of health care.</w:t>
      </w:r>
    </w:p>
    <w:p w14:paraId="34E73701" w14:textId="77777777" w:rsidR="009D54AF" w:rsidRDefault="009D54AF">
      <w:pPr>
        <w:pStyle w:val="BodyText"/>
        <w:spacing w:before="7"/>
        <w:rPr>
          <w:sz w:val="24"/>
        </w:rPr>
      </w:pPr>
    </w:p>
    <w:p w14:paraId="2535F1B0" w14:textId="77777777" w:rsidR="009D54AF" w:rsidRDefault="00000000">
      <w:pPr>
        <w:spacing w:line="278" w:lineRule="auto"/>
        <w:ind w:left="142" w:right="214"/>
        <w:rPr>
          <w:sz w:val="21"/>
        </w:rPr>
      </w:pPr>
      <w:r>
        <w:rPr>
          <w:sz w:val="21"/>
        </w:rPr>
        <w:t>The</w:t>
      </w:r>
      <w:r>
        <w:rPr>
          <w:spacing w:val="-3"/>
          <w:sz w:val="21"/>
        </w:rPr>
        <w:t xml:space="preserve"> </w:t>
      </w:r>
      <w:r>
        <w:rPr>
          <w:sz w:val="21"/>
        </w:rPr>
        <w:t>Commission</w:t>
      </w:r>
      <w:r>
        <w:rPr>
          <w:spacing w:val="-3"/>
          <w:sz w:val="21"/>
        </w:rPr>
        <w:t xml:space="preserve"> </w:t>
      </w:r>
      <w:r>
        <w:rPr>
          <w:sz w:val="21"/>
        </w:rPr>
        <w:t>began</w:t>
      </w:r>
      <w:r>
        <w:rPr>
          <w:spacing w:val="-3"/>
          <w:sz w:val="21"/>
        </w:rPr>
        <w:t xml:space="preserve"> </w:t>
      </w:r>
      <w:r>
        <w:rPr>
          <w:sz w:val="21"/>
        </w:rPr>
        <w:t>as</w:t>
      </w:r>
      <w:r>
        <w:rPr>
          <w:spacing w:val="-3"/>
          <w:sz w:val="21"/>
        </w:rPr>
        <w:t xml:space="preserve"> </w:t>
      </w:r>
      <w:r>
        <w:rPr>
          <w:sz w:val="21"/>
        </w:rPr>
        <w:t>an</w:t>
      </w:r>
      <w:r>
        <w:rPr>
          <w:spacing w:val="-3"/>
          <w:sz w:val="21"/>
        </w:rPr>
        <w:t xml:space="preserve"> </w:t>
      </w:r>
      <w:r>
        <w:rPr>
          <w:sz w:val="21"/>
        </w:rPr>
        <w:t>independent</w:t>
      </w:r>
      <w:r>
        <w:rPr>
          <w:spacing w:val="-3"/>
          <w:sz w:val="21"/>
        </w:rPr>
        <w:t xml:space="preserve"> </w:t>
      </w:r>
      <w:r>
        <w:rPr>
          <w:sz w:val="21"/>
        </w:rPr>
        <w:t>statutory</w:t>
      </w:r>
      <w:r>
        <w:rPr>
          <w:spacing w:val="-3"/>
          <w:sz w:val="21"/>
        </w:rPr>
        <w:t xml:space="preserve"> </w:t>
      </w:r>
      <w:r>
        <w:rPr>
          <w:sz w:val="21"/>
        </w:rPr>
        <w:t>authority</w:t>
      </w:r>
      <w:r>
        <w:rPr>
          <w:spacing w:val="-3"/>
          <w:sz w:val="21"/>
        </w:rPr>
        <w:t xml:space="preserve"> </w:t>
      </w:r>
      <w:r>
        <w:rPr>
          <w:sz w:val="21"/>
        </w:rPr>
        <w:t>on</w:t>
      </w:r>
      <w:r>
        <w:rPr>
          <w:spacing w:val="-3"/>
          <w:sz w:val="21"/>
        </w:rPr>
        <w:t xml:space="preserve"> </w:t>
      </w:r>
      <w:r>
        <w:rPr>
          <w:sz w:val="21"/>
        </w:rPr>
        <w:t>1</w:t>
      </w:r>
      <w:r>
        <w:rPr>
          <w:spacing w:val="-3"/>
          <w:sz w:val="21"/>
        </w:rPr>
        <w:t xml:space="preserve"> </w:t>
      </w:r>
      <w:r>
        <w:rPr>
          <w:sz w:val="21"/>
        </w:rPr>
        <w:t>July</w:t>
      </w:r>
      <w:r>
        <w:rPr>
          <w:spacing w:val="-3"/>
          <w:sz w:val="21"/>
        </w:rPr>
        <w:t xml:space="preserve"> </w:t>
      </w:r>
      <w:r>
        <w:rPr>
          <w:sz w:val="21"/>
        </w:rPr>
        <w:t>2011,</w:t>
      </w:r>
      <w:r>
        <w:rPr>
          <w:spacing w:val="-3"/>
          <w:sz w:val="21"/>
        </w:rPr>
        <w:t xml:space="preserve"> </w:t>
      </w:r>
      <w:r>
        <w:rPr>
          <w:sz w:val="21"/>
        </w:rPr>
        <w:t>funded</w:t>
      </w:r>
      <w:r>
        <w:rPr>
          <w:spacing w:val="-3"/>
          <w:sz w:val="21"/>
        </w:rPr>
        <w:t xml:space="preserve"> </w:t>
      </w:r>
      <w:r>
        <w:rPr>
          <w:sz w:val="21"/>
        </w:rPr>
        <w:t>jointly</w:t>
      </w:r>
      <w:r>
        <w:rPr>
          <w:spacing w:val="-3"/>
          <w:sz w:val="21"/>
        </w:rPr>
        <w:t xml:space="preserve"> </w:t>
      </w:r>
      <w:r>
        <w:rPr>
          <w:sz w:val="21"/>
        </w:rPr>
        <w:t>by</w:t>
      </w:r>
      <w:r>
        <w:rPr>
          <w:spacing w:val="-3"/>
          <w:sz w:val="21"/>
        </w:rPr>
        <w:t xml:space="preserve"> </w:t>
      </w:r>
      <w:r>
        <w:rPr>
          <w:sz w:val="21"/>
        </w:rPr>
        <w:t>the</w:t>
      </w:r>
      <w:r>
        <w:rPr>
          <w:spacing w:val="-3"/>
          <w:sz w:val="21"/>
        </w:rPr>
        <w:t xml:space="preserve"> </w:t>
      </w:r>
      <w:r>
        <w:rPr>
          <w:sz w:val="21"/>
        </w:rPr>
        <w:t xml:space="preserve">Australian Government and state and territory governments. The Commission’s role, functions and responsibilities are governed by the </w:t>
      </w:r>
      <w:r>
        <w:rPr>
          <w:i/>
          <w:sz w:val="21"/>
        </w:rPr>
        <w:t>National Health Reform Act 2011</w:t>
      </w:r>
      <w:r>
        <w:rPr>
          <w:sz w:val="21"/>
        </w:rPr>
        <w:t xml:space="preserve">. The Commission is a corporate Commonwealth entity under the </w:t>
      </w:r>
      <w:r>
        <w:rPr>
          <w:i/>
          <w:sz w:val="21"/>
        </w:rPr>
        <w:t>Public Governance, Performance and Accountability Act 2013</w:t>
      </w:r>
      <w:r>
        <w:rPr>
          <w:sz w:val="21"/>
        </w:rPr>
        <w:t>.</w:t>
      </w:r>
    </w:p>
    <w:p w14:paraId="2185BBFD" w14:textId="77777777" w:rsidR="009D54AF" w:rsidRDefault="00000000">
      <w:pPr>
        <w:pStyle w:val="BodyText"/>
        <w:spacing w:before="141" w:line="278" w:lineRule="auto"/>
        <w:ind w:left="142"/>
      </w:pPr>
      <w:r>
        <w:t>The</w:t>
      </w:r>
      <w:r>
        <w:rPr>
          <w:spacing w:val="-3"/>
        </w:rPr>
        <w:t xml:space="preserve"> </w:t>
      </w:r>
      <w:r>
        <w:t>Commission’s</w:t>
      </w:r>
      <w:r>
        <w:rPr>
          <w:spacing w:val="-3"/>
        </w:rPr>
        <w:t xml:space="preserve"> </w:t>
      </w:r>
      <w:r>
        <w:t>purpose</w:t>
      </w:r>
      <w:r>
        <w:rPr>
          <w:spacing w:val="-3"/>
        </w:rPr>
        <w:t xml:space="preserve"> </w:t>
      </w:r>
      <w:r>
        <w:t>is</w:t>
      </w:r>
      <w:r>
        <w:rPr>
          <w:spacing w:val="-3"/>
        </w:rPr>
        <w:t xml:space="preserve"> </w:t>
      </w:r>
      <w:r>
        <w:t>to</w:t>
      </w:r>
      <w:r>
        <w:rPr>
          <w:spacing w:val="-3"/>
        </w:rPr>
        <w:t xml:space="preserve"> </w:t>
      </w:r>
      <w:r>
        <w:t>lead</w:t>
      </w:r>
      <w:r>
        <w:rPr>
          <w:spacing w:val="-3"/>
        </w:rPr>
        <w:t xml:space="preserve"> </w:t>
      </w:r>
      <w:r>
        <w:t>improvements</w:t>
      </w:r>
      <w:r>
        <w:rPr>
          <w:spacing w:val="-3"/>
        </w:rPr>
        <w:t xml:space="preserve"> </w:t>
      </w:r>
      <w:r>
        <w:t>in</w:t>
      </w:r>
      <w:r>
        <w:rPr>
          <w:spacing w:val="-3"/>
        </w:rPr>
        <w:t xml:space="preserve"> </w:t>
      </w:r>
      <w:r>
        <w:t>the</w:t>
      </w:r>
      <w:r>
        <w:rPr>
          <w:spacing w:val="-3"/>
        </w:rPr>
        <w:t xml:space="preserve"> </w:t>
      </w:r>
      <w:r>
        <w:t>safety</w:t>
      </w:r>
      <w:r>
        <w:rPr>
          <w:spacing w:val="-3"/>
        </w:rPr>
        <w:t xml:space="preserve"> </w:t>
      </w:r>
      <w:r>
        <w:t>and</w:t>
      </w:r>
      <w:r>
        <w:rPr>
          <w:spacing w:val="-3"/>
        </w:rPr>
        <w:t xml:space="preserve"> </w:t>
      </w:r>
      <w:r>
        <w:t>quality</w:t>
      </w:r>
      <w:r>
        <w:rPr>
          <w:spacing w:val="-3"/>
        </w:rPr>
        <w:t xml:space="preserve"> </w:t>
      </w:r>
      <w:r>
        <w:t>of</w:t>
      </w:r>
      <w:r>
        <w:rPr>
          <w:spacing w:val="-3"/>
        </w:rPr>
        <w:t xml:space="preserve"> </w:t>
      </w:r>
      <w:r>
        <w:t>health</w:t>
      </w:r>
      <w:r>
        <w:rPr>
          <w:spacing w:val="-3"/>
        </w:rPr>
        <w:t xml:space="preserve"> </w:t>
      </w:r>
      <w:r>
        <w:t>care,</w:t>
      </w:r>
      <w:r>
        <w:rPr>
          <w:spacing w:val="-3"/>
        </w:rPr>
        <w:t xml:space="preserve"> </w:t>
      </w:r>
      <w:r>
        <w:t>so</w:t>
      </w:r>
      <w:r>
        <w:rPr>
          <w:spacing w:val="-3"/>
        </w:rPr>
        <w:t xml:space="preserve"> </w:t>
      </w:r>
      <w:r>
        <w:t>all</w:t>
      </w:r>
      <w:r>
        <w:rPr>
          <w:spacing w:val="-3"/>
        </w:rPr>
        <w:t xml:space="preserve"> </w:t>
      </w:r>
      <w:r>
        <w:t>Australians receive better care, everywhere.</w:t>
      </w:r>
    </w:p>
    <w:p w14:paraId="2289A497" w14:textId="77777777" w:rsidR="009D54AF" w:rsidRDefault="00000000">
      <w:pPr>
        <w:pStyle w:val="BodyText"/>
        <w:spacing w:before="142" w:line="278" w:lineRule="auto"/>
        <w:ind w:left="142"/>
      </w:pPr>
      <w:r>
        <w:t>The</w:t>
      </w:r>
      <w:r>
        <w:rPr>
          <w:spacing w:val="-2"/>
        </w:rPr>
        <w:t xml:space="preserve"> </w:t>
      </w:r>
      <w:r>
        <w:t>Commission</w:t>
      </w:r>
      <w:r>
        <w:rPr>
          <w:spacing w:val="-2"/>
        </w:rPr>
        <w:t xml:space="preserve"> </w:t>
      </w:r>
      <w:r>
        <w:t>Board,</w:t>
      </w:r>
      <w:r>
        <w:rPr>
          <w:spacing w:val="-2"/>
        </w:rPr>
        <w:t xml:space="preserve"> </w:t>
      </w:r>
      <w:r>
        <w:t>appointed</w:t>
      </w:r>
      <w:r>
        <w:rPr>
          <w:spacing w:val="-2"/>
        </w:rPr>
        <w:t xml:space="preserve"> </w:t>
      </w:r>
      <w:r>
        <w:t>by</w:t>
      </w:r>
      <w:r>
        <w:rPr>
          <w:spacing w:val="-2"/>
        </w:rPr>
        <w:t xml:space="preserve"> </w:t>
      </w:r>
      <w:r>
        <w:t>the</w:t>
      </w:r>
      <w:r>
        <w:rPr>
          <w:spacing w:val="-2"/>
        </w:rPr>
        <w:t xml:space="preserve"> </w:t>
      </w:r>
      <w:r>
        <w:t>Minister</w:t>
      </w:r>
      <w:r>
        <w:rPr>
          <w:spacing w:val="-2"/>
        </w:rPr>
        <w:t xml:space="preserve"> </w:t>
      </w:r>
      <w:r>
        <w:t>for</w:t>
      </w:r>
      <w:r>
        <w:rPr>
          <w:spacing w:val="-2"/>
        </w:rPr>
        <w:t xml:space="preserve"> </w:t>
      </w:r>
      <w:r>
        <w:t>Health</w:t>
      </w:r>
      <w:r>
        <w:rPr>
          <w:spacing w:val="-2"/>
        </w:rPr>
        <w:t xml:space="preserve"> </w:t>
      </w:r>
      <w:r>
        <w:t>and</w:t>
      </w:r>
      <w:r>
        <w:rPr>
          <w:spacing w:val="-2"/>
        </w:rPr>
        <w:t xml:space="preserve"> </w:t>
      </w:r>
      <w:r>
        <w:t>Ageing</w:t>
      </w:r>
      <w:r>
        <w:rPr>
          <w:spacing w:val="-2"/>
        </w:rPr>
        <w:t xml:space="preserve"> </w:t>
      </w:r>
      <w:r>
        <w:t>is</w:t>
      </w:r>
      <w:r>
        <w:rPr>
          <w:spacing w:val="-2"/>
        </w:rPr>
        <w:t xml:space="preserve"> </w:t>
      </w:r>
      <w:r>
        <w:t>responsible</w:t>
      </w:r>
      <w:r>
        <w:rPr>
          <w:spacing w:val="-2"/>
        </w:rPr>
        <w:t xml:space="preserve"> </w:t>
      </w:r>
      <w:r>
        <w:t>for</w:t>
      </w:r>
      <w:r>
        <w:rPr>
          <w:spacing w:val="-2"/>
        </w:rPr>
        <w:t xml:space="preserve"> </w:t>
      </w:r>
      <w:r>
        <w:t>governing</w:t>
      </w:r>
      <w:r>
        <w:rPr>
          <w:spacing w:val="-2"/>
        </w:rPr>
        <w:t xml:space="preserve"> </w:t>
      </w:r>
      <w:r>
        <w:t>the Commission and meeting its functions and responsibilities under legislation. The Commission’s CEO is responsible for the day-to-day administration of the Commission, and reports to the Board. The CEO is supported by the Executive.</w:t>
      </w:r>
    </w:p>
    <w:p w14:paraId="157BF9DE" w14:textId="77777777" w:rsidR="009D54AF" w:rsidRDefault="00000000">
      <w:pPr>
        <w:pStyle w:val="BodyText"/>
        <w:spacing w:before="141" w:line="278" w:lineRule="auto"/>
        <w:ind w:left="142" w:right="471"/>
        <w:jc w:val="both"/>
      </w:pPr>
      <w:r>
        <w:t>In undertaking its work, the Commission is supported by the Inter-Jurisdictional Committee, which is made up of senior official representatives with appropriate skills and experience from the Australian Government Department of Health, Disability and Ageing, and each state and territory.</w:t>
      </w:r>
    </w:p>
    <w:p w14:paraId="502D784A" w14:textId="77777777" w:rsidR="009D54AF" w:rsidRDefault="00000000">
      <w:pPr>
        <w:pStyle w:val="BodyText"/>
        <w:spacing w:before="142" w:line="278" w:lineRule="auto"/>
        <w:ind w:left="142"/>
      </w:pPr>
      <w:r>
        <w:t>In</w:t>
      </w:r>
      <w:r>
        <w:rPr>
          <w:spacing w:val="-1"/>
        </w:rPr>
        <w:t xml:space="preserve"> </w:t>
      </w:r>
      <w:r>
        <w:t>addition,</w:t>
      </w:r>
      <w:r>
        <w:rPr>
          <w:spacing w:val="-1"/>
        </w:rPr>
        <w:t xml:space="preserve"> </w:t>
      </w:r>
      <w:r>
        <w:t>the</w:t>
      </w:r>
      <w:r>
        <w:rPr>
          <w:spacing w:val="-1"/>
        </w:rPr>
        <w:t xml:space="preserve"> </w:t>
      </w:r>
      <w:r>
        <w:t>Board</w:t>
      </w:r>
      <w:r>
        <w:rPr>
          <w:spacing w:val="-1"/>
        </w:rPr>
        <w:t xml:space="preserve"> </w:t>
      </w:r>
      <w:r>
        <w:t>has</w:t>
      </w:r>
      <w:r>
        <w:rPr>
          <w:spacing w:val="-1"/>
        </w:rPr>
        <w:t xml:space="preserve"> </w:t>
      </w:r>
      <w:r>
        <w:t>established</w:t>
      </w:r>
      <w:r>
        <w:rPr>
          <w:spacing w:val="-1"/>
        </w:rPr>
        <w:t xml:space="preserve"> </w:t>
      </w:r>
      <w:r>
        <w:t>two</w:t>
      </w:r>
      <w:r>
        <w:rPr>
          <w:spacing w:val="-1"/>
        </w:rPr>
        <w:t xml:space="preserve"> </w:t>
      </w:r>
      <w:r>
        <w:t>sector-specific</w:t>
      </w:r>
      <w:r>
        <w:rPr>
          <w:spacing w:val="-1"/>
        </w:rPr>
        <w:t xml:space="preserve"> </w:t>
      </w:r>
      <w:r>
        <w:t>subcommittees</w:t>
      </w:r>
      <w:r>
        <w:rPr>
          <w:spacing w:val="-1"/>
        </w:rPr>
        <w:t xml:space="preserve"> </w:t>
      </w:r>
      <w:r>
        <w:t>–</w:t>
      </w:r>
      <w:r>
        <w:rPr>
          <w:spacing w:val="-1"/>
        </w:rPr>
        <w:t xml:space="preserve"> </w:t>
      </w:r>
      <w:r>
        <w:t>the</w:t>
      </w:r>
      <w:r>
        <w:rPr>
          <w:spacing w:val="-1"/>
        </w:rPr>
        <w:t xml:space="preserve"> </w:t>
      </w:r>
      <w:r>
        <w:t>Private</w:t>
      </w:r>
      <w:r>
        <w:rPr>
          <w:spacing w:val="-1"/>
        </w:rPr>
        <w:t xml:space="preserve"> </w:t>
      </w:r>
      <w:r>
        <w:t>Hospital</w:t>
      </w:r>
      <w:r>
        <w:rPr>
          <w:spacing w:val="-1"/>
        </w:rPr>
        <w:t xml:space="preserve"> </w:t>
      </w:r>
      <w:r>
        <w:t>Sector Committee and Primary Care Committee – and an Audit and Risk Committee.</w:t>
      </w:r>
    </w:p>
    <w:p w14:paraId="7B6C8306" w14:textId="77777777" w:rsidR="009D54AF" w:rsidRDefault="00000000">
      <w:pPr>
        <w:pStyle w:val="BodyText"/>
        <w:spacing w:before="141" w:line="278" w:lineRule="auto"/>
        <w:ind w:left="142" w:right="285"/>
      </w:pPr>
      <w:r>
        <w:t>Expert advisory committees, working groups and consultants are also engaged to assist with the Commission’s functions as required.</w:t>
      </w:r>
    </w:p>
    <w:p w14:paraId="0CEB7CB6" w14:textId="77777777" w:rsidR="009D54AF" w:rsidRDefault="00000000">
      <w:pPr>
        <w:spacing w:before="142" w:line="278" w:lineRule="auto"/>
        <w:ind w:left="142" w:right="803"/>
        <w:jc w:val="both"/>
        <w:rPr>
          <w:sz w:val="21"/>
        </w:rPr>
      </w:pPr>
      <w:r>
        <w:rPr>
          <w:sz w:val="21"/>
        </w:rPr>
        <w:t xml:space="preserve">The Audit and Risk Committee helps the Board discharge its responsibilities under the </w:t>
      </w:r>
      <w:r>
        <w:rPr>
          <w:i/>
          <w:sz w:val="21"/>
        </w:rPr>
        <w:t>National Health Reform</w:t>
      </w:r>
      <w:r>
        <w:rPr>
          <w:i/>
          <w:spacing w:val="-3"/>
          <w:sz w:val="21"/>
        </w:rPr>
        <w:t xml:space="preserve"> </w:t>
      </w:r>
      <w:r>
        <w:rPr>
          <w:i/>
          <w:sz w:val="21"/>
        </w:rPr>
        <w:t>Act</w:t>
      </w:r>
      <w:r>
        <w:rPr>
          <w:i/>
          <w:spacing w:val="-3"/>
          <w:sz w:val="21"/>
        </w:rPr>
        <w:t xml:space="preserve"> </w:t>
      </w:r>
      <w:r>
        <w:rPr>
          <w:i/>
          <w:sz w:val="21"/>
        </w:rPr>
        <w:t>2011</w:t>
      </w:r>
      <w:r>
        <w:rPr>
          <w:i/>
          <w:spacing w:val="-3"/>
          <w:sz w:val="21"/>
        </w:rPr>
        <w:t xml:space="preserve"> </w:t>
      </w:r>
      <w:r>
        <w:rPr>
          <w:sz w:val="21"/>
        </w:rPr>
        <w:t>and</w:t>
      </w:r>
      <w:r>
        <w:rPr>
          <w:spacing w:val="-3"/>
          <w:sz w:val="21"/>
        </w:rPr>
        <w:t xml:space="preserve"> </w:t>
      </w:r>
      <w:r>
        <w:rPr>
          <w:sz w:val="21"/>
        </w:rPr>
        <w:t>the</w:t>
      </w:r>
      <w:r>
        <w:rPr>
          <w:spacing w:val="-3"/>
          <w:sz w:val="21"/>
        </w:rPr>
        <w:t xml:space="preserve"> </w:t>
      </w:r>
      <w:r>
        <w:rPr>
          <w:i/>
          <w:sz w:val="21"/>
        </w:rPr>
        <w:t>Public</w:t>
      </w:r>
      <w:r>
        <w:rPr>
          <w:i/>
          <w:spacing w:val="-3"/>
          <w:sz w:val="21"/>
        </w:rPr>
        <w:t xml:space="preserve"> </w:t>
      </w:r>
      <w:r>
        <w:rPr>
          <w:i/>
          <w:sz w:val="21"/>
        </w:rPr>
        <w:t>Governance,</w:t>
      </w:r>
      <w:r>
        <w:rPr>
          <w:i/>
          <w:spacing w:val="-3"/>
          <w:sz w:val="21"/>
        </w:rPr>
        <w:t xml:space="preserve"> </w:t>
      </w:r>
      <w:r>
        <w:rPr>
          <w:i/>
          <w:sz w:val="21"/>
        </w:rPr>
        <w:t>Performance</w:t>
      </w:r>
      <w:r>
        <w:rPr>
          <w:i/>
          <w:spacing w:val="-3"/>
          <w:sz w:val="21"/>
        </w:rPr>
        <w:t xml:space="preserve"> </w:t>
      </w:r>
      <w:r>
        <w:rPr>
          <w:i/>
          <w:sz w:val="21"/>
        </w:rPr>
        <w:t>and</w:t>
      </w:r>
      <w:r>
        <w:rPr>
          <w:i/>
          <w:spacing w:val="-3"/>
          <w:sz w:val="21"/>
        </w:rPr>
        <w:t xml:space="preserve"> </w:t>
      </w:r>
      <w:r>
        <w:rPr>
          <w:i/>
          <w:sz w:val="21"/>
        </w:rPr>
        <w:t>Accountability</w:t>
      </w:r>
      <w:r>
        <w:rPr>
          <w:i/>
          <w:spacing w:val="-3"/>
          <w:sz w:val="21"/>
        </w:rPr>
        <w:t xml:space="preserve"> </w:t>
      </w:r>
      <w:r>
        <w:rPr>
          <w:i/>
          <w:sz w:val="21"/>
        </w:rPr>
        <w:t>Act</w:t>
      </w:r>
      <w:r>
        <w:rPr>
          <w:i/>
          <w:spacing w:val="-3"/>
          <w:sz w:val="21"/>
        </w:rPr>
        <w:t xml:space="preserve"> </w:t>
      </w:r>
      <w:r>
        <w:rPr>
          <w:i/>
          <w:sz w:val="21"/>
        </w:rPr>
        <w:t>2013</w:t>
      </w:r>
      <w:r>
        <w:rPr>
          <w:i/>
          <w:spacing w:val="-4"/>
          <w:sz w:val="21"/>
        </w:rPr>
        <w:t xml:space="preserve"> </w:t>
      </w:r>
      <w:r>
        <w:rPr>
          <w:sz w:val="21"/>
        </w:rPr>
        <w:t>with</w:t>
      </w:r>
      <w:r>
        <w:rPr>
          <w:spacing w:val="-3"/>
          <w:sz w:val="21"/>
        </w:rPr>
        <w:t xml:space="preserve"> </w:t>
      </w:r>
      <w:r>
        <w:rPr>
          <w:sz w:val="21"/>
        </w:rPr>
        <w:t>respect</w:t>
      </w:r>
      <w:r>
        <w:rPr>
          <w:spacing w:val="-3"/>
          <w:sz w:val="21"/>
        </w:rPr>
        <w:t xml:space="preserve"> </w:t>
      </w:r>
      <w:r>
        <w:rPr>
          <w:sz w:val="21"/>
        </w:rPr>
        <w:t>to financial reporting, performance reporting, risk oversight and management, and internal control.</w:t>
      </w:r>
    </w:p>
    <w:p w14:paraId="6BF55F8B" w14:textId="77777777" w:rsidR="009D54AF" w:rsidRDefault="00000000" w:rsidP="00426F87">
      <w:pPr>
        <w:pStyle w:val="BodyText"/>
        <w:spacing w:before="180" w:line="278" w:lineRule="auto"/>
        <w:ind w:left="142" w:right="284"/>
      </w:pPr>
      <w:r>
        <w:t>The</w:t>
      </w:r>
      <w:r>
        <w:rPr>
          <w:spacing w:val="-1"/>
        </w:rPr>
        <w:t xml:space="preserve"> </w:t>
      </w:r>
      <w:r>
        <w:t>Inter-Jurisdictional</w:t>
      </w:r>
      <w:r>
        <w:rPr>
          <w:spacing w:val="-1"/>
        </w:rPr>
        <w:t xml:space="preserve"> </w:t>
      </w:r>
      <w:r>
        <w:t>Committee,</w:t>
      </w:r>
      <w:r>
        <w:rPr>
          <w:spacing w:val="-1"/>
        </w:rPr>
        <w:t xml:space="preserve"> </w:t>
      </w:r>
      <w:r>
        <w:t>Private</w:t>
      </w:r>
      <w:r>
        <w:rPr>
          <w:spacing w:val="-1"/>
        </w:rPr>
        <w:t xml:space="preserve"> </w:t>
      </w:r>
      <w:r>
        <w:t>Hospital</w:t>
      </w:r>
      <w:r>
        <w:rPr>
          <w:spacing w:val="-1"/>
        </w:rPr>
        <w:t xml:space="preserve"> </w:t>
      </w:r>
      <w:r>
        <w:t>Sector</w:t>
      </w:r>
      <w:r>
        <w:rPr>
          <w:spacing w:val="-1"/>
        </w:rPr>
        <w:t xml:space="preserve"> </w:t>
      </w:r>
      <w:r>
        <w:t>Committee</w:t>
      </w:r>
      <w:r>
        <w:rPr>
          <w:spacing w:val="-1"/>
        </w:rPr>
        <w:t xml:space="preserve"> </w:t>
      </w:r>
      <w:r>
        <w:t>and</w:t>
      </w:r>
      <w:r>
        <w:rPr>
          <w:spacing w:val="-1"/>
        </w:rPr>
        <w:t xml:space="preserve"> </w:t>
      </w:r>
      <w:r>
        <w:t>Primary</w:t>
      </w:r>
      <w:r>
        <w:rPr>
          <w:spacing w:val="-1"/>
        </w:rPr>
        <w:t xml:space="preserve"> </w:t>
      </w:r>
      <w:r>
        <w:t>Care</w:t>
      </w:r>
      <w:r>
        <w:rPr>
          <w:spacing w:val="-1"/>
        </w:rPr>
        <w:t xml:space="preserve"> </w:t>
      </w:r>
      <w:r>
        <w:t>Committee</w:t>
      </w:r>
      <w:r>
        <w:rPr>
          <w:spacing w:val="-1"/>
        </w:rPr>
        <w:t xml:space="preserve"> </w:t>
      </w:r>
      <w:r>
        <w:t>meet regularly to provide advice to the Commission and the Board on the Commission’s work, and safety and quality matters in the states and territories.</w:t>
      </w:r>
    </w:p>
    <w:p w14:paraId="3F5F4079" w14:textId="77777777" w:rsidR="009D54AF" w:rsidRDefault="00000000">
      <w:pPr>
        <w:pStyle w:val="BodyText"/>
        <w:spacing w:before="141" w:line="278" w:lineRule="auto"/>
        <w:ind w:left="142" w:right="285"/>
      </w:pPr>
      <w:r>
        <w:t>Additional</w:t>
      </w:r>
      <w:r>
        <w:rPr>
          <w:spacing w:val="-1"/>
        </w:rPr>
        <w:t xml:space="preserve"> </w:t>
      </w:r>
      <w:r>
        <w:t>sector,</w:t>
      </w:r>
      <w:r>
        <w:rPr>
          <w:spacing w:val="-1"/>
        </w:rPr>
        <w:t xml:space="preserve"> </w:t>
      </w:r>
      <w:r>
        <w:t>expert</w:t>
      </w:r>
      <w:r>
        <w:rPr>
          <w:spacing w:val="-1"/>
        </w:rPr>
        <w:t xml:space="preserve"> </w:t>
      </w:r>
      <w:r>
        <w:t>and</w:t>
      </w:r>
      <w:r>
        <w:rPr>
          <w:spacing w:val="-1"/>
        </w:rPr>
        <w:t xml:space="preserve"> </w:t>
      </w:r>
      <w:r>
        <w:t>topic-specific</w:t>
      </w:r>
      <w:r>
        <w:rPr>
          <w:spacing w:val="-1"/>
        </w:rPr>
        <w:t xml:space="preserve"> </w:t>
      </w:r>
      <w:r>
        <w:t>committees</w:t>
      </w:r>
      <w:r>
        <w:rPr>
          <w:spacing w:val="-1"/>
        </w:rPr>
        <w:t xml:space="preserve"> </w:t>
      </w:r>
      <w:r>
        <w:t>and</w:t>
      </w:r>
      <w:r>
        <w:rPr>
          <w:spacing w:val="-1"/>
        </w:rPr>
        <w:t xml:space="preserve"> </w:t>
      </w:r>
      <w:r>
        <w:t>reference</w:t>
      </w:r>
      <w:r>
        <w:rPr>
          <w:spacing w:val="-1"/>
        </w:rPr>
        <w:t xml:space="preserve"> </w:t>
      </w:r>
      <w:r>
        <w:t>groups</w:t>
      </w:r>
      <w:r>
        <w:rPr>
          <w:spacing w:val="-1"/>
        </w:rPr>
        <w:t xml:space="preserve"> </w:t>
      </w:r>
      <w:r>
        <w:t>provide</w:t>
      </w:r>
      <w:r>
        <w:rPr>
          <w:spacing w:val="-1"/>
        </w:rPr>
        <w:t xml:space="preserve"> </w:t>
      </w:r>
      <w:proofErr w:type="spellStart"/>
      <w:r>
        <w:t>specialised</w:t>
      </w:r>
      <w:proofErr w:type="spellEnd"/>
      <w:r>
        <w:rPr>
          <w:spacing w:val="-1"/>
        </w:rPr>
        <w:t xml:space="preserve"> </w:t>
      </w:r>
      <w:r>
        <w:t>advice</w:t>
      </w:r>
      <w:r>
        <w:rPr>
          <w:spacing w:val="-1"/>
        </w:rPr>
        <w:t xml:space="preserve"> </w:t>
      </w:r>
      <w:r>
        <w:t>on the Commission’s programs and projects.</w:t>
      </w:r>
    </w:p>
    <w:p w14:paraId="443927DD" w14:textId="77777777" w:rsidR="009D54AF" w:rsidRDefault="009D54AF">
      <w:pPr>
        <w:pStyle w:val="BodyText"/>
        <w:spacing w:before="66"/>
      </w:pPr>
    </w:p>
    <w:p w14:paraId="5FBB352E" w14:textId="77777777" w:rsidR="009D54AF" w:rsidRDefault="00000000">
      <w:pPr>
        <w:pStyle w:val="Heading5"/>
      </w:pPr>
      <w:r>
        <w:t>Audit</w:t>
      </w:r>
      <w:r>
        <w:rPr>
          <w:spacing w:val="-4"/>
        </w:rPr>
        <w:t xml:space="preserve"> </w:t>
      </w:r>
      <w:r>
        <w:t>and</w:t>
      </w:r>
      <w:r>
        <w:rPr>
          <w:spacing w:val="-3"/>
        </w:rPr>
        <w:t xml:space="preserve"> </w:t>
      </w:r>
      <w:r>
        <w:t>Risk</w:t>
      </w:r>
      <w:r>
        <w:rPr>
          <w:spacing w:val="-3"/>
        </w:rPr>
        <w:t xml:space="preserve"> </w:t>
      </w:r>
      <w:r>
        <w:rPr>
          <w:spacing w:val="-2"/>
        </w:rPr>
        <w:t>Committee</w:t>
      </w:r>
    </w:p>
    <w:p w14:paraId="2BF41521" w14:textId="77777777" w:rsidR="009D54AF" w:rsidRDefault="00000000">
      <w:pPr>
        <w:pStyle w:val="BodyText"/>
        <w:spacing w:before="123" w:line="268" w:lineRule="auto"/>
        <w:ind w:left="142"/>
      </w:pPr>
      <w:r>
        <w:t>The</w:t>
      </w:r>
      <w:r>
        <w:rPr>
          <w:spacing w:val="-3"/>
        </w:rPr>
        <w:t xml:space="preserve"> </w:t>
      </w:r>
      <w:r>
        <w:t>Board</w:t>
      </w:r>
      <w:r>
        <w:rPr>
          <w:spacing w:val="-3"/>
        </w:rPr>
        <w:t xml:space="preserve"> </w:t>
      </w:r>
      <w:r>
        <w:t>established</w:t>
      </w:r>
      <w:r>
        <w:rPr>
          <w:spacing w:val="-3"/>
        </w:rPr>
        <w:t xml:space="preserve"> </w:t>
      </w:r>
      <w:r>
        <w:t>the</w:t>
      </w:r>
      <w:r>
        <w:rPr>
          <w:spacing w:val="-3"/>
        </w:rPr>
        <w:t xml:space="preserve"> </w:t>
      </w:r>
      <w:r>
        <w:t>Audit</w:t>
      </w:r>
      <w:r>
        <w:rPr>
          <w:spacing w:val="-3"/>
        </w:rPr>
        <w:t xml:space="preserve"> </w:t>
      </w:r>
      <w:r>
        <w:t>and</w:t>
      </w:r>
      <w:r>
        <w:rPr>
          <w:spacing w:val="-3"/>
        </w:rPr>
        <w:t xml:space="preserve"> </w:t>
      </w:r>
      <w:r>
        <w:t>Risk</w:t>
      </w:r>
      <w:r>
        <w:rPr>
          <w:spacing w:val="-3"/>
        </w:rPr>
        <w:t xml:space="preserve"> </w:t>
      </w:r>
      <w:r>
        <w:t>Committee</w:t>
      </w:r>
      <w:r>
        <w:rPr>
          <w:spacing w:val="-6"/>
        </w:rPr>
        <w:t xml:space="preserve"> </w:t>
      </w:r>
      <w:r>
        <w:t>in</w:t>
      </w:r>
      <w:r>
        <w:rPr>
          <w:spacing w:val="-6"/>
        </w:rPr>
        <w:t xml:space="preserve"> </w:t>
      </w:r>
      <w:r>
        <w:t>compliance</w:t>
      </w:r>
      <w:r>
        <w:rPr>
          <w:spacing w:val="-6"/>
        </w:rPr>
        <w:t xml:space="preserve"> </w:t>
      </w:r>
      <w:r>
        <w:t>with</w:t>
      </w:r>
      <w:r>
        <w:rPr>
          <w:spacing w:val="-6"/>
        </w:rPr>
        <w:t xml:space="preserve"> </w:t>
      </w:r>
      <w:r>
        <w:t>section</w:t>
      </w:r>
      <w:r>
        <w:rPr>
          <w:spacing w:val="-6"/>
        </w:rPr>
        <w:t xml:space="preserve"> </w:t>
      </w:r>
      <w:r>
        <w:t>45</w:t>
      </w:r>
      <w:r>
        <w:rPr>
          <w:spacing w:val="-6"/>
        </w:rPr>
        <w:t xml:space="preserve"> </w:t>
      </w:r>
      <w:r>
        <w:t>of</w:t>
      </w:r>
      <w:r>
        <w:rPr>
          <w:spacing w:val="-3"/>
        </w:rPr>
        <w:t xml:space="preserve"> </w:t>
      </w:r>
      <w:r>
        <w:t>the</w:t>
      </w:r>
      <w:r>
        <w:rPr>
          <w:spacing w:val="-3"/>
        </w:rPr>
        <w:t xml:space="preserve"> </w:t>
      </w:r>
      <w:r>
        <w:rPr>
          <w:i/>
        </w:rPr>
        <w:t>Public</w:t>
      </w:r>
      <w:r>
        <w:rPr>
          <w:i/>
          <w:spacing w:val="-3"/>
        </w:rPr>
        <w:t xml:space="preserve"> </w:t>
      </w:r>
      <w:r>
        <w:rPr>
          <w:i/>
        </w:rPr>
        <w:t xml:space="preserve">Governance, Performance and Accountability Act 2013 </w:t>
      </w:r>
      <w:r>
        <w:t>and section 17 of the Public Governance, Performance and Accountability Rule 2014. The primary role of the committee is to help the Board discharge its responsibilities with respect to financial reporting, performance reporting, system of risk oversight and management, and system of internal control.</w:t>
      </w:r>
    </w:p>
    <w:p w14:paraId="4DDB70A6" w14:textId="77777777" w:rsidR="009D54AF" w:rsidRDefault="00000000">
      <w:pPr>
        <w:pStyle w:val="BodyText"/>
        <w:spacing w:before="139"/>
        <w:ind w:left="142"/>
      </w:pPr>
      <w:r>
        <w:t>The</w:t>
      </w:r>
      <w:r>
        <w:rPr>
          <w:spacing w:val="-7"/>
        </w:rPr>
        <w:t xml:space="preserve"> </w:t>
      </w:r>
      <w:r>
        <w:t>committee’s</w:t>
      </w:r>
      <w:r>
        <w:rPr>
          <w:spacing w:val="-7"/>
        </w:rPr>
        <w:t xml:space="preserve"> </w:t>
      </w:r>
      <w:r>
        <w:t>responsibilities</w:t>
      </w:r>
      <w:r>
        <w:rPr>
          <w:spacing w:val="-6"/>
        </w:rPr>
        <w:t xml:space="preserve"> </w:t>
      </w:r>
      <w:r>
        <w:rPr>
          <w:spacing w:val="-2"/>
        </w:rPr>
        <w:t>include:</w:t>
      </w:r>
    </w:p>
    <w:p w14:paraId="767D6C17" w14:textId="77777777" w:rsidR="009D54AF" w:rsidRDefault="00000000">
      <w:pPr>
        <w:pStyle w:val="ListParagraph"/>
        <w:numPr>
          <w:ilvl w:val="0"/>
          <w:numId w:val="18"/>
        </w:numPr>
        <w:tabs>
          <w:tab w:val="left" w:pos="424"/>
          <w:tab w:val="left" w:pos="440"/>
        </w:tabs>
        <w:spacing w:before="85" w:line="268" w:lineRule="auto"/>
        <w:ind w:right="337" w:hanging="284"/>
        <w:rPr>
          <w:sz w:val="21"/>
        </w:rPr>
      </w:pPr>
      <w:r>
        <w:rPr>
          <w:sz w:val="21"/>
        </w:rPr>
        <w:t>reviewing</w:t>
      </w:r>
      <w:r>
        <w:rPr>
          <w:spacing w:val="-2"/>
          <w:sz w:val="21"/>
        </w:rPr>
        <w:t xml:space="preserve"> </w:t>
      </w:r>
      <w:r>
        <w:rPr>
          <w:sz w:val="21"/>
        </w:rPr>
        <w:t>the</w:t>
      </w:r>
      <w:r>
        <w:rPr>
          <w:spacing w:val="-2"/>
          <w:sz w:val="21"/>
        </w:rPr>
        <w:t xml:space="preserve"> </w:t>
      </w:r>
      <w:r>
        <w:rPr>
          <w:sz w:val="21"/>
        </w:rPr>
        <w:t>appropriateness</w:t>
      </w:r>
      <w:r>
        <w:rPr>
          <w:spacing w:val="-2"/>
          <w:sz w:val="21"/>
        </w:rPr>
        <w:t xml:space="preserve"> </w:t>
      </w:r>
      <w:r>
        <w:rPr>
          <w:sz w:val="21"/>
        </w:rPr>
        <w:t>of</w:t>
      </w:r>
      <w:r>
        <w:rPr>
          <w:spacing w:val="-2"/>
          <w:sz w:val="21"/>
        </w:rPr>
        <w:t xml:space="preserve"> </w:t>
      </w:r>
      <w:r>
        <w:rPr>
          <w:sz w:val="21"/>
        </w:rPr>
        <w:t>risk</w:t>
      </w:r>
      <w:r>
        <w:rPr>
          <w:spacing w:val="-2"/>
          <w:sz w:val="21"/>
        </w:rPr>
        <w:t xml:space="preserve"> </w:t>
      </w:r>
      <w:r>
        <w:rPr>
          <w:sz w:val="21"/>
        </w:rPr>
        <w:t>management</w:t>
      </w:r>
      <w:r>
        <w:rPr>
          <w:spacing w:val="-2"/>
          <w:sz w:val="21"/>
        </w:rPr>
        <w:t xml:space="preserve"> </w:t>
      </w:r>
      <w:r>
        <w:rPr>
          <w:sz w:val="21"/>
        </w:rPr>
        <w:t>frameworks,</w:t>
      </w:r>
      <w:r>
        <w:rPr>
          <w:spacing w:val="-2"/>
          <w:sz w:val="21"/>
        </w:rPr>
        <w:t xml:space="preserve"> </w:t>
      </w:r>
      <w:r>
        <w:rPr>
          <w:sz w:val="21"/>
        </w:rPr>
        <w:t>including</w:t>
      </w:r>
      <w:r>
        <w:rPr>
          <w:spacing w:val="-2"/>
          <w:sz w:val="21"/>
        </w:rPr>
        <w:t xml:space="preserve"> </w:t>
      </w:r>
      <w:r>
        <w:rPr>
          <w:sz w:val="21"/>
        </w:rPr>
        <w:t>identification</w:t>
      </w:r>
      <w:r>
        <w:rPr>
          <w:spacing w:val="-2"/>
          <w:sz w:val="21"/>
        </w:rPr>
        <w:t xml:space="preserve"> </w:t>
      </w:r>
      <w:r>
        <w:rPr>
          <w:sz w:val="21"/>
        </w:rPr>
        <w:t>and</w:t>
      </w:r>
      <w:r>
        <w:rPr>
          <w:spacing w:val="-2"/>
          <w:sz w:val="21"/>
        </w:rPr>
        <w:t xml:space="preserve"> </w:t>
      </w:r>
      <w:r>
        <w:rPr>
          <w:sz w:val="21"/>
        </w:rPr>
        <w:t>management of the Commission’s business and financial risks (including fraud and corruption)</w:t>
      </w:r>
    </w:p>
    <w:p w14:paraId="44A89BC0" w14:textId="77777777" w:rsidR="009D54AF" w:rsidRDefault="00000000">
      <w:pPr>
        <w:pStyle w:val="ListParagraph"/>
        <w:numPr>
          <w:ilvl w:val="0"/>
          <w:numId w:val="18"/>
        </w:numPr>
        <w:tabs>
          <w:tab w:val="left" w:pos="424"/>
          <w:tab w:val="left" w:pos="440"/>
        </w:tabs>
        <w:spacing w:before="56" w:line="268" w:lineRule="auto"/>
        <w:ind w:right="577" w:hanging="284"/>
        <w:rPr>
          <w:sz w:val="21"/>
        </w:rPr>
      </w:pPr>
      <w:r>
        <w:rPr>
          <w:sz w:val="21"/>
        </w:rPr>
        <w:t>reviewing the system for monitoring the Commission’s compliance with legislation, including the</w:t>
      </w:r>
      <w:r>
        <w:rPr>
          <w:spacing w:val="80"/>
          <w:sz w:val="21"/>
        </w:rPr>
        <w:t xml:space="preserve"> </w:t>
      </w:r>
      <w:r>
        <w:rPr>
          <w:i/>
          <w:spacing w:val="-2"/>
          <w:sz w:val="21"/>
        </w:rPr>
        <w:t>Public</w:t>
      </w:r>
      <w:r>
        <w:rPr>
          <w:i/>
          <w:spacing w:val="-4"/>
          <w:sz w:val="21"/>
        </w:rPr>
        <w:t xml:space="preserve"> </w:t>
      </w:r>
      <w:r>
        <w:rPr>
          <w:i/>
          <w:spacing w:val="-2"/>
          <w:sz w:val="21"/>
        </w:rPr>
        <w:t>Governance,</w:t>
      </w:r>
      <w:r>
        <w:rPr>
          <w:i/>
          <w:spacing w:val="-4"/>
          <w:sz w:val="21"/>
        </w:rPr>
        <w:t xml:space="preserve"> </w:t>
      </w:r>
      <w:r>
        <w:rPr>
          <w:i/>
          <w:spacing w:val="-2"/>
          <w:sz w:val="21"/>
        </w:rPr>
        <w:t>Performance</w:t>
      </w:r>
      <w:r>
        <w:rPr>
          <w:i/>
          <w:spacing w:val="-4"/>
          <w:sz w:val="21"/>
        </w:rPr>
        <w:t xml:space="preserve"> </w:t>
      </w:r>
      <w:r>
        <w:rPr>
          <w:i/>
          <w:spacing w:val="-2"/>
          <w:sz w:val="21"/>
        </w:rPr>
        <w:t>and</w:t>
      </w:r>
      <w:r>
        <w:rPr>
          <w:i/>
          <w:spacing w:val="-5"/>
          <w:sz w:val="21"/>
        </w:rPr>
        <w:t xml:space="preserve"> </w:t>
      </w:r>
      <w:r>
        <w:rPr>
          <w:i/>
          <w:spacing w:val="-2"/>
          <w:sz w:val="21"/>
        </w:rPr>
        <w:t>Accountability</w:t>
      </w:r>
      <w:r>
        <w:rPr>
          <w:i/>
          <w:spacing w:val="-13"/>
          <w:sz w:val="21"/>
        </w:rPr>
        <w:t xml:space="preserve"> </w:t>
      </w:r>
      <w:r>
        <w:rPr>
          <w:i/>
          <w:spacing w:val="-2"/>
          <w:sz w:val="21"/>
        </w:rPr>
        <w:t>Act</w:t>
      </w:r>
      <w:r>
        <w:rPr>
          <w:i/>
          <w:spacing w:val="-12"/>
          <w:sz w:val="21"/>
        </w:rPr>
        <w:t xml:space="preserve"> </w:t>
      </w:r>
      <w:r>
        <w:rPr>
          <w:i/>
          <w:spacing w:val="-2"/>
          <w:sz w:val="21"/>
        </w:rPr>
        <w:t>2013</w:t>
      </w:r>
      <w:r>
        <w:rPr>
          <w:i/>
          <w:spacing w:val="-13"/>
          <w:sz w:val="21"/>
        </w:rPr>
        <w:t xml:space="preserve"> </w:t>
      </w:r>
      <w:r>
        <w:rPr>
          <w:spacing w:val="-2"/>
          <w:sz w:val="21"/>
        </w:rPr>
        <w:t>and</w:t>
      </w:r>
      <w:r>
        <w:rPr>
          <w:spacing w:val="-12"/>
          <w:sz w:val="21"/>
        </w:rPr>
        <w:t xml:space="preserve"> </w:t>
      </w:r>
      <w:r>
        <w:rPr>
          <w:spacing w:val="-2"/>
          <w:sz w:val="21"/>
        </w:rPr>
        <w:t>Public</w:t>
      </w:r>
      <w:r>
        <w:rPr>
          <w:spacing w:val="-13"/>
          <w:sz w:val="21"/>
        </w:rPr>
        <w:t xml:space="preserve"> </w:t>
      </w:r>
      <w:r>
        <w:rPr>
          <w:spacing w:val="-2"/>
          <w:sz w:val="21"/>
        </w:rPr>
        <w:t>Governance,</w:t>
      </w:r>
      <w:r>
        <w:rPr>
          <w:spacing w:val="-12"/>
          <w:sz w:val="21"/>
        </w:rPr>
        <w:t xml:space="preserve"> </w:t>
      </w:r>
      <w:r>
        <w:rPr>
          <w:spacing w:val="-2"/>
          <w:sz w:val="21"/>
        </w:rPr>
        <w:t>Performance</w:t>
      </w:r>
      <w:r>
        <w:rPr>
          <w:spacing w:val="-13"/>
          <w:sz w:val="21"/>
        </w:rPr>
        <w:t xml:space="preserve"> </w:t>
      </w:r>
      <w:r>
        <w:rPr>
          <w:spacing w:val="-2"/>
          <w:sz w:val="21"/>
        </w:rPr>
        <w:t xml:space="preserve">and </w:t>
      </w:r>
      <w:r>
        <w:rPr>
          <w:sz w:val="21"/>
        </w:rPr>
        <w:t>Accountability Rule 2014</w:t>
      </w:r>
    </w:p>
    <w:p w14:paraId="136BF616" w14:textId="77777777" w:rsidR="009D54AF" w:rsidRDefault="00000000">
      <w:pPr>
        <w:pStyle w:val="ListParagraph"/>
        <w:numPr>
          <w:ilvl w:val="0"/>
          <w:numId w:val="18"/>
        </w:numPr>
        <w:tabs>
          <w:tab w:val="left" w:pos="424"/>
          <w:tab w:val="left" w:pos="440"/>
        </w:tabs>
        <w:spacing w:before="55" w:line="268" w:lineRule="auto"/>
        <w:ind w:right="1080" w:hanging="284"/>
        <w:rPr>
          <w:sz w:val="21"/>
        </w:rPr>
      </w:pPr>
      <w:r>
        <w:rPr>
          <w:sz w:val="21"/>
        </w:rPr>
        <w:t>monitoring</w:t>
      </w:r>
      <w:r>
        <w:rPr>
          <w:spacing w:val="-3"/>
          <w:sz w:val="21"/>
        </w:rPr>
        <w:t xml:space="preserve"> </w:t>
      </w:r>
      <w:r>
        <w:rPr>
          <w:sz w:val="21"/>
        </w:rPr>
        <w:t>preparation</w:t>
      </w:r>
      <w:r>
        <w:rPr>
          <w:spacing w:val="-3"/>
          <w:sz w:val="21"/>
        </w:rPr>
        <w:t xml:space="preserve"> </w:t>
      </w:r>
      <w:r>
        <w:rPr>
          <w:sz w:val="21"/>
        </w:rPr>
        <w:t>of</w:t>
      </w:r>
      <w:r>
        <w:rPr>
          <w:spacing w:val="-3"/>
          <w:sz w:val="21"/>
        </w:rPr>
        <w:t xml:space="preserve"> </w:t>
      </w:r>
      <w:r>
        <w:rPr>
          <w:sz w:val="21"/>
        </w:rPr>
        <w:t>the</w:t>
      </w:r>
      <w:r>
        <w:rPr>
          <w:spacing w:val="-3"/>
          <w:sz w:val="21"/>
        </w:rPr>
        <w:t xml:space="preserve"> </w:t>
      </w:r>
      <w:r>
        <w:rPr>
          <w:sz w:val="21"/>
        </w:rPr>
        <w:t>Commission’s</w:t>
      </w:r>
      <w:r>
        <w:rPr>
          <w:spacing w:val="-3"/>
          <w:sz w:val="21"/>
        </w:rPr>
        <w:t xml:space="preserve"> </w:t>
      </w:r>
      <w:r>
        <w:rPr>
          <w:sz w:val="21"/>
        </w:rPr>
        <w:t>annual</w:t>
      </w:r>
      <w:r>
        <w:rPr>
          <w:spacing w:val="-3"/>
          <w:sz w:val="21"/>
        </w:rPr>
        <w:t xml:space="preserve"> </w:t>
      </w:r>
      <w:r>
        <w:rPr>
          <w:sz w:val="21"/>
        </w:rPr>
        <w:t>financial</w:t>
      </w:r>
      <w:r>
        <w:rPr>
          <w:spacing w:val="-3"/>
          <w:sz w:val="21"/>
        </w:rPr>
        <w:t xml:space="preserve"> </w:t>
      </w:r>
      <w:r>
        <w:rPr>
          <w:sz w:val="21"/>
        </w:rPr>
        <w:t>statements</w:t>
      </w:r>
      <w:r>
        <w:rPr>
          <w:spacing w:val="-3"/>
          <w:sz w:val="21"/>
        </w:rPr>
        <w:t xml:space="preserve"> </w:t>
      </w:r>
      <w:r>
        <w:rPr>
          <w:sz w:val="21"/>
        </w:rPr>
        <w:t>and</w:t>
      </w:r>
      <w:r>
        <w:rPr>
          <w:spacing w:val="-3"/>
          <w:sz w:val="21"/>
        </w:rPr>
        <w:t xml:space="preserve"> </w:t>
      </w:r>
      <w:r>
        <w:rPr>
          <w:sz w:val="21"/>
        </w:rPr>
        <w:t>recommending</w:t>
      </w:r>
      <w:r>
        <w:rPr>
          <w:spacing w:val="-3"/>
          <w:sz w:val="21"/>
        </w:rPr>
        <w:t xml:space="preserve"> </w:t>
      </w:r>
      <w:r>
        <w:rPr>
          <w:sz w:val="21"/>
        </w:rPr>
        <w:t>their acceptance by the Board</w:t>
      </w:r>
    </w:p>
    <w:p w14:paraId="2FCC5B99" w14:textId="77777777" w:rsidR="009D54AF" w:rsidRDefault="00000000">
      <w:pPr>
        <w:pStyle w:val="ListParagraph"/>
        <w:numPr>
          <w:ilvl w:val="0"/>
          <w:numId w:val="18"/>
        </w:numPr>
        <w:tabs>
          <w:tab w:val="left" w:pos="424"/>
          <w:tab w:val="left" w:pos="440"/>
        </w:tabs>
        <w:spacing w:before="56" w:line="268" w:lineRule="auto"/>
        <w:ind w:right="289" w:hanging="284"/>
        <w:rPr>
          <w:sz w:val="21"/>
        </w:rPr>
      </w:pPr>
      <w:r>
        <w:rPr>
          <w:sz w:val="21"/>
        </w:rPr>
        <w:t>reviewing</w:t>
      </w:r>
      <w:r>
        <w:rPr>
          <w:spacing w:val="-2"/>
          <w:sz w:val="21"/>
        </w:rPr>
        <w:t xml:space="preserve"> </w:t>
      </w:r>
      <w:r>
        <w:rPr>
          <w:sz w:val="21"/>
        </w:rPr>
        <w:t>the</w:t>
      </w:r>
      <w:r>
        <w:rPr>
          <w:spacing w:val="-2"/>
          <w:sz w:val="21"/>
        </w:rPr>
        <w:t xml:space="preserve"> </w:t>
      </w:r>
      <w:r>
        <w:rPr>
          <w:sz w:val="21"/>
        </w:rPr>
        <w:t>appropriateness</w:t>
      </w:r>
      <w:r>
        <w:rPr>
          <w:spacing w:val="-2"/>
          <w:sz w:val="21"/>
        </w:rPr>
        <w:t xml:space="preserve"> </w:t>
      </w:r>
      <w:r>
        <w:rPr>
          <w:sz w:val="21"/>
        </w:rPr>
        <w:t>of</w:t>
      </w:r>
      <w:r>
        <w:rPr>
          <w:spacing w:val="-2"/>
          <w:sz w:val="21"/>
        </w:rPr>
        <w:t xml:space="preserve"> </w:t>
      </w:r>
      <w:r>
        <w:rPr>
          <w:sz w:val="21"/>
        </w:rPr>
        <w:t>the</w:t>
      </w:r>
      <w:r>
        <w:rPr>
          <w:spacing w:val="-2"/>
          <w:sz w:val="21"/>
        </w:rPr>
        <w:t xml:space="preserve"> </w:t>
      </w:r>
      <w:r>
        <w:rPr>
          <w:sz w:val="21"/>
        </w:rPr>
        <w:t>Commission’s</w:t>
      </w:r>
      <w:r>
        <w:rPr>
          <w:spacing w:val="-2"/>
          <w:sz w:val="21"/>
        </w:rPr>
        <w:t xml:space="preserve"> </w:t>
      </w:r>
      <w:r>
        <w:rPr>
          <w:sz w:val="21"/>
        </w:rPr>
        <w:t>performance</w:t>
      </w:r>
      <w:r>
        <w:rPr>
          <w:spacing w:val="-2"/>
          <w:sz w:val="21"/>
        </w:rPr>
        <w:t xml:space="preserve"> </w:t>
      </w:r>
      <w:r>
        <w:rPr>
          <w:sz w:val="21"/>
        </w:rPr>
        <w:t>measures,</w:t>
      </w:r>
      <w:r>
        <w:rPr>
          <w:spacing w:val="-2"/>
          <w:sz w:val="21"/>
        </w:rPr>
        <w:t xml:space="preserve"> </w:t>
      </w:r>
      <w:r>
        <w:rPr>
          <w:sz w:val="21"/>
        </w:rPr>
        <w:t>and</w:t>
      </w:r>
      <w:r>
        <w:rPr>
          <w:spacing w:val="-2"/>
          <w:sz w:val="21"/>
        </w:rPr>
        <w:t xml:space="preserve"> </w:t>
      </w:r>
      <w:r>
        <w:rPr>
          <w:sz w:val="21"/>
        </w:rPr>
        <w:t>how</w:t>
      </w:r>
      <w:r>
        <w:rPr>
          <w:spacing w:val="-2"/>
          <w:sz w:val="21"/>
        </w:rPr>
        <w:t xml:space="preserve"> </w:t>
      </w:r>
      <w:r>
        <w:rPr>
          <w:sz w:val="21"/>
        </w:rPr>
        <w:t>these</w:t>
      </w:r>
      <w:r>
        <w:rPr>
          <w:spacing w:val="-2"/>
          <w:sz w:val="21"/>
        </w:rPr>
        <w:t xml:space="preserve"> </w:t>
      </w:r>
      <w:r>
        <w:rPr>
          <w:sz w:val="21"/>
        </w:rPr>
        <w:t>are</w:t>
      </w:r>
      <w:r>
        <w:rPr>
          <w:spacing w:val="-2"/>
          <w:sz w:val="21"/>
        </w:rPr>
        <w:t xml:space="preserve"> </w:t>
      </w:r>
      <w:r>
        <w:rPr>
          <w:sz w:val="21"/>
        </w:rPr>
        <w:t>assessed and reported</w:t>
      </w:r>
    </w:p>
    <w:p w14:paraId="4DE2B980" w14:textId="77777777" w:rsidR="009D54AF" w:rsidRDefault="00000000">
      <w:pPr>
        <w:pStyle w:val="ListParagraph"/>
        <w:numPr>
          <w:ilvl w:val="0"/>
          <w:numId w:val="18"/>
        </w:numPr>
        <w:tabs>
          <w:tab w:val="left" w:pos="424"/>
          <w:tab w:val="left" w:pos="440"/>
        </w:tabs>
        <w:spacing w:before="56" w:line="268" w:lineRule="auto"/>
        <w:ind w:right="851" w:hanging="284"/>
        <w:rPr>
          <w:sz w:val="21"/>
        </w:rPr>
      </w:pPr>
      <w:r>
        <w:rPr>
          <w:sz w:val="21"/>
        </w:rPr>
        <w:t>assessing</w:t>
      </w:r>
      <w:r>
        <w:rPr>
          <w:spacing w:val="-2"/>
          <w:sz w:val="21"/>
        </w:rPr>
        <w:t xml:space="preserve"> </w:t>
      </w:r>
      <w:r>
        <w:rPr>
          <w:sz w:val="21"/>
        </w:rPr>
        <w:t>whether</w:t>
      </w:r>
      <w:r>
        <w:rPr>
          <w:spacing w:val="-2"/>
          <w:sz w:val="21"/>
        </w:rPr>
        <w:t xml:space="preserve"> </w:t>
      </w:r>
      <w:r>
        <w:rPr>
          <w:sz w:val="21"/>
        </w:rPr>
        <w:t>relevant</w:t>
      </w:r>
      <w:r>
        <w:rPr>
          <w:spacing w:val="-2"/>
          <w:sz w:val="21"/>
        </w:rPr>
        <w:t xml:space="preserve"> </w:t>
      </w:r>
      <w:r>
        <w:rPr>
          <w:sz w:val="21"/>
        </w:rPr>
        <w:t>policies</w:t>
      </w:r>
      <w:r>
        <w:rPr>
          <w:spacing w:val="-2"/>
          <w:sz w:val="21"/>
        </w:rPr>
        <w:t xml:space="preserve"> </w:t>
      </w:r>
      <w:r>
        <w:rPr>
          <w:sz w:val="21"/>
        </w:rPr>
        <w:t>are</w:t>
      </w:r>
      <w:r>
        <w:rPr>
          <w:spacing w:val="-2"/>
          <w:sz w:val="21"/>
        </w:rPr>
        <w:t xml:space="preserve"> </w:t>
      </w:r>
      <w:r>
        <w:rPr>
          <w:sz w:val="21"/>
        </w:rPr>
        <w:t>in</w:t>
      </w:r>
      <w:r>
        <w:rPr>
          <w:spacing w:val="-2"/>
          <w:sz w:val="21"/>
        </w:rPr>
        <w:t xml:space="preserve"> </w:t>
      </w:r>
      <w:r>
        <w:rPr>
          <w:sz w:val="21"/>
        </w:rPr>
        <w:t>place</w:t>
      </w:r>
      <w:r>
        <w:rPr>
          <w:spacing w:val="-2"/>
          <w:sz w:val="21"/>
        </w:rPr>
        <w:t xml:space="preserve"> </w:t>
      </w:r>
      <w:r>
        <w:rPr>
          <w:sz w:val="21"/>
        </w:rPr>
        <w:t>to</w:t>
      </w:r>
      <w:r>
        <w:rPr>
          <w:spacing w:val="-2"/>
          <w:sz w:val="21"/>
        </w:rPr>
        <w:t xml:space="preserve"> </w:t>
      </w:r>
      <w:r>
        <w:rPr>
          <w:sz w:val="21"/>
        </w:rPr>
        <w:t>maintain</w:t>
      </w:r>
      <w:r>
        <w:rPr>
          <w:spacing w:val="-2"/>
          <w:sz w:val="21"/>
        </w:rPr>
        <w:t xml:space="preserve"> </w:t>
      </w:r>
      <w:r>
        <w:rPr>
          <w:sz w:val="21"/>
        </w:rPr>
        <w:t>an</w:t>
      </w:r>
      <w:r>
        <w:rPr>
          <w:spacing w:val="-2"/>
          <w:sz w:val="21"/>
        </w:rPr>
        <w:t xml:space="preserve"> </w:t>
      </w:r>
      <w:r>
        <w:rPr>
          <w:sz w:val="21"/>
        </w:rPr>
        <w:t>effective</w:t>
      </w:r>
      <w:r>
        <w:rPr>
          <w:spacing w:val="-2"/>
          <w:sz w:val="21"/>
        </w:rPr>
        <w:t xml:space="preserve"> </w:t>
      </w:r>
      <w:r>
        <w:rPr>
          <w:sz w:val="21"/>
        </w:rPr>
        <w:t>internal</w:t>
      </w:r>
      <w:r>
        <w:rPr>
          <w:spacing w:val="-2"/>
          <w:sz w:val="21"/>
        </w:rPr>
        <w:t xml:space="preserve"> </w:t>
      </w:r>
      <w:r>
        <w:rPr>
          <w:sz w:val="21"/>
        </w:rPr>
        <w:t>control</w:t>
      </w:r>
      <w:r>
        <w:rPr>
          <w:spacing w:val="-2"/>
          <w:sz w:val="21"/>
        </w:rPr>
        <w:t xml:space="preserve"> </w:t>
      </w:r>
      <w:r>
        <w:rPr>
          <w:sz w:val="21"/>
        </w:rPr>
        <w:t xml:space="preserve">framework, </w:t>
      </w:r>
      <w:r>
        <w:rPr>
          <w:sz w:val="21"/>
        </w:rPr>
        <w:lastRenderedPageBreak/>
        <w:t>including for security arrangements and business continuity</w:t>
      </w:r>
    </w:p>
    <w:p w14:paraId="0DF330D4" w14:textId="77777777" w:rsidR="009D54AF" w:rsidRDefault="00000000">
      <w:pPr>
        <w:pStyle w:val="ListParagraph"/>
        <w:numPr>
          <w:ilvl w:val="0"/>
          <w:numId w:val="18"/>
        </w:numPr>
        <w:tabs>
          <w:tab w:val="left" w:pos="424"/>
          <w:tab w:val="left" w:pos="440"/>
        </w:tabs>
        <w:spacing w:before="56" w:line="268" w:lineRule="auto"/>
        <w:ind w:right="475" w:hanging="284"/>
        <w:rPr>
          <w:sz w:val="21"/>
        </w:rPr>
      </w:pPr>
      <w:r>
        <w:rPr>
          <w:spacing w:val="-2"/>
          <w:sz w:val="21"/>
        </w:rPr>
        <w:t>reviewing the work undertaken by the Commission’s outsourced internal auditors,</w:t>
      </w:r>
      <w:r>
        <w:rPr>
          <w:spacing w:val="-12"/>
          <w:sz w:val="21"/>
        </w:rPr>
        <w:t xml:space="preserve"> </w:t>
      </w:r>
      <w:r>
        <w:rPr>
          <w:spacing w:val="-2"/>
          <w:sz w:val="21"/>
        </w:rPr>
        <w:t>including</w:t>
      </w:r>
      <w:r>
        <w:rPr>
          <w:spacing w:val="-12"/>
          <w:sz w:val="21"/>
        </w:rPr>
        <w:t xml:space="preserve"> </w:t>
      </w:r>
      <w:r>
        <w:rPr>
          <w:spacing w:val="-2"/>
          <w:sz w:val="21"/>
        </w:rPr>
        <w:t>approving</w:t>
      </w:r>
      <w:r>
        <w:rPr>
          <w:spacing w:val="-12"/>
          <w:sz w:val="21"/>
        </w:rPr>
        <w:t xml:space="preserve"> </w:t>
      </w:r>
      <w:r>
        <w:rPr>
          <w:spacing w:val="-2"/>
          <w:sz w:val="21"/>
        </w:rPr>
        <w:t xml:space="preserve">the </w:t>
      </w:r>
      <w:r>
        <w:rPr>
          <w:sz w:val="21"/>
        </w:rPr>
        <w:t>internal</w:t>
      </w:r>
      <w:r>
        <w:rPr>
          <w:spacing w:val="-6"/>
          <w:sz w:val="21"/>
        </w:rPr>
        <w:t xml:space="preserve"> </w:t>
      </w:r>
      <w:r>
        <w:rPr>
          <w:sz w:val="21"/>
        </w:rPr>
        <w:t>audit plan, and reviewing all audit reports and issues identified in them.</w:t>
      </w:r>
    </w:p>
    <w:p w14:paraId="45A4F9E0" w14:textId="77777777" w:rsidR="009D54AF" w:rsidRDefault="00000000">
      <w:pPr>
        <w:pStyle w:val="BodyText"/>
        <w:spacing w:before="169"/>
        <w:ind w:left="142"/>
      </w:pPr>
      <w:r>
        <w:t>The</w:t>
      </w:r>
      <w:r>
        <w:rPr>
          <w:spacing w:val="-2"/>
        </w:rPr>
        <w:t xml:space="preserve"> </w:t>
      </w:r>
      <w:r>
        <w:t>Audit</w:t>
      </w:r>
      <w:r>
        <w:rPr>
          <w:spacing w:val="-1"/>
        </w:rPr>
        <w:t xml:space="preserve"> </w:t>
      </w:r>
      <w:r>
        <w:t>and</w:t>
      </w:r>
      <w:r>
        <w:rPr>
          <w:spacing w:val="-1"/>
        </w:rPr>
        <w:t xml:space="preserve"> </w:t>
      </w:r>
      <w:r>
        <w:t>Risk</w:t>
      </w:r>
      <w:r>
        <w:rPr>
          <w:spacing w:val="-2"/>
        </w:rPr>
        <w:t xml:space="preserve"> </w:t>
      </w:r>
      <w:r>
        <w:t>Committee</w:t>
      </w:r>
      <w:r>
        <w:rPr>
          <w:spacing w:val="-1"/>
        </w:rPr>
        <w:t xml:space="preserve"> </w:t>
      </w:r>
      <w:r>
        <w:t>Charter</w:t>
      </w:r>
      <w:r>
        <w:rPr>
          <w:spacing w:val="-1"/>
        </w:rPr>
        <w:t xml:space="preserve"> </w:t>
      </w:r>
      <w:r>
        <w:t>is</w:t>
      </w:r>
      <w:r>
        <w:rPr>
          <w:spacing w:val="-1"/>
        </w:rPr>
        <w:t xml:space="preserve"> </w:t>
      </w:r>
      <w:r>
        <w:t>available</w:t>
      </w:r>
      <w:r>
        <w:rPr>
          <w:spacing w:val="-2"/>
        </w:rPr>
        <w:t xml:space="preserve"> </w:t>
      </w:r>
      <w:hyperlink r:id="rId87">
        <w:r>
          <w:rPr>
            <w:spacing w:val="-2"/>
            <w:u w:val="single"/>
          </w:rPr>
          <w:t>online</w:t>
        </w:r>
      </w:hyperlink>
      <w:r>
        <w:rPr>
          <w:spacing w:val="-2"/>
        </w:rPr>
        <w:t>.</w:t>
      </w:r>
    </w:p>
    <w:p w14:paraId="6512DD71" w14:textId="77777777" w:rsidR="009D54AF" w:rsidRDefault="00000000">
      <w:pPr>
        <w:pStyle w:val="BodyText"/>
        <w:spacing w:before="170" w:line="268" w:lineRule="auto"/>
        <w:ind w:left="142"/>
      </w:pPr>
      <w:r>
        <w:t>The</w:t>
      </w:r>
      <w:r>
        <w:rPr>
          <w:spacing w:val="-2"/>
        </w:rPr>
        <w:t xml:space="preserve"> </w:t>
      </w:r>
      <w:r>
        <w:t>Audit</w:t>
      </w:r>
      <w:r>
        <w:rPr>
          <w:spacing w:val="-2"/>
        </w:rPr>
        <w:t xml:space="preserve"> </w:t>
      </w:r>
      <w:r>
        <w:t>and</w:t>
      </w:r>
      <w:r>
        <w:rPr>
          <w:spacing w:val="-2"/>
        </w:rPr>
        <w:t xml:space="preserve"> </w:t>
      </w:r>
      <w:r>
        <w:t>Risk</w:t>
      </w:r>
      <w:r>
        <w:rPr>
          <w:spacing w:val="-2"/>
        </w:rPr>
        <w:t xml:space="preserve"> </w:t>
      </w:r>
      <w:r>
        <w:t>Committee</w:t>
      </w:r>
      <w:r>
        <w:rPr>
          <w:spacing w:val="-2"/>
        </w:rPr>
        <w:t xml:space="preserve"> </w:t>
      </w:r>
      <w:r>
        <w:t>met</w:t>
      </w:r>
      <w:r>
        <w:rPr>
          <w:spacing w:val="-2"/>
        </w:rPr>
        <w:t xml:space="preserve"> </w:t>
      </w:r>
      <w:r>
        <w:t>five</w:t>
      </w:r>
      <w:r>
        <w:rPr>
          <w:spacing w:val="-2"/>
        </w:rPr>
        <w:t xml:space="preserve"> </w:t>
      </w:r>
      <w:r>
        <w:t>times</w:t>
      </w:r>
      <w:r>
        <w:rPr>
          <w:spacing w:val="-2"/>
        </w:rPr>
        <w:t xml:space="preserve"> </w:t>
      </w:r>
      <w:r>
        <w:t>during</w:t>
      </w:r>
      <w:r>
        <w:rPr>
          <w:spacing w:val="-2"/>
        </w:rPr>
        <w:t xml:space="preserve"> </w:t>
      </w:r>
      <w:r>
        <w:t>2025–26.</w:t>
      </w:r>
      <w:r>
        <w:rPr>
          <w:spacing w:val="-2"/>
        </w:rPr>
        <w:t xml:space="preserve"> </w:t>
      </w:r>
      <w:r>
        <w:t>Table</w:t>
      </w:r>
      <w:r>
        <w:rPr>
          <w:spacing w:val="-2"/>
        </w:rPr>
        <w:t xml:space="preserve"> </w:t>
      </w:r>
      <w:r>
        <w:t>3</w:t>
      </w:r>
      <w:r>
        <w:rPr>
          <w:spacing w:val="-2"/>
        </w:rPr>
        <w:t xml:space="preserve"> </w:t>
      </w:r>
      <w:proofErr w:type="spellStart"/>
      <w:r>
        <w:t>summarises</w:t>
      </w:r>
      <w:proofErr w:type="spellEnd"/>
      <w:r>
        <w:rPr>
          <w:spacing w:val="-2"/>
        </w:rPr>
        <w:t xml:space="preserve"> </w:t>
      </w:r>
      <w:r>
        <w:t>members’</w:t>
      </w:r>
      <w:r>
        <w:rPr>
          <w:spacing w:val="-2"/>
        </w:rPr>
        <w:t xml:space="preserve"> </w:t>
      </w:r>
      <w:r>
        <w:t>attendance</w:t>
      </w:r>
      <w:r>
        <w:rPr>
          <w:spacing w:val="-2"/>
        </w:rPr>
        <w:t xml:space="preserve"> </w:t>
      </w:r>
      <w:r>
        <w:t>at committee meetings.</w:t>
      </w:r>
    </w:p>
    <w:p w14:paraId="1FC61471" w14:textId="77777777" w:rsidR="009D54AF" w:rsidRDefault="00000000">
      <w:pPr>
        <w:pStyle w:val="BodyText"/>
        <w:spacing w:before="141" w:line="268" w:lineRule="auto"/>
        <w:ind w:left="142" w:right="209"/>
      </w:pPr>
      <w:r>
        <w:t>In accordance with the Public Governance, Performance and Accountability Rule 2014, although members</w:t>
      </w:r>
      <w:r>
        <w:rPr>
          <w:spacing w:val="80"/>
        </w:rPr>
        <w:t xml:space="preserve"> </w:t>
      </w:r>
      <w:r>
        <w:t>of</w:t>
      </w:r>
      <w:r>
        <w:rPr>
          <w:spacing w:val="-3"/>
        </w:rPr>
        <w:t xml:space="preserve"> </w:t>
      </w:r>
      <w:r>
        <w:t>the</w:t>
      </w:r>
      <w:r>
        <w:rPr>
          <w:spacing w:val="-3"/>
        </w:rPr>
        <w:t xml:space="preserve"> </w:t>
      </w:r>
      <w:r>
        <w:t>Commission’s</w:t>
      </w:r>
      <w:r>
        <w:rPr>
          <w:spacing w:val="-3"/>
        </w:rPr>
        <w:t xml:space="preserve"> </w:t>
      </w:r>
      <w:r>
        <w:t>senior</w:t>
      </w:r>
      <w:r>
        <w:rPr>
          <w:spacing w:val="-3"/>
        </w:rPr>
        <w:t xml:space="preserve"> </w:t>
      </w:r>
      <w:r>
        <w:t>management</w:t>
      </w:r>
      <w:r>
        <w:rPr>
          <w:spacing w:val="-3"/>
        </w:rPr>
        <w:t xml:space="preserve"> </w:t>
      </w:r>
      <w:r>
        <w:t>attended</w:t>
      </w:r>
      <w:r>
        <w:rPr>
          <w:spacing w:val="-3"/>
        </w:rPr>
        <w:t xml:space="preserve"> </w:t>
      </w:r>
      <w:r>
        <w:t>meetings</w:t>
      </w:r>
      <w:r>
        <w:rPr>
          <w:spacing w:val="-3"/>
        </w:rPr>
        <w:t xml:space="preserve"> </w:t>
      </w:r>
      <w:r>
        <w:t>as</w:t>
      </w:r>
      <w:r>
        <w:rPr>
          <w:spacing w:val="-3"/>
        </w:rPr>
        <w:t xml:space="preserve"> </w:t>
      </w:r>
      <w:r>
        <w:t>advisers,</w:t>
      </w:r>
      <w:r>
        <w:rPr>
          <w:spacing w:val="-3"/>
        </w:rPr>
        <w:t xml:space="preserve"> </w:t>
      </w:r>
      <w:r>
        <w:t>they</w:t>
      </w:r>
      <w:r>
        <w:rPr>
          <w:spacing w:val="-3"/>
        </w:rPr>
        <w:t xml:space="preserve"> </w:t>
      </w:r>
      <w:r>
        <w:t>were</w:t>
      </w:r>
      <w:r>
        <w:rPr>
          <w:spacing w:val="-3"/>
        </w:rPr>
        <w:t xml:space="preserve"> </w:t>
      </w:r>
      <w:r>
        <w:t>not</w:t>
      </w:r>
      <w:r>
        <w:rPr>
          <w:spacing w:val="-3"/>
        </w:rPr>
        <w:t xml:space="preserve"> </w:t>
      </w:r>
      <w:r>
        <w:t>members</w:t>
      </w:r>
      <w:r>
        <w:rPr>
          <w:spacing w:val="-3"/>
        </w:rPr>
        <w:t xml:space="preserve"> </w:t>
      </w:r>
      <w:r>
        <w:t>of</w:t>
      </w:r>
      <w:r>
        <w:rPr>
          <w:spacing w:val="-3"/>
        </w:rPr>
        <w:t xml:space="preserve"> </w:t>
      </w:r>
      <w:r>
        <w:t>the</w:t>
      </w:r>
      <w:r>
        <w:rPr>
          <w:spacing w:val="-3"/>
        </w:rPr>
        <w:t xml:space="preserve"> </w:t>
      </w:r>
      <w:r>
        <w:t>Audit and Risk Committee and most members are not officials of any Commonwealth entity.</w:t>
      </w:r>
    </w:p>
    <w:p w14:paraId="0D0AE51B" w14:textId="77777777" w:rsidR="009D54AF" w:rsidRDefault="00000000">
      <w:pPr>
        <w:spacing w:before="230"/>
        <w:ind w:left="142"/>
        <w:rPr>
          <w:sz w:val="19"/>
        </w:rPr>
      </w:pPr>
      <w:r>
        <w:rPr>
          <w:b/>
          <w:sz w:val="19"/>
        </w:rPr>
        <w:t>Table 3</w:t>
      </w:r>
      <w:r>
        <w:rPr>
          <w:b/>
          <w:spacing w:val="21"/>
          <w:sz w:val="19"/>
        </w:rPr>
        <w:t xml:space="preserve"> </w:t>
      </w:r>
      <w:r>
        <w:rPr>
          <w:sz w:val="19"/>
        </w:rPr>
        <w:t>Audit</w:t>
      </w:r>
      <w:r>
        <w:rPr>
          <w:spacing w:val="3"/>
          <w:sz w:val="19"/>
        </w:rPr>
        <w:t xml:space="preserve"> </w:t>
      </w:r>
      <w:r>
        <w:rPr>
          <w:sz w:val="19"/>
        </w:rPr>
        <w:t>and</w:t>
      </w:r>
      <w:r>
        <w:rPr>
          <w:spacing w:val="3"/>
          <w:sz w:val="19"/>
        </w:rPr>
        <w:t xml:space="preserve"> </w:t>
      </w:r>
      <w:r>
        <w:rPr>
          <w:sz w:val="19"/>
        </w:rPr>
        <w:t>Risk</w:t>
      </w:r>
      <w:r>
        <w:rPr>
          <w:spacing w:val="3"/>
          <w:sz w:val="19"/>
        </w:rPr>
        <w:t xml:space="preserve"> </w:t>
      </w:r>
      <w:r>
        <w:rPr>
          <w:sz w:val="19"/>
        </w:rPr>
        <w:t>Committee</w:t>
      </w:r>
      <w:r>
        <w:rPr>
          <w:spacing w:val="3"/>
          <w:sz w:val="19"/>
        </w:rPr>
        <w:t xml:space="preserve"> </w:t>
      </w:r>
      <w:r>
        <w:rPr>
          <w:sz w:val="19"/>
        </w:rPr>
        <w:t>attendance</w:t>
      </w:r>
      <w:r>
        <w:rPr>
          <w:spacing w:val="3"/>
          <w:sz w:val="19"/>
        </w:rPr>
        <w:t xml:space="preserve"> </w:t>
      </w:r>
      <w:r>
        <w:rPr>
          <w:sz w:val="19"/>
        </w:rPr>
        <w:t>and</w:t>
      </w:r>
      <w:r>
        <w:rPr>
          <w:spacing w:val="3"/>
          <w:sz w:val="19"/>
        </w:rPr>
        <w:t xml:space="preserve"> </w:t>
      </w:r>
      <w:r>
        <w:rPr>
          <w:sz w:val="19"/>
        </w:rPr>
        <w:t>remuneration,</w:t>
      </w:r>
      <w:r>
        <w:rPr>
          <w:spacing w:val="3"/>
          <w:sz w:val="19"/>
        </w:rPr>
        <w:t xml:space="preserve"> </w:t>
      </w:r>
      <w:r>
        <w:rPr>
          <w:sz w:val="19"/>
        </w:rPr>
        <w:t>2025–</w:t>
      </w:r>
      <w:r>
        <w:rPr>
          <w:spacing w:val="-5"/>
          <w:sz w:val="19"/>
        </w:rPr>
        <w:t>26</w:t>
      </w:r>
    </w:p>
    <w:p w14:paraId="7603FD2B" w14:textId="77777777" w:rsidR="009D54AF" w:rsidRDefault="009D54AF">
      <w:pPr>
        <w:pStyle w:val="BodyText"/>
        <w:spacing w:before="2"/>
        <w:rPr>
          <w:sz w:val="8"/>
        </w:rPr>
      </w:pPr>
    </w:p>
    <w:tbl>
      <w:tblPr>
        <w:tblW w:w="0" w:type="auto"/>
        <w:tblInd w:w="14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2665"/>
        <w:gridCol w:w="908"/>
        <w:gridCol w:w="908"/>
        <w:gridCol w:w="908"/>
        <w:gridCol w:w="908"/>
        <w:gridCol w:w="908"/>
        <w:gridCol w:w="3006"/>
      </w:tblGrid>
      <w:tr w:rsidR="003602DB" w14:paraId="610035BE" w14:textId="77777777" w:rsidTr="003602DB">
        <w:trPr>
          <w:trHeight w:val="505"/>
        </w:trPr>
        <w:tc>
          <w:tcPr>
            <w:tcW w:w="2665" w:type="dxa"/>
            <w:tcBorders>
              <w:top w:val="nil"/>
              <w:left w:val="nil"/>
              <w:right w:val="single" w:sz="4" w:space="0" w:color="FFFFFF"/>
            </w:tcBorders>
            <w:shd w:val="clear" w:color="auto" w:fill="000000" w:themeFill="text1"/>
          </w:tcPr>
          <w:p w14:paraId="09CF16ED" w14:textId="77777777" w:rsidR="003602DB" w:rsidRDefault="003602DB" w:rsidP="003602DB">
            <w:pPr>
              <w:pStyle w:val="TableParagraph"/>
              <w:rPr>
                <w:sz w:val="19"/>
              </w:rPr>
            </w:pPr>
          </w:p>
        </w:tc>
        <w:tc>
          <w:tcPr>
            <w:tcW w:w="4540" w:type="dxa"/>
            <w:gridSpan w:val="5"/>
            <w:tcBorders>
              <w:top w:val="nil"/>
              <w:left w:val="single" w:sz="4" w:space="0" w:color="FFFFFF"/>
              <w:bottom w:val="single" w:sz="4" w:space="0" w:color="FFFFFF"/>
              <w:right w:val="single" w:sz="4" w:space="0" w:color="FFFFFF"/>
            </w:tcBorders>
            <w:shd w:val="clear" w:color="auto" w:fill="000000"/>
          </w:tcPr>
          <w:p w14:paraId="68AF35F2" w14:textId="6970481F" w:rsidR="003602DB" w:rsidRDefault="003602DB" w:rsidP="003602DB">
            <w:pPr>
              <w:pStyle w:val="TableParagraph"/>
              <w:spacing w:before="145"/>
              <w:jc w:val="center"/>
              <w:rPr>
                <w:b/>
                <w:color w:val="FFFFFF"/>
                <w:sz w:val="19"/>
              </w:rPr>
            </w:pPr>
            <w:r>
              <w:rPr>
                <w:b/>
                <w:color w:val="FFFFFF"/>
                <w:sz w:val="19"/>
              </w:rPr>
              <w:t>Meeting</w:t>
            </w:r>
            <w:r>
              <w:rPr>
                <w:b/>
                <w:color w:val="FFFFFF"/>
                <w:spacing w:val="12"/>
                <w:sz w:val="19"/>
              </w:rPr>
              <w:t xml:space="preserve"> </w:t>
            </w:r>
            <w:r>
              <w:rPr>
                <w:b/>
                <w:color w:val="FFFFFF"/>
                <w:spacing w:val="-4"/>
                <w:sz w:val="19"/>
              </w:rPr>
              <w:t>date</w:t>
            </w:r>
          </w:p>
        </w:tc>
        <w:tc>
          <w:tcPr>
            <w:tcW w:w="3006" w:type="dxa"/>
            <w:tcBorders>
              <w:top w:val="nil"/>
              <w:left w:val="single" w:sz="4" w:space="0" w:color="FFFFFF"/>
              <w:right w:val="nil"/>
            </w:tcBorders>
            <w:shd w:val="clear" w:color="auto" w:fill="000000" w:themeFill="text1"/>
          </w:tcPr>
          <w:p w14:paraId="24B5796E" w14:textId="77777777" w:rsidR="003602DB" w:rsidRDefault="003602DB" w:rsidP="003602DB">
            <w:pPr>
              <w:pStyle w:val="TableParagraph"/>
              <w:rPr>
                <w:sz w:val="19"/>
              </w:rPr>
            </w:pPr>
          </w:p>
        </w:tc>
      </w:tr>
      <w:tr w:rsidR="003602DB" w14:paraId="213D7473" w14:textId="77777777" w:rsidTr="003602DB">
        <w:trPr>
          <w:trHeight w:val="567"/>
        </w:trPr>
        <w:tc>
          <w:tcPr>
            <w:tcW w:w="2665" w:type="dxa"/>
            <w:tcBorders>
              <w:top w:val="nil"/>
              <w:left w:val="nil"/>
              <w:right w:val="single" w:sz="4" w:space="0" w:color="FFFFFF"/>
            </w:tcBorders>
            <w:shd w:val="clear" w:color="auto" w:fill="000000" w:themeFill="text1"/>
            <w:vAlign w:val="center"/>
          </w:tcPr>
          <w:p w14:paraId="601AB07C" w14:textId="4A392AB8" w:rsidR="003602DB" w:rsidRPr="003602DB" w:rsidRDefault="003602DB" w:rsidP="003602DB">
            <w:pPr>
              <w:pStyle w:val="TableParagraph"/>
              <w:ind w:left="85"/>
              <w:rPr>
                <w:b/>
                <w:color w:val="FFFFFF" w:themeColor="background1"/>
                <w:sz w:val="19"/>
              </w:rPr>
            </w:pPr>
            <w:r w:rsidRPr="00C30551">
              <w:rPr>
                <w:b/>
                <w:color w:val="FFFFFF" w:themeColor="background1"/>
                <w:sz w:val="19"/>
              </w:rPr>
              <w:t>Committee</w:t>
            </w:r>
            <w:r w:rsidRPr="00C30551">
              <w:rPr>
                <w:b/>
                <w:color w:val="FFFFFF" w:themeColor="background1"/>
                <w:spacing w:val="19"/>
                <w:sz w:val="19"/>
              </w:rPr>
              <w:t xml:space="preserve"> </w:t>
            </w:r>
            <w:r w:rsidRPr="00C30551">
              <w:rPr>
                <w:b/>
                <w:color w:val="FFFFFF" w:themeColor="background1"/>
                <w:spacing w:val="-2"/>
                <w:sz w:val="19"/>
              </w:rPr>
              <w:t>member</w:t>
            </w:r>
          </w:p>
        </w:tc>
        <w:tc>
          <w:tcPr>
            <w:tcW w:w="908" w:type="dxa"/>
            <w:tcBorders>
              <w:top w:val="nil"/>
              <w:left w:val="single" w:sz="4" w:space="0" w:color="FFFFFF"/>
              <w:bottom w:val="single" w:sz="4" w:space="0" w:color="FFFFFF"/>
              <w:right w:val="single" w:sz="4" w:space="0" w:color="FFFFFF"/>
            </w:tcBorders>
            <w:shd w:val="clear" w:color="auto" w:fill="000000"/>
            <w:vAlign w:val="center"/>
          </w:tcPr>
          <w:p w14:paraId="51CAE1D7" w14:textId="77777777" w:rsidR="003602DB" w:rsidRDefault="003602DB" w:rsidP="003602DB">
            <w:pPr>
              <w:pStyle w:val="TableParagraph"/>
              <w:spacing w:line="214" w:lineRule="exact"/>
              <w:ind w:left="6" w:right="7"/>
              <w:jc w:val="center"/>
              <w:rPr>
                <w:b/>
                <w:color w:val="FFFFFF"/>
                <w:spacing w:val="-5"/>
                <w:sz w:val="19"/>
              </w:rPr>
            </w:pPr>
            <w:r>
              <w:rPr>
                <w:b/>
                <w:color w:val="FFFFFF"/>
                <w:sz w:val="19"/>
              </w:rPr>
              <w:t>18</w:t>
            </w:r>
            <w:r>
              <w:rPr>
                <w:b/>
                <w:color w:val="FFFFFF"/>
                <w:spacing w:val="-6"/>
                <w:sz w:val="19"/>
              </w:rPr>
              <w:t xml:space="preserve"> </w:t>
            </w:r>
            <w:r>
              <w:rPr>
                <w:b/>
                <w:color w:val="FFFFFF"/>
                <w:spacing w:val="-5"/>
                <w:sz w:val="19"/>
              </w:rPr>
              <w:t>Aug</w:t>
            </w:r>
          </w:p>
          <w:p w14:paraId="4BD95762" w14:textId="6F46CFB1" w:rsidR="003602DB" w:rsidRPr="003602DB" w:rsidRDefault="003602DB" w:rsidP="003602DB">
            <w:pPr>
              <w:pStyle w:val="TableParagraph"/>
              <w:spacing w:line="214" w:lineRule="exact"/>
              <w:ind w:left="6" w:right="7"/>
              <w:jc w:val="center"/>
              <w:rPr>
                <w:b/>
                <w:color w:val="8064A2" w:themeColor="accent4"/>
                <w:sz w:val="19"/>
              </w:rPr>
            </w:pPr>
            <w:r w:rsidRPr="003602DB">
              <w:rPr>
                <w:b/>
                <w:color w:val="FFFFFF" w:themeColor="background1"/>
                <w:spacing w:val="-4"/>
                <w:sz w:val="19"/>
              </w:rPr>
              <w:t>2025</w:t>
            </w:r>
          </w:p>
        </w:tc>
        <w:tc>
          <w:tcPr>
            <w:tcW w:w="908" w:type="dxa"/>
            <w:tcBorders>
              <w:top w:val="nil"/>
              <w:left w:val="single" w:sz="4" w:space="0" w:color="FFFFFF"/>
              <w:bottom w:val="single" w:sz="4" w:space="0" w:color="FFFFFF"/>
              <w:right w:val="single" w:sz="4" w:space="0" w:color="FFFFFF"/>
            </w:tcBorders>
            <w:shd w:val="clear" w:color="auto" w:fill="000000"/>
            <w:vAlign w:val="center"/>
          </w:tcPr>
          <w:p w14:paraId="7436291B" w14:textId="77777777" w:rsidR="003602DB" w:rsidRDefault="003602DB" w:rsidP="003602DB">
            <w:pPr>
              <w:pStyle w:val="TableParagraph"/>
              <w:spacing w:before="35" w:line="214" w:lineRule="exact"/>
              <w:ind w:left="6" w:right="7"/>
              <w:jc w:val="center"/>
              <w:rPr>
                <w:b/>
                <w:sz w:val="19"/>
              </w:rPr>
            </w:pPr>
            <w:r>
              <w:rPr>
                <w:b/>
                <w:color w:val="FFFFFF"/>
                <w:sz w:val="19"/>
              </w:rPr>
              <w:t xml:space="preserve">25 </w:t>
            </w:r>
            <w:r>
              <w:rPr>
                <w:b/>
                <w:color w:val="FFFFFF"/>
                <w:spacing w:val="-5"/>
                <w:sz w:val="19"/>
              </w:rPr>
              <w:t>Aug</w:t>
            </w:r>
          </w:p>
          <w:p w14:paraId="6BFA34C6" w14:textId="7DD2C2EF" w:rsidR="003602DB" w:rsidRPr="003602DB" w:rsidRDefault="003602DB" w:rsidP="003602DB">
            <w:pPr>
              <w:pStyle w:val="TableParagraph"/>
              <w:spacing w:line="214" w:lineRule="exact"/>
              <w:ind w:left="6" w:right="7"/>
              <w:jc w:val="center"/>
              <w:rPr>
                <w:b/>
                <w:sz w:val="19"/>
              </w:rPr>
            </w:pPr>
            <w:r>
              <w:rPr>
                <w:b/>
                <w:color w:val="FFFFFF"/>
                <w:spacing w:val="-4"/>
                <w:sz w:val="19"/>
              </w:rPr>
              <w:t>2025</w:t>
            </w:r>
          </w:p>
        </w:tc>
        <w:tc>
          <w:tcPr>
            <w:tcW w:w="908" w:type="dxa"/>
            <w:tcBorders>
              <w:top w:val="nil"/>
              <w:left w:val="single" w:sz="4" w:space="0" w:color="FFFFFF"/>
              <w:bottom w:val="single" w:sz="4" w:space="0" w:color="FFFFFF"/>
              <w:right w:val="single" w:sz="4" w:space="0" w:color="FFFFFF"/>
            </w:tcBorders>
            <w:shd w:val="clear" w:color="auto" w:fill="000000"/>
            <w:vAlign w:val="center"/>
          </w:tcPr>
          <w:p w14:paraId="2E6183CC" w14:textId="77777777" w:rsidR="003602DB" w:rsidRDefault="003602DB" w:rsidP="003602DB">
            <w:pPr>
              <w:pStyle w:val="TableParagraph"/>
              <w:spacing w:before="35" w:line="214" w:lineRule="exact"/>
              <w:ind w:left="4" w:right="7"/>
              <w:jc w:val="center"/>
              <w:rPr>
                <w:b/>
                <w:sz w:val="19"/>
              </w:rPr>
            </w:pPr>
            <w:r>
              <w:rPr>
                <w:b/>
                <w:color w:val="FFFFFF"/>
                <w:sz w:val="19"/>
              </w:rPr>
              <w:t xml:space="preserve">1 </w:t>
            </w:r>
            <w:r>
              <w:rPr>
                <w:b/>
                <w:color w:val="FFFFFF"/>
                <w:spacing w:val="-5"/>
                <w:sz w:val="19"/>
              </w:rPr>
              <w:t>Dec</w:t>
            </w:r>
          </w:p>
          <w:p w14:paraId="78C77887" w14:textId="6F44A8BC" w:rsidR="003602DB" w:rsidRPr="003602DB" w:rsidRDefault="003602DB" w:rsidP="003602DB">
            <w:pPr>
              <w:pStyle w:val="TableParagraph"/>
              <w:spacing w:line="214" w:lineRule="exact"/>
              <w:ind w:left="5" w:right="7"/>
              <w:jc w:val="center"/>
              <w:rPr>
                <w:b/>
                <w:sz w:val="19"/>
              </w:rPr>
            </w:pPr>
            <w:r>
              <w:rPr>
                <w:b/>
                <w:color w:val="FFFFFF"/>
                <w:spacing w:val="-4"/>
                <w:sz w:val="19"/>
              </w:rPr>
              <w:t>2025</w:t>
            </w:r>
          </w:p>
        </w:tc>
        <w:tc>
          <w:tcPr>
            <w:tcW w:w="908" w:type="dxa"/>
            <w:tcBorders>
              <w:top w:val="nil"/>
              <w:left w:val="single" w:sz="4" w:space="0" w:color="FFFFFF"/>
              <w:bottom w:val="single" w:sz="4" w:space="0" w:color="FFFFFF"/>
              <w:right w:val="single" w:sz="4" w:space="0" w:color="FFFFFF"/>
            </w:tcBorders>
            <w:shd w:val="clear" w:color="auto" w:fill="000000"/>
            <w:vAlign w:val="center"/>
          </w:tcPr>
          <w:p w14:paraId="5682BD50" w14:textId="77777777" w:rsidR="003602DB" w:rsidRDefault="003602DB" w:rsidP="003602DB">
            <w:pPr>
              <w:pStyle w:val="TableParagraph"/>
              <w:spacing w:before="35" w:line="214" w:lineRule="exact"/>
              <w:ind w:left="2" w:right="7"/>
              <w:jc w:val="center"/>
              <w:rPr>
                <w:b/>
                <w:sz w:val="19"/>
              </w:rPr>
            </w:pPr>
            <w:r>
              <w:rPr>
                <w:b/>
                <w:color w:val="FFFFFF"/>
                <w:sz w:val="19"/>
              </w:rPr>
              <w:t xml:space="preserve">27 </w:t>
            </w:r>
            <w:r>
              <w:rPr>
                <w:b/>
                <w:color w:val="FFFFFF"/>
                <w:spacing w:val="-5"/>
                <w:sz w:val="19"/>
              </w:rPr>
              <w:t>Feb</w:t>
            </w:r>
          </w:p>
          <w:p w14:paraId="1767C2C4" w14:textId="0A36AA54" w:rsidR="003602DB" w:rsidRPr="003602DB" w:rsidRDefault="003602DB" w:rsidP="003602DB">
            <w:pPr>
              <w:pStyle w:val="TableParagraph"/>
              <w:spacing w:line="214" w:lineRule="exact"/>
              <w:ind w:left="2" w:right="7"/>
              <w:jc w:val="center"/>
              <w:rPr>
                <w:b/>
                <w:sz w:val="19"/>
              </w:rPr>
            </w:pPr>
            <w:r>
              <w:rPr>
                <w:b/>
                <w:color w:val="FFFFFF"/>
                <w:spacing w:val="-4"/>
                <w:sz w:val="19"/>
              </w:rPr>
              <w:t>2026</w:t>
            </w:r>
          </w:p>
        </w:tc>
        <w:tc>
          <w:tcPr>
            <w:tcW w:w="908" w:type="dxa"/>
            <w:tcBorders>
              <w:top w:val="nil"/>
              <w:left w:val="single" w:sz="4" w:space="0" w:color="FFFFFF"/>
              <w:bottom w:val="single" w:sz="4" w:space="0" w:color="FFFFFF"/>
              <w:right w:val="single" w:sz="4" w:space="0" w:color="FFFFFF"/>
            </w:tcBorders>
            <w:shd w:val="clear" w:color="auto" w:fill="000000"/>
            <w:vAlign w:val="center"/>
          </w:tcPr>
          <w:p w14:paraId="10D9311E" w14:textId="77777777" w:rsidR="003602DB" w:rsidRDefault="003602DB" w:rsidP="003602DB">
            <w:pPr>
              <w:pStyle w:val="TableParagraph"/>
              <w:spacing w:before="35" w:line="214" w:lineRule="exact"/>
              <w:ind w:right="7"/>
              <w:jc w:val="center"/>
              <w:rPr>
                <w:b/>
                <w:sz w:val="19"/>
              </w:rPr>
            </w:pPr>
            <w:r>
              <w:rPr>
                <w:b/>
                <w:color w:val="FFFFFF"/>
                <w:sz w:val="19"/>
              </w:rPr>
              <w:t xml:space="preserve">25 </w:t>
            </w:r>
            <w:r>
              <w:rPr>
                <w:b/>
                <w:color w:val="FFFFFF"/>
                <w:spacing w:val="-5"/>
                <w:sz w:val="19"/>
              </w:rPr>
              <w:t>May</w:t>
            </w:r>
          </w:p>
          <w:p w14:paraId="7AF1658D" w14:textId="750960CD" w:rsidR="003602DB" w:rsidRPr="003602DB" w:rsidRDefault="003602DB" w:rsidP="003602DB">
            <w:pPr>
              <w:pStyle w:val="TableParagraph"/>
              <w:spacing w:line="214" w:lineRule="exact"/>
              <w:ind w:right="7"/>
              <w:jc w:val="center"/>
              <w:rPr>
                <w:b/>
                <w:sz w:val="19"/>
              </w:rPr>
            </w:pPr>
            <w:r>
              <w:rPr>
                <w:b/>
                <w:color w:val="FFFFFF"/>
                <w:spacing w:val="-4"/>
                <w:sz w:val="19"/>
              </w:rPr>
              <w:t>2026</w:t>
            </w:r>
          </w:p>
        </w:tc>
        <w:tc>
          <w:tcPr>
            <w:tcW w:w="3006" w:type="dxa"/>
            <w:tcBorders>
              <w:top w:val="nil"/>
              <w:left w:val="single" w:sz="4" w:space="0" w:color="FFFFFF"/>
              <w:right w:val="nil"/>
            </w:tcBorders>
            <w:shd w:val="clear" w:color="auto" w:fill="000000" w:themeFill="text1"/>
            <w:vAlign w:val="center"/>
          </w:tcPr>
          <w:p w14:paraId="19D1D0A1" w14:textId="5F3D3578" w:rsidR="003602DB" w:rsidRPr="003602DB" w:rsidRDefault="003602DB" w:rsidP="003602DB">
            <w:pPr>
              <w:pStyle w:val="TableParagraph"/>
              <w:ind w:left="75"/>
              <w:rPr>
                <w:b/>
                <w:color w:val="FFFFFF" w:themeColor="background1"/>
                <w:sz w:val="19"/>
              </w:rPr>
            </w:pPr>
            <w:r w:rsidRPr="00C30551">
              <w:rPr>
                <w:b/>
                <w:color w:val="FFFFFF" w:themeColor="background1"/>
                <w:spacing w:val="-2"/>
                <w:sz w:val="19"/>
              </w:rPr>
              <w:t>Remuneration</w:t>
            </w:r>
          </w:p>
        </w:tc>
      </w:tr>
      <w:tr w:rsidR="003602DB" w14:paraId="61BE37A1" w14:textId="77777777" w:rsidTr="003602DB">
        <w:trPr>
          <w:trHeight w:val="505"/>
        </w:trPr>
        <w:tc>
          <w:tcPr>
            <w:tcW w:w="2665" w:type="dxa"/>
            <w:tcBorders>
              <w:left w:val="nil"/>
            </w:tcBorders>
          </w:tcPr>
          <w:p w14:paraId="004C1E67" w14:textId="55E56B5B" w:rsidR="003602DB" w:rsidRDefault="003602DB" w:rsidP="003602DB">
            <w:pPr>
              <w:pStyle w:val="TableParagraph"/>
              <w:spacing w:before="142"/>
              <w:ind w:left="85"/>
              <w:rPr>
                <w:sz w:val="19"/>
              </w:rPr>
            </w:pPr>
            <w:proofErr w:type="spellStart"/>
            <w:r>
              <w:rPr>
                <w:sz w:val="19"/>
              </w:rPr>
              <w:t>Ms</w:t>
            </w:r>
            <w:proofErr w:type="spellEnd"/>
            <w:r>
              <w:rPr>
                <w:spacing w:val="3"/>
                <w:sz w:val="19"/>
              </w:rPr>
              <w:t xml:space="preserve"> </w:t>
            </w:r>
            <w:r>
              <w:rPr>
                <w:sz w:val="19"/>
              </w:rPr>
              <w:t>Jennifer</w:t>
            </w:r>
            <w:r>
              <w:rPr>
                <w:spacing w:val="3"/>
                <w:sz w:val="19"/>
              </w:rPr>
              <w:t xml:space="preserve"> </w:t>
            </w:r>
            <w:r>
              <w:rPr>
                <w:sz w:val="19"/>
              </w:rPr>
              <w:t>Clark</w:t>
            </w:r>
            <w:r>
              <w:rPr>
                <w:spacing w:val="3"/>
                <w:sz w:val="19"/>
              </w:rPr>
              <w:t xml:space="preserve"> </w:t>
            </w:r>
            <w:r>
              <w:rPr>
                <w:spacing w:val="-2"/>
                <w:sz w:val="19"/>
              </w:rPr>
              <w:t>(Chair)</w:t>
            </w:r>
          </w:p>
        </w:tc>
        <w:tc>
          <w:tcPr>
            <w:tcW w:w="908" w:type="dxa"/>
          </w:tcPr>
          <w:p w14:paraId="03371137" w14:textId="030649A8" w:rsidR="003602DB" w:rsidRDefault="003602DB" w:rsidP="003602DB">
            <w:pPr>
              <w:pStyle w:val="TableParagraph"/>
              <w:spacing w:before="142"/>
              <w:ind w:left="6" w:right="7"/>
              <w:jc w:val="center"/>
              <w:rPr>
                <w:spacing w:val="-10"/>
                <w:sz w:val="19"/>
              </w:rPr>
            </w:pPr>
            <w:r>
              <w:rPr>
                <w:spacing w:val="-10"/>
                <w:sz w:val="19"/>
              </w:rPr>
              <w:t>p</w:t>
            </w:r>
          </w:p>
        </w:tc>
        <w:tc>
          <w:tcPr>
            <w:tcW w:w="908" w:type="dxa"/>
          </w:tcPr>
          <w:p w14:paraId="729C1C82" w14:textId="2344571F" w:rsidR="003602DB" w:rsidRDefault="003602DB" w:rsidP="003602DB">
            <w:pPr>
              <w:pStyle w:val="TableParagraph"/>
              <w:spacing w:before="142"/>
              <w:ind w:left="6" w:right="7"/>
              <w:jc w:val="center"/>
              <w:rPr>
                <w:spacing w:val="-10"/>
                <w:sz w:val="19"/>
              </w:rPr>
            </w:pPr>
            <w:r>
              <w:rPr>
                <w:spacing w:val="-10"/>
                <w:sz w:val="19"/>
              </w:rPr>
              <w:t>p</w:t>
            </w:r>
          </w:p>
        </w:tc>
        <w:tc>
          <w:tcPr>
            <w:tcW w:w="908" w:type="dxa"/>
          </w:tcPr>
          <w:p w14:paraId="69FE91E9" w14:textId="0FCF16BC" w:rsidR="003602DB" w:rsidRDefault="003602DB" w:rsidP="003602DB">
            <w:pPr>
              <w:pStyle w:val="TableParagraph"/>
              <w:spacing w:before="142"/>
              <w:ind w:left="4" w:right="7"/>
              <w:jc w:val="center"/>
              <w:rPr>
                <w:spacing w:val="-10"/>
                <w:sz w:val="19"/>
              </w:rPr>
            </w:pPr>
            <w:r>
              <w:rPr>
                <w:spacing w:val="-10"/>
                <w:sz w:val="19"/>
              </w:rPr>
              <w:t>p</w:t>
            </w:r>
          </w:p>
        </w:tc>
        <w:tc>
          <w:tcPr>
            <w:tcW w:w="908" w:type="dxa"/>
          </w:tcPr>
          <w:p w14:paraId="66308ACF" w14:textId="16A7E5F1" w:rsidR="003602DB" w:rsidRDefault="003602DB" w:rsidP="003602DB">
            <w:pPr>
              <w:pStyle w:val="TableParagraph"/>
              <w:spacing w:before="142"/>
              <w:ind w:left="2" w:right="7"/>
              <w:jc w:val="center"/>
              <w:rPr>
                <w:spacing w:val="-10"/>
                <w:sz w:val="19"/>
              </w:rPr>
            </w:pPr>
            <w:r>
              <w:rPr>
                <w:spacing w:val="-10"/>
                <w:sz w:val="19"/>
              </w:rPr>
              <w:t>p</w:t>
            </w:r>
          </w:p>
        </w:tc>
        <w:tc>
          <w:tcPr>
            <w:tcW w:w="908" w:type="dxa"/>
            <w:tcBorders>
              <w:right w:val="single" w:sz="4" w:space="0" w:color="000000"/>
            </w:tcBorders>
          </w:tcPr>
          <w:p w14:paraId="6F4A0801" w14:textId="422D1881" w:rsidR="003602DB" w:rsidRDefault="003602DB" w:rsidP="003602DB">
            <w:pPr>
              <w:pStyle w:val="TableParagraph"/>
              <w:spacing w:before="142"/>
              <w:ind w:right="7"/>
              <w:jc w:val="center"/>
              <w:rPr>
                <w:spacing w:val="-10"/>
                <w:sz w:val="19"/>
              </w:rPr>
            </w:pPr>
            <w:r>
              <w:rPr>
                <w:spacing w:val="-10"/>
                <w:sz w:val="19"/>
              </w:rPr>
              <w:t>p</w:t>
            </w:r>
          </w:p>
        </w:tc>
        <w:tc>
          <w:tcPr>
            <w:tcW w:w="3006" w:type="dxa"/>
            <w:tcBorders>
              <w:left w:val="single" w:sz="4" w:space="0" w:color="000000"/>
              <w:right w:val="nil"/>
            </w:tcBorders>
          </w:tcPr>
          <w:p w14:paraId="06220248" w14:textId="27D6BA92" w:rsidR="003602DB" w:rsidRDefault="003602DB" w:rsidP="003602DB">
            <w:pPr>
              <w:pStyle w:val="TableParagraph"/>
              <w:spacing w:before="142"/>
              <w:ind w:left="77"/>
              <w:rPr>
                <w:spacing w:val="-2"/>
                <w:sz w:val="19"/>
              </w:rPr>
            </w:pPr>
            <w:r>
              <w:rPr>
                <w:spacing w:val="-2"/>
                <w:sz w:val="19"/>
              </w:rPr>
              <w:t>$51,160.15</w:t>
            </w:r>
          </w:p>
        </w:tc>
      </w:tr>
      <w:tr w:rsidR="003602DB" w14:paraId="5E960D5D" w14:textId="77777777" w:rsidTr="003602DB">
        <w:trPr>
          <w:trHeight w:val="505"/>
        </w:trPr>
        <w:tc>
          <w:tcPr>
            <w:tcW w:w="2665" w:type="dxa"/>
            <w:tcBorders>
              <w:left w:val="nil"/>
            </w:tcBorders>
          </w:tcPr>
          <w:p w14:paraId="00A4D78F" w14:textId="59FD84D6" w:rsidR="003602DB" w:rsidRDefault="003602DB" w:rsidP="003602DB">
            <w:pPr>
              <w:pStyle w:val="TableParagraph"/>
              <w:spacing w:before="142"/>
              <w:ind w:left="85"/>
              <w:rPr>
                <w:sz w:val="19"/>
              </w:rPr>
            </w:pPr>
            <w:proofErr w:type="spellStart"/>
            <w:r>
              <w:rPr>
                <w:sz w:val="19"/>
              </w:rPr>
              <w:t>Mr</w:t>
            </w:r>
            <w:proofErr w:type="spellEnd"/>
            <w:r>
              <w:rPr>
                <w:spacing w:val="-1"/>
                <w:sz w:val="19"/>
              </w:rPr>
              <w:t xml:space="preserve"> </w:t>
            </w:r>
            <w:r>
              <w:rPr>
                <w:sz w:val="19"/>
              </w:rPr>
              <w:t xml:space="preserve">Peter </w:t>
            </w:r>
            <w:r>
              <w:rPr>
                <w:spacing w:val="-2"/>
                <w:sz w:val="19"/>
              </w:rPr>
              <w:t>Achterstraat</w:t>
            </w:r>
          </w:p>
        </w:tc>
        <w:tc>
          <w:tcPr>
            <w:tcW w:w="908" w:type="dxa"/>
          </w:tcPr>
          <w:p w14:paraId="4EEE281F" w14:textId="77777777" w:rsidR="003602DB" w:rsidRDefault="003602DB" w:rsidP="003602DB">
            <w:pPr>
              <w:pStyle w:val="TableParagraph"/>
              <w:spacing w:before="142"/>
              <w:ind w:left="6" w:right="7"/>
              <w:jc w:val="center"/>
              <w:rPr>
                <w:sz w:val="19"/>
              </w:rPr>
            </w:pPr>
            <w:r>
              <w:rPr>
                <w:spacing w:val="-10"/>
                <w:sz w:val="19"/>
              </w:rPr>
              <w:t>p</w:t>
            </w:r>
          </w:p>
        </w:tc>
        <w:tc>
          <w:tcPr>
            <w:tcW w:w="908" w:type="dxa"/>
          </w:tcPr>
          <w:p w14:paraId="21860D51" w14:textId="77777777" w:rsidR="003602DB" w:rsidRDefault="003602DB" w:rsidP="003602DB">
            <w:pPr>
              <w:pStyle w:val="TableParagraph"/>
              <w:spacing w:before="142"/>
              <w:ind w:left="6" w:right="7"/>
              <w:jc w:val="center"/>
              <w:rPr>
                <w:sz w:val="19"/>
              </w:rPr>
            </w:pPr>
            <w:r>
              <w:rPr>
                <w:spacing w:val="-10"/>
                <w:sz w:val="19"/>
              </w:rPr>
              <w:t>p</w:t>
            </w:r>
          </w:p>
        </w:tc>
        <w:tc>
          <w:tcPr>
            <w:tcW w:w="908" w:type="dxa"/>
          </w:tcPr>
          <w:p w14:paraId="2EB99DEA" w14:textId="77777777" w:rsidR="003602DB" w:rsidRDefault="003602DB" w:rsidP="003602DB">
            <w:pPr>
              <w:pStyle w:val="TableParagraph"/>
              <w:spacing w:before="142"/>
              <w:ind w:left="4" w:right="7"/>
              <w:jc w:val="center"/>
              <w:rPr>
                <w:sz w:val="19"/>
              </w:rPr>
            </w:pPr>
            <w:r>
              <w:rPr>
                <w:spacing w:val="-10"/>
                <w:sz w:val="19"/>
              </w:rPr>
              <w:t>p</w:t>
            </w:r>
          </w:p>
        </w:tc>
        <w:tc>
          <w:tcPr>
            <w:tcW w:w="908" w:type="dxa"/>
          </w:tcPr>
          <w:p w14:paraId="21EBEA68" w14:textId="77777777" w:rsidR="003602DB" w:rsidRDefault="003602DB" w:rsidP="003602DB">
            <w:pPr>
              <w:pStyle w:val="TableParagraph"/>
              <w:spacing w:before="142"/>
              <w:ind w:left="2" w:right="7"/>
              <w:jc w:val="center"/>
              <w:rPr>
                <w:sz w:val="19"/>
              </w:rPr>
            </w:pPr>
            <w:r>
              <w:rPr>
                <w:spacing w:val="-10"/>
                <w:sz w:val="19"/>
              </w:rPr>
              <w:t>p</w:t>
            </w:r>
          </w:p>
        </w:tc>
        <w:tc>
          <w:tcPr>
            <w:tcW w:w="908" w:type="dxa"/>
            <w:tcBorders>
              <w:right w:val="single" w:sz="4" w:space="0" w:color="000000"/>
            </w:tcBorders>
          </w:tcPr>
          <w:p w14:paraId="728C6DCC" w14:textId="77777777" w:rsidR="003602DB" w:rsidRDefault="003602DB" w:rsidP="003602DB">
            <w:pPr>
              <w:pStyle w:val="TableParagraph"/>
              <w:spacing w:before="142"/>
              <w:ind w:right="7"/>
              <w:jc w:val="center"/>
              <w:rPr>
                <w:sz w:val="19"/>
              </w:rPr>
            </w:pPr>
            <w:r>
              <w:rPr>
                <w:spacing w:val="-10"/>
                <w:sz w:val="19"/>
              </w:rPr>
              <w:t>p</w:t>
            </w:r>
          </w:p>
        </w:tc>
        <w:tc>
          <w:tcPr>
            <w:tcW w:w="3006" w:type="dxa"/>
            <w:tcBorders>
              <w:left w:val="single" w:sz="4" w:space="0" w:color="000000"/>
              <w:right w:val="nil"/>
            </w:tcBorders>
          </w:tcPr>
          <w:p w14:paraId="105D1908" w14:textId="77777777" w:rsidR="003602DB" w:rsidRDefault="003602DB" w:rsidP="003602DB">
            <w:pPr>
              <w:pStyle w:val="TableParagraph"/>
              <w:spacing w:before="142"/>
              <w:ind w:left="77"/>
              <w:rPr>
                <w:sz w:val="19"/>
              </w:rPr>
            </w:pPr>
            <w:r>
              <w:rPr>
                <w:spacing w:val="-2"/>
                <w:sz w:val="19"/>
              </w:rPr>
              <w:t>$18,150.00</w:t>
            </w:r>
          </w:p>
        </w:tc>
      </w:tr>
      <w:tr w:rsidR="003602DB" w14:paraId="10A1FC8A" w14:textId="77777777">
        <w:trPr>
          <w:trHeight w:val="505"/>
        </w:trPr>
        <w:tc>
          <w:tcPr>
            <w:tcW w:w="2665" w:type="dxa"/>
            <w:tcBorders>
              <w:left w:val="nil"/>
            </w:tcBorders>
          </w:tcPr>
          <w:p w14:paraId="3D8B913C" w14:textId="77777777" w:rsidR="003602DB" w:rsidRDefault="003602DB" w:rsidP="003602DB">
            <w:pPr>
              <w:pStyle w:val="TableParagraph"/>
              <w:spacing w:before="142"/>
              <w:ind w:left="85"/>
              <w:rPr>
                <w:sz w:val="19"/>
              </w:rPr>
            </w:pPr>
            <w:proofErr w:type="spellStart"/>
            <w:r>
              <w:rPr>
                <w:sz w:val="19"/>
              </w:rPr>
              <w:t>Ms</w:t>
            </w:r>
            <w:proofErr w:type="spellEnd"/>
            <w:r>
              <w:rPr>
                <w:spacing w:val="1"/>
                <w:sz w:val="19"/>
              </w:rPr>
              <w:t xml:space="preserve"> </w:t>
            </w:r>
            <w:r>
              <w:rPr>
                <w:sz w:val="19"/>
              </w:rPr>
              <w:t>Lily</w:t>
            </w:r>
            <w:r>
              <w:rPr>
                <w:spacing w:val="1"/>
                <w:sz w:val="19"/>
              </w:rPr>
              <w:t xml:space="preserve"> </w:t>
            </w:r>
            <w:r>
              <w:rPr>
                <w:spacing w:val="-2"/>
                <w:sz w:val="19"/>
              </w:rPr>
              <w:t>Viertmann*</w:t>
            </w:r>
          </w:p>
        </w:tc>
        <w:tc>
          <w:tcPr>
            <w:tcW w:w="908" w:type="dxa"/>
          </w:tcPr>
          <w:p w14:paraId="2E4F8C94" w14:textId="77777777" w:rsidR="003602DB" w:rsidRDefault="003602DB" w:rsidP="003602DB">
            <w:pPr>
              <w:pStyle w:val="TableParagraph"/>
              <w:spacing w:before="142"/>
              <w:ind w:left="6" w:right="7"/>
              <w:jc w:val="center"/>
              <w:rPr>
                <w:sz w:val="19"/>
              </w:rPr>
            </w:pPr>
            <w:r>
              <w:rPr>
                <w:spacing w:val="-10"/>
                <w:sz w:val="19"/>
              </w:rPr>
              <w:t>p</w:t>
            </w:r>
          </w:p>
        </w:tc>
        <w:tc>
          <w:tcPr>
            <w:tcW w:w="908" w:type="dxa"/>
          </w:tcPr>
          <w:p w14:paraId="3CD0E52E" w14:textId="77777777" w:rsidR="003602DB" w:rsidRDefault="003602DB" w:rsidP="003602DB">
            <w:pPr>
              <w:pStyle w:val="TableParagraph"/>
              <w:spacing w:before="142"/>
              <w:ind w:left="6" w:right="7"/>
              <w:jc w:val="center"/>
              <w:rPr>
                <w:sz w:val="19"/>
              </w:rPr>
            </w:pPr>
            <w:r>
              <w:rPr>
                <w:spacing w:val="-10"/>
                <w:sz w:val="19"/>
              </w:rPr>
              <w:t>p</w:t>
            </w:r>
          </w:p>
        </w:tc>
        <w:tc>
          <w:tcPr>
            <w:tcW w:w="908" w:type="dxa"/>
          </w:tcPr>
          <w:p w14:paraId="34F4E044" w14:textId="77777777" w:rsidR="003602DB" w:rsidRDefault="003602DB" w:rsidP="003602DB">
            <w:pPr>
              <w:pStyle w:val="TableParagraph"/>
              <w:spacing w:before="142"/>
              <w:ind w:left="4" w:right="7"/>
              <w:jc w:val="center"/>
              <w:rPr>
                <w:sz w:val="19"/>
              </w:rPr>
            </w:pPr>
            <w:r>
              <w:rPr>
                <w:spacing w:val="-10"/>
                <w:sz w:val="19"/>
              </w:rPr>
              <w:t>p</w:t>
            </w:r>
          </w:p>
        </w:tc>
        <w:tc>
          <w:tcPr>
            <w:tcW w:w="908" w:type="dxa"/>
          </w:tcPr>
          <w:p w14:paraId="314C6047" w14:textId="77777777" w:rsidR="003602DB" w:rsidRDefault="003602DB" w:rsidP="003602DB">
            <w:pPr>
              <w:pStyle w:val="TableParagraph"/>
              <w:spacing w:before="142"/>
              <w:ind w:left="2" w:right="7"/>
              <w:jc w:val="center"/>
              <w:rPr>
                <w:sz w:val="19"/>
              </w:rPr>
            </w:pPr>
            <w:r>
              <w:rPr>
                <w:spacing w:val="-10"/>
                <w:sz w:val="19"/>
              </w:rPr>
              <w:t>p</w:t>
            </w:r>
          </w:p>
        </w:tc>
        <w:tc>
          <w:tcPr>
            <w:tcW w:w="908" w:type="dxa"/>
          </w:tcPr>
          <w:p w14:paraId="5A1659E2" w14:textId="77777777" w:rsidR="003602DB" w:rsidRDefault="003602DB" w:rsidP="003602DB">
            <w:pPr>
              <w:pStyle w:val="TableParagraph"/>
              <w:spacing w:before="142"/>
              <w:ind w:right="7"/>
              <w:jc w:val="center"/>
              <w:rPr>
                <w:sz w:val="19"/>
              </w:rPr>
            </w:pPr>
            <w:r>
              <w:rPr>
                <w:spacing w:val="-10"/>
                <w:sz w:val="19"/>
              </w:rPr>
              <w:t>p</w:t>
            </w:r>
          </w:p>
        </w:tc>
        <w:tc>
          <w:tcPr>
            <w:tcW w:w="3006" w:type="dxa"/>
            <w:tcBorders>
              <w:right w:val="nil"/>
            </w:tcBorders>
          </w:tcPr>
          <w:p w14:paraId="268327FE" w14:textId="77777777" w:rsidR="003602DB" w:rsidRDefault="003602DB" w:rsidP="003602DB">
            <w:pPr>
              <w:pStyle w:val="TableParagraph"/>
              <w:spacing w:before="142"/>
              <w:ind w:left="77"/>
              <w:rPr>
                <w:sz w:val="19"/>
              </w:rPr>
            </w:pPr>
            <w:r>
              <w:rPr>
                <w:spacing w:val="-2"/>
                <w:sz w:val="19"/>
              </w:rPr>
              <w:t>$12,000.00</w:t>
            </w:r>
          </w:p>
        </w:tc>
      </w:tr>
      <w:tr w:rsidR="003602DB" w14:paraId="48D915F9" w14:textId="77777777">
        <w:trPr>
          <w:trHeight w:val="505"/>
        </w:trPr>
        <w:tc>
          <w:tcPr>
            <w:tcW w:w="2665" w:type="dxa"/>
            <w:tcBorders>
              <w:left w:val="nil"/>
            </w:tcBorders>
          </w:tcPr>
          <w:p w14:paraId="3161F5A1" w14:textId="77777777" w:rsidR="003602DB" w:rsidRDefault="003602DB" w:rsidP="003602DB">
            <w:pPr>
              <w:pStyle w:val="TableParagraph"/>
              <w:spacing w:before="12"/>
              <w:ind w:left="85"/>
              <w:rPr>
                <w:sz w:val="19"/>
              </w:rPr>
            </w:pPr>
            <w:proofErr w:type="spellStart"/>
            <w:r>
              <w:rPr>
                <w:sz w:val="19"/>
              </w:rPr>
              <w:t>Mr</w:t>
            </w:r>
            <w:proofErr w:type="spellEnd"/>
            <w:r>
              <w:rPr>
                <w:spacing w:val="1"/>
                <w:sz w:val="19"/>
              </w:rPr>
              <w:t xml:space="preserve"> </w:t>
            </w:r>
            <w:r>
              <w:rPr>
                <w:sz w:val="19"/>
              </w:rPr>
              <w:t>David</w:t>
            </w:r>
            <w:r>
              <w:rPr>
                <w:spacing w:val="1"/>
                <w:sz w:val="19"/>
              </w:rPr>
              <w:t xml:space="preserve"> </w:t>
            </w:r>
            <w:r>
              <w:rPr>
                <w:spacing w:val="-4"/>
                <w:sz w:val="19"/>
              </w:rPr>
              <w:t>Swan</w:t>
            </w:r>
          </w:p>
        </w:tc>
        <w:tc>
          <w:tcPr>
            <w:tcW w:w="908" w:type="dxa"/>
          </w:tcPr>
          <w:p w14:paraId="1618DD82" w14:textId="77777777" w:rsidR="003602DB" w:rsidRDefault="003602DB" w:rsidP="003602DB">
            <w:pPr>
              <w:pStyle w:val="TableParagraph"/>
              <w:spacing w:before="12"/>
              <w:ind w:left="6" w:right="7"/>
              <w:jc w:val="center"/>
              <w:rPr>
                <w:sz w:val="19"/>
              </w:rPr>
            </w:pPr>
            <w:r>
              <w:rPr>
                <w:spacing w:val="-10"/>
                <w:sz w:val="19"/>
              </w:rPr>
              <w:t>p</w:t>
            </w:r>
          </w:p>
        </w:tc>
        <w:tc>
          <w:tcPr>
            <w:tcW w:w="908" w:type="dxa"/>
          </w:tcPr>
          <w:p w14:paraId="52F68AA9" w14:textId="77777777" w:rsidR="003602DB" w:rsidRDefault="003602DB" w:rsidP="003602DB">
            <w:pPr>
              <w:pStyle w:val="TableParagraph"/>
              <w:spacing w:before="12"/>
              <w:ind w:left="6" w:right="7"/>
              <w:jc w:val="center"/>
              <w:rPr>
                <w:sz w:val="19"/>
              </w:rPr>
            </w:pPr>
            <w:r>
              <w:rPr>
                <w:spacing w:val="-10"/>
                <w:sz w:val="19"/>
              </w:rPr>
              <w:t>p</w:t>
            </w:r>
          </w:p>
        </w:tc>
        <w:tc>
          <w:tcPr>
            <w:tcW w:w="908" w:type="dxa"/>
          </w:tcPr>
          <w:p w14:paraId="57324558" w14:textId="77777777" w:rsidR="003602DB" w:rsidRDefault="003602DB" w:rsidP="003602DB">
            <w:pPr>
              <w:pStyle w:val="TableParagraph"/>
              <w:spacing w:before="12"/>
              <w:ind w:left="4" w:right="7"/>
              <w:jc w:val="center"/>
              <w:rPr>
                <w:sz w:val="19"/>
              </w:rPr>
            </w:pPr>
            <w:r>
              <w:rPr>
                <w:spacing w:val="-10"/>
                <w:sz w:val="19"/>
              </w:rPr>
              <w:t>p</w:t>
            </w:r>
          </w:p>
        </w:tc>
        <w:tc>
          <w:tcPr>
            <w:tcW w:w="908" w:type="dxa"/>
          </w:tcPr>
          <w:p w14:paraId="3E9B138A" w14:textId="77777777" w:rsidR="003602DB" w:rsidRDefault="003602DB" w:rsidP="003602DB">
            <w:pPr>
              <w:pStyle w:val="TableParagraph"/>
              <w:spacing w:before="12"/>
              <w:ind w:left="2" w:right="7"/>
              <w:jc w:val="center"/>
              <w:rPr>
                <w:sz w:val="19"/>
              </w:rPr>
            </w:pPr>
            <w:r>
              <w:rPr>
                <w:spacing w:val="-10"/>
                <w:sz w:val="19"/>
              </w:rPr>
              <w:t>a</w:t>
            </w:r>
          </w:p>
        </w:tc>
        <w:tc>
          <w:tcPr>
            <w:tcW w:w="908" w:type="dxa"/>
          </w:tcPr>
          <w:p w14:paraId="5E49756A" w14:textId="77777777" w:rsidR="003602DB" w:rsidRDefault="003602DB" w:rsidP="003602DB">
            <w:pPr>
              <w:pStyle w:val="TableParagraph"/>
              <w:spacing w:before="12"/>
              <w:ind w:right="7"/>
              <w:jc w:val="center"/>
              <w:rPr>
                <w:sz w:val="19"/>
              </w:rPr>
            </w:pPr>
            <w:r>
              <w:rPr>
                <w:spacing w:val="-10"/>
                <w:sz w:val="19"/>
              </w:rPr>
              <w:t>p</w:t>
            </w:r>
          </w:p>
        </w:tc>
        <w:tc>
          <w:tcPr>
            <w:tcW w:w="3006" w:type="dxa"/>
            <w:tcBorders>
              <w:right w:val="nil"/>
            </w:tcBorders>
          </w:tcPr>
          <w:p w14:paraId="432A4D02" w14:textId="77777777" w:rsidR="003602DB" w:rsidRDefault="003602DB" w:rsidP="003602DB">
            <w:pPr>
              <w:pStyle w:val="TableParagraph"/>
              <w:spacing w:before="19" w:line="230" w:lineRule="auto"/>
              <w:ind w:left="77"/>
              <w:rPr>
                <w:sz w:val="19"/>
              </w:rPr>
            </w:pPr>
            <w:r>
              <w:rPr>
                <w:sz w:val="19"/>
              </w:rPr>
              <w:t>Remunerated</w:t>
            </w:r>
            <w:r>
              <w:rPr>
                <w:spacing w:val="-6"/>
                <w:sz w:val="19"/>
              </w:rPr>
              <w:t xml:space="preserve"> </w:t>
            </w:r>
            <w:r>
              <w:rPr>
                <w:sz w:val="19"/>
              </w:rPr>
              <w:t>for</w:t>
            </w:r>
            <w:r>
              <w:rPr>
                <w:spacing w:val="-6"/>
                <w:sz w:val="19"/>
              </w:rPr>
              <w:t xml:space="preserve"> </w:t>
            </w:r>
            <w:r>
              <w:rPr>
                <w:sz w:val="19"/>
              </w:rPr>
              <w:t>Board</w:t>
            </w:r>
            <w:r>
              <w:rPr>
                <w:spacing w:val="-6"/>
                <w:sz w:val="19"/>
              </w:rPr>
              <w:t xml:space="preserve"> </w:t>
            </w:r>
            <w:r>
              <w:rPr>
                <w:sz w:val="19"/>
              </w:rPr>
              <w:t>position, not Audit and Risk Committee</w:t>
            </w:r>
          </w:p>
        </w:tc>
      </w:tr>
    </w:tbl>
    <w:p w14:paraId="4B2CDFE7" w14:textId="77777777" w:rsidR="009D54AF" w:rsidRDefault="00000000">
      <w:pPr>
        <w:spacing w:before="146"/>
        <w:ind w:left="142"/>
        <w:rPr>
          <w:sz w:val="17"/>
        </w:rPr>
      </w:pPr>
      <w:r>
        <w:rPr>
          <w:sz w:val="17"/>
        </w:rPr>
        <w:t>*</w:t>
      </w:r>
      <w:r>
        <w:rPr>
          <w:spacing w:val="2"/>
          <w:sz w:val="17"/>
        </w:rPr>
        <w:t xml:space="preserve"> </w:t>
      </w:r>
      <w:r>
        <w:rPr>
          <w:sz w:val="17"/>
        </w:rPr>
        <w:t>eligible</w:t>
      </w:r>
      <w:r>
        <w:rPr>
          <w:spacing w:val="2"/>
          <w:sz w:val="17"/>
        </w:rPr>
        <w:t xml:space="preserve"> </w:t>
      </w:r>
      <w:r>
        <w:rPr>
          <w:sz w:val="17"/>
        </w:rPr>
        <w:t>for</w:t>
      </w:r>
      <w:r>
        <w:rPr>
          <w:spacing w:val="3"/>
          <w:sz w:val="17"/>
        </w:rPr>
        <w:t xml:space="preserve"> </w:t>
      </w:r>
      <w:r>
        <w:rPr>
          <w:sz w:val="17"/>
        </w:rPr>
        <w:t>payment</w:t>
      </w:r>
      <w:r>
        <w:rPr>
          <w:spacing w:val="2"/>
          <w:sz w:val="17"/>
        </w:rPr>
        <w:t xml:space="preserve"> </w:t>
      </w:r>
      <w:r>
        <w:rPr>
          <w:sz w:val="17"/>
        </w:rPr>
        <w:t>from</w:t>
      </w:r>
      <w:r>
        <w:rPr>
          <w:spacing w:val="3"/>
          <w:sz w:val="17"/>
        </w:rPr>
        <w:t xml:space="preserve"> </w:t>
      </w:r>
      <w:r>
        <w:rPr>
          <w:sz w:val="17"/>
        </w:rPr>
        <w:t>1</w:t>
      </w:r>
      <w:r>
        <w:rPr>
          <w:spacing w:val="2"/>
          <w:sz w:val="17"/>
        </w:rPr>
        <w:t xml:space="preserve"> </w:t>
      </w:r>
      <w:r>
        <w:rPr>
          <w:sz w:val="17"/>
        </w:rPr>
        <w:t>December</w:t>
      </w:r>
      <w:r>
        <w:rPr>
          <w:spacing w:val="3"/>
          <w:sz w:val="17"/>
        </w:rPr>
        <w:t xml:space="preserve"> </w:t>
      </w:r>
      <w:r>
        <w:rPr>
          <w:sz w:val="17"/>
        </w:rPr>
        <w:t>2026;</w:t>
      </w:r>
      <w:r>
        <w:rPr>
          <w:spacing w:val="2"/>
          <w:sz w:val="17"/>
        </w:rPr>
        <w:t xml:space="preserve"> </w:t>
      </w:r>
      <w:r>
        <w:rPr>
          <w:sz w:val="17"/>
        </w:rPr>
        <w:t>a=</w:t>
      </w:r>
      <w:r>
        <w:rPr>
          <w:spacing w:val="3"/>
          <w:sz w:val="17"/>
        </w:rPr>
        <w:t xml:space="preserve"> </w:t>
      </w:r>
      <w:r>
        <w:rPr>
          <w:sz w:val="17"/>
        </w:rPr>
        <w:t>absent</w:t>
      </w:r>
      <w:r>
        <w:rPr>
          <w:spacing w:val="52"/>
          <w:sz w:val="17"/>
        </w:rPr>
        <w:t xml:space="preserve"> </w:t>
      </w:r>
      <w:r>
        <w:rPr>
          <w:sz w:val="17"/>
        </w:rPr>
        <w:t>p</w:t>
      </w:r>
      <w:r>
        <w:rPr>
          <w:spacing w:val="2"/>
          <w:sz w:val="17"/>
        </w:rPr>
        <w:t xml:space="preserve"> </w:t>
      </w:r>
      <w:r>
        <w:rPr>
          <w:sz w:val="17"/>
        </w:rPr>
        <w:t>=</w:t>
      </w:r>
      <w:r>
        <w:rPr>
          <w:spacing w:val="3"/>
          <w:sz w:val="17"/>
        </w:rPr>
        <w:t xml:space="preserve"> </w:t>
      </w:r>
      <w:r>
        <w:rPr>
          <w:spacing w:val="-2"/>
          <w:sz w:val="17"/>
        </w:rPr>
        <w:t>present</w:t>
      </w:r>
    </w:p>
    <w:p w14:paraId="1402A627" w14:textId="30B3745E" w:rsidR="003E17E6" w:rsidRDefault="003E17E6">
      <w:pPr>
        <w:rPr>
          <w:b/>
        </w:rPr>
      </w:pPr>
    </w:p>
    <w:p w14:paraId="139670B8" w14:textId="7F845D77" w:rsidR="009D54AF" w:rsidRDefault="00000000">
      <w:pPr>
        <w:spacing w:before="151"/>
        <w:ind w:left="142"/>
        <w:rPr>
          <w:b/>
        </w:rPr>
      </w:pPr>
      <w:proofErr w:type="spellStart"/>
      <w:r>
        <w:rPr>
          <w:b/>
        </w:rPr>
        <w:t>Ms</w:t>
      </w:r>
      <w:proofErr w:type="spellEnd"/>
      <w:r>
        <w:rPr>
          <w:b/>
          <w:spacing w:val="1"/>
        </w:rPr>
        <w:t xml:space="preserve"> </w:t>
      </w:r>
      <w:r>
        <w:rPr>
          <w:b/>
        </w:rPr>
        <w:t>Jennifer</w:t>
      </w:r>
      <w:r>
        <w:rPr>
          <w:b/>
          <w:spacing w:val="2"/>
        </w:rPr>
        <w:t xml:space="preserve"> </w:t>
      </w:r>
      <w:r>
        <w:rPr>
          <w:b/>
        </w:rPr>
        <w:t>Clark</w:t>
      </w:r>
      <w:r>
        <w:rPr>
          <w:b/>
          <w:spacing w:val="3"/>
        </w:rPr>
        <w:t xml:space="preserve"> </w:t>
      </w:r>
      <w:r>
        <w:rPr>
          <w:b/>
          <w:spacing w:val="-2"/>
        </w:rPr>
        <w:t>(Chair)</w:t>
      </w:r>
    </w:p>
    <w:p w14:paraId="0D6F077B" w14:textId="77777777" w:rsidR="009D54AF" w:rsidRDefault="00000000">
      <w:pPr>
        <w:pStyle w:val="BodyText"/>
        <w:spacing w:before="150" w:line="278" w:lineRule="auto"/>
        <w:ind w:left="142"/>
      </w:pPr>
      <w:proofErr w:type="spellStart"/>
      <w:r>
        <w:t>Ms</w:t>
      </w:r>
      <w:proofErr w:type="spellEnd"/>
      <w:r>
        <w:rPr>
          <w:spacing w:val="-2"/>
        </w:rPr>
        <w:t xml:space="preserve"> </w:t>
      </w:r>
      <w:r>
        <w:t>Clark</w:t>
      </w:r>
      <w:r>
        <w:rPr>
          <w:spacing w:val="-2"/>
        </w:rPr>
        <w:t xml:space="preserve"> </w:t>
      </w:r>
      <w:r>
        <w:t>is</w:t>
      </w:r>
      <w:r>
        <w:rPr>
          <w:spacing w:val="-2"/>
        </w:rPr>
        <w:t xml:space="preserve"> </w:t>
      </w:r>
      <w:r>
        <w:t>the</w:t>
      </w:r>
      <w:r>
        <w:rPr>
          <w:spacing w:val="-2"/>
        </w:rPr>
        <w:t xml:space="preserve"> </w:t>
      </w:r>
      <w:r>
        <w:t>Chair</w:t>
      </w:r>
      <w:r>
        <w:rPr>
          <w:spacing w:val="-2"/>
        </w:rPr>
        <w:t xml:space="preserve"> </w:t>
      </w:r>
      <w:r>
        <w:t>of</w:t>
      </w:r>
      <w:r>
        <w:rPr>
          <w:spacing w:val="-2"/>
        </w:rPr>
        <w:t xml:space="preserve"> </w:t>
      </w:r>
      <w:r>
        <w:t>the</w:t>
      </w:r>
      <w:r>
        <w:rPr>
          <w:spacing w:val="-2"/>
        </w:rPr>
        <w:t xml:space="preserve"> </w:t>
      </w:r>
      <w:r>
        <w:t>Audit</w:t>
      </w:r>
      <w:r>
        <w:rPr>
          <w:spacing w:val="-2"/>
        </w:rPr>
        <w:t xml:space="preserve"> </w:t>
      </w:r>
      <w:r>
        <w:t>and</w:t>
      </w:r>
      <w:r>
        <w:rPr>
          <w:spacing w:val="-2"/>
        </w:rPr>
        <w:t xml:space="preserve"> </w:t>
      </w:r>
      <w:r>
        <w:t>Risk</w:t>
      </w:r>
      <w:r>
        <w:rPr>
          <w:spacing w:val="-2"/>
        </w:rPr>
        <w:t xml:space="preserve"> </w:t>
      </w:r>
      <w:r>
        <w:t>Committee.</w:t>
      </w:r>
      <w:r>
        <w:rPr>
          <w:spacing w:val="-2"/>
        </w:rPr>
        <w:t xml:space="preserve"> </w:t>
      </w:r>
      <w:proofErr w:type="spellStart"/>
      <w:r>
        <w:t>Ms</w:t>
      </w:r>
      <w:proofErr w:type="spellEnd"/>
      <w:r>
        <w:rPr>
          <w:spacing w:val="-2"/>
        </w:rPr>
        <w:t xml:space="preserve"> </w:t>
      </w:r>
      <w:r>
        <w:t>Clark</w:t>
      </w:r>
      <w:r>
        <w:rPr>
          <w:spacing w:val="-2"/>
        </w:rPr>
        <w:t xml:space="preserve"> </w:t>
      </w:r>
      <w:r>
        <w:t>has</w:t>
      </w:r>
      <w:r>
        <w:rPr>
          <w:spacing w:val="-2"/>
        </w:rPr>
        <w:t xml:space="preserve"> </w:t>
      </w:r>
      <w:r>
        <w:t>an</w:t>
      </w:r>
      <w:r>
        <w:rPr>
          <w:spacing w:val="-2"/>
        </w:rPr>
        <w:t xml:space="preserve"> </w:t>
      </w:r>
      <w:r>
        <w:t>extensive</w:t>
      </w:r>
      <w:r>
        <w:rPr>
          <w:spacing w:val="-2"/>
        </w:rPr>
        <w:t xml:space="preserve"> </w:t>
      </w:r>
      <w:r>
        <w:t>background</w:t>
      </w:r>
      <w:r>
        <w:rPr>
          <w:spacing w:val="-2"/>
        </w:rPr>
        <w:t xml:space="preserve"> </w:t>
      </w:r>
      <w:r>
        <w:t>in</w:t>
      </w:r>
      <w:r>
        <w:rPr>
          <w:spacing w:val="-2"/>
        </w:rPr>
        <w:t xml:space="preserve"> </w:t>
      </w:r>
      <w:r>
        <w:t>business, finance and governance through a career as an investment banker and as a non-executive director.</w:t>
      </w:r>
    </w:p>
    <w:p w14:paraId="53F93638" w14:textId="77777777" w:rsidR="009D54AF" w:rsidRDefault="00000000">
      <w:pPr>
        <w:pStyle w:val="BodyText"/>
        <w:spacing w:before="68" w:line="278" w:lineRule="auto"/>
        <w:ind w:left="142" w:right="371"/>
        <w:jc w:val="both"/>
      </w:pPr>
      <w:bookmarkStart w:id="49" w:name="_bookmark12"/>
      <w:bookmarkEnd w:id="49"/>
      <w:r>
        <w:t>She</w:t>
      </w:r>
      <w:r>
        <w:rPr>
          <w:spacing w:val="-1"/>
        </w:rPr>
        <w:t xml:space="preserve"> </w:t>
      </w:r>
      <w:r>
        <w:t>has</w:t>
      </w:r>
      <w:r>
        <w:rPr>
          <w:spacing w:val="-1"/>
        </w:rPr>
        <w:t xml:space="preserve"> </w:t>
      </w:r>
      <w:r>
        <w:t>been</w:t>
      </w:r>
      <w:r>
        <w:rPr>
          <w:spacing w:val="-1"/>
        </w:rPr>
        <w:t xml:space="preserve"> </w:t>
      </w:r>
      <w:r>
        <w:t>the</w:t>
      </w:r>
      <w:r>
        <w:rPr>
          <w:spacing w:val="-1"/>
        </w:rPr>
        <w:t xml:space="preserve"> </w:t>
      </w:r>
      <w:r>
        <w:t>chair</w:t>
      </w:r>
      <w:r>
        <w:rPr>
          <w:spacing w:val="-1"/>
        </w:rPr>
        <w:t xml:space="preserve"> </w:t>
      </w:r>
      <w:r>
        <w:t>or</w:t>
      </w:r>
      <w:r>
        <w:rPr>
          <w:spacing w:val="-1"/>
        </w:rPr>
        <w:t xml:space="preserve"> </w:t>
      </w:r>
      <w:r>
        <w:t>member</w:t>
      </w:r>
      <w:r>
        <w:rPr>
          <w:spacing w:val="-1"/>
        </w:rPr>
        <w:t xml:space="preserve"> </w:t>
      </w:r>
      <w:r>
        <w:t>of</w:t>
      </w:r>
      <w:r>
        <w:rPr>
          <w:spacing w:val="-1"/>
        </w:rPr>
        <w:t xml:space="preserve"> </w:t>
      </w:r>
      <w:r>
        <w:t>over</w:t>
      </w:r>
      <w:r>
        <w:rPr>
          <w:spacing w:val="-1"/>
        </w:rPr>
        <w:t xml:space="preserve"> </w:t>
      </w:r>
      <w:r>
        <w:t>20</w:t>
      </w:r>
      <w:r>
        <w:rPr>
          <w:spacing w:val="-1"/>
        </w:rPr>
        <w:t xml:space="preserve"> </w:t>
      </w:r>
      <w:r>
        <w:t>audit,</w:t>
      </w:r>
      <w:r>
        <w:rPr>
          <w:spacing w:val="-1"/>
        </w:rPr>
        <w:t xml:space="preserve"> </w:t>
      </w:r>
      <w:r>
        <w:t>risk</w:t>
      </w:r>
      <w:r>
        <w:rPr>
          <w:spacing w:val="-1"/>
        </w:rPr>
        <w:t xml:space="preserve"> </w:t>
      </w:r>
      <w:r>
        <w:t>and</w:t>
      </w:r>
      <w:r>
        <w:rPr>
          <w:spacing w:val="-1"/>
        </w:rPr>
        <w:t xml:space="preserve"> </w:t>
      </w:r>
      <w:r>
        <w:t>finance</w:t>
      </w:r>
      <w:r>
        <w:rPr>
          <w:spacing w:val="-1"/>
        </w:rPr>
        <w:t xml:space="preserve"> </w:t>
      </w:r>
      <w:r>
        <w:t>committees</w:t>
      </w:r>
      <w:r>
        <w:rPr>
          <w:spacing w:val="-1"/>
        </w:rPr>
        <w:t xml:space="preserve"> </w:t>
      </w:r>
      <w:r>
        <w:t>in</w:t>
      </w:r>
      <w:r>
        <w:rPr>
          <w:spacing w:val="-1"/>
        </w:rPr>
        <w:t xml:space="preserve"> </w:t>
      </w:r>
      <w:r>
        <w:t>the</w:t>
      </w:r>
      <w:r>
        <w:rPr>
          <w:spacing w:val="-1"/>
        </w:rPr>
        <w:t xml:space="preserve"> </w:t>
      </w:r>
      <w:r>
        <w:t>Commonwealth</w:t>
      </w:r>
      <w:r>
        <w:rPr>
          <w:spacing w:val="-1"/>
        </w:rPr>
        <w:t xml:space="preserve"> </w:t>
      </w:r>
      <w:r>
        <w:t>and private</w:t>
      </w:r>
      <w:r>
        <w:rPr>
          <w:spacing w:val="-1"/>
        </w:rPr>
        <w:t xml:space="preserve"> </w:t>
      </w:r>
      <w:r>
        <w:t>sectors</w:t>
      </w:r>
      <w:r>
        <w:rPr>
          <w:spacing w:val="-1"/>
        </w:rPr>
        <w:t xml:space="preserve"> </w:t>
      </w:r>
      <w:r>
        <w:t>over</w:t>
      </w:r>
      <w:r>
        <w:rPr>
          <w:spacing w:val="-1"/>
        </w:rPr>
        <w:t xml:space="preserve"> </w:t>
      </w:r>
      <w:r>
        <w:t>the</w:t>
      </w:r>
      <w:r>
        <w:rPr>
          <w:spacing w:val="-1"/>
        </w:rPr>
        <w:t xml:space="preserve"> </w:t>
      </w:r>
      <w:r>
        <w:t>past</w:t>
      </w:r>
      <w:r>
        <w:rPr>
          <w:spacing w:val="-1"/>
        </w:rPr>
        <w:t xml:space="preserve"> </w:t>
      </w:r>
      <w:r>
        <w:t>30</w:t>
      </w:r>
      <w:r>
        <w:rPr>
          <w:spacing w:val="-1"/>
        </w:rPr>
        <w:t xml:space="preserve"> </w:t>
      </w:r>
      <w:r>
        <w:t>years.</w:t>
      </w:r>
      <w:r>
        <w:rPr>
          <w:spacing w:val="-1"/>
        </w:rPr>
        <w:t xml:space="preserve"> </w:t>
      </w:r>
      <w:proofErr w:type="spellStart"/>
      <w:r>
        <w:t>Ms</w:t>
      </w:r>
      <w:proofErr w:type="spellEnd"/>
      <w:r>
        <w:rPr>
          <w:spacing w:val="-1"/>
        </w:rPr>
        <w:t xml:space="preserve"> </w:t>
      </w:r>
      <w:r>
        <w:t>Clark</w:t>
      </w:r>
      <w:r>
        <w:rPr>
          <w:spacing w:val="-1"/>
        </w:rPr>
        <w:t xml:space="preserve"> </w:t>
      </w:r>
      <w:r>
        <w:t>is</w:t>
      </w:r>
      <w:r>
        <w:rPr>
          <w:spacing w:val="-1"/>
        </w:rPr>
        <w:t xml:space="preserve"> </w:t>
      </w:r>
      <w:r>
        <w:t>a</w:t>
      </w:r>
      <w:r>
        <w:rPr>
          <w:spacing w:val="-1"/>
        </w:rPr>
        <w:t xml:space="preserve"> </w:t>
      </w:r>
      <w:r>
        <w:t>Fellow</w:t>
      </w:r>
      <w:r>
        <w:rPr>
          <w:spacing w:val="-1"/>
        </w:rPr>
        <w:t xml:space="preserve"> </w:t>
      </w:r>
      <w:r>
        <w:t>of</w:t>
      </w:r>
      <w:r>
        <w:rPr>
          <w:spacing w:val="-1"/>
        </w:rPr>
        <w:t xml:space="preserve"> </w:t>
      </w:r>
      <w:r>
        <w:t>the</w:t>
      </w:r>
      <w:r>
        <w:rPr>
          <w:spacing w:val="-1"/>
        </w:rPr>
        <w:t xml:space="preserve"> </w:t>
      </w:r>
      <w:r>
        <w:t>Australian</w:t>
      </w:r>
      <w:r>
        <w:rPr>
          <w:spacing w:val="-1"/>
        </w:rPr>
        <w:t xml:space="preserve"> </w:t>
      </w:r>
      <w:r>
        <w:t>Institute</w:t>
      </w:r>
      <w:r>
        <w:rPr>
          <w:spacing w:val="-1"/>
        </w:rPr>
        <w:t xml:space="preserve"> </w:t>
      </w:r>
      <w:r>
        <w:t>of</w:t>
      </w:r>
      <w:r>
        <w:rPr>
          <w:spacing w:val="-1"/>
        </w:rPr>
        <w:t xml:space="preserve"> </w:t>
      </w:r>
      <w:r>
        <w:t>Company</w:t>
      </w:r>
      <w:r>
        <w:rPr>
          <w:spacing w:val="-1"/>
        </w:rPr>
        <w:t xml:space="preserve"> </w:t>
      </w:r>
      <w:r>
        <w:t>Directors and has substantial experience in financial and performance reporting, audit and risk management.</w:t>
      </w:r>
    </w:p>
    <w:p w14:paraId="1AA1D9CA" w14:textId="77777777" w:rsidR="009D54AF" w:rsidRDefault="009D54AF">
      <w:pPr>
        <w:pStyle w:val="BodyText"/>
        <w:spacing w:before="4"/>
      </w:pPr>
    </w:p>
    <w:p w14:paraId="4E2CCCE2" w14:textId="77777777" w:rsidR="009D54AF" w:rsidRDefault="00000000">
      <w:pPr>
        <w:ind w:left="142"/>
        <w:jc w:val="both"/>
        <w:rPr>
          <w:b/>
        </w:rPr>
      </w:pPr>
      <w:proofErr w:type="spellStart"/>
      <w:r>
        <w:rPr>
          <w:b/>
        </w:rPr>
        <w:t>Mr</w:t>
      </w:r>
      <w:proofErr w:type="spellEnd"/>
      <w:r>
        <w:rPr>
          <w:b/>
          <w:spacing w:val="-2"/>
        </w:rPr>
        <w:t xml:space="preserve"> </w:t>
      </w:r>
      <w:r>
        <w:rPr>
          <w:b/>
        </w:rPr>
        <w:t>Peter</w:t>
      </w:r>
      <w:r>
        <w:rPr>
          <w:b/>
          <w:spacing w:val="1"/>
        </w:rPr>
        <w:t xml:space="preserve"> </w:t>
      </w:r>
      <w:r>
        <w:rPr>
          <w:b/>
        </w:rPr>
        <w:t>Achterstraat</w:t>
      </w:r>
      <w:r>
        <w:rPr>
          <w:b/>
          <w:spacing w:val="1"/>
        </w:rPr>
        <w:t xml:space="preserve"> </w:t>
      </w:r>
      <w:r>
        <w:rPr>
          <w:b/>
        </w:rPr>
        <w:t>AM, BCom,</w:t>
      </w:r>
      <w:r>
        <w:rPr>
          <w:b/>
          <w:spacing w:val="1"/>
        </w:rPr>
        <w:t xml:space="preserve"> </w:t>
      </w:r>
      <w:r>
        <w:rPr>
          <w:b/>
        </w:rPr>
        <w:t>LLB,</w:t>
      </w:r>
      <w:r>
        <w:rPr>
          <w:b/>
          <w:spacing w:val="1"/>
        </w:rPr>
        <w:t xml:space="preserve"> </w:t>
      </w:r>
      <w:proofErr w:type="spellStart"/>
      <w:r>
        <w:rPr>
          <w:b/>
        </w:rPr>
        <w:t>BEc</w:t>
      </w:r>
      <w:proofErr w:type="spellEnd"/>
      <w:r>
        <w:rPr>
          <w:b/>
          <w:spacing w:val="1"/>
        </w:rPr>
        <w:t xml:space="preserve"> </w:t>
      </w:r>
      <w:r>
        <w:rPr>
          <w:b/>
          <w:spacing w:val="-2"/>
        </w:rPr>
        <w:t>(Hons)</w:t>
      </w:r>
    </w:p>
    <w:p w14:paraId="27BCE447" w14:textId="77777777" w:rsidR="009D54AF" w:rsidRDefault="00000000">
      <w:pPr>
        <w:pStyle w:val="BodyText"/>
        <w:spacing w:before="150" w:line="278" w:lineRule="auto"/>
        <w:ind w:left="142" w:right="192"/>
      </w:pPr>
      <w:proofErr w:type="spellStart"/>
      <w:r>
        <w:t>Mr</w:t>
      </w:r>
      <w:proofErr w:type="spellEnd"/>
      <w:r>
        <w:t xml:space="preserve"> </w:t>
      </w:r>
      <w:proofErr w:type="spellStart"/>
      <w:r>
        <w:t>Achterstraat</w:t>
      </w:r>
      <w:proofErr w:type="spellEnd"/>
      <w:r>
        <w:t xml:space="preserve"> is currently Commissioner of the NSW Productivity and Equality Commission and was Auditor-General</w:t>
      </w:r>
      <w:r>
        <w:rPr>
          <w:spacing w:val="-4"/>
        </w:rPr>
        <w:t xml:space="preserve"> </w:t>
      </w:r>
      <w:r>
        <w:t>of</w:t>
      </w:r>
      <w:r>
        <w:rPr>
          <w:spacing w:val="-4"/>
        </w:rPr>
        <w:t xml:space="preserve"> </w:t>
      </w:r>
      <w:r>
        <w:t>NSW</w:t>
      </w:r>
      <w:r>
        <w:rPr>
          <w:spacing w:val="-4"/>
        </w:rPr>
        <w:t xml:space="preserve"> </w:t>
      </w:r>
      <w:r>
        <w:t>(2006–2013)</w:t>
      </w:r>
      <w:r>
        <w:rPr>
          <w:spacing w:val="-4"/>
        </w:rPr>
        <w:t xml:space="preserve"> </w:t>
      </w:r>
      <w:r>
        <w:t>and</w:t>
      </w:r>
      <w:r>
        <w:rPr>
          <w:spacing w:val="-4"/>
        </w:rPr>
        <w:t xml:space="preserve"> </w:t>
      </w:r>
      <w:r>
        <w:t>NSW</w:t>
      </w:r>
      <w:r>
        <w:rPr>
          <w:spacing w:val="-4"/>
        </w:rPr>
        <w:t xml:space="preserve"> </w:t>
      </w:r>
      <w:r>
        <w:t>Chief</w:t>
      </w:r>
      <w:r>
        <w:rPr>
          <w:spacing w:val="-4"/>
        </w:rPr>
        <w:t xml:space="preserve"> </w:t>
      </w:r>
      <w:r>
        <w:t>Commissioner</w:t>
      </w:r>
      <w:r>
        <w:rPr>
          <w:spacing w:val="-4"/>
        </w:rPr>
        <w:t xml:space="preserve"> </w:t>
      </w:r>
      <w:r>
        <w:t>of</w:t>
      </w:r>
      <w:r>
        <w:rPr>
          <w:spacing w:val="-4"/>
        </w:rPr>
        <w:t xml:space="preserve"> </w:t>
      </w:r>
      <w:r>
        <w:t>State</w:t>
      </w:r>
      <w:r>
        <w:rPr>
          <w:spacing w:val="-4"/>
        </w:rPr>
        <w:t xml:space="preserve"> </w:t>
      </w:r>
      <w:r>
        <w:t>Revenue</w:t>
      </w:r>
      <w:r>
        <w:rPr>
          <w:spacing w:val="-4"/>
        </w:rPr>
        <w:t xml:space="preserve"> </w:t>
      </w:r>
      <w:r>
        <w:t>(1999–2006).</w:t>
      </w:r>
      <w:r>
        <w:rPr>
          <w:spacing w:val="-4"/>
        </w:rPr>
        <w:t xml:space="preserve"> </w:t>
      </w:r>
      <w:r>
        <w:t>He</w:t>
      </w:r>
      <w:r>
        <w:rPr>
          <w:spacing w:val="-4"/>
        </w:rPr>
        <w:t xml:space="preserve"> </w:t>
      </w:r>
      <w:r>
        <w:t>was President of the Australian Institute of Company Directors (NSW Division) from 2014 to 2020.</w:t>
      </w:r>
    </w:p>
    <w:p w14:paraId="148E3A08" w14:textId="77777777" w:rsidR="009D54AF" w:rsidRDefault="00000000">
      <w:pPr>
        <w:pStyle w:val="BodyText"/>
        <w:spacing w:before="141" w:line="278" w:lineRule="auto"/>
        <w:ind w:left="142" w:right="285"/>
      </w:pPr>
      <w:proofErr w:type="spellStart"/>
      <w:r>
        <w:t>Mr</w:t>
      </w:r>
      <w:proofErr w:type="spellEnd"/>
      <w:r>
        <w:rPr>
          <w:spacing w:val="-3"/>
        </w:rPr>
        <w:t xml:space="preserve"> </w:t>
      </w:r>
      <w:proofErr w:type="spellStart"/>
      <w:r>
        <w:t>Achterstraat</w:t>
      </w:r>
      <w:proofErr w:type="spellEnd"/>
      <w:r>
        <w:rPr>
          <w:spacing w:val="-3"/>
        </w:rPr>
        <w:t xml:space="preserve"> </w:t>
      </w:r>
      <w:r>
        <w:t>is</w:t>
      </w:r>
      <w:r>
        <w:rPr>
          <w:spacing w:val="-3"/>
        </w:rPr>
        <w:t xml:space="preserve"> </w:t>
      </w:r>
      <w:r>
        <w:t>a</w:t>
      </w:r>
      <w:r>
        <w:rPr>
          <w:spacing w:val="-3"/>
        </w:rPr>
        <w:t xml:space="preserve"> </w:t>
      </w:r>
      <w:r>
        <w:t>fellow</w:t>
      </w:r>
      <w:r>
        <w:rPr>
          <w:spacing w:val="-3"/>
        </w:rPr>
        <w:t xml:space="preserve"> </w:t>
      </w:r>
      <w:r>
        <w:t>of</w:t>
      </w:r>
      <w:r>
        <w:rPr>
          <w:spacing w:val="-3"/>
        </w:rPr>
        <w:t xml:space="preserve"> </w:t>
      </w:r>
      <w:r>
        <w:t>Chartered</w:t>
      </w:r>
      <w:r>
        <w:rPr>
          <w:spacing w:val="-3"/>
        </w:rPr>
        <w:t xml:space="preserve"> </w:t>
      </w:r>
      <w:r>
        <w:t>Accountants</w:t>
      </w:r>
      <w:r>
        <w:rPr>
          <w:spacing w:val="-3"/>
        </w:rPr>
        <w:t xml:space="preserve"> </w:t>
      </w:r>
      <w:r>
        <w:t>Australia</w:t>
      </w:r>
      <w:r>
        <w:rPr>
          <w:spacing w:val="-3"/>
        </w:rPr>
        <w:t xml:space="preserve"> </w:t>
      </w:r>
      <w:r>
        <w:t>and</w:t>
      </w:r>
      <w:r>
        <w:rPr>
          <w:spacing w:val="-3"/>
        </w:rPr>
        <w:t xml:space="preserve"> </w:t>
      </w:r>
      <w:r>
        <w:t>New</w:t>
      </w:r>
      <w:r>
        <w:rPr>
          <w:spacing w:val="-3"/>
        </w:rPr>
        <w:t xml:space="preserve"> </w:t>
      </w:r>
      <w:r>
        <w:t>Zealand,</w:t>
      </w:r>
      <w:r>
        <w:rPr>
          <w:spacing w:val="-3"/>
        </w:rPr>
        <w:t xml:space="preserve"> </w:t>
      </w:r>
      <w:r>
        <w:t>as</w:t>
      </w:r>
      <w:r>
        <w:rPr>
          <w:spacing w:val="-3"/>
        </w:rPr>
        <w:t xml:space="preserve"> </w:t>
      </w:r>
      <w:r>
        <w:t>well</w:t>
      </w:r>
      <w:r>
        <w:rPr>
          <w:spacing w:val="-3"/>
        </w:rPr>
        <w:t xml:space="preserve"> </w:t>
      </w:r>
      <w:r>
        <w:t>as</w:t>
      </w:r>
      <w:r>
        <w:rPr>
          <w:spacing w:val="-3"/>
        </w:rPr>
        <w:t xml:space="preserve"> </w:t>
      </w:r>
      <w:r>
        <w:t>CPA</w:t>
      </w:r>
      <w:r>
        <w:rPr>
          <w:spacing w:val="-3"/>
        </w:rPr>
        <w:t xml:space="preserve"> </w:t>
      </w:r>
      <w:r>
        <w:t xml:space="preserve">Australia and the Governance Institute of Australia. He has more than 30 years of experience in finance and </w:t>
      </w:r>
      <w:r>
        <w:rPr>
          <w:spacing w:val="-2"/>
        </w:rPr>
        <w:t>governance.</w:t>
      </w:r>
    </w:p>
    <w:p w14:paraId="2F550E43" w14:textId="77777777" w:rsidR="009D54AF" w:rsidRDefault="009D54AF">
      <w:pPr>
        <w:pStyle w:val="BodyText"/>
        <w:spacing w:before="4"/>
      </w:pPr>
    </w:p>
    <w:p w14:paraId="6D10F382" w14:textId="77777777" w:rsidR="009D54AF" w:rsidRDefault="00000000">
      <w:pPr>
        <w:ind w:left="142"/>
        <w:rPr>
          <w:b/>
        </w:rPr>
      </w:pPr>
      <w:proofErr w:type="spellStart"/>
      <w:r>
        <w:rPr>
          <w:b/>
        </w:rPr>
        <w:t>Ms</w:t>
      </w:r>
      <w:proofErr w:type="spellEnd"/>
      <w:r>
        <w:rPr>
          <w:b/>
        </w:rPr>
        <w:t xml:space="preserve"> Lily </w:t>
      </w:r>
      <w:proofErr w:type="spellStart"/>
      <w:r>
        <w:rPr>
          <w:b/>
          <w:spacing w:val="-2"/>
        </w:rPr>
        <w:t>Viertmann</w:t>
      </w:r>
      <w:proofErr w:type="spellEnd"/>
    </w:p>
    <w:p w14:paraId="3E5AB3E5" w14:textId="77777777" w:rsidR="009D54AF" w:rsidRDefault="00000000">
      <w:pPr>
        <w:pStyle w:val="BodyText"/>
        <w:spacing w:before="150" w:line="278" w:lineRule="auto"/>
        <w:ind w:left="142" w:right="314"/>
      </w:pPr>
      <w:proofErr w:type="spellStart"/>
      <w:r>
        <w:t>Ms</w:t>
      </w:r>
      <w:proofErr w:type="spellEnd"/>
      <w:r>
        <w:rPr>
          <w:spacing w:val="-2"/>
        </w:rPr>
        <w:t xml:space="preserve"> </w:t>
      </w:r>
      <w:proofErr w:type="spellStart"/>
      <w:r>
        <w:t>Viertmann</w:t>
      </w:r>
      <w:proofErr w:type="spellEnd"/>
      <w:r>
        <w:rPr>
          <w:spacing w:val="-2"/>
        </w:rPr>
        <w:t xml:space="preserve"> </w:t>
      </w:r>
      <w:r>
        <w:t>has</w:t>
      </w:r>
      <w:r>
        <w:rPr>
          <w:spacing w:val="-2"/>
        </w:rPr>
        <w:t xml:space="preserve"> </w:t>
      </w:r>
      <w:r>
        <w:t>extensive</w:t>
      </w:r>
      <w:r>
        <w:rPr>
          <w:spacing w:val="-2"/>
        </w:rPr>
        <w:t xml:space="preserve"> </w:t>
      </w:r>
      <w:r>
        <w:t>experience</w:t>
      </w:r>
      <w:r>
        <w:rPr>
          <w:spacing w:val="-2"/>
        </w:rPr>
        <w:t xml:space="preserve"> </w:t>
      </w:r>
      <w:r>
        <w:t>in</w:t>
      </w:r>
      <w:r>
        <w:rPr>
          <w:spacing w:val="-2"/>
        </w:rPr>
        <w:t xml:space="preserve"> </w:t>
      </w:r>
      <w:r>
        <w:t>governance,</w:t>
      </w:r>
      <w:r>
        <w:rPr>
          <w:spacing w:val="-2"/>
        </w:rPr>
        <w:t xml:space="preserve"> </w:t>
      </w:r>
      <w:r>
        <w:t>financial</w:t>
      </w:r>
      <w:r>
        <w:rPr>
          <w:spacing w:val="-2"/>
        </w:rPr>
        <w:t xml:space="preserve"> </w:t>
      </w:r>
      <w:r>
        <w:t>audit</w:t>
      </w:r>
      <w:r>
        <w:rPr>
          <w:spacing w:val="-2"/>
        </w:rPr>
        <w:t xml:space="preserve"> </w:t>
      </w:r>
      <w:r>
        <w:t>and</w:t>
      </w:r>
      <w:r>
        <w:rPr>
          <w:spacing w:val="-2"/>
        </w:rPr>
        <w:t xml:space="preserve"> </w:t>
      </w:r>
      <w:r>
        <w:t>risk</w:t>
      </w:r>
      <w:r>
        <w:rPr>
          <w:spacing w:val="-2"/>
        </w:rPr>
        <w:t xml:space="preserve"> </w:t>
      </w:r>
      <w:r>
        <w:t>management.</w:t>
      </w:r>
      <w:r>
        <w:rPr>
          <w:spacing w:val="-2"/>
        </w:rPr>
        <w:t xml:space="preserve"> </w:t>
      </w:r>
      <w:r>
        <w:t>She</w:t>
      </w:r>
      <w:r>
        <w:rPr>
          <w:spacing w:val="-2"/>
        </w:rPr>
        <w:t xml:space="preserve"> </w:t>
      </w:r>
      <w:r>
        <w:t>has</w:t>
      </w:r>
      <w:r>
        <w:rPr>
          <w:spacing w:val="-2"/>
        </w:rPr>
        <w:t xml:space="preserve"> </w:t>
      </w:r>
      <w:r>
        <w:t>been a chief financial officer, chief risk officer and chief audit executive in the Australian Government. She has held senior roles in both the Commonwealth and Queensland public sectors, including membership of audit committees and executive boards.</w:t>
      </w:r>
    </w:p>
    <w:p w14:paraId="38B420CC" w14:textId="77777777" w:rsidR="009D54AF" w:rsidRDefault="00000000">
      <w:pPr>
        <w:pStyle w:val="BodyText"/>
        <w:spacing w:before="141" w:line="278" w:lineRule="auto"/>
        <w:ind w:left="142" w:right="145"/>
      </w:pPr>
      <w:proofErr w:type="spellStart"/>
      <w:r>
        <w:t>Ms</w:t>
      </w:r>
      <w:proofErr w:type="spellEnd"/>
      <w:r>
        <w:t xml:space="preserve"> </w:t>
      </w:r>
      <w:proofErr w:type="spellStart"/>
      <w:r>
        <w:t>Viertmann</w:t>
      </w:r>
      <w:proofErr w:type="spellEnd"/>
      <w:r>
        <w:t xml:space="preserve"> is a Fellow of CPA Australia, a graduate of the Australian Institute of Company Directors, a finalist</w:t>
      </w:r>
      <w:r>
        <w:rPr>
          <w:spacing w:val="-4"/>
        </w:rPr>
        <w:t xml:space="preserve"> </w:t>
      </w:r>
      <w:r>
        <w:t>in</w:t>
      </w:r>
      <w:r>
        <w:rPr>
          <w:spacing w:val="-4"/>
        </w:rPr>
        <w:t xml:space="preserve"> </w:t>
      </w:r>
      <w:r>
        <w:t>the</w:t>
      </w:r>
      <w:r>
        <w:rPr>
          <w:spacing w:val="-4"/>
        </w:rPr>
        <w:t xml:space="preserve"> </w:t>
      </w:r>
      <w:r>
        <w:t>2012</w:t>
      </w:r>
      <w:r>
        <w:rPr>
          <w:spacing w:val="-4"/>
        </w:rPr>
        <w:t xml:space="preserve"> </w:t>
      </w:r>
      <w:r>
        <w:t>ACT</w:t>
      </w:r>
      <w:r>
        <w:rPr>
          <w:spacing w:val="-4"/>
        </w:rPr>
        <w:t xml:space="preserve"> </w:t>
      </w:r>
      <w:r>
        <w:t>Telstra</w:t>
      </w:r>
      <w:r>
        <w:rPr>
          <w:spacing w:val="-4"/>
        </w:rPr>
        <w:t xml:space="preserve"> </w:t>
      </w:r>
      <w:r>
        <w:t>Business</w:t>
      </w:r>
      <w:r>
        <w:rPr>
          <w:spacing w:val="-4"/>
        </w:rPr>
        <w:t xml:space="preserve"> </w:t>
      </w:r>
      <w:r>
        <w:t>Women’s</w:t>
      </w:r>
      <w:r>
        <w:rPr>
          <w:spacing w:val="-4"/>
        </w:rPr>
        <w:t xml:space="preserve"> </w:t>
      </w:r>
      <w:r>
        <w:t>Awards</w:t>
      </w:r>
      <w:r>
        <w:rPr>
          <w:spacing w:val="-4"/>
        </w:rPr>
        <w:t xml:space="preserve"> </w:t>
      </w:r>
      <w:r>
        <w:t>and</w:t>
      </w:r>
      <w:r>
        <w:rPr>
          <w:spacing w:val="-4"/>
        </w:rPr>
        <w:t xml:space="preserve"> </w:t>
      </w:r>
      <w:r>
        <w:t>a</w:t>
      </w:r>
      <w:r>
        <w:rPr>
          <w:spacing w:val="-4"/>
        </w:rPr>
        <w:t xml:space="preserve"> </w:t>
      </w:r>
      <w:r>
        <w:t>recipient</w:t>
      </w:r>
      <w:r>
        <w:rPr>
          <w:spacing w:val="-4"/>
        </w:rPr>
        <w:t xml:space="preserve"> </w:t>
      </w:r>
      <w:r>
        <w:t>of</w:t>
      </w:r>
      <w:r>
        <w:rPr>
          <w:spacing w:val="-4"/>
        </w:rPr>
        <w:t xml:space="preserve"> </w:t>
      </w:r>
      <w:r>
        <w:t>Chartered</w:t>
      </w:r>
      <w:r>
        <w:rPr>
          <w:spacing w:val="-4"/>
        </w:rPr>
        <w:t xml:space="preserve"> </w:t>
      </w:r>
      <w:r>
        <w:t>Accountants</w:t>
      </w:r>
      <w:r>
        <w:rPr>
          <w:spacing w:val="-4"/>
        </w:rPr>
        <w:t xml:space="preserve"> </w:t>
      </w:r>
      <w:r>
        <w:t>Australia and</w:t>
      </w:r>
      <w:r>
        <w:rPr>
          <w:spacing w:val="-4"/>
        </w:rPr>
        <w:t xml:space="preserve"> </w:t>
      </w:r>
      <w:r>
        <w:t>New</w:t>
      </w:r>
      <w:r>
        <w:rPr>
          <w:spacing w:val="-4"/>
        </w:rPr>
        <w:t xml:space="preserve"> </w:t>
      </w:r>
      <w:r>
        <w:t>Zealand</w:t>
      </w:r>
      <w:r>
        <w:rPr>
          <w:spacing w:val="-4"/>
        </w:rPr>
        <w:t xml:space="preserve"> </w:t>
      </w:r>
      <w:r>
        <w:t>Leadership</w:t>
      </w:r>
      <w:r>
        <w:rPr>
          <w:spacing w:val="-4"/>
        </w:rPr>
        <w:t xml:space="preserve"> </w:t>
      </w:r>
      <w:r>
        <w:t>in</w:t>
      </w:r>
      <w:r>
        <w:rPr>
          <w:spacing w:val="-4"/>
        </w:rPr>
        <w:t xml:space="preserve"> </w:t>
      </w:r>
      <w:r>
        <w:t>Government</w:t>
      </w:r>
      <w:r>
        <w:rPr>
          <w:spacing w:val="-4"/>
        </w:rPr>
        <w:t xml:space="preserve"> </w:t>
      </w:r>
      <w:r>
        <w:t>Awards</w:t>
      </w:r>
      <w:r>
        <w:rPr>
          <w:spacing w:val="-4"/>
        </w:rPr>
        <w:t xml:space="preserve"> </w:t>
      </w:r>
      <w:r>
        <w:t>Outstanding</w:t>
      </w:r>
      <w:r>
        <w:rPr>
          <w:spacing w:val="-4"/>
        </w:rPr>
        <w:t xml:space="preserve"> </w:t>
      </w:r>
      <w:r>
        <w:t>Contribution</w:t>
      </w:r>
      <w:r>
        <w:rPr>
          <w:spacing w:val="-4"/>
        </w:rPr>
        <w:t xml:space="preserve"> </w:t>
      </w:r>
      <w:r>
        <w:t>in</w:t>
      </w:r>
      <w:r>
        <w:rPr>
          <w:spacing w:val="-4"/>
        </w:rPr>
        <w:t xml:space="preserve"> </w:t>
      </w:r>
      <w:r>
        <w:t>Public</w:t>
      </w:r>
      <w:r>
        <w:rPr>
          <w:spacing w:val="-4"/>
        </w:rPr>
        <w:t xml:space="preserve"> </w:t>
      </w:r>
      <w:r>
        <w:t>Administration</w:t>
      </w:r>
      <w:r>
        <w:rPr>
          <w:spacing w:val="-4"/>
        </w:rPr>
        <w:t xml:space="preserve"> </w:t>
      </w:r>
      <w:r>
        <w:t>Award 2018. She has over 20 years of experience in financial management, 13 of these as a chief financial officer.</w:t>
      </w:r>
    </w:p>
    <w:p w14:paraId="715B0C52" w14:textId="6F83F5DD" w:rsidR="00426F87" w:rsidRDefault="00426F87">
      <w:pPr>
        <w:rPr>
          <w:sz w:val="21"/>
          <w:szCs w:val="21"/>
        </w:rPr>
      </w:pPr>
      <w:r>
        <w:br w:type="page"/>
      </w:r>
    </w:p>
    <w:p w14:paraId="4CF49A4D" w14:textId="77777777" w:rsidR="009D54AF" w:rsidRDefault="00000000">
      <w:pPr>
        <w:ind w:left="142"/>
        <w:rPr>
          <w:b/>
        </w:rPr>
      </w:pPr>
      <w:proofErr w:type="spellStart"/>
      <w:r>
        <w:rPr>
          <w:b/>
        </w:rPr>
        <w:lastRenderedPageBreak/>
        <w:t>Mr</w:t>
      </w:r>
      <w:proofErr w:type="spellEnd"/>
      <w:r>
        <w:rPr>
          <w:b/>
          <w:spacing w:val="-3"/>
        </w:rPr>
        <w:t xml:space="preserve"> </w:t>
      </w:r>
      <w:r>
        <w:rPr>
          <w:b/>
        </w:rPr>
        <w:t xml:space="preserve">David </w:t>
      </w:r>
      <w:r>
        <w:rPr>
          <w:b/>
          <w:spacing w:val="-4"/>
        </w:rPr>
        <w:t>Swan</w:t>
      </w:r>
    </w:p>
    <w:p w14:paraId="5ED06732" w14:textId="77777777" w:rsidR="009D54AF" w:rsidRDefault="00000000">
      <w:pPr>
        <w:pStyle w:val="BodyText"/>
        <w:spacing w:before="150" w:line="278" w:lineRule="auto"/>
        <w:ind w:left="142" w:right="613"/>
      </w:pPr>
      <w:proofErr w:type="spellStart"/>
      <w:r>
        <w:t>Mr</w:t>
      </w:r>
      <w:proofErr w:type="spellEnd"/>
      <w:r>
        <w:rPr>
          <w:spacing w:val="-2"/>
        </w:rPr>
        <w:t xml:space="preserve"> </w:t>
      </w:r>
      <w:r>
        <w:t>Swan</w:t>
      </w:r>
      <w:r>
        <w:rPr>
          <w:spacing w:val="-2"/>
        </w:rPr>
        <w:t xml:space="preserve"> </w:t>
      </w:r>
      <w:r>
        <w:t>is</w:t>
      </w:r>
      <w:r>
        <w:rPr>
          <w:spacing w:val="-2"/>
        </w:rPr>
        <w:t xml:space="preserve"> </w:t>
      </w:r>
      <w:r>
        <w:t>a</w:t>
      </w:r>
      <w:r>
        <w:rPr>
          <w:spacing w:val="-2"/>
        </w:rPr>
        <w:t xml:space="preserve"> </w:t>
      </w:r>
      <w:r>
        <w:t>member</w:t>
      </w:r>
      <w:r>
        <w:rPr>
          <w:spacing w:val="-2"/>
        </w:rPr>
        <w:t xml:space="preserve"> </w:t>
      </w:r>
      <w:r>
        <w:t>of</w:t>
      </w:r>
      <w:r>
        <w:rPr>
          <w:spacing w:val="-2"/>
        </w:rPr>
        <w:t xml:space="preserve"> </w:t>
      </w:r>
      <w:r>
        <w:t>the</w:t>
      </w:r>
      <w:r>
        <w:rPr>
          <w:spacing w:val="-2"/>
        </w:rPr>
        <w:t xml:space="preserve"> </w:t>
      </w:r>
      <w:r>
        <w:t>Audit</w:t>
      </w:r>
      <w:r>
        <w:rPr>
          <w:spacing w:val="-2"/>
        </w:rPr>
        <w:t xml:space="preserve"> </w:t>
      </w:r>
      <w:r>
        <w:t>and</w:t>
      </w:r>
      <w:r>
        <w:rPr>
          <w:spacing w:val="-2"/>
        </w:rPr>
        <w:t xml:space="preserve"> </w:t>
      </w:r>
      <w:r>
        <w:t>Risk</w:t>
      </w:r>
      <w:r>
        <w:rPr>
          <w:spacing w:val="-2"/>
        </w:rPr>
        <w:t xml:space="preserve"> </w:t>
      </w:r>
      <w:r>
        <w:t>Committee</w:t>
      </w:r>
      <w:r>
        <w:rPr>
          <w:spacing w:val="-2"/>
        </w:rPr>
        <w:t xml:space="preserve"> </w:t>
      </w:r>
      <w:r>
        <w:t>representing</w:t>
      </w:r>
      <w:r>
        <w:rPr>
          <w:spacing w:val="-2"/>
        </w:rPr>
        <w:t xml:space="preserve"> </w:t>
      </w:r>
      <w:r>
        <w:t>the</w:t>
      </w:r>
      <w:r>
        <w:rPr>
          <w:spacing w:val="-2"/>
        </w:rPr>
        <w:t xml:space="preserve"> </w:t>
      </w:r>
      <w:r>
        <w:t>Board.</w:t>
      </w:r>
      <w:r>
        <w:rPr>
          <w:spacing w:val="-2"/>
        </w:rPr>
        <w:t xml:space="preserve"> </w:t>
      </w:r>
      <w:proofErr w:type="spellStart"/>
      <w:r>
        <w:t>Mr</w:t>
      </w:r>
      <w:proofErr w:type="spellEnd"/>
      <w:r>
        <w:rPr>
          <w:spacing w:val="-2"/>
        </w:rPr>
        <w:t xml:space="preserve"> </w:t>
      </w:r>
      <w:r>
        <w:t>Swan</w:t>
      </w:r>
      <w:r>
        <w:rPr>
          <w:spacing w:val="-2"/>
        </w:rPr>
        <w:t xml:space="preserve"> </w:t>
      </w:r>
      <w:r>
        <w:t>was</w:t>
      </w:r>
      <w:r>
        <w:rPr>
          <w:spacing w:val="-2"/>
        </w:rPr>
        <w:t xml:space="preserve"> </w:t>
      </w:r>
      <w:r>
        <w:t xml:space="preserve">appointed to the committee in May 2025. </w:t>
      </w:r>
      <w:proofErr w:type="spellStart"/>
      <w:r>
        <w:t>Mr</w:t>
      </w:r>
      <w:proofErr w:type="spellEnd"/>
      <w:r>
        <w:t xml:space="preserve"> Swan’s skills, qualifications and experiences are included under ‘The Commission’s Board’.</w:t>
      </w:r>
    </w:p>
    <w:p w14:paraId="7C13C03A" w14:textId="77777777" w:rsidR="009D54AF" w:rsidRDefault="009D54AF">
      <w:pPr>
        <w:pStyle w:val="BodyText"/>
        <w:spacing w:before="65"/>
      </w:pPr>
    </w:p>
    <w:p w14:paraId="1CC273D3" w14:textId="77777777" w:rsidR="009D54AF" w:rsidRDefault="00000000">
      <w:pPr>
        <w:pStyle w:val="Heading5"/>
      </w:pPr>
      <w:r>
        <w:t xml:space="preserve">Inter-Jurisdictional </w:t>
      </w:r>
      <w:r>
        <w:rPr>
          <w:spacing w:val="-2"/>
        </w:rPr>
        <w:t>Committee</w:t>
      </w:r>
    </w:p>
    <w:p w14:paraId="6AE217C7" w14:textId="77777777" w:rsidR="009D54AF" w:rsidRDefault="00000000">
      <w:pPr>
        <w:pStyle w:val="BodyText"/>
        <w:spacing w:before="133" w:line="278" w:lineRule="auto"/>
        <w:ind w:left="142"/>
      </w:pPr>
      <w:r>
        <w:t>The Inter-Jurisdictional Committee is made up of senior safety and quality managers from the Australian Government and state and territory governments. It is responsible for advising the Commission on policy development</w:t>
      </w:r>
      <w:r>
        <w:rPr>
          <w:spacing w:val="-3"/>
        </w:rPr>
        <w:t xml:space="preserve"> </w:t>
      </w:r>
      <w:r>
        <w:t>and</w:t>
      </w:r>
      <w:r>
        <w:rPr>
          <w:spacing w:val="-3"/>
        </w:rPr>
        <w:t xml:space="preserve"> </w:t>
      </w:r>
      <w:r>
        <w:t>facilitating</w:t>
      </w:r>
      <w:r>
        <w:rPr>
          <w:spacing w:val="-3"/>
        </w:rPr>
        <w:t xml:space="preserve"> </w:t>
      </w:r>
      <w:r>
        <w:t>engagement</w:t>
      </w:r>
      <w:r>
        <w:rPr>
          <w:spacing w:val="-3"/>
        </w:rPr>
        <w:t xml:space="preserve"> </w:t>
      </w:r>
      <w:r>
        <w:t>with</w:t>
      </w:r>
      <w:r>
        <w:rPr>
          <w:spacing w:val="-3"/>
        </w:rPr>
        <w:t xml:space="preserve"> </w:t>
      </w:r>
      <w:r>
        <w:t>state,</w:t>
      </w:r>
      <w:r>
        <w:rPr>
          <w:spacing w:val="-3"/>
        </w:rPr>
        <w:t xml:space="preserve"> </w:t>
      </w:r>
      <w:r>
        <w:t>territory</w:t>
      </w:r>
      <w:r>
        <w:rPr>
          <w:spacing w:val="-3"/>
        </w:rPr>
        <w:t xml:space="preserve"> </w:t>
      </w:r>
      <w:r>
        <w:t>and</w:t>
      </w:r>
      <w:r>
        <w:rPr>
          <w:spacing w:val="-3"/>
        </w:rPr>
        <w:t xml:space="preserve"> </w:t>
      </w:r>
      <w:r>
        <w:t>Australian</w:t>
      </w:r>
      <w:r>
        <w:rPr>
          <w:spacing w:val="-3"/>
        </w:rPr>
        <w:t xml:space="preserve"> </w:t>
      </w:r>
      <w:r>
        <w:t>Government</w:t>
      </w:r>
      <w:r>
        <w:rPr>
          <w:spacing w:val="-3"/>
        </w:rPr>
        <w:t xml:space="preserve"> </w:t>
      </w:r>
      <w:r>
        <w:t>health</w:t>
      </w:r>
      <w:r>
        <w:rPr>
          <w:spacing w:val="-3"/>
        </w:rPr>
        <w:t xml:space="preserve"> </w:t>
      </w:r>
      <w:r>
        <w:t>departments. The role of the committee members is to:</w:t>
      </w:r>
    </w:p>
    <w:p w14:paraId="7EB71AFC" w14:textId="77777777" w:rsidR="009D54AF" w:rsidRDefault="00000000">
      <w:pPr>
        <w:pStyle w:val="ListParagraph"/>
        <w:numPr>
          <w:ilvl w:val="0"/>
          <w:numId w:val="18"/>
        </w:numPr>
        <w:tabs>
          <w:tab w:val="left" w:pos="424"/>
          <w:tab w:val="left" w:pos="440"/>
        </w:tabs>
        <w:spacing w:before="56" w:line="278" w:lineRule="auto"/>
        <w:ind w:right="1295" w:hanging="284"/>
        <w:rPr>
          <w:sz w:val="21"/>
        </w:rPr>
      </w:pPr>
      <w:r>
        <w:rPr>
          <w:sz w:val="21"/>
        </w:rPr>
        <w:t>advise</w:t>
      </w:r>
      <w:r>
        <w:rPr>
          <w:spacing w:val="-1"/>
          <w:sz w:val="21"/>
        </w:rPr>
        <w:t xml:space="preserve"> </w:t>
      </w:r>
      <w:r>
        <w:rPr>
          <w:sz w:val="21"/>
        </w:rPr>
        <w:t>the</w:t>
      </w:r>
      <w:r>
        <w:rPr>
          <w:spacing w:val="-1"/>
          <w:sz w:val="21"/>
        </w:rPr>
        <w:t xml:space="preserve"> </w:t>
      </w:r>
      <w:r>
        <w:rPr>
          <w:sz w:val="21"/>
        </w:rPr>
        <w:t>Commission</w:t>
      </w:r>
      <w:r>
        <w:rPr>
          <w:spacing w:val="-1"/>
          <w:sz w:val="21"/>
        </w:rPr>
        <w:t xml:space="preserve"> </w:t>
      </w:r>
      <w:r>
        <w:rPr>
          <w:sz w:val="21"/>
        </w:rPr>
        <w:t>on</w:t>
      </w:r>
      <w:r>
        <w:rPr>
          <w:spacing w:val="-1"/>
          <w:sz w:val="21"/>
        </w:rPr>
        <w:t xml:space="preserve"> </w:t>
      </w:r>
      <w:r>
        <w:rPr>
          <w:sz w:val="21"/>
        </w:rPr>
        <w:t>the</w:t>
      </w:r>
      <w:r>
        <w:rPr>
          <w:spacing w:val="-1"/>
          <w:sz w:val="21"/>
        </w:rPr>
        <w:t xml:space="preserve"> </w:t>
      </w:r>
      <w:r>
        <w:rPr>
          <w:sz w:val="21"/>
        </w:rPr>
        <w:t>adequacy</w:t>
      </w:r>
      <w:r>
        <w:rPr>
          <w:spacing w:val="-1"/>
          <w:sz w:val="21"/>
        </w:rPr>
        <w:t xml:space="preserve"> </w:t>
      </w:r>
      <w:r>
        <w:rPr>
          <w:sz w:val="21"/>
        </w:rPr>
        <w:t>of</w:t>
      </w:r>
      <w:r>
        <w:rPr>
          <w:spacing w:val="-1"/>
          <w:sz w:val="21"/>
        </w:rPr>
        <w:t xml:space="preserve"> </w:t>
      </w:r>
      <w:r>
        <w:rPr>
          <w:sz w:val="21"/>
        </w:rPr>
        <w:t>the</w:t>
      </w:r>
      <w:r>
        <w:rPr>
          <w:spacing w:val="-1"/>
          <w:sz w:val="21"/>
        </w:rPr>
        <w:t xml:space="preserve"> </w:t>
      </w:r>
      <w:r>
        <w:rPr>
          <w:sz w:val="21"/>
        </w:rPr>
        <w:t>policy</w:t>
      </w:r>
      <w:r>
        <w:rPr>
          <w:spacing w:val="-1"/>
          <w:sz w:val="21"/>
        </w:rPr>
        <w:t xml:space="preserve"> </w:t>
      </w:r>
      <w:r>
        <w:rPr>
          <w:sz w:val="21"/>
        </w:rPr>
        <w:t>development</w:t>
      </w:r>
      <w:r>
        <w:rPr>
          <w:spacing w:val="-1"/>
          <w:sz w:val="21"/>
        </w:rPr>
        <w:t xml:space="preserve"> </w:t>
      </w:r>
      <w:r>
        <w:rPr>
          <w:sz w:val="21"/>
        </w:rPr>
        <w:t>process,</w:t>
      </w:r>
      <w:r>
        <w:rPr>
          <w:spacing w:val="-1"/>
          <w:sz w:val="21"/>
        </w:rPr>
        <w:t xml:space="preserve"> </w:t>
      </w:r>
      <w:r>
        <w:rPr>
          <w:sz w:val="21"/>
        </w:rPr>
        <w:t>particularly</w:t>
      </w:r>
      <w:r>
        <w:rPr>
          <w:spacing w:val="-1"/>
          <w:sz w:val="21"/>
        </w:rPr>
        <w:t xml:space="preserve"> </w:t>
      </w:r>
      <w:r>
        <w:rPr>
          <w:sz w:val="21"/>
        </w:rPr>
        <w:t xml:space="preserve">policy </w:t>
      </w:r>
      <w:r>
        <w:rPr>
          <w:spacing w:val="-2"/>
          <w:sz w:val="21"/>
        </w:rPr>
        <w:t>implementation</w:t>
      </w:r>
    </w:p>
    <w:p w14:paraId="519332C0" w14:textId="77777777" w:rsidR="009D54AF" w:rsidRDefault="00000000">
      <w:pPr>
        <w:pStyle w:val="ListParagraph"/>
        <w:numPr>
          <w:ilvl w:val="0"/>
          <w:numId w:val="18"/>
        </w:numPr>
        <w:tabs>
          <w:tab w:val="left" w:pos="424"/>
          <w:tab w:val="left" w:pos="440"/>
        </w:tabs>
        <w:spacing w:before="57" w:line="278" w:lineRule="auto"/>
        <w:ind w:right="605" w:hanging="284"/>
        <w:rPr>
          <w:sz w:val="21"/>
        </w:rPr>
      </w:pPr>
      <w:r>
        <w:rPr>
          <w:sz w:val="21"/>
        </w:rPr>
        <w:t>ensure</w:t>
      </w:r>
      <w:r>
        <w:rPr>
          <w:spacing w:val="-2"/>
          <w:sz w:val="21"/>
        </w:rPr>
        <w:t xml:space="preserve"> </w:t>
      </w:r>
      <w:r>
        <w:rPr>
          <w:sz w:val="21"/>
        </w:rPr>
        <w:t>that</w:t>
      </w:r>
      <w:r>
        <w:rPr>
          <w:spacing w:val="-2"/>
          <w:sz w:val="21"/>
        </w:rPr>
        <w:t xml:space="preserve"> </w:t>
      </w:r>
      <w:r>
        <w:rPr>
          <w:sz w:val="21"/>
        </w:rPr>
        <w:t>health</w:t>
      </w:r>
      <w:r>
        <w:rPr>
          <w:spacing w:val="-2"/>
          <w:sz w:val="21"/>
        </w:rPr>
        <w:t xml:space="preserve"> </w:t>
      </w:r>
      <w:r>
        <w:rPr>
          <w:sz w:val="21"/>
        </w:rPr>
        <w:t>departments</w:t>
      </w:r>
      <w:r>
        <w:rPr>
          <w:spacing w:val="-2"/>
          <w:sz w:val="21"/>
        </w:rPr>
        <w:t xml:space="preserve"> </w:t>
      </w:r>
      <w:r>
        <w:rPr>
          <w:sz w:val="21"/>
        </w:rPr>
        <w:t>and</w:t>
      </w:r>
      <w:r>
        <w:rPr>
          <w:spacing w:val="-2"/>
          <w:sz w:val="21"/>
        </w:rPr>
        <w:t xml:space="preserve"> </w:t>
      </w:r>
      <w:r>
        <w:rPr>
          <w:sz w:val="21"/>
        </w:rPr>
        <w:t>ministries</w:t>
      </w:r>
      <w:r>
        <w:rPr>
          <w:spacing w:val="-2"/>
          <w:sz w:val="21"/>
        </w:rPr>
        <w:t xml:space="preserve"> </w:t>
      </w:r>
      <w:r>
        <w:rPr>
          <w:sz w:val="21"/>
        </w:rPr>
        <w:t>are</w:t>
      </w:r>
      <w:r>
        <w:rPr>
          <w:spacing w:val="-2"/>
          <w:sz w:val="21"/>
        </w:rPr>
        <w:t xml:space="preserve"> </w:t>
      </w:r>
      <w:r>
        <w:rPr>
          <w:sz w:val="21"/>
        </w:rPr>
        <w:t>aware</w:t>
      </w:r>
      <w:r>
        <w:rPr>
          <w:spacing w:val="-2"/>
          <w:sz w:val="21"/>
        </w:rPr>
        <w:t xml:space="preserve"> </w:t>
      </w:r>
      <w:r>
        <w:rPr>
          <w:sz w:val="21"/>
        </w:rPr>
        <w:t>of</w:t>
      </w:r>
      <w:r>
        <w:rPr>
          <w:spacing w:val="-2"/>
          <w:sz w:val="21"/>
        </w:rPr>
        <w:t xml:space="preserve"> </w:t>
      </w:r>
      <w:r>
        <w:rPr>
          <w:sz w:val="21"/>
        </w:rPr>
        <w:t>new</w:t>
      </w:r>
      <w:r>
        <w:rPr>
          <w:spacing w:val="-2"/>
          <w:sz w:val="21"/>
        </w:rPr>
        <w:t xml:space="preserve"> </w:t>
      </w:r>
      <w:r>
        <w:rPr>
          <w:sz w:val="21"/>
        </w:rPr>
        <w:t>policy</w:t>
      </w:r>
      <w:r>
        <w:rPr>
          <w:spacing w:val="-2"/>
          <w:sz w:val="21"/>
        </w:rPr>
        <w:t xml:space="preserve"> </w:t>
      </w:r>
      <w:r>
        <w:rPr>
          <w:sz w:val="21"/>
        </w:rPr>
        <w:t>directions</w:t>
      </w:r>
      <w:r>
        <w:rPr>
          <w:spacing w:val="-2"/>
          <w:sz w:val="21"/>
        </w:rPr>
        <w:t xml:space="preserve"> </w:t>
      </w:r>
      <w:r>
        <w:rPr>
          <w:sz w:val="21"/>
        </w:rPr>
        <w:t>and</w:t>
      </w:r>
      <w:r>
        <w:rPr>
          <w:spacing w:val="-2"/>
          <w:sz w:val="21"/>
        </w:rPr>
        <w:t xml:space="preserve"> </w:t>
      </w:r>
      <w:r>
        <w:rPr>
          <w:sz w:val="21"/>
        </w:rPr>
        <w:t>can</w:t>
      </w:r>
      <w:r>
        <w:rPr>
          <w:spacing w:val="-2"/>
          <w:sz w:val="21"/>
        </w:rPr>
        <w:t xml:space="preserve"> </w:t>
      </w:r>
      <w:r>
        <w:rPr>
          <w:sz w:val="21"/>
        </w:rPr>
        <w:t>review</w:t>
      </w:r>
      <w:r>
        <w:rPr>
          <w:spacing w:val="-2"/>
          <w:sz w:val="21"/>
        </w:rPr>
        <w:t xml:space="preserve"> </w:t>
      </w:r>
      <w:r>
        <w:rPr>
          <w:sz w:val="21"/>
        </w:rPr>
        <w:t>local systems accordingly</w:t>
      </w:r>
    </w:p>
    <w:p w14:paraId="170EDDAC" w14:textId="77777777" w:rsidR="009D54AF" w:rsidRDefault="00000000">
      <w:pPr>
        <w:pStyle w:val="ListParagraph"/>
        <w:numPr>
          <w:ilvl w:val="0"/>
          <w:numId w:val="18"/>
        </w:numPr>
        <w:tabs>
          <w:tab w:val="left" w:pos="424"/>
        </w:tabs>
        <w:spacing w:before="56"/>
        <w:ind w:left="424" w:hanging="268"/>
        <w:rPr>
          <w:sz w:val="21"/>
        </w:rPr>
      </w:pPr>
      <w:r>
        <w:rPr>
          <w:sz w:val="21"/>
        </w:rPr>
        <w:t>monitor</w:t>
      </w:r>
      <w:r>
        <w:rPr>
          <w:spacing w:val="-8"/>
          <w:sz w:val="21"/>
        </w:rPr>
        <w:t xml:space="preserve"> </w:t>
      </w:r>
      <w:r>
        <w:rPr>
          <w:sz w:val="21"/>
        </w:rPr>
        <w:t>national</w:t>
      </w:r>
      <w:r>
        <w:rPr>
          <w:spacing w:val="-5"/>
          <w:sz w:val="21"/>
        </w:rPr>
        <w:t xml:space="preserve"> </w:t>
      </w:r>
      <w:r>
        <w:rPr>
          <w:sz w:val="21"/>
        </w:rPr>
        <w:t>actions</w:t>
      </w:r>
      <w:r>
        <w:rPr>
          <w:spacing w:val="-5"/>
          <w:sz w:val="21"/>
        </w:rPr>
        <w:t xml:space="preserve"> </w:t>
      </w:r>
      <w:r>
        <w:rPr>
          <w:sz w:val="21"/>
        </w:rPr>
        <w:t>to</w:t>
      </w:r>
      <w:r>
        <w:rPr>
          <w:spacing w:val="-5"/>
          <w:sz w:val="21"/>
        </w:rPr>
        <w:t xml:space="preserve"> </w:t>
      </w:r>
      <w:r>
        <w:rPr>
          <w:sz w:val="21"/>
        </w:rPr>
        <w:t>improve</w:t>
      </w:r>
      <w:r>
        <w:rPr>
          <w:spacing w:val="-5"/>
          <w:sz w:val="21"/>
        </w:rPr>
        <w:t xml:space="preserve"> </w:t>
      </w:r>
      <w:r>
        <w:rPr>
          <w:sz w:val="21"/>
        </w:rPr>
        <w:t>patient</w:t>
      </w:r>
      <w:r>
        <w:rPr>
          <w:spacing w:val="-5"/>
          <w:sz w:val="21"/>
        </w:rPr>
        <w:t xml:space="preserve"> </w:t>
      </w:r>
      <w:r>
        <w:rPr>
          <w:sz w:val="21"/>
        </w:rPr>
        <w:t>safety,</w:t>
      </w:r>
      <w:r>
        <w:rPr>
          <w:spacing w:val="-5"/>
          <w:sz w:val="21"/>
        </w:rPr>
        <w:t xml:space="preserve"> </w:t>
      </w:r>
      <w:r>
        <w:rPr>
          <w:sz w:val="21"/>
        </w:rPr>
        <w:t>as</w:t>
      </w:r>
      <w:r>
        <w:rPr>
          <w:spacing w:val="-5"/>
          <w:sz w:val="21"/>
        </w:rPr>
        <w:t xml:space="preserve"> </w:t>
      </w:r>
      <w:r>
        <w:rPr>
          <w:sz w:val="21"/>
        </w:rPr>
        <w:t>approved</w:t>
      </w:r>
      <w:r>
        <w:rPr>
          <w:spacing w:val="-5"/>
          <w:sz w:val="21"/>
        </w:rPr>
        <w:t xml:space="preserve"> </w:t>
      </w:r>
      <w:r>
        <w:rPr>
          <w:sz w:val="21"/>
        </w:rPr>
        <w:t>by</w:t>
      </w:r>
      <w:r>
        <w:rPr>
          <w:spacing w:val="-5"/>
          <w:sz w:val="21"/>
        </w:rPr>
        <w:t xml:space="preserve"> </w:t>
      </w:r>
      <w:r>
        <w:rPr>
          <w:sz w:val="21"/>
        </w:rPr>
        <w:t>health</w:t>
      </w:r>
      <w:r>
        <w:rPr>
          <w:spacing w:val="-5"/>
          <w:sz w:val="21"/>
        </w:rPr>
        <w:t xml:space="preserve"> </w:t>
      </w:r>
      <w:r>
        <w:rPr>
          <w:spacing w:val="-2"/>
          <w:sz w:val="21"/>
        </w:rPr>
        <w:t>ministers</w:t>
      </w:r>
    </w:p>
    <w:p w14:paraId="305AD4DF" w14:textId="77777777" w:rsidR="009D54AF" w:rsidRDefault="00000000">
      <w:pPr>
        <w:pStyle w:val="ListParagraph"/>
        <w:numPr>
          <w:ilvl w:val="0"/>
          <w:numId w:val="18"/>
        </w:numPr>
        <w:tabs>
          <w:tab w:val="left" w:pos="424"/>
        </w:tabs>
        <w:spacing w:before="96"/>
        <w:ind w:left="424" w:hanging="268"/>
        <w:rPr>
          <w:sz w:val="21"/>
        </w:rPr>
      </w:pPr>
      <w:r>
        <w:rPr>
          <w:sz w:val="21"/>
        </w:rPr>
        <w:t>help</w:t>
      </w:r>
      <w:r>
        <w:rPr>
          <w:spacing w:val="-1"/>
          <w:sz w:val="21"/>
        </w:rPr>
        <w:t xml:space="preserve"> </w:t>
      </w:r>
      <w:r>
        <w:rPr>
          <w:sz w:val="21"/>
        </w:rPr>
        <w:t>collect</w:t>
      </w:r>
      <w:r>
        <w:rPr>
          <w:spacing w:val="-1"/>
          <w:sz w:val="21"/>
        </w:rPr>
        <w:t xml:space="preserve"> </w:t>
      </w:r>
      <w:r>
        <w:rPr>
          <w:sz w:val="21"/>
        </w:rPr>
        <w:t>national data</w:t>
      </w:r>
      <w:r>
        <w:rPr>
          <w:spacing w:val="-1"/>
          <w:sz w:val="21"/>
        </w:rPr>
        <w:t xml:space="preserve"> </w:t>
      </w:r>
      <w:r>
        <w:rPr>
          <w:sz w:val="21"/>
        </w:rPr>
        <w:t>on safety</w:t>
      </w:r>
      <w:r>
        <w:rPr>
          <w:spacing w:val="-1"/>
          <w:sz w:val="21"/>
        </w:rPr>
        <w:t xml:space="preserve"> </w:t>
      </w:r>
      <w:r>
        <w:rPr>
          <w:sz w:val="21"/>
        </w:rPr>
        <w:t xml:space="preserve">and </w:t>
      </w:r>
      <w:r>
        <w:rPr>
          <w:spacing w:val="-2"/>
          <w:sz w:val="21"/>
        </w:rPr>
        <w:t>quality</w:t>
      </w:r>
    </w:p>
    <w:p w14:paraId="27A52A22" w14:textId="77777777" w:rsidR="009D54AF" w:rsidRDefault="00000000">
      <w:pPr>
        <w:pStyle w:val="ListParagraph"/>
        <w:numPr>
          <w:ilvl w:val="0"/>
          <w:numId w:val="18"/>
        </w:numPr>
        <w:tabs>
          <w:tab w:val="left" w:pos="424"/>
        </w:tabs>
        <w:ind w:left="424" w:hanging="268"/>
        <w:rPr>
          <w:sz w:val="21"/>
        </w:rPr>
      </w:pPr>
      <w:r>
        <w:rPr>
          <w:sz w:val="21"/>
        </w:rPr>
        <w:t>build</w:t>
      </w:r>
      <w:r>
        <w:rPr>
          <w:spacing w:val="-4"/>
          <w:sz w:val="21"/>
        </w:rPr>
        <w:t xml:space="preserve"> </w:t>
      </w:r>
      <w:r>
        <w:rPr>
          <w:sz w:val="21"/>
        </w:rPr>
        <w:t>effective</w:t>
      </w:r>
      <w:r>
        <w:rPr>
          <w:spacing w:val="-2"/>
          <w:sz w:val="21"/>
        </w:rPr>
        <w:t xml:space="preserve"> </w:t>
      </w:r>
      <w:r>
        <w:rPr>
          <w:sz w:val="21"/>
        </w:rPr>
        <w:t>mechanisms</w:t>
      </w:r>
      <w:r>
        <w:rPr>
          <w:spacing w:val="-2"/>
          <w:sz w:val="21"/>
        </w:rPr>
        <w:t xml:space="preserve"> </w:t>
      </w:r>
      <w:r>
        <w:rPr>
          <w:sz w:val="21"/>
        </w:rPr>
        <w:t>in</w:t>
      </w:r>
      <w:r>
        <w:rPr>
          <w:spacing w:val="-1"/>
          <w:sz w:val="21"/>
        </w:rPr>
        <w:t xml:space="preserve"> </w:t>
      </w:r>
      <w:r>
        <w:rPr>
          <w:sz w:val="21"/>
        </w:rPr>
        <w:t>all</w:t>
      </w:r>
      <w:r>
        <w:rPr>
          <w:spacing w:val="-2"/>
          <w:sz w:val="21"/>
        </w:rPr>
        <w:t xml:space="preserve"> </w:t>
      </w:r>
      <w:r>
        <w:rPr>
          <w:sz w:val="21"/>
        </w:rPr>
        <w:t>jurisdictions</w:t>
      </w:r>
      <w:r>
        <w:rPr>
          <w:spacing w:val="-2"/>
          <w:sz w:val="21"/>
        </w:rPr>
        <w:t xml:space="preserve"> </w:t>
      </w:r>
      <w:r>
        <w:rPr>
          <w:sz w:val="21"/>
        </w:rPr>
        <w:t>to</w:t>
      </w:r>
      <w:r>
        <w:rPr>
          <w:spacing w:val="-1"/>
          <w:sz w:val="21"/>
        </w:rPr>
        <w:t xml:space="preserve"> </w:t>
      </w:r>
      <w:r>
        <w:rPr>
          <w:sz w:val="21"/>
        </w:rPr>
        <w:t>enable</w:t>
      </w:r>
      <w:r>
        <w:rPr>
          <w:spacing w:val="-2"/>
          <w:sz w:val="21"/>
        </w:rPr>
        <w:t xml:space="preserve"> </w:t>
      </w:r>
      <w:r>
        <w:rPr>
          <w:sz w:val="21"/>
        </w:rPr>
        <w:t>national</w:t>
      </w:r>
      <w:r>
        <w:rPr>
          <w:spacing w:val="-2"/>
          <w:sz w:val="21"/>
        </w:rPr>
        <w:t xml:space="preserve"> </w:t>
      </w:r>
      <w:r>
        <w:rPr>
          <w:sz w:val="21"/>
        </w:rPr>
        <w:t>public</w:t>
      </w:r>
      <w:r>
        <w:rPr>
          <w:spacing w:val="-1"/>
          <w:sz w:val="21"/>
        </w:rPr>
        <w:t xml:space="preserve"> </w:t>
      </w:r>
      <w:r>
        <w:rPr>
          <w:spacing w:val="-2"/>
          <w:sz w:val="21"/>
        </w:rPr>
        <w:t>reporting.</w:t>
      </w:r>
    </w:p>
    <w:p w14:paraId="064E19E5" w14:textId="77777777" w:rsidR="009D54AF" w:rsidRDefault="009D54AF">
      <w:pPr>
        <w:pStyle w:val="BodyText"/>
        <w:spacing w:before="132"/>
      </w:pPr>
    </w:p>
    <w:p w14:paraId="7D441ADD" w14:textId="77777777" w:rsidR="009D54AF" w:rsidRDefault="00000000">
      <w:pPr>
        <w:pStyle w:val="Heading5"/>
        <w:spacing w:before="1"/>
      </w:pPr>
      <w:r>
        <w:t>Other</w:t>
      </w:r>
      <w:r>
        <w:rPr>
          <w:spacing w:val="2"/>
        </w:rPr>
        <w:t xml:space="preserve"> </w:t>
      </w:r>
      <w:r>
        <w:t>committees</w:t>
      </w:r>
      <w:r>
        <w:rPr>
          <w:spacing w:val="3"/>
        </w:rPr>
        <w:t xml:space="preserve"> </w:t>
      </w:r>
      <w:r>
        <w:t>and</w:t>
      </w:r>
      <w:r>
        <w:rPr>
          <w:spacing w:val="3"/>
        </w:rPr>
        <w:t xml:space="preserve"> </w:t>
      </w:r>
      <w:r>
        <w:rPr>
          <w:spacing w:val="-2"/>
        </w:rPr>
        <w:t>consultations</w:t>
      </w:r>
    </w:p>
    <w:p w14:paraId="38C784B9" w14:textId="77777777" w:rsidR="009D54AF" w:rsidRDefault="00000000">
      <w:pPr>
        <w:pStyle w:val="BodyText"/>
        <w:spacing w:before="132" w:line="278" w:lineRule="auto"/>
        <w:ind w:left="142" w:right="285"/>
      </w:pPr>
      <w:r>
        <w:t>The Board has established two standing committees that provide specific advice and support across all relevant areas of its work and are chaired by members of the Board. These are the:</w:t>
      </w:r>
    </w:p>
    <w:p w14:paraId="593B9189" w14:textId="77777777" w:rsidR="009D54AF" w:rsidRDefault="00000000">
      <w:pPr>
        <w:pStyle w:val="ListParagraph"/>
        <w:numPr>
          <w:ilvl w:val="0"/>
          <w:numId w:val="18"/>
        </w:numPr>
        <w:tabs>
          <w:tab w:val="left" w:pos="424"/>
        </w:tabs>
        <w:spacing w:before="57"/>
        <w:ind w:left="424" w:hanging="268"/>
        <w:rPr>
          <w:sz w:val="21"/>
        </w:rPr>
      </w:pPr>
      <w:r>
        <w:rPr>
          <w:sz w:val="21"/>
        </w:rPr>
        <w:t>Private</w:t>
      </w:r>
      <w:r>
        <w:rPr>
          <w:spacing w:val="-2"/>
          <w:sz w:val="21"/>
        </w:rPr>
        <w:t xml:space="preserve"> </w:t>
      </w:r>
      <w:r>
        <w:rPr>
          <w:sz w:val="21"/>
        </w:rPr>
        <w:t>Hospital</w:t>
      </w:r>
      <w:r>
        <w:rPr>
          <w:spacing w:val="-2"/>
          <w:sz w:val="21"/>
        </w:rPr>
        <w:t xml:space="preserve"> </w:t>
      </w:r>
      <w:r>
        <w:rPr>
          <w:sz w:val="21"/>
        </w:rPr>
        <w:t>Sector</w:t>
      </w:r>
      <w:r>
        <w:rPr>
          <w:spacing w:val="-2"/>
          <w:sz w:val="21"/>
        </w:rPr>
        <w:t xml:space="preserve"> Committee</w:t>
      </w:r>
    </w:p>
    <w:p w14:paraId="5D4B16ED" w14:textId="77777777" w:rsidR="009D54AF" w:rsidRDefault="00000000">
      <w:pPr>
        <w:pStyle w:val="ListParagraph"/>
        <w:numPr>
          <w:ilvl w:val="0"/>
          <w:numId w:val="18"/>
        </w:numPr>
        <w:tabs>
          <w:tab w:val="left" w:pos="424"/>
        </w:tabs>
        <w:ind w:left="424" w:hanging="268"/>
        <w:rPr>
          <w:sz w:val="21"/>
        </w:rPr>
      </w:pPr>
      <w:r>
        <w:rPr>
          <w:sz w:val="21"/>
        </w:rPr>
        <w:t>Primary</w:t>
      </w:r>
      <w:r>
        <w:rPr>
          <w:spacing w:val="2"/>
          <w:sz w:val="21"/>
        </w:rPr>
        <w:t xml:space="preserve"> </w:t>
      </w:r>
      <w:r>
        <w:rPr>
          <w:sz w:val="21"/>
        </w:rPr>
        <w:t>Care</w:t>
      </w:r>
      <w:r>
        <w:rPr>
          <w:spacing w:val="2"/>
          <w:sz w:val="21"/>
        </w:rPr>
        <w:t xml:space="preserve"> </w:t>
      </w:r>
      <w:r>
        <w:rPr>
          <w:spacing w:val="-2"/>
          <w:sz w:val="21"/>
        </w:rPr>
        <w:t>Committee.</w:t>
      </w:r>
    </w:p>
    <w:p w14:paraId="24BB59FE" w14:textId="77777777" w:rsidR="009D54AF" w:rsidRDefault="00000000">
      <w:pPr>
        <w:pStyle w:val="BodyText"/>
        <w:spacing w:before="209" w:line="278" w:lineRule="auto"/>
        <w:ind w:left="142"/>
      </w:pPr>
      <w:r>
        <w:t>The</w:t>
      </w:r>
      <w:r>
        <w:rPr>
          <w:spacing w:val="-1"/>
        </w:rPr>
        <w:t xml:space="preserve"> </w:t>
      </w:r>
      <w:r>
        <w:t>Private</w:t>
      </w:r>
      <w:r>
        <w:rPr>
          <w:spacing w:val="-1"/>
        </w:rPr>
        <w:t xml:space="preserve"> </w:t>
      </w:r>
      <w:r>
        <w:t>Hospital</w:t>
      </w:r>
      <w:r>
        <w:rPr>
          <w:spacing w:val="-1"/>
        </w:rPr>
        <w:t xml:space="preserve"> </w:t>
      </w:r>
      <w:r>
        <w:t>Sector</w:t>
      </w:r>
      <w:r>
        <w:rPr>
          <w:spacing w:val="-1"/>
        </w:rPr>
        <w:t xml:space="preserve"> </w:t>
      </w:r>
      <w:r>
        <w:t>Committee</w:t>
      </w:r>
      <w:r>
        <w:rPr>
          <w:spacing w:val="-1"/>
        </w:rPr>
        <w:t xml:space="preserve"> </w:t>
      </w:r>
      <w:r>
        <w:t>is</w:t>
      </w:r>
      <w:r>
        <w:rPr>
          <w:spacing w:val="-1"/>
        </w:rPr>
        <w:t xml:space="preserve"> </w:t>
      </w:r>
      <w:r>
        <w:t>chaired</w:t>
      </w:r>
      <w:r>
        <w:rPr>
          <w:spacing w:val="-1"/>
        </w:rPr>
        <w:t xml:space="preserve"> </w:t>
      </w:r>
      <w:r>
        <w:t>by</w:t>
      </w:r>
      <w:r>
        <w:rPr>
          <w:spacing w:val="-1"/>
        </w:rPr>
        <w:t xml:space="preserve"> </w:t>
      </w:r>
      <w:proofErr w:type="spellStart"/>
      <w:r>
        <w:t>Ms</w:t>
      </w:r>
      <w:proofErr w:type="spellEnd"/>
      <w:r>
        <w:rPr>
          <w:spacing w:val="-1"/>
        </w:rPr>
        <w:t xml:space="preserve"> </w:t>
      </w:r>
      <w:r>
        <w:t>Christine</w:t>
      </w:r>
      <w:r>
        <w:rPr>
          <w:spacing w:val="-1"/>
        </w:rPr>
        <w:t xml:space="preserve"> </w:t>
      </w:r>
      <w:r>
        <w:t>Gee,</w:t>
      </w:r>
      <w:r>
        <w:rPr>
          <w:spacing w:val="-1"/>
        </w:rPr>
        <w:t xml:space="preserve"> </w:t>
      </w:r>
      <w:r>
        <w:t>and</w:t>
      </w:r>
      <w:r>
        <w:rPr>
          <w:spacing w:val="-1"/>
        </w:rPr>
        <w:t xml:space="preserve"> </w:t>
      </w:r>
      <w:r>
        <w:t>the</w:t>
      </w:r>
      <w:r>
        <w:rPr>
          <w:spacing w:val="-1"/>
        </w:rPr>
        <w:t xml:space="preserve"> </w:t>
      </w:r>
      <w:r>
        <w:t>Primary</w:t>
      </w:r>
      <w:r>
        <w:rPr>
          <w:spacing w:val="-1"/>
        </w:rPr>
        <w:t xml:space="preserve"> </w:t>
      </w:r>
      <w:r>
        <w:t>Care</w:t>
      </w:r>
      <w:r>
        <w:rPr>
          <w:spacing w:val="-1"/>
        </w:rPr>
        <w:t xml:space="preserve"> </w:t>
      </w:r>
      <w:r>
        <w:t>Committee</w:t>
      </w:r>
      <w:r>
        <w:rPr>
          <w:spacing w:val="-1"/>
        </w:rPr>
        <w:t xml:space="preserve"> </w:t>
      </w:r>
      <w:r>
        <w:t xml:space="preserve">is chaired by </w:t>
      </w:r>
      <w:proofErr w:type="spellStart"/>
      <w:r>
        <w:t>Ms</w:t>
      </w:r>
      <w:proofErr w:type="spellEnd"/>
      <w:r>
        <w:t xml:space="preserve"> Leanne Wells.</w:t>
      </w:r>
    </w:p>
    <w:p w14:paraId="1EB96205" w14:textId="50F190A7" w:rsidR="009D54AF" w:rsidRDefault="00000000" w:rsidP="003E17E6">
      <w:pPr>
        <w:pStyle w:val="BodyText"/>
        <w:spacing w:before="141" w:line="278" w:lineRule="auto"/>
        <w:ind w:left="142"/>
      </w:pPr>
      <w:r>
        <w:t>The Commission works closely with several other expert committees, working parties and reference groups, established for limited periods, to inform and support its work. These groups allow the Commission to draw</w:t>
      </w:r>
      <w:r w:rsidR="003E17E6">
        <w:t xml:space="preserve"> </w:t>
      </w:r>
      <w:r>
        <w:t>on</w:t>
      </w:r>
      <w:r>
        <w:rPr>
          <w:spacing w:val="-4"/>
        </w:rPr>
        <w:t xml:space="preserve"> </w:t>
      </w:r>
      <w:r>
        <w:t>expert</w:t>
      </w:r>
      <w:r>
        <w:rPr>
          <w:spacing w:val="-4"/>
        </w:rPr>
        <w:t xml:space="preserve"> </w:t>
      </w:r>
      <w:r>
        <w:t>knowledge,</w:t>
      </w:r>
      <w:r>
        <w:rPr>
          <w:spacing w:val="-4"/>
        </w:rPr>
        <w:t xml:space="preserve"> </w:t>
      </w:r>
      <w:r>
        <w:t>consult</w:t>
      </w:r>
      <w:r>
        <w:rPr>
          <w:spacing w:val="-4"/>
        </w:rPr>
        <w:t xml:space="preserve"> </w:t>
      </w:r>
      <w:r>
        <w:t>with</w:t>
      </w:r>
      <w:r>
        <w:rPr>
          <w:spacing w:val="-4"/>
        </w:rPr>
        <w:t xml:space="preserve"> </w:t>
      </w:r>
      <w:r>
        <w:t>relevant</w:t>
      </w:r>
      <w:r>
        <w:rPr>
          <w:spacing w:val="-4"/>
        </w:rPr>
        <w:t xml:space="preserve"> </w:t>
      </w:r>
      <w:r>
        <w:t>key</w:t>
      </w:r>
      <w:r>
        <w:rPr>
          <w:spacing w:val="-4"/>
        </w:rPr>
        <w:t xml:space="preserve"> </w:t>
      </w:r>
      <w:r>
        <w:t>individuals</w:t>
      </w:r>
      <w:r>
        <w:rPr>
          <w:spacing w:val="-4"/>
        </w:rPr>
        <w:t xml:space="preserve"> </w:t>
      </w:r>
      <w:r>
        <w:t>and</w:t>
      </w:r>
      <w:r>
        <w:rPr>
          <w:spacing w:val="-4"/>
        </w:rPr>
        <w:t xml:space="preserve"> </w:t>
      </w:r>
      <w:proofErr w:type="spellStart"/>
      <w:r>
        <w:t>organisations</w:t>
      </w:r>
      <w:proofErr w:type="spellEnd"/>
      <w:r>
        <w:t>,</w:t>
      </w:r>
      <w:r>
        <w:rPr>
          <w:spacing w:val="-4"/>
        </w:rPr>
        <w:t xml:space="preserve"> </w:t>
      </w:r>
      <w:r>
        <w:t>and</w:t>
      </w:r>
      <w:r>
        <w:rPr>
          <w:spacing w:val="-4"/>
        </w:rPr>
        <w:t xml:space="preserve"> </w:t>
      </w:r>
      <w:r>
        <w:t>develop</w:t>
      </w:r>
      <w:r>
        <w:rPr>
          <w:spacing w:val="-4"/>
        </w:rPr>
        <w:t xml:space="preserve"> </w:t>
      </w:r>
      <w:r>
        <w:t>appropriate implementation strategies.</w:t>
      </w:r>
    </w:p>
    <w:p w14:paraId="48F20E0B" w14:textId="77777777" w:rsidR="009D54AF" w:rsidRDefault="00000000">
      <w:pPr>
        <w:pStyle w:val="BodyText"/>
        <w:spacing w:before="141" w:line="278" w:lineRule="auto"/>
        <w:ind w:left="142" w:right="145"/>
      </w:pPr>
      <w:r>
        <w:t xml:space="preserve">The Commission consults widely with subject matter experts, peak bodies, states and territories, consumers, and other relevant </w:t>
      </w:r>
      <w:proofErr w:type="spellStart"/>
      <w:r>
        <w:t>organisations</w:t>
      </w:r>
      <w:proofErr w:type="spellEnd"/>
      <w:r>
        <w:t xml:space="preserve"> and individuals. This includes ongoing discussions with key national and other</w:t>
      </w:r>
      <w:r>
        <w:rPr>
          <w:spacing w:val="-1"/>
        </w:rPr>
        <w:t xml:space="preserve"> </w:t>
      </w:r>
      <w:proofErr w:type="spellStart"/>
      <w:r>
        <w:t>organisations</w:t>
      </w:r>
      <w:proofErr w:type="spellEnd"/>
      <w:r>
        <w:t>,</w:t>
      </w:r>
      <w:r>
        <w:rPr>
          <w:spacing w:val="-1"/>
        </w:rPr>
        <w:t xml:space="preserve"> </w:t>
      </w:r>
      <w:r>
        <w:t>and</w:t>
      </w:r>
      <w:r>
        <w:rPr>
          <w:spacing w:val="-1"/>
        </w:rPr>
        <w:t xml:space="preserve"> </w:t>
      </w:r>
      <w:r>
        <w:t>with</w:t>
      </w:r>
      <w:r>
        <w:rPr>
          <w:spacing w:val="-1"/>
        </w:rPr>
        <w:t xml:space="preserve"> </w:t>
      </w:r>
      <w:r>
        <w:t>an</w:t>
      </w:r>
      <w:r>
        <w:rPr>
          <w:spacing w:val="-1"/>
        </w:rPr>
        <w:t xml:space="preserve"> </w:t>
      </w:r>
      <w:r>
        <w:t>extensive</w:t>
      </w:r>
      <w:r>
        <w:rPr>
          <w:spacing w:val="-1"/>
        </w:rPr>
        <w:t xml:space="preserve"> </w:t>
      </w:r>
      <w:r>
        <w:t>network</w:t>
      </w:r>
      <w:r>
        <w:rPr>
          <w:spacing w:val="-1"/>
        </w:rPr>
        <w:t xml:space="preserve"> </w:t>
      </w:r>
      <w:r>
        <w:t>of</w:t>
      </w:r>
      <w:r>
        <w:rPr>
          <w:spacing w:val="-1"/>
        </w:rPr>
        <w:t xml:space="preserve"> </w:t>
      </w:r>
      <w:r>
        <w:t>formal</w:t>
      </w:r>
      <w:r>
        <w:rPr>
          <w:spacing w:val="-1"/>
        </w:rPr>
        <w:t xml:space="preserve"> </w:t>
      </w:r>
      <w:r>
        <w:t>reference</w:t>
      </w:r>
      <w:r>
        <w:rPr>
          <w:spacing w:val="-1"/>
        </w:rPr>
        <w:t xml:space="preserve"> </w:t>
      </w:r>
      <w:r>
        <w:t>and</w:t>
      </w:r>
      <w:r>
        <w:rPr>
          <w:spacing w:val="-1"/>
        </w:rPr>
        <w:t xml:space="preserve"> </w:t>
      </w:r>
      <w:r>
        <w:t>advisory</w:t>
      </w:r>
      <w:r>
        <w:rPr>
          <w:spacing w:val="-1"/>
        </w:rPr>
        <w:t xml:space="preserve"> </w:t>
      </w:r>
      <w:r>
        <w:t>groups.</w:t>
      </w:r>
      <w:r>
        <w:rPr>
          <w:spacing w:val="-1"/>
        </w:rPr>
        <w:t xml:space="preserve"> </w:t>
      </w:r>
      <w:r>
        <w:t>The</w:t>
      </w:r>
      <w:r>
        <w:rPr>
          <w:spacing w:val="-1"/>
        </w:rPr>
        <w:t xml:space="preserve"> </w:t>
      </w:r>
      <w:r>
        <w:t>Commission also undertakes formal consultation on specific issues.</w:t>
      </w:r>
    </w:p>
    <w:p w14:paraId="5B105607" w14:textId="77777777" w:rsidR="00426F87" w:rsidRDefault="00426F87">
      <w:pPr>
        <w:rPr>
          <w:b/>
          <w:bCs/>
          <w:spacing w:val="-2"/>
          <w:sz w:val="40"/>
          <w:szCs w:val="40"/>
        </w:rPr>
      </w:pPr>
      <w:bookmarkStart w:id="50" w:name="_Internal_governance_arrangements"/>
      <w:bookmarkEnd w:id="50"/>
      <w:r>
        <w:rPr>
          <w:spacing w:val="-2"/>
        </w:rPr>
        <w:br w:type="page"/>
      </w:r>
    </w:p>
    <w:p w14:paraId="091186A1" w14:textId="177ABF79" w:rsidR="009D54AF" w:rsidRDefault="00000000">
      <w:pPr>
        <w:pStyle w:val="Heading1"/>
      </w:pPr>
      <w:bookmarkStart w:id="51" w:name="_Toc243037282"/>
      <w:r>
        <w:rPr>
          <w:spacing w:val="-2"/>
        </w:rPr>
        <w:lastRenderedPageBreak/>
        <w:t>Internal</w:t>
      </w:r>
      <w:r>
        <w:rPr>
          <w:spacing w:val="-18"/>
        </w:rPr>
        <w:t xml:space="preserve"> </w:t>
      </w:r>
      <w:r>
        <w:rPr>
          <w:spacing w:val="-2"/>
        </w:rPr>
        <w:t>governance</w:t>
      </w:r>
      <w:r>
        <w:rPr>
          <w:spacing w:val="-18"/>
        </w:rPr>
        <w:t xml:space="preserve"> </w:t>
      </w:r>
      <w:r>
        <w:rPr>
          <w:spacing w:val="-2"/>
        </w:rPr>
        <w:t>arrangements</w:t>
      </w:r>
      <w:bookmarkEnd w:id="51"/>
    </w:p>
    <w:p w14:paraId="00667EAC" w14:textId="77777777" w:rsidR="009D54AF" w:rsidRDefault="00000000">
      <w:pPr>
        <w:pStyle w:val="Heading9"/>
        <w:spacing w:line="268" w:lineRule="auto"/>
        <w:ind w:right="285"/>
      </w:pPr>
      <w:r>
        <w:t>The CEO manages the Commission’s day-to-day administration and is supported by an executive</w:t>
      </w:r>
      <w:r>
        <w:rPr>
          <w:spacing w:val="-17"/>
        </w:rPr>
        <w:t xml:space="preserve"> </w:t>
      </w:r>
      <w:r>
        <w:t>management</w:t>
      </w:r>
      <w:r>
        <w:rPr>
          <w:spacing w:val="-17"/>
        </w:rPr>
        <w:t xml:space="preserve"> </w:t>
      </w:r>
      <w:r>
        <w:t>team</w:t>
      </w:r>
      <w:r>
        <w:rPr>
          <w:spacing w:val="-16"/>
        </w:rPr>
        <w:t xml:space="preserve"> </w:t>
      </w:r>
      <w:r>
        <w:t>and</w:t>
      </w:r>
      <w:r>
        <w:rPr>
          <w:spacing w:val="-17"/>
        </w:rPr>
        <w:t xml:space="preserve"> </w:t>
      </w:r>
      <w:r>
        <w:t>internal</w:t>
      </w:r>
      <w:r>
        <w:rPr>
          <w:spacing w:val="-17"/>
        </w:rPr>
        <w:t xml:space="preserve"> </w:t>
      </w:r>
      <w:r>
        <w:t>management</w:t>
      </w:r>
      <w:r>
        <w:rPr>
          <w:spacing w:val="-16"/>
        </w:rPr>
        <w:t xml:space="preserve"> </w:t>
      </w:r>
      <w:r>
        <w:t>committees.</w:t>
      </w:r>
      <w:r>
        <w:rPr>
          <w:spacing w:val="-17"/>
        </w:rPr>
        <w:t xml:space="preserve"> </w:t>
      </w:r>
      <w:r>
        <w:t>The</w:t>
      </w:r>
      <w:r>
        <w:rPr>
          <w:spacing w:val="-17"/>
        </w:rPr>
        <w:t xml:space="preserve"> </w:t>
      </w:r>
      <w:r>
        <w:t>Commission’s</w:t>
      </w:r>
      <w:r>
        <w:rPr>
          <w:spacing w:val="-16"/>
        </w:rPr>
        <w:t xml:space="preserve"> </w:t>
      </w:r>
      <w:r>
        <w:t>internal governance arrangements include internal management, risk management, fraud control and internal audit.</w:t>
      </w:r>
    </w:p>
    <w:p w14:paraId="77163817" w14:textId="77777777" w:rsidR="009D54AF" w:rsidRDefault="009D54AF">
      <w:pPr>
        <w:pStyle w:val="BodyText"/>
        <w:spacing w:before="5"/>
        <w:rPr>
          <w:sz w:val="24"/>
        </w:rPr>
      </w:pPr>
    </w:p>
    <w:p w14:paraId="2A72BF9F" w14:textId="77777777" w:rsidR="009D54AF" w:rsidRDefault="00000000">
      <w:pPr>
        <w:pStyle w:val="Heading5"/>
      </w:pPr>
      <w:r>
        <w:t>Internal</w:t>
      </w:r>
      <w:r>
        <w:rPr>
          <w:spacing w:val="-1"/>
        </w:rPr>
        <w:t xml:space="preserve"> </w:t>
      </w:r>
      <w:r>
        <w:rPr>
          <w:spacing w:val="-2"/>
        </w:rPr>
        <w:t>management</w:t>
      </w:r>
    </w:p>
    <w:p w14:paraId="0F2E02F8" w14:textId="77777777" w:rsidR="009D54AF" w:rsidRDefault="00000000">
      <w:pPr>
        <w:pStyle w:val="BodyText"/>
        <w:spacing w:before="133"/>
        <w:ind w:left="142"/>
      </w:pPr>
      <w:r>
        <w:t>The</w:t>
      </w:r>
      <w:r>
        <w:rPr>
          <w:spacing w:val="-4"/>
        </w:rPr>
        <w:t xml:space="preserve"> </w:t>
      </w:r>
      <w:r>
        <w:t>Commission</w:t>
      </w:r>
      <w:r>
        <w:rPr>
          <w:spacing w:val="-1"/>
        </w:rPr>
        <w:t xml:space="preserve"> </w:t>
      </w:r>
      <w:r>
        <w:t>has</w:t>
      </w:r>
      <w:r>
        <w:rPr>
          <w:spacing w:val="-1"/>
        </w:rPr>
        <w:t xml:space="preserve"> </w:t>
      </w:r>
      <w:r>
        <w:t>two</w:t>
      </w:r>
      <w:r>
        <w:rPr>
          <w:spacing w:val="-1"/>
        </w:rPr>
        <w:t xml:space="preserve"> </w:t>
      </w:r>
      <w:r>
        <w:t>internal</w:t>
      </w:r>
      <w:r>
        <w:rPr>
          <w:spacing w:val="-2"/>
        </w:rPr>
        <w:t xml:space="preserve"> </w:t>
      </w:r>
      <w:r>
        <w:t>management</w:t>
      </w:r>
      <w:r>
        <w:rPr>
          <w:spacing w:val="-1"/>
        </w:rPr>
        <w:t xml:space="preserve"> </w:t>
      </w:r>
      <w:r>
        <w:t>groups</w:t>
      </w:r>
      <w:r>
        <w:rPr>
          <w:spacing w:val="-1"/>
        </w:rPr>
        <w:t xml:space="preserve"> </w:t>
      </w:r>
      <w:r>
        <w:t>and</w:t>
      </w:r>
      <w:r>
        <w:rPr>
          <w:spacing w:val="-1"/>
        </w:rPr>
        <w:t xml:space="preserve"> </w:t>
      </w:r>
      <w:r>
        <w:t>four</w:t>
      </w:r>
      <w:r>
        <w:rPr>
          <w:spacing w:val="-1"/>
        </w:rPr>
        <w:t xml:space="preserve"> </w:t>
      </w:r>
      <w:r>
        <w:rPr>
          <w:spacing w:val="-2"/>
        </w:rPr>
        <w:t>committees.</w:t>
      </w:r>
    </w:p>
    <w:p w14:paraId="73348D27" w14:textId="77777777" w:rsidR="009D54AF" w:rsidRDefault="00000000">
      <w:pPr>
        <w:pStyle w:val="BodyText"/>
        <w:spacing w:before="180" w:line="278" w:lineRule="auto"/>
        <w:ind w:left="142" w:right="876"/>
      </w:pPr>
      <w:r>
        <w:t>The</w:t>
      </w:r>
      <w:r>
        <w:rPr>
          <w:spacing w:val="-5"/>
        </w:rPr>
        <w:t xml:space="preserve"> </w:t>
      </w:r>
      <w:r>
        <w:t>Executive</w:t>
      </w:r>
      <w:r>
        <w:rPr>
          <w:spacing w:val="-5"/>
        </w:rPr>
        <w:t xml:space="preserve"> </w:t>
      </w:r>
      <w:r>
        <w:t>Team</w:t>
      </w:r>
      <w:r>
        <w:rPr>
          <w:spacing w:val="-5"/>
        </w:rPr>
        <w:t xml:space="preserve"> </w:t>
      </w:r>
      <w:r>
        <w:t>and</w:t>
      </w:r>
      <w:r>
        <w:rPr>
          <w:spacing w:val="-5"/>
        </w:rPr>
        <w:t xml:space="preserve"> </w:t>
      </w:r>
      <w:r>
        <w:t>Leadership</w:t>
      </w:r>
      <w:r>
        <w:rPr>
          <w:spacing w:val="-5"/>
        </w:rPr>
        <w:t xml:space="preserve"> </w:t>
      </w:r>
      <w:r>
        <w:t>Team</w:t>
      </w:r>
      <w:r>
        <w:rPr>
          <w:spacing w:val="-5"/>
        </w:rPr>
        <w:t xml:space="preserve"> </w:t>
      </w:r>
      <w:r>
        <w:t>meet</w:t>
      </w:r>
      <w:r>
        <w:rPr>
          <w:spacing w:val="-5"/>
        </w:rPr>
        <w:t xml:space="preserve"> </w:t>
      </w:r>
      <w:r>
        <w:t>regularly</w:t>
      </w:r>
      <w:r>
        <w:rPr>
          <w:spacing w:val="-5"/>
        </w:rPr>
        <w:t xml:space="preserve"> </w:t>
      </w:r>
      <w:r>
        <w:t>to</w:t>
      </w:r>
      <w:r>
        <w:rPr>
          <w:spacing w:val="-5"/>
        </w:rPr>
        <w:t xml:space="preserve"> </w:t>
      </w:r>
      <w:r>
        <w:t>facilitate</w:t>
      </w:r>
      <w:r>
        <w:rPr>
          <w:spacing w:val="-5"/>
        </w:rPr>
        <w:t xml:space="preserve"> </w:t>
      </w:r>
      <w:r>
        <w:t>information</w:t>
      </w:r>
      <w:r>
        <w:rPr>
          <w:spacing w:val="-5"/>
        </w:rPr>
        <w:t xml:space="preserve"> </w:t>
      </w:r>
      <w:r>
        <w:t>sharing</w:t>
      </w:r>
      <w:r>
        <w:rPr>
          <w:spacing w:val="-5"/>
        </w:rPr>
        <w:t xml:space="preserve"> </w:t>
      </w:r>
      <w:r>
        <w:t>and</w:t>
      </w:r>
      <w:r>
        <w:rPr>
          <w:spacing w:val="-5"/>
        </w:rPr>
        <w:t xml:space="preserve"> </w:t>
      </w:r>
      <w:r>
        <w:t xml:space="preserve">support </w:t>
      </w:r>
      <w:r>
        <w:rPr>
          <w:spacing w:val="-2"/>
        </w:rPr>
        <w:t>decision-making.</w:t>
      </w:r>
    </w:p>
    <w:p w14:paraId="4217FFB0" w14:textId="77777777" w:rsidR="009D54AF" w:rsidRDefault="00000000">
      <w:pPr>
        <w:pStyle w:val="BodyText"/>
        <w:spacing w:before="142" w:line="278" w:lineRule="auto"/>
        <w:ind w:left="142" w:right="657"/>
      </w:pPr>
      <w:r>
        <w:t>The</w:t>
      </w:r>
      <w:r>
        <w:rPr>
          <w:spacing w:val="-1"/>
        </w:rPr>
        <w:t xml:space="preserve"> </w:t>
      </w:r>
      <w:r>
        <w:t>Workplace</w:t>
      </w:r>
      <w:r>
        <w:rPr>
          <w:spacing w:val="-1"/>
        </w:rPr>
        <w:t xml:space="preserve"> </w:t>
      </w:r>
      <w:r>
        <w:t>Consultative</w:t>
      </w:r>
      <w:r>
        <w:rPr>
          <w:spacing w:val="-1"/>
        </w:rPr>
        <w:t xml:space="preserve"> </w:t>
      </w:r>
      <w:r>
        <w:t>Committee</w:t>
      </w:r>
      <w:r>
        <w:rPr>
          <w:spacing w:val="-1"/>
        </w:rPr>
        <w:t xml:space="preserve"> </w:t>
      </w:r>
      <w:r>
        <w:t>facilitates</w:t>
      </w:r>
      <w:r>
        <w:rPr>
          <w:spacing w:val="-1"/>
        </w:rPr>
        <w:t xml:space="preserve"> </w:t>
      </w:r>
      <w:r>
        <w:t>regular</w:t>
      </w:r>
      <w:r>
        <w:rPr>
          <w:spacing w:val="-1"/>
        </w:rPr>
        <w:t xml:space="preserve"> </w:t>
      </w:r>
      <w:r>
        <w:t>consultation</w:t>
      </w:r>
      <w:r>
        <w:rPr>
          <w:spacing w:val="-1"/>
        </w:rPr>
        <w:t xml:space="preserve"> </w:t>
      </w:r>
      <w:r>
        <w:t>and</w:t>
      </w:r>
      <w:r>
        <w:rPr>
          <w:spacing w:val="-1"/>
        </w:rPr>
        <w:t xml:space="preserve"> </w:t>
      </w:r>
      <w:r>
        <w:t>employee</w:t>
      </w:r>
      <w:r>
        <w:rPr>
          <w:spacing w:val="-1"/>
        </w:rPr>
        <w:t xml:space="preserve"> </w:t>
      </w:r>
      <w:r>
        <w:t>participation</w:t>
      </w:r>
      <w:r>
        <w:rPr>
          <w:spacing w:val="-1"/>
        </w:rPr>
        <w:t xml:space="preserve"> </w:t>
      </w:r>
      <w:r>
        <w:t>in</w:t>
      </w:r>
      <w:r>
        <w:rPr>
          <w:spacing w:val="-1"/>
        </w:rPr>
        <w:t xml:space="preserve"> </w:t>
      </w:r>
      <w:r>
        <w:t xml:space="preserve">the development and review of human resources and operational policies and procedures. The Information and Records Management Steering Committee assesses the Commission’s record keeping, promotes good record management practices across the Commission and develops strategies to ensure that all records are </w:t>
      </w:r>
      <w:proofErr w:type="spellStart"/>
      <w:r>
        <w:t>digitised</w:t>
      </w:r>
      <w:proofErr w:type="spellEnd"/>
      <w:r>
        <w:t>. The Reconciliation Working Group meets quarterly to support the implementation of the Commission’s Reconciliation Action Plan. The Culture Working Group supports implementation of the</w:t>
      </w:r>
      <w:r>
        <w:rPr>
          <w:spacing w:val="-2"/>
        </w:rPr>
        <w:t xml:space="preserve"> </w:t>
      </w:r>
      <w:r>
        <w:t>Commission’s</w:t>
      </w:r>
      <w:r>
        <w:rPr>
          <w:spacing w:val="-2"/>
        </w:rPr>
        <w:t xml:space="preserve"> </w:t>
      </w:r>
      <w:r>
        <w:t>Employee</w:t>
      </w:r>
      <w:r>
        <w:rPr>
          <w:spacing w:val="-2"/>
        </w:rPr>
        <w:t xml:space="preserve"> </w:t>
      </w:r>
      <w:r>
        <w:t>Census</w:t>
      </w:r>
      <w:r>
        <w:rPr>
          <w:spacing w:val="-2"/>
        </w:rPr>
        <w:t xml:space="preserve"> </w:t>
      </w:r>
      <w:r>
        <w:t>Action</w:t>
      </w:r>
      <w:r>
        <w:rPr>
          <w:spacing w:val="-2"/>
        </w:rPr>
        <w:t xml:space="preserve"> </w:t>
      </w:r>
      <w:r>
        <w:t>Plan</w:t>
      </w:r>
      <w:r>
        <w:rPr>
          <w:spacing w:val="-2"/>
        </w:rPr>
        <w:t xml:space="preserve"> </w:t>
      </w:r>
      <w:r>
        <w:t>by</w:t>
      </w:r>
      <w:r>
        <w:rPr>
          <w:spacing w:val="-2"/>
        </w:rPr>
        <w:t xml:space="preserve"> </w:t>
      </w:r>
      <w:r>
        <w:t>identifying</w:t>
      </w:r>
      <w:r>
        <w:rPr>
          <w:spacing w:val="-2"/>
        </w:rPr>
        <w:t xml:space="preserve"> </w:t>
      </w:r>
      <w:r>
        <w:t>and</w:t>
      </w:r>
      <w:r>
        <w:rPr>
          <w:spacing w:val="-2"/>
        </w:rPr>
        <w:t xml:space="preserve"> </w:t>
      </w:r>
      <w:r>
        <w:t>recommending</w:t>
      </w:r>
      <w:r>
        <w:rPr>
          <w:spacing w:val="-2"/>
        </w:rPr>
        <w:t xml:space="preserve"> </w:t>
      </w:r>
      <w:r>
        <w:t>practical</w:t>
      </w:r>
      <w:r>
        <w:rPr>
          <w:spacing w:val="-2"/>
        </w:rPr>
        <w:t xml:space="preserve"> </w:t>
      </w:r>
      <w:r>
        <w:t>initiatives</w:t>
      </w:r>
      <w:r>
        <w:rPr>
          <w:spacing w:val="-2"/>
        </w:rPr>
        <w:t xml:space="preserve"> </w:t>
      </w:r>
      <w:r>
        <w:t>to strengthen a positive, inclusive and engaging workplace culture.</w:t>
      </w:r>
    </w:p>
    <w:p w14:paraId="2DB8D9C8" w14:textId="77777777" w:rsidR="009D54AF" w:rsidRDefault="009D54AF">
      <w:pPr>
        <w:pStyle w:val="BodyText"/>
        <w:spacing w:before="65"/>
      </w:pPr>
    </w:p>
    <w:p w14:paraId="27879524" w14:textId="77777777" w:rsidR="009D54AF" w:rsidRDefault="00000000">
      <w:pPr>
        <w:pStyle w:val="Heading5"/>
      </w:pPr>
      <w:r>
        <w:t>Risk</w:t>
      </w:r>
      <w:r>
        <w:rPr>
          <w:spacing w:val="-2"/>
        </w:rPr>
        <w:t xml:space="preserve"> management</w:t>
      </w:r>
    </w:p>
    <w:p w14:paraId="1771447F" w14:textId="77777777" w:rsidR="009D54AF" w:rsidRDefault="00000000">
      <w:pPr>
        <w:pStyle w:val="BodyText"/>
        <w:spacing w:before="133" w:line="278" w:lineRule="auto"/>
        <w:ind w:left="142" w:right="214"/>
      </w:pPr>
      <w:r>
        <w:t>Risk management is part of the Commission’s strategy to promote accountability through good governance and</w:t>
      </w:r>
      <w:r>
        <w:rPr>
          <w:spacing w:val="-1"/>
        </w:rPr>
        <w:t xml:space="preserve"> </w:t>
      </w:r>
      <w:r>
        <w:t>robust</w:t>
      </w:r>
      <w:r>
        <w:rPr>
          <w:spacing w:val="-1"/>
        </w:rPr>
        <w:t xml:space="preserve"> </w:t>
      </w:r>
      <w:r>
        <w:t>business</w:t>
      </w:r>
      <w:r>
        <w:rPr>
          <w:spacing w:val="-1"/>
        </w:rPr>
        <w:t xml:space="preserve"> </w:t>
      </w:r>
      <w:r>
        <w:t>practices.</w:t>
      </w:r>
      <w:r>
        <w:rPr>
          <w:spacing w:val="-1"/>
        </w:rPr>
        <w:t xml:space="preserve"> </w:t>
      </w:r>
      <w:r>
        <w:t>The</w:t>
      </w:r>
      <w:r>
        <w:rPr>
          <w:spacing w:val="-1"/>
        </w:rPr>
        <w:t xml:space="preserve"> </w:t>
      </w:r>
      <w:r>
        <w:t>Commission</w:t>
      </w:r>
      <w:r>
        <w:rPr>
          <w:spacing w:val="-1"/>
        </w:rPr>
        <w:t xml:space="preserve"> </w:t>
      </w:r>
      <w:r>
        <w:t>is</w:t>
      </w:r>
      <w:r>
        <w:rPr>
          <w:spacing w:val="-1"/>
        </w:rPr>
        <w:t xml:space="preserve"> </w:t>
      </w:r>
      <w:r>
        <w:t>committed</w:t>
      </w:r>
      <w:r>
        <w:rPr>
          <w:spacing w:val="-1"/>
        </w:rPr>
        <w:t xml:space="preserve"> </w:t>
      </w:r>
      <w:r>
        <w:t>to</w:t>
      </w:r>
      <w:r>
        <w:rPr>
          <w:spacing w:val="-1"/>
        </w:rPr>
        <w:t xml:space="preserve"> </w:t>
      </w:r>
      <w:r>
        <w:t>embedding</w:t>
      </w:r>
      <w:r>
        <w:rPr>
          <w:spacing w:val="-1"/>
        </w:rPr>
        <w:t xml:space="preserve"> </w:t>
      </w:r>
      <w:r>
        <w:t>risk</w:t>
      </w:r>
      <w:r>
        <w:rPr>
          <w:spacing w:val="-1"/>
        </w:rPr>
        <w:t xml:space="preserve"> </w:t>
      </w:r>
      <w:r>
        <w:t>management</w:t>
      </w:r>
      <w:r>
        <w:rPr>
          <w:spacing w:val="-1"/>
        </w:rPr>
        <w:t xml:space="preserve"> </w:t>
      </w:r>
      <w:r>
        <w:t>principles</w:t>
      </w:r>
      <w:r>
        <w:rPr>
          <w:spacing w:val="-1"/>
        </w:rPr>
        <w:t xml:space="preserve"> </w:t>
      </w:r>
      <w:r>
        <w:t>and practices</w:t>
      </w:r>
      <w:r>
        <w:rPr>
          <w:spacing w:val="-4"/>
        </w:rPr>
        <w:t xml:space="preserve"> </w:t>
      </w:r>
      <w:r>
        <w:t>consistent</w:t>
      </w:r>
      <w:r>
        <w:rPr>
          <w:spacing w:val="-4"/>
        </w:rPr>
        <w:t xml:space="preserve"> </w:t>
      </w:r>
      <w:r>
        <w:t>with</w:t>
      </w:r>
      <w:r>
        <w:rPr>
          <w:spacing w:val="-4"/>
        </w:rPr>
        <w:t xml:space="preserve"> </w:t>
      </w:r>
      <w:r>
        <w:t>the</w:t>
      </w:r>
      <w:r>
        <w:rPr>
          <w:spacing w:val="-4"/>
        </w:rPr>
        <w:t xml:space="preserve"> </w:t>
      </w:r>
      <w:r>
        <w:t>Australian</w:t>
      </w:r>
      <w:r>
        <w:rPr>
          <w:spacing w:val="-4"/>
        </w:rPr>
        <w:t xml:space="preserve"> </w:t>
      </w:r>
      <w:r>
        <w:t>Standard,</w:t>
      </w:r>
      <w:r>
        <w:rPr>
          <w:spacing w:val="-4"/>
        </w:rPr>
        <w:t xml:space="preserve"> </w:t>
      </w:r>
      <w:r>
        <w:t>Risk</w:t>
      </w:r>
      <w:r>
        <w:rPr>
          <w:spacing w:val="-4"/>
        </w:rPr>
        <w:t xml:space="preserve"> </w:t>
      </w:r>
      <w:r>
        <w:t>management</w:t>
      </w:r>
      <w:r>
        <w:rPr>
          <w:spacing w:val="-4"/>
        </w:rPr>
        <w:t xml:space="preserve"> </w:t>
      </w:r>
      <w:r>
        <w:t>–</w:t>
      </w:r>
      <w:r>
        <w:rPr>
          <w:spacing w:val="-4"/>
        </w:rPr>
        <w:t xml:space="preserve"> </w:t>
      </w:r>
      <w:r>
        <w:t>Guidelines,</w:t>
      </w:r>
      <w:r>
        <w:rPr>
          <w:spacing w:val="-4"/>
        </w:rPr>
        <w:t xml:space="preserve"> </w:t>
      </w:r>
      <w:r>
        <w:t>(AS</w:t>
      </w:r>
      <w:r>
        <w:rPr>
          <w:spacing w:val="-4"/>
        </w:rPr>
        <w:t xml:space="preserve"> </w:t>
      </w:r>
      <w:r>
        <w:t>ISO</w:t>
      </w:r>
      <w:r>
        <w:rPr>
          <w:spacing w:val="-4"/>
        </w:rPr>
        <w:t xml:space="preserve"> </w:t>
      </w:r>
      <w:r>
        <w:t>31000:2018)</w:t>
      </w:r>
      <w:r>
        <w:rPr>
          <w:spacing w:val="-4"/>
        </w:rPr>
        <w:t xml:space="preserve"> </w:t>
      </w:r>
      <w:r>
        <w:t>and the Commonwealth Risk Management Policy into its:</w:t>
      </w:r>
    </w:p>
    <w:p w14:paraId="6F5D7B60" w14:textId="77777777" w:rsidR="009D54AF" w:rsidRDefault="00000000">
      <w:pPr>
        <w:pStyle w:val="ListParagraph"/>
        <w:numPr>
          <w:ilvl w:val="0"/>
          <w:numId w:val="18"/>
        </w:numPr>
        <w:tabs>
          <w:tab w:val="left" w:pos="424"/>
        </w:tabs>
        <w:spacing w:before="56"/>
        <w:ind w:left="424" w:hanging="268"/>
        <w:rPr>
          <w:sz w:val="21"/>
        </w:rPr>
      </w:pPr>
      <w:proofErr w:type="spellStart"/>
      <w:r>
        <w:rPr>
          <w:sz w:val="21"/>
        </w:rPr>
        <w:t>organisational</w:t>
      </w:r>
      <w:proofErr w:type="spellEnd"/>
      <w:r>
        <w:rPr>
          <w:spacing w:val="-6"/>
          <w:sz w:val="21"/>
        </w:rPr>
        <w:t xml:space="preserve"> </w:t>
      </w:r>
      <w:r>
        <w:rPr>
          <w:spacing w:val="-2"/>
          <w:sz w:val="21"/>
        </w:rPr>
        <w:t>culture</w:t>
      </w:r>
    </w:p>
    <w:p w14:paraId="7052F766" w14:textId="77777777" w:rsidR="009D54AF" w:rsidRDefault="00000000">
      <w:pPr>
        <w:pStyle w:val="ListParagraph"/>
        <w:numPr>
          <w:ilvl w:val="0"/>
          <w:numId w:val="18"/>
        </w:numPr>
        <w:tabs>
          <w:tab w:val="left" w:pos="424"/>
        </w:tabs>
        <w:ind w:left="424" w:hanging="268"/>
        <w:rPr>
          <w:sz w:val="21"/>
        </w:rPr>
      </w:pPr>
      <w:r>
        <w:rPr>
          <w:sz w:val="21"/>
        </w:rPr>
        <w:t>governance</w:t>
      </w:r>
      <w:r>
        <w:rPr>
          <w:spacing w:val="-1"/>
          <w:sz w:val="21"/>
        </w:rPr>
        <w:t xml:space="preserve"> </w:t>
      </w:r>
      <w:r>
        <w:rPr>
          <w:sz w:val="21"/>
        </w:rPr>
        <w:t>and</w:t>
      </w:r>
      <w:r>
        <w:rPr>
          <w:spacing w:val="-1"/>
          <w:sz w:val="21"/>
        </w:rPr>
        <w:t xml:space="preserve"> </w:t>
      </w:r>
      <w:r>
        <w:rPr>
          <w:sz w:val="21"/>
        </w:rPr>
        <w:t>accountability</w:t>
      </w:r>
      <w:r>
        <w:rPr>
          <w:spacing w:val="-1"/>
          <w:sz w:val="21"/>
        </w:rPr>
        <w:t xml:space="preserve"> </w:t>
      </w:r>
      <w:r>
        <w:rPr>
          <w:spacing w:val="-2"/>
          <w:sz w:val="21"/>
        </w:rPr>
        <w:t>arrangements</w:t>
      </w:r>
    </w:p>
    <w:p w14:paraId="39EA090E" w14:textId="77777777" w:rsidR="009D54AF" w:rsidRDefault="00000000">
      <w:pPr>
        <w:pStyle w:val="ListParagraph"/>
        <w:numPr>
          <w:ilvl w:val="0"/>
          <w:numId w:val="18"/>
        </w:numPr>
        <w:tabs>
          <w:tab w:val="left" w:pos="424"/>
        </w:tabs>
        <w:ind w:left="424" w:hanging="268"/>
        <w:rPr>
          <w:sz w:val="21"/>
        </w:rPr>
      </w:pPr>
      <w:r>
        <w:rPr>
          <w:sz w:val="21"/>
        </w:rPr>
        <w:t>reporting,</w:t>
      </w:r>
      <w:r>
        <w:rPr>
          <w:spacing w:val="-6"/>
          <w:sz w:val="21"/>
        </w:rPr>
        <w:t xml:space="preserve"> </w:t>
      </w:r>
      <w:r>
        <w:rPr>
          <w:sz w:val="21"/>
        </w:rPr>
        <w:t>performance</w:t>
      </w:r>
      <w:r>
        <w:rPr>
          <w:spacing w:val="-3"/>
          <w:sz w:val="21"/>
        </w:rPr>
        <w:t xml:space="preserve"> </w:t>
      </w:r>
      <w:r>
        <w:rPr>
          <w:sz w:val="21"/>
        </w:rPr>
        <w:t>review,</w:t>
      </w:r>
      <w:r>
        <w:rPr>
          <w:spacing w:val="-3"/>
          <w:sz w:val="21"/>
        </w:rPr>
        <w:t xml:space="preserve"> </w:t>
      </w:r>
      <w:r>
        <w:rPr>
          <w:sz w:val="21"/>
        </w:rPr>
        <w:t>business</w:t>
      </w:r>
      <w:r>
        <w:rPr>
          <w:spacing w:val="-3"/>
          <w:sz w:val="21"/>
        </w:rPr>
        <w:t xml:space="preserve"> </w:t>
      </w:r>
      <w:r>
        <w:rPr>
          <w:sz w:val="21"/>
        </w:rPr>
        <w:t>transformation</w:t>
      </w:r>
      <w:r>
        <w:rPr>
          <w:spacing w:val="-3"/>
          <w:sz w:val="21"/>
        </w:rPr>
        <w:t xml:space="preserve"> </w:t>
      </w:r>
      <w:r>
        <w:rPr>
          <w:sz w:val="21"/>
        </w:rPr>
        <w:t>and</w:t>
      </w:r>
      <w:r>
        <w:rPr>
          <w:spacing w:val="-3"/>
          <w:sz w:val="21"/>
        </w:rPr>
        <w:t xml:space="preserve"> </w:t>
      </w:r>
      <w:r>
        <w:rPr>
          <w:sz w:val="21"/>
        </w:rPr>
        <w:t>improvement</w:t>
      </w:r>
      <w:r>
        <w:rPr>
          <w:spacing w:val="-3"/>
          <w:sz w:val="21"/>
        </w:rPr>
        <w:t xml:space="preserve"> </w:t>
      </w:r>
      <w:r>
        <w:rPr>
          <w:spacing w:val="-2"/>
          <w:sz w:val="21"/>
        </w:rPr>
        <w:t>processes.</w:t>
      </w:r>
    </w:p>
    <w:p w14:paraId="626A2172" w14:textId="77777777" w:rsidR="009D54AF" w:rsidRDefault="00000000">
      <w:pPr>
        <w:pStyle w:val="BodyText"/>
        <w:spacing w:before="209" w:line="278" w:lineRule="auto"/>
        <w:ind w:left="142" w:right="214"/>
      </w:pPr>
      <w:r>
        <w:t>Through the risk management framework and supporting processes, the Commission formally establishes and</w:t>
      </w:r>
      <w:r>
        <w:rPr>
          <w:spacing w:val="-2"/>
        </w:rPr>
        <w:t xml:space="preserve"> </w:t>
      </w:r>
      <w:r>
        <w:t>communicates</w:t>
      </w:r>
      <w:r>
        <w:rPr>
          <w:spacing w:val="-2"/>
        </w:rPr>
        <w:t xml:space="preserve"> </w:t>
      </w:r>
      <w:r>
        <w:t>its</w:t>
      </w:r>
      <w:r>
        <w:rPr>
          <w:spacing w:val="-2"/>
        </w:rPr>
        <w:t xml:space="preserve"> </w:t>
      </w:r>
      <w:r>
        <w:t>approach</w:t>
      </w:r>
      <w:r>
        <w:rPr>
          <w:spacing w:val="-2"/>
        </w:rPr>
        <w:t xml:space="preserve"> </w:t>
      </w:r>
      <w:r>
        <w:t>to</w:t>
      </w:r>
      <w:r>
        <w:rPr>
          <w:spacing w:val="-2"/>
        </w:rPr>
        <w:t xml:space="preserve"> </w:t>
      </w:r>
      <w:r>
        <w:t>ongoing</w:t>
      </w:r>
      <w:r>
        <w:rPr>
          <w:spacing w:val="-2"/>
        </w:rPr>
        <w:t xml:space="preserve"> </w:t>
      </w:r>
      <w:r>
        <w:t>risk</w:t>
      </w:r>
      <w:r>
        <w:rPr>
          <w:spacing w:val="-2"/>
        </w:rPr>
        <w:t xml:space="preserve"> </w:t>
      </w:r>
      <w:r>
        <w:t>management.</w:t>
      </w:r>
      <w:r>
        <w:rPr>
          <w:spacing w:val="-2"/>
        </w:rPr>
        <w:t xml:space="preserve"> </w:t>
      </w:r>
      <w:r>
        <w:t>This</w:t>
      </w:r>
      <w:r>
        <w:rPr>
          <w:spacing w:val="-2"/>
        </w:rPr>
        <w:t xml:space="preserve"> </w:t>
      </w:r>
      <w:r>
        <w:t>framework</w:t>
      </w:r>
      <w:r>
        <w:rPr>
          <w:spacing w:val="-2"/>
        </w:rPr>
        <w:t xml:space="preserve"> </w:t>
      </w:r>
      <w:r>
        <w:t>also</w:t>
      </w:r>
      <w:r>
        <w:rPr>
          <w:spacing w:val="-2"/>
        </w:rPr>
        <w:t xml:space="preserve"> </w:t>
      </w:r>
      <w:r>
        <w:t>guides</w:t>
      </w:r>
      <w:r>
        <w:rPr>
          <w:spacing w:val="-2"/>
        </w:rPr>
        <w:t xml:space="preserve"> </w:t>
      </w:r>
      <w:r>
        <w:t>employees</w:t>
      </w:r>
      <w:r>
        <w:rPr>
          <w:spacing w:val="-2"/>
        </w:rPr>
        <w:t xml:space="preserve"> </w:t>
      </w:r>
      <w:r>
        <w:t>in</w:t>
      </w:r>
      <w:r>
        <w:rPr>
          <w:spacing w:val="-2"/>
        </w:rPr>
        <w:t xml:space="preserve"> </w:t>
      </w:r>
      <w:r>
        <w:t>their actions and their decisions in relation to accepting and managing risks.</w:t>
      </w:r>
    </w:p>
    <w:p w14:paraId="1C91F792" w14:textId="77777777" w:rsidR="009D54AF" w:rsidRDefault="009D54AF">
      <w:pPr>
        <w:pStyle w:val="BodyText"/>
        <w:spacing w:before="65"/>
      </w:pPr>
    </w:p>
    <w:p w14:paraId="26D357C2" w14:textId="77777777" w:rsidR="009D54AF" w:rsidRDefault="00000000">
      <w:pPr>
        <w:pStyle w:val="Heading5"/>
      </w:pPr>
      <w:r>
        <w:t>Fraud</w:t>
      </w:r>
      <w:r>
        <w:rPr>
          <w:spacing w:val="-5"/>
        </w:rPr>
        <w:t xml:space="preserve"> </w:t>
      </w:r>
      <w:r>
        <w:t>and</w:t>
      </w:r>
      <w:r>
        <w:rPr>
          <w:spacing w:val="-4"/>
        </w:rPr>
        <w:t xml:space="preserve"> </w:t>
      </w:r>
      <w:r>
        <w:t>corruption</w:t>
      </w:r>
      <w:r>
        <w:rPr>
          <w:spacing w:val="-4"/>
        </w:rPr>
        <w:t xml:space="preserve"> </w:t>
      </w:r>
      <w:r>
        <w:rPr>
          <w:spacing w:val="-2"/>
        </w:rPr>
        <w:t>control</w:t>
      </w:r>
    </w:p>
    <w:p w14:paraId="14DA7E67" w14:textId="77777777" w:rsidR="009D54AF" w:rsidRDefault="00000000">
      <w:pPr>
        <w:pStyle w:val="BodyText"/>
        <w:spacing w:before="133" w:line="278" w:lineRule="auto"/>
        <w:ind w:left="142"/>
      </w:pPr>
      <w:r>
        <w:t>The</w:t>
      </w:r>
      <w:r>
        <w:rPr>
          <w:spacing w:val="-2"/>
        </w:rPr>
        <w:t xml:space="preserve"> </w:t>
      </w:r>
      <w:r>
        <w:t>Commission</w:t>
      </w:r>
      <w:r>
        <w:rPr>
          <w:spacing w:val="-2"/>
        </w:rPr>
        <w:t xml:space="preserve"> </w:t>
      </w:r>
      <w:proofErr w:type="spellStart"/>
      <w:r>
        <w:t>recognises</w:t>
      </w:r>
      <w:proofErr w:type="spellEnd"/>
      <w:r>
        <w:rPr>
          <w:spacing w:val="-2"/>
        </w:rPr>
        <w:t xml:space="preserve"> </w:t>
      </w:r>
      <w:r>
        <w:t>the</w:t>
      </w:r>
      <w:r>
        <w:rPr>
          <w:spacing w:val="-2"/>
        </w:rPr>
        <w:t xml:space="preserve"> </w:t>
      </w:r>
      <w:r>
        <w:t>responsibility</w:t>
      </w:r>
      <w:r>
        <w:rPr>
          <w:spacing w:val="-2"/>
        </w:rPr>
        <w:t xml:space="preserve"> </w:t>
      </w:r>
      <w:r>
        <w:t>of</w:t>
      </w:r>
      <w:r>
        <w:rPr>
          <w:spacing w:val="-2"/>
        </w:rPr>
        <w:t xml:space="preserve"> </w:t>
      </w:r>
      <w:r>
        <w:t>all</w:t>
      </w:r>
      <w:r>
        <w:rPr>
          <w:spacing w:val="-2"/>
        </w:rPr>
        <w:t xml:space="preserve"> </w:t>
      </w:r>
      <w:r>
        <w:t>Australian</w:t>
      </w:r>
      <w:r>
        <w:rPr>
          <w:spacing w:val="-2"/>
        </w:rPr>
        <w:t xml:space="preserve"> </w:t>
      </w:r>
      <w:r>
        <w:t>Government</w:t>
      </w:r>
      <w:r>
        <w:rPr>
          <w:spacing w:val="-2"/>
        </w:rPr>
        <w:t xml:space="preserve"> </w:t>
      </w:r>
      <w:r>
        <w:t>entities</w:t>
      </w:r>
      <w:r>
        <w:rPr>
          <w:spacing w:val="-2"/>
        </w:rPr>
        <w:t xml:space="preserve"> </w:t>
      </w:r>
      <w:r>
        <w:t>to</w:t>
      </w:r>
      <w:r>
        <w:rPr>
          <w:spacing w:val="-2"/>
        </w:rPr>
        <w:t xml:space="preserve"> </w:t>
      </w:r>
      <w:r>
        <w:t>develop</w:t>
      </w:r>
      <w:r>
        <w:rPr>
          <w:spacing w:val="-2"/>
        </w:rPr>
        <w:t xml:space="preserve"> </w:t>
      </w:r>
      <w:r>
        <w:t>and</w:t>
      </w:r>
      <w:r>
        <w:rPr>
          <w:spacing w:val="-2"/>
        </w:rPr>
        <w:t xml:space="preserve"> </w:t>
      </w:r>
      <w:r>
        <w:t>implement sound financial, legal and ethical decision-making. The Commission’s Fraud and Corruption Control Plan complies with the Attorney-General’s Commonwealth Fraud and Corruption Control Framework. The</w:t>
      </w:r>
    </w:p>
    <w:p w14:paraId="1D2FEF7D" w14:textId="77777777" w:rsidR="009D54AF" w:rsidRDefault="00000000">
      <w:pPr>
        <w:pStyle w:val="BodyText"/>
        <w:spacing w:line="278" w:lineRule="auto"/>
        <w:ind w:left="142" w:right="214"/>
      </w:pPr>
      <w:r>
        <w:t xml:space="preserve">plan </w:t>
      </w:r>
      <w:proofErr w:type="spellStart"/>
      <w:r>
        <w:t>minimises</w:t>
      </w:r>
      <w:proofErr w:type="spellEnd"/>
      <w:r>
        <w:t xml:space="preserve"> the potential for instances of fraud and corruption within the Commission’s programs and activities by employees or people external to the Commission. Fraud and corruption risk assessments help the Commission understand fraud and corruption risks, identify internal control gaps and weaknesses, and develop</w:t>
      </w:r>
      <w:r>
        <w:rPr>
          <w:spacing w:val="-2"/>
        </w:rPr>
        <w:t xml:space="preserve"> </w:t>
      </w:r>
      <w:r>
        <w:t>strategies</w:t>
      </w:r>
      <w:r>
        <w:rPr>
          <w:spacing w:val="-2"/>
        </w:rPr>
        <w:t xml:space="preserve"> </w:t>
      </w:r>
      <w:r>
        <w:t>to</w:t>
      </w:r>
      <w:r>
        <w:rPr>
          <w:spacing w:val="-2"/>
        </w:rPr>
        <w:t xml:space="preserve"> </w:t>
      </w:r>
      <w:r>
        <w:t>mitigate</w:t>
      </w:r>
      <w:r>
        <w:rPr>
          <w:spacing w:val="-2"/>
        </w:rPr>
        <w:t xml:space="preserve"> </w:t>
      </w:r>
      <w:r>
        <w:t>the</w:t>
      </w:r>
      <w:r>
        <w:rPr>
          <w:spacing w:val="-2"/>
        </w:rPr>
        <w:t xml:space="preserve"> </w:t>
      </w:r>
      <w:r>
        <w:t>risks.</w:t>
      </w:r>
      <w:r>
        <w:rPr>
          <w:spacing w:val="-2"/>
        </w:rPr>
        <w:t xml:space="preserve"> </w:t>
      </w:r>
      <w:r>
        <w:t>These</w:t>
      </w:r>
      <w:r>
        <w:rPr>
          <w:spacing w:val="-2"/>
        </w:rPr>
        <w:t xml:space="preserve"> </w:t>
      </w:r>
      <w:r>
        <w:t>assessments</w:t>
      </w:r>
      <w:r>
        <w:rPr>
          <w:spacing w:val="-2"/>
        </w:rPr>
        <w:t xml:space="preserve"> </w:t>
      </w:r>
      <w:r>
        <w:t>are</w:t>
      </w:r>
      <w:r>
        <w:rPr>
          <w:spacing w:val="-2"/>
        </w:rPr>
        <w:t xml:space="preserve"> </w:t>
      </w:r>
      <w:r>
        <w:t>conducted</w:t>
      </w:r>
      <w:r>
        <w:rPr>
          <w:spacing w:val="-2"/>
        </w:rPr>
        <w:t xml:space="preserve"> </w:t>
      </w:r>
      <w:r>
        <w:t>regularly</w:t>
      </w:r>
      <w:r>
        <w:rPr>
          <w:spacing w:val="-2"/>
        </w:rPr>
        <w:t xml:space="preserve"> </w:t>
      </w:r>
      <w:r>
        <w:t>across</w:t>
      </w:r>
      <w:r>
        <w:rPr>
          <w:spacing w:val="-2"/>
        </w:rPr>
        <w:t xml:space="preserve"> </w:t>
      </w:r>
      <w:r>
        <w:t>the</w:t>
      </w:r>
      <w:r>
        <w:rPr>
          <w:spacing w:val="-2"/>
        </w:rPr>
        <w:t xml:space="preserve"> </w:t>
      </w:r>
      <w:proofErr w:type="spellStart"/>
      <w:r>
        <w:t>organisation</w:t>
      </w:r>
      <w:proofErr w:type="spellEnd"/>
      <w:r>
        <w:t>, and consider the Commission’s business activities, processes and accounts. The Commission also delivers regular fraud and corruption awareness training to staff.</w:t>
      </w:r>
    </w:p>
    <w:p w14:paraId="3BB131D7" w14:textId="77777777" w:rsidR="00426F87" w:rsidRDefault="00426F87">
      <w:pPr>
        <w:rPr>
          <w:b/>
          <w:bCs/>
          <w:sz w:val="30"/>
          <w:szCs w:val="30"/>
        </w:rPr>
      </w:pPr>
      <w:r>
        <w:br w:type="page"/>
      </w:r>
    </w:p>
    <w:p w14:paraId="4372E00E" w14:textId="1CC138EA" w:rsidR="009D54AF" w:rsidRDefault="00000000">
      <w:pPr>
        <w:pStyle w:val="Heading5"/>
        <w:spacing w:before="66"/>
      </w:pPr>
      <w:r>
        <w:lastRenderedPageBreak/>
        <w:t>Internal</w:t>
      </w:r>
      <w:r>
        <w:rPr>
          <w:spacing w:val="-3"/>
        </w:rPr>
        <w:t xml:space="preserve"> </w:t>
      </w:r>
      <w:r>
        <w:rPr>
          <w:spacing w:val="-4"/>
        </w:rPr>
        <w:t>audit</w:t>
      </w:r>
    </w:p>
    <w:p w14:paraId="290A41EB" w14:textId="77777777" w:rsidR="009D54AF" w:rsidRDefault="00000000">
      <w:pPr>
        <w:pStyle w:val="BodyText"/>
        <w:spacing w:before="132" w:line="278" w:lineRule="auto"/>
        <w:ind w:left="142" w:right="285"/>
      </w:pPr>
      <w:r>
        <w:t xml:space="preserve">Internal audit is a key component of the Commission’s governance framework. It provides an independent, ongoing appraisal of the </w:t>
      </w:r>
      <w:proofErr w:type="spellStart"/>
      <w:r>
        <w:t>organisation’s</w:t>
      </w:r>
      <w:proofErr w:type="spellEnd"/>
      <w:r>
        <w:t xml:space="preserve"> internal control systems. The internal audit process provides assurance</w:t>
      </w:r>
      <w:r>
        <w:rPr>
          <w:spacing w:val="-3"/>
        </w:rPr>
        <w:t xml:space="preserve"> </w:t>
      </w:r>
      <w:r>
        <w:t>that</w:t>
      </w:r>
      <w:r>
        <w:rPr>
          <w:spacing w:val="-3"/>
        </w:rPr>
        <w:t xml:space="preserve"> </w:t>
      </w:r>
      <w:r>
        <w:t>the</w:t>
      </w:r>
      <w:r>
        <w:rPr>
          <w:spacing w:val="-3"/>
        </w:rPr>
        <w:t xml:space="preserve"> </w:t>
      </w:r>
      <w:r>
        <w:t>Commission’s</w:t>
      </w:r>
      <w:r>
        <w:rPr>
          <w:spacing w:val="-3"/>
        </w:rPr>
        <w:t xml:space="preserve"> </w:t>
      </w:r>
      <w:r>
        <w:t>financial</w:t>
      </w:r>
      <w:r>
        <w:rPr>
          <w:spacing w:val="-3"/>
        </w:rPr>
        <w:t xml:space="preserve"> </w:t>
      </w:r>
      <w:r>
        <w:t>and</w:t>
      </w:r>
      <w:r>
        <w:rPr>
          <w:spacing w:val="-3"/>
        </w:rPr>
        <w:t xml:space="preserve"> </w:t>
      </w:r>
      <w:r>
        <w:t>operational</w:t>
      </w:r>
      <w:r>
        <w:rPr>
          <w:spacing w:val="-3"/>
        </w:rPr>
        <w:t xml:space="preserve"> </w:t>
      </w:r>
      <w:r>
        <w:t>controls</w:t>
      </w:r>
      <w:r>
        <w:rPr>
          <w:spacing w:val="-3"/>
        </w:rPr>
        <w:t xml:space="preserve"> </w:t>
      </w:r>
      <w:r>
        <w:t>can</w:t>
      </w:r>
      <w:r>
        <w:rPr>
          <w:spacing w:val="-3"/>
        </w:rPr>
        <w:t xml:space="preserve"> </w:t>
      </w:r>
      <w:r>
        <w:t>manage</w:t>
      </w:r>
      <w:r>
        <w:rPr>
          <w:spacing w:val="-3"/>
        </w:rPr>
        <w:t xml:space="preserve"> </w:t>
      </w:r>
      <w:r>
        <w:t>the</w:t>
      </w:r>
      <w:r>
        <w:rPr>
          <w:spacing w:val="-3"/>
        </w:rPr>
        <w:t xml:space="preserve"> </w:t>
      </w:r>
      <w:proofErr w:type="spellStart"/>
      <w:r>
        <w:t>organisation’s</w:t>
      </w:r>
      <w:proofErr w:type="spellEnd"/>
      <w:r>
        <w:rPr>
          <w:spacing w:val="-3"/>
        </w:rPr>
        <w:t xml:space="preserve"> </w:t>
      </w:r>
      <w:r>
        <w:t>risks</w:t>
      </w:r>
      <w:r>
        <w:rPr>
          <w:spacing w:val="-3"/>
        </w:rPr>
        <w:t xml:space="preserve"> </w:t>
      </w:r>
      <w:r>
        <w:t>and are operating in an efficient, effective and ethical manner.</w:t>
      </w:r>
    </w:p>
    <w:p w14:paraId="098F9D21" w14:textId="77777777" w:rsidR="009D54AF" w:rsidRDefault="00000000">
      <w:pPr>
        <w:pStyle w:val="BodyText"/>
        <w:spacing w:before="142" w:line="278" w:lineRule="auto"/>
        <w:ind w:left="142" w:right="642"/>
      </w:pPr>
      <w:r>
        <w:t>The Commission has appointed Crowe Australasia as its internal auditor. The firm provides assurance</w:t>
      </w:r>
      <w:r>
        <w:rPr>
          <w:spacing w:val="40"/>
        </w:rPr>
        <w:t xml:space="preserve"> </w:t>
      </w:r>
      <w:r>
        <w:t>of</w:t>
      </w:r>
      <w:r>
        <w:rPr>
          <w:spacing w:val="-4"/>
        </w:rPr>
        <w:t xml:space="preserve"> </w:t>
      </w:r>
      <w:r>
        <w:t>the</w:t>
      </w:r>
      <w:r>
        <w:rPr>
          <w:spacing w:val="-4"/>
        </w:rPr>
        <w:t xml:space="preserve"> </w:t>
      </w:r>
      <w:r>
        <w:t>overall</w:t>
      </w:r>
      <w:r>
        <w:rPr>
          <w:spacing w:val="-4"/>
        </w:rPr>
        <w:t xml:space="preserve"> </w:t>
      </w:r>
      <w:r>
        <w:t>state</w:t>
      </w:r>
      <w:r>
        <w:rPr>
          <w:spacing w:val="-4"/>
        </w:rPr>
        <w:t xml:space="preserve"> </w:t>
      </w:r>
      <w:r>
        <w:t>of</w:t>
      </w:r>
      <w:r>
        <w:rPr>
          <w:spacing w:val="-4"/>
        </w:rPr>
        <w:t xml:space="preserve"> </w:t>
      </w:r>
      <w:r>
        <w:t>the</w:t>
      </w:r>
      <w:r>
        <w:rPr>
          <w:spacing w:val="-4"/>
        </w:rPr>
        <w:t xml:space="preserve"> </w:t>
      </w:r>
      <w:r>
        <w:t>Commission’s</w:t>
      </w:r>
      <w:r>
        <w:rPr>
          <w:spacing w:val="-4"/>
        </w:rPr>
        <w:t xml:space="preserve"> </w:t>
      </w:r>
      <w:r>
        <w:t>internal</w:t>
      </w:r>
      <w:r>
        <w:rPr>
          <w:spacing w:val="-4"/>
        </w:rPr>
        <w:t xml:space="preserve"> </w:t>
      </w:r>
      <w:r>
        <w:t>controls</w:t>
      </w:r>
      <w:r>
        <w:rPr>
          <w:spacing w:val="-4"/>
        </w:rPr>
        <w:t xml:space="preserve"> </w:t>
      </w:r>
      <w:r>
        <w:t>and</w:t>
      </w:r>
      <w:r>
        <w:rPr>
          <w:spacing w:val="-4"/>
        </w:rPr>
        <w:t xml:space="preserve"> </w:t>
      </w:r>
      <w:r>
        <w:t>advises</w:t>
      </w:r>
      <w:r>
        <w:rPr>
          <w:spacing w:val="-4"/>
        </w:rPr>
        <w:t xml:space="preserve"> </w:t>
      </w:r>
      <w:r>
        <w:t>on</w:t>
      </w:r>
      <w:r>
        <w:rPr>
          <w:spacing w:val="-4"/>
        </w:rPr>
        <w:t xml:space="preserve"> </w:t>
      </w:r>
      <w:r>
        <w:t>any</w:t>
      </w:r>
      <w:r>
        <w:rPr>
          <w:spacing w:val="-4"/>
        </w:rPr>
        <w:t xml:space="preserve"> </w:t>
      </w:r>
      <w:r>
        <w:t>systemic</w:t>
      </w:r>
      <w:r>
        <w:rPr>
          <w:spacing w:val="-4"/>
        </w:rPr>
        <w:t xml:space="preserve"> </w:t>
      </w:r>
      <w:r>
        <w:t>issues</w:t>
      </w:r>
      <w:r>
        <w:rPr>
          <w:spacing w:val="-4"/>
        </w:rPr>
        <w:t xml:space="preserve"> </w:t>
      </w:r>
      <w:r>
        <w:t>that</w:t>
      </w:r>
      <w:r>
        <w:rPr>
          <w:spacing w:val="-4"/>
        </w:rPr>
        <w:t xml:space="preserve"> </w:t>
      </w:r>
      <w:r>
        <w:t>require management’s attention.</w:t>
      </w:r>
    </w:p>
    <w:p w14:paraId="658BBCC6" w14:textId="77777777" w:rsidR="009D54AF" w:rsidRDefault="00000000">
      <w:pPr>
        <w:pStyle w:val="Heading1"/>
      </w:pPr>
      <w:bookmarkStart w:id="52" w:name="_External_scrutiny"/>
      <w:bookmarkStart w:id="53" w:name="_Toc243037283"/>
      <w:bookmarkEnd w:id="52"/>
      <w:r>
        <w:t>External</w:t>
      </w:r>
      <w:r>
        <w:rPr>
          <w:spacing w:val="-15"/>
        </w:rPr>
        <w:t xml:space="preserve"> </w:t>
      </w:r>
      <w:r>
        <w:rPr>
          <w:spacing w:val="-2"/>
        </w:rPr>
        <w:t>scrutiny</w:t>
      </w:r>
      <w:bookmarkEnd w:id="53"/>
    </w:p>
    <w:p w14:paraId="3CD5E434" w14:textId="77777777" w:rsidR="009D54AF" w:rsidRDefault="00000000">
      <w:pPr>
        <w:pStyle w:val="Heading5"/>
        <w:spacing w:before="334"/>
      </w:pPr>
      <w:r>
        <w:t>Freedom</w:t>
      </w:r>
      <w:r>
        <w:rPr>
          <w:spacing w:val="-8"/>
        </w:rPr>
        <w:t xml:space="preserve"> </w:t>
      </w:r>
      <w:r>
        <w:t>of</w:t>
      </w:r>
      <w:r>
        <w:rPr>
          <w:spacing w:val="-8"/>
        </w:rPr>
        <w:t xml:space="preserve"> </w:t>
      </w:r>
      <w:r>
        <w:rPr>
          <w:spacing w:val="-2"/>
        </w:rPr>
        <w:t>information</w:t>
      </w:r>
    </w:p>
    <w:p w14:paraId="74A0646C" w14:textId="77777777" w:rsidR="009D54AF" w:rsidRDefault="00000000">
      <w:pPr>
        <w:pStyle w:val="BodyText"/>
        <w:spacing w:before="133" w:line="278" w:lineRule="auto"/>
        <w:ind w:left="142" w:right="214"/>
      </w:pPr>
      <w:r>
        <w:t xml:space="preserve">Agencies subject to the </w:t>
      </w:r>
      <w:r>
        <w:rPr>
          <w:i/>
        </w:rPr>
        <w:t xml:space="preserve">Freedom of Information Act 1982 </w:t>
      </w:r>
      <w:r>
        <w:t>are required to publish information for the public as part</w:t>
      </w:r>
      <w:r>
        <w:rPr>
          <w:spacing w:val="-1"/>
        </w:rPr>
        <w:t xml:space="preserve"> </w:t>
      </w:r>
      <w:r>
        <w:t>of</w:t>
      </w:r>
      <w:r>
        <w:rPr>
          <w:spacing w:val="-1"/>
        </w:rPr>
        <w:t xml:space="preserve"> </w:t>
      </w:r>
      <w:r>
        <w:t>the</w:t>
      </w:r>
      <w:r>
        <w:rPr>
          <w:spacing w:val="-1"/>
        </w:rPr>
        <w:t xml:space="preserve"> </w:t>
      </w:r>
      <w:r>
        <w:t>Information</w:t>
      </w:r>
      <w:r>
        <w:rPr>
          <w:spacing w:val="-1"/>
        </w:rPr>
        <w:t xml:space="preserve"> </w:t>
      </w:r>
      <w:r>
        <w:t>Publication</w:t>
      </w:r>
      <w:r>
        <w:rPr>
          <w:spacing w:val="-1"/>
        </w:rPr>
        <w:t xml:space="preserve"> </w:t>
      </w:r>
      <w:r>
        <w:t>Scheme.</w:t>
      </w:r>
      <w:r>
        <w:rPr>
          <w:spacing w:val="-1"/>
        </w:rPr>
        <w:t xml:space="preserve"> </w:t>
      </w:r>
      <w:r>
        <w:t>In</w:t>
      </w:r>
      <w:r>
        <w:rPr>
          <w:spacing w:val="-1"/>
        </w:rPr>
        <w:t xml:space="preserve"> </w:t>
      </w:r>
      <w:r>
        <w:t>accordance</w:t>
      </w:r>
      <w:r>
        <w:rPr>
          <w:spacing w:val="-1"/>
        </w:rPr>
        <w:t xml:space="preserve"> </w:t>
      </w:r>
      <w:r>
        <w:t>with</w:t>
      </w:r>
      <w:r>
        <w:rPr>
          <w:spacing w:val="-1"/>
        </w:rPr>
        <w:t xml:space="preserve"> </w:t>
      </w:r>
      <w:r>
        <w:t>Part</w:t>
      </w:r>
      <w:r>
        <w:rPr>
          <w:spacing w:val="-1"/>
        </w:rPr>
        <w:t xml:space="preserve"> </w:t>
      </w:r>
      <w:r>
        <w:t>II</w:t>
      </w:r>
      <w:r>
        <w:rPr>
          <w:spacing w:val="-1"/>
        </w:rPr>
        <w:t xml:space="preserve"> </w:t>
      </w:r>
      <w:r>
        <w:t>of</w:t>
      </w:r>
      <w:r>
        <w:rPr>
          <w:spacing w:val="-1"/>
        </w:rPr>
        <w:t xml:space="preserve"> </w:t>
      </w:r>
      <w:r>
        <w:t>the</w:t>
      </w:r>
      <w:r>
        <w:rPr>
          <w:spacing w:val="-1"/>
        </w:rPr>
        <w:t xml:space="preserve"> </w:t>
      </w:r>
      <w:r>
        <w:t>Act,</w:t>
      </w:r>
      <w:r>
        <w:rPr>
          <w:spacing w:val="-1"/>
        </w:rPr>
        <w:t xml:space="preserve"> </w:t>
      </w:r>
      <w:r>
        <w:t>each</w:t>
      </w:r>
      <w:r>
        <w:rPr>
          <w:spacing w:val="-1"/>
        </w:rPr>
        <w:t xml:space="preserve"> </w:t>
      </w:r>
      <w:r>
        <w:t>agency</w:t>
      </w:r>
      <w:r>
        <w:rPr>
          <w:spacing w:val="-1"/>
        </w:rPr>
        <w:t xml:space="preserve"> </w:t>
      </w:r>
      <w:r>
        <w:t>must</w:t>
      </w:r>
      <w:r>
        <w:rPr>
          <w:spacing w:val="-1"/>
        </w:rPr>
        <w:t xml:space="preserve"> </w:t>
      </w:r>
      <w:r>
        <w:t>display</w:t>
      </w:r>
      <w:r>
        <w:rPr>
          <w:spacing w:val="-1"/>
        </w:rPr>
        <w:t xml:space="preserve"> </w:t>
      </w:r>
      <w:r>
        <w:t>a plan on its website showing the information it publishes in accordance with the requirements of the scheme. The Commission’s plan and freedom of information disclosure log are available on its website.</w:t>
      </w:r>
    </w:p>
    <w:p w14:paraId="483972A7" w14:textId="77777777" w:rsidR="009D54AF" w:rsidRDefault="00000000">
      <w:pPr>
        <w:pStyle w:val="BodyText"/>
        <w:spacing w:before="141"/>
        <w:ind w:left="142"/>
      </w:pPr>
      <w:r>
        <w:t>See</w:t>
      </w:r>
      <w:r>
        <w:rPr>
          <w:spacing w:val="-4"/>
        </w:rPr>
        <w:t xml:space="preserve"> </w:t>
      </w:r>
      <w:r>
        <w:t>Table</w:t>
      </w:r>
      <w:r>
        <w:rPr>
          <w:spacing w:val="-2"/>
        </w:rPr>
        <w:t xml:space="preserve"> </w:t>
      </w:r>
      <w:r>
        <w:t>12</w:t>
      </w:r>
      <w:r>
        <w:rPr>
          <w:spacing w:val="-1"/>
        </w:rPr>
        <w:t xml:space="preserve"> </w:t>
      </w:r>
      <w:r>
        <w:t>in</w:t>
      </w:r>
      <w:r>
        <w:rPr>
          <w:spacing w:val="-2"/>
        </w:rPr>
        <w:t xml:space="preserve"> </w:t>
      </w:r>
      <w:r>
        <w:t>Appendix</w:t>
      </w:r>
      <w:r>
        <w:rPr>
          <w:spacing w:val="-2"/>
        </w:rPr>
        <w:t xml:space="preserve"> </w:t>
      </w:r>
      <w:r>
        <w:t>B</w:t>
      </w:r>
      <w:r>
        <w:rPr>
          <w:spacing w:val="-1"/>
        </w:rPr>
        <w:t xml:space="preserve"> </w:t>
      </w:r>
      <w:r>
        <w:t>for</w:t>
      </w:r>
      <w:r>
        <w:rPr>
          <w:spacing w:val="-2"/>
        </w:rPr>
        <w:t xml:space="preserve"> </w:t>
      </w:r>
      <w:r>
        <w:t>a</w:t>
      </w:r>
      <w:r>
        <w:rPr>
          <w:spacing w:val="-2"/>
        </w:rPr>
        <w:t xml:space="preserve"> </w:t>
      </w:r>
      <w:r>
        <w:t>summary</w:t>
      </w:r>
      <w:r>
        <w:rPr>
          <w:spacing w:val="-1"/>
        </w:rPr>
        <w:t xml:space="preserve"> </w:t>
      </w:r>
      <w:r>
        <w:t>of</w:t>
      </w:r>
      <w:r>
        <w:rPr>
          <w:spacing w:val="-2"/>
        </w:rPr>
        <w:t xml:space="preserve"> </w:t>
      </w:r>
      <w:r>
        <w:t>freedom</w:t>
      </w:r>
      <w:r>
        <w:rPr>
          <w:spacing w:val="-2"/>
        </w:rPr>
        <w:t xml:space="preserve"> </w:t>
      </w:r>
      <w:r>
        <w:t>of</w:t>
      </w:r>
      <w:r>
        <w:rPr>
          <w:spacing w:val="-1"/>
        </w:rPr>
        <w:t xml:space="preserve"> </w:t>
      </w:r>
      <w:r>
        <w:t>information</w:t>
      </w:r>
      <w:r>
        <w:rPr>
          <w:spacing w:val="-2"/>
        </w:rPr>
        <w:t xml:space="preserve"> </w:t>
      </w:r>
      <w:r>
        <w:t>activities</w:t>
      </w:r>
      <w:r>
        <w:rPr>
          <w:spacing w:val="-2"/>
        </w:rPr>
        <w:t xml:space="preserve"> </w:t>
      </w:r>
      <w:r>
        <w:t>for</w:t>
      </w:r>
      <w:r>
        <w:rPr>
          <w:spacing w:val="-1"/>
        </w:rPr>
        <w:t xml:space="preserve"> </w:t>
      </w:r>
      <w:r>
        <w:t>2025–</w:t>
      </w:r>
      <w:r>
        <w:rPr>
          <w:spacing w:val="-5"/>
        </w:rPr>
        <w:t>26.</w:t>
      </w:r>
    </w:p>
    <w:p w14:paraId="5EF04E67" w14:textId="77777777" w:rsidR="009D54AF" w:rsidRDefault="009D54AF">
      <w:pPr>
        <w:pStyle w:val="BodyText"/>
        <w:spacing w:before="104"/>
      </w:pPr>
    </w:p>
    <w:p w14:paraId="43FCA82C" w14:textId="77777777" w:rsidR="009D54AF" w:rsidRDefault="00000000">
      <w:pPr>
        <w:pStyle w:val="Heading5"/>
      </w:pPr>
      <w:r>
        <w:t>Judicial</w:t>
      </w:r>
      <w:r>
        <w:rPr>
          <w:spacing w:val="-6"/>
        </w:rPr>
        <w:t xml:space="preserve"> </w:t>
      </w:r>
      <w:r>
        <w:t>decisions</w:t>
      </w:r>
      <w:r>
        <w:rPr>
          <w:spacing w:val="-6"/>
        </w:rPr>
        <w:t xml:space="preserve"> </w:t>
      </w:r>
      <w:r>
        <w:t>and</w:t>
      </w:r>
      <w:r>
        <w:rPr>
          <w:spacing w:val="-6"/>
        </w:rPr>
        <w:t xml:space="preserve"> </w:t>
      </w:r>
      <w:r>
        <w:t>reviews</w:t>
      </w:r>
      <w:r>
        <w:rPr>
          <w:spacing w:val="-6"/>
        </w:rPr>
        <w:t xml:space="preserve"> </w:t>
      </w:r>
      <w:r>
        <w:t>by</w:t>
      </w:r>
      <w:r>
        <w:rPr>
          <w:spacing w:val="-6"/>
        </w:rPr>
        <w:t xml:space="preserve"> </w:t>
      </w:r>
      <w:r>
        <w:t>external</w:t>
      </w:r>
      <w:r>
        <w:rPr>
          <w:spacing w:val="-6"/>
        </w:rPr>
        <w:t xml:space="preserve"> </w:t>
      </w:r>
      <w:r>
        <w:rPr>
          <w:spacing w:val="-2"/>
        </w:rPr>
        <w:t>bodies</w:t>
      </w:r>
    </w:p>
    <w:p w14:paraId="4ECC8942" w14:textId="77777777" w:rsidR="009D54AF" w:rsidRDefault="00000000">
      <w:pPr>
        <w:pStyle w:val="BodyText"/>
        <w:spacing w:before="133"/>
        <w:ind w:left="142"/>
      </w:pPr>
      <w:r>
        <w:t>No judicial</w:t>
      </w:r>
      <w:r>
        <w:rPr>
          <w:spacing w:val="1"/>
        </w:rPr>
        <w:t xml:space="preserve"> </w:t>
      </w:r>
      <w:r>
        <w:t>decisions</w:t>
      </w:r>
      <w:r>
        <w:rPr>
          <w:spacing w:val="1"/>
        </w:rPr>
        <w:t xml:space="preserve"> </w:t>
      </w:r>
      <w:r>
        <w:t>or external</w:t>
      </w:r>
      <w:r>
        <w:rPr>
          <w:spacing w:val="1"/>
        </w:rPr>
        <w:t xml:space="preserve"> </w:t>
      </w:r>
      <w:r>
        <w:t>reviews</w:t>
      </w:r>
      <w:r>
        <w:rPr>
          <w:spacing w:val="1"/>
        </w:rPr>
        <w:t xml:space="preserve"> </w:t>
      </w:r>
      <w:r>
        <w:t>significantly</w:t>
      </w:r>
      <w:r>
        <w:rPr>
          <w:spacing w:val="1"/>
        </w:rPr>
        <w:t xml:space="preserve"> </w:t>
      </w:r>
      <w:r>
        <w:t>affected the</w:t>
      </w:r>
      <w:r>
        <w:rPr>
          <w:spacing w:val="1"/>
        </w:rPr>
        <w:t xml:space="preserve"> </w:t>
      </w:r>
      <w:r>
        <w:t>Commission</w:t>
      </w:r>
      <w:r>
        <w:rPr>
          <w:spacing w:val="1"/>
        </w:rPr>
        <w:t xml:space="preserve"> </w:t>
      </w:r>
      <w:r>
        <w:t>in</w:t>
      </w:r>
      <w:r>
        <w:rPr>
          <w:spacing w:val="1"/>
        </w:rPr>
        <w:t xml:space="preserve"> </w:t>
      </w:r>
      <w:r>
        <w:t>2025–</w:t>
      </w:r>
      <w:r>
        <w:rPr>
          <w:spacing w:val="-5"/>
        </w:rPr>
        <w:t>26.</w:t>
      </w:r>
    </w:p>
    <w:p w14:paraId="17BA8AB0" w14:textId="77777777" w:rsidR="009D54AF" w:rsidRDefault="009D54AF">
      <w:pPr>
        <w:pStyle w:val="BodyText"/>
        <w:spacing w:before="105"/>
      </w:pPr>
    </w:p>
    <w:p w14:paraId="6A673004" w14:textId="77777777" w:rsidR="009D54AF" w:rsidRDefault="00000000">
      <w:pPr>
        <w:pStyle w:val="Heading5"/>
      </w:pPr>
      <w:r>
        <w:t>Parliamentary</w:t>
      </w:r>
      <w:r>
        <w:rPr>
          <w:spacing w:val="-1"/>
        </w:rPr>
        <w:t xml:space="preserve"> </w:t>
      </w:r>
      <w:r>
        <w:t>and</w:t>
      </w:r>
      <w:r>
        <w:rPr>
          <w:spacing w:val="-1"/>
        </w:rPr>
        <w:t xml:space="preserve"> </w:t>
      </w:r>
      <w:r>
        <w:t>ministerial</w:t>
      </w:r>
      <w:r>
        <w:rPr>
          <w:spacing w:val="-1"/>
        </w:rPr>
        <w:t xml:space="preserve"> </w:t>
      </w:r>
      <w:r>
        <w:rPr>
          <w:spacing w:val="-2"/>
        </w:rPr>
        <w:t>oversight</w:t>
      </w:r>
    </w:p>
    <w:p w14:paraId="13A9FE7F" w14:textId="77777777" w:rsidR="009D54AF" w:rsidRDefault="00000000">
      <w:pPr>
        <w:pStyle w:val="BodyText"/>
        <w:spacing w:before="133" w:line="278" w:lineRule="auto"/>
        <w:ind w:left="142"/>
      </w:pPr>
      <w:r>
        <w:t>The Commission is a corporate Commonwealth entity of the Australian Government and part of the Health portfolio.</w:t>
      </w:r>
      <w:r>
        <w:rPr>
          <w:spacing w:val="-2"/>
        </w:rPr>
        <w:t xml:space="preserve"> </w:t>
      </w:r>
      <w:r>
        <w:t>As</w:t>
      </w:r>
      <w:r>
        <w:rPr>
          <w:spacing w:val="-2"/>
        </w:rPr>
        <w:t xml:space="preserve"> </w:t>
      </w:r>
      <w:r>
        <w:t>such,</w:t>
      </w:r>
      <w:r>
        <w:rPr>
          <w:spacing w:val="-2"/>
        </w:rPr>
        <w:t xml:space="preserve"> </w:t>
      </w:r>
      <w:r>
        <w:t>it</w:t>
      </w:r>
      <w:r>
        <w:rPr>
          <w:spacing w:val="-2"/>
        </w:rPr>
        <w:t xml:space="preserve"> </w:t>
      </w:r>
      <w:r>
        <w:t>is</w:t>
      </w:r>
      <w:r>
        <w:rPr>
          <w:spacing w:val="-2"/>
        </w:rPr>
        <w:t xml:space="preserve"> </w:t>
      </w:r>
      <w:r>
        <w:t>accountable</w:t>
      </w:r>
      <w:r>
        <w:rPr>
          <w:spacing w:val="-2"/>
        </w:rPr>
        <w:t xml:space="preserve"> </w:t>
      </w:r>
      <w:r>
        <w:t>to</w:t>
      </w:r>
      <w:r>
        <w:rPr>
          <w:spacing w:val="-2"/>
        </w:rPr>
        <w:t xml:space="preserve"> </w:t>
      </w:r>
      <w:r>
        <w:t>the</w:t>
      </w:r>
      <w:r>
        <w:rPr>
          <w:spacing w:val="-2"/>
        </w:rPr>
        <w:t xml:space="preserve"> </w:t>
      </w:r>
      <w:r>
        <w:t>Australian</w:t>
      </w:r>
      <w:r>
        <w:rPr>
          <w:spacing w:val="-2"/>
        </w:rPr>
        <w:t xml:space="preserve"> </w:t>
      </w:r>
      <w:r>
        <w:t>Parliament</w:t>
      </w:r>
      <w:r>
        <w:rPr>
          <w:spacing w:val="-2"/>
        </w:rPr>
        <w:t xml:space="preserve"> </w:t>
      </w:r>
      <w:r>
        <w:t>and</w:t>
      </w:r>
      <w:r>
        <w:rPr>
          <w:spacing w:val="-2"/>
        </w:rPr>
        <w:t xml:space="preserve"> </w:t>
      </w:r>
      <w:r>
        <w:t>the</w:t>
      </w:r>
      <w:r>
        <w:rPr>
          <w:spacing w:val="-2"/>
        </w:rPr>
        <w:t xml:space="preserve"> </w:t>
      </w:r>
      <w:r>
        <w:t>Australian</w:t>
      </w:r>
      <w:r>
        <w:rPr>
          <w:spacing w:val="-2"/>
        </w:rPr>
        <w:t xml:space="preserve"> </w:t>
      </w:r>
      <w:r>
        <w:t>Government</w:t>
      </w:r>
      <w:r>
        <w:rPr>
          <w:spacing w:val="-2"/>
        </w:rPr>
        <w:t xml:space="preserve"> </w:t>
      </w:r>
      <w:r>
        <w:t>Minister</w:t>
      </w:r>
      <w:r>
        <w:rPr>
          <w:spacing w:val="-2"/>
        </w:rPr>
        <w:t xml:space="preserve"> </w:t>
      </w:r>
      <w:r>
        <w:t>for Health and Ageing.</w:t>
      </w:r>
    </w:p>
    <w:p w14:paraId="550CF3CF" w14:textId="77777777" w:rsidR="00426F87" w:rsidRDefault="00426F87">
      <w:pPr>
        <w:pStyle w:val="Heading5"/>
      </w:pPr>
    </w:p>
    <w:p w14:paraId="1CD38813" w14:textId="66D35912" w:rsidR="009D54AF" w:rsidRDefault="00000000">
      <w:pPr>
        <w:pStyle w:val="Heading5"/>
      </w:pPr>
      <w:r>
        <w:t>Executive</w:t>
      </w:r>
      <w:r>
        <w:rPr>
          <w:spacing w:val="-10"/>
        </w:rPr>
        <w:t xml:space="preserve"> </w:t>
      </w:r>
      <w:r>
        <w:rPr>
          <w:spacing w:val="-2"/>
        </w:rPr>
        <w:t>remuneration</w:t>
      </w:r>
    </w:p>
    <w:p w14:paraId="7A17FDAA" w14:textId="77777777" w:rsidR="009D54AF" w:rsidRDefault="00000000">
      <w:pPr>
        <w:pStyle w:val="BodyText"/>
        <w:spacing w:before="133" w:line="278" w:lineRule="auto"/>
        <w:ind w:left="142"/>
      </w:pPr>
      <w:r>
        <w:t>Remuneration and other benefits for the CEO and Board members are set by the Remuneration Tribunal. Employees are covered by either the Commission’s Enterprise Agreement 2024–2027 or other employment legislation</w:t>
      </w:r>
      <w:r>
        <w:rPr>
          <w:spacing w:val="-6"/>
        </w:rPr>
        <w:t xml:space="preserve"> </w:t>
      </w:r>
      <w:r>
        <w:t>(determinations).</w:t>
      </w:r>
      <w:r>
        <w:rPr>
          <w:spacing w:val="-6"/>
        </w:rPr>
        <w:t xml:space="preserve"> </w:t>
      </w:r>
      <w:r>
        <w:t>Any</w:t>
      </w:r>
      <w:r>
        <w:rPr>
          <w:spacing w:val="-6"/>
        </w:rPr>
        <w:t xml:space="preserve"> </w:t>
      </w:r>
      <w:r>
        <w:t>employee</w:t>
      </w:r>
      <w:r>
        <w:rPr>
          <w:spacing w:val="-6"/>
        </w:rPr>
        <w:t xml:space="preserve"> </w:t>
      </w:r>
      <w:r>
        <w:t>covered</w:t>
      </w:r>
      <w:r>
        <w:rPr>
          <w:spacing w:val="-6"/>
        </w:rPr>
        <w:t xml:space="preserve"> </w:t>
      </w:r>
      <w:r>
        <w:t>by</w:t>
      </w:r>
      <w:r>
        <w:rPr>
          <w:spacing w:val="-6"/>
        </w:rPr>
        <w:t xml:space="preserve"> </w:t>
      </w:r>
      <w:r>
        <w:t>the</w:t>
      </w:r>
      <w:r>
        <w:rPr>
          <w:spacing w:val="-6"/>
        </w:rPr>
        <w:t xml:space="preserve"> </w:t>
      </w:r>
      <w:r>
        <w:t>Enterprise</w:t>
      </w:r>
      <w:r>
        <w:rPr>
          <w:spacing w:val="-6"/>
        </w:rPr>
        <w:t xml:space="preserve"> </w:t>
      </w:r>
      <w:r>
        <w:t>Agreement</w:t>
      </w:r>
      <w:r>
        <w:rPr>
          <w:spacing w:val="-6"/>
        </w:rPr>
        <w:t xml:space="preserve"> </w:t>
      </w:r>
      <w:r>
        <w:t>may</w:t>
      </w:r>
      <w:r>
        <w:rPr>
          <w:spacing w:val="-6"/>
        </w:rPr>
        <w:t xml:space="preserve"> </w:t>
      </w:r>
      <w:r>
        <w:t>also</w:t>
      </w:r>
      <w:r>
        <w:rPr>
          <w:spacing w:val="-6"/>
        </w:rPr>
        <w:t xml:space="preserve"> </w:t>
      </w:r>
      <w:r>
        <w:t>have</w:t>
      </w:r>
      <w:r>
        <w:rPr>
          <w:spacing w:val="-6"/>
        </w:rPr>
        <w:t xml:space="preserve"> </w:t>
      </w:r>
      <w:r>
        <w:t>an</w:t>
      </w:r>
      <w:r>
        <w:rPr>
          <w:spacing w:val="-6"/>
        </w:rPr>
        <w:t xml:space="preserve"> </w:t>
      </w:r>
      <w:r>
        <w:t>individual flexibility agreement in operation.</w:t>
      </w:r>
    </w:p>
    <w:p w14:paraId="056B6EE1" w14:textId="77777777" w:rsidR="009D54AF" w:rsidRDefault="00000000">
      <w:pPr>
        <w:pStyle w:val="BodyText"/>
        <w:spacing w:before="141" w:line="278" w:lineRule="auto"/>
        <w:ind w:left="142"/>
      </w:pPr>
      <w:r>
        <w:t>See</w:t>
      </w:r>
      <w:r>
        <w:rPr>
          <w:spacing w:val="-6"/>
        </w:rPr>
        <w:t xml:space="preserve"> </w:t>
      </w:r>
      <w:r>
        <w:t>Table</w:t>
      </w:r>
      <w:r>
        <w:rPr>
          <w:spacing w:val="-6"/>
        </w:rPr>
        <w:t xml:space="preserve"> </w:t>
      </w:r>
      <w:r>
        <w:t>4</w:t>
      </w:r>
      <w:r>
        <w:rPr>
          <w:spacing w:val="-6"/>
        </w:rPr>
        <w:t xml:space="preserve"> </w:t>
      </w:r>
      <w:r>
        <w:t>for</w:t>
      </w:r>
      <w:r>
        <w:rPr>
          <w:spacing w:val="-6"/>
        </w:rPr>
        <w:t xml:space="preserve"> </w:t>
      </w:r>
      <w:r>
        <w:t>remuneration</w:t>
      </w:r>
      <w:r>
        <w:rPr>
          <w:spacing w:val="-6"/>
        </w:rPr>
        <w:t xml:space="preserve"> </w:t>
      </w:r>
      <w:r>
        <w:t>paid</w:t>
      </w:r>
      <w:r>
        <w:rPr>
          <w:spacing w:val="-6"/>
        </w:rPr>
        <w:t xml:space="preserve"> </w:t>
      </w:r>
      <w:r>
        <w:t>to</w:t>
      </w:r>
      <w:r>
        <w:rPr>
          <w:spacing w:val="-6"/>
        </w:rPr>
        <w:t xml:space="preserve"> </w:t>
      </w:r>
      <w:r>
        <w:t>key</w:t>
      </w:r>
      <w:r>
        <w:rPr>
          <w:spacing w:val="-6"/>
        </w:rPr>
        <w:t xml:space="preserve"> </w:t>
      </w:r>
      <w:r>
        <w:t>management</w:t>
      </w:r>
      <w:r>
        <w:rPr>
          <w:spacing w:val="-6"/>
        </w:rPr>
        <w:t xml:space="preserve"> </w:t>
      </w:r>
      <w:r>
        <w:t>personnel,</w:t>
      </w:r>
      <w:r>
        <w:rPr>
          <w:spacing w:val="-6"/>
        </w:rPr>
        <w:t xml:space="preserve"> </w:t>
      </w:r>
      <w:r>
        <w:t>Table</w:t>
      </w:r>
      <w:r>
        <w:rPr>
          <w:spacing w:val="-6"/>
        </w:rPr>
        <w:t xml:space="preserve"> </w:t>
      </w:r>
      <w:r>
        <w:t>5</w:t>
      </w:r>
      <w:r>
        <w:rPr>
          <w:spacing w:val="-6"/>
        </w:rPr>
        <w:t xml:space="preserve"> </w:t>
      </w:r>
      <w:r>
        <w:t>for</w:t>
      </w:r>
      <w:r>
        <w:rPr>
          <w:spacing w:val="-6"/>
        </w:rPr>
        <w:t xml:space="preserve"> </w:t>
      </w:r>
      <w:r>
        <w:t>remuneration</w:t>
      </w:r>
      <w:r>
        <w:rPr>
          <w:spacing w:val="-6"/>
        </w:rPr>
        <w:t xml:space="preserve"> </w:t>
      </w:r>
      <w:r>
        <w:t>paid</w:t>
      </w:r>
      <w:r>
        <w:rPr>
          <w:spacing w:val="-6"/>
        </w:rPr>
        <w:t xml:space="preserve"> </w:t>
      </w:r>
      <w:r>
        <w:t>to</w:t>
      </w:r>
      <w:r>
        <w:rPr>
          <w:spacing w:val="-6"/>
        </w:rPr>
        <w:t xml:space="preserve"> </w:t>
      </w:r>
      <w:r>
        <w:t>executives and Table 6 for remuneration paid to other highly paid staff for 2025–26.</w:t>
      </w:r>
    </w:p>
    <w:p w14:paraId="2C466BBD" w14:textId="77777777" w:rsidR="00400729" w:rsidRDefault="00400729">
      <w:pPr>
        <w:rPr>
          <w:b/>
          <w:sz w:val="19"/>
        </w:rPr>
      </w:pPr>
      <w:r>
        <w:rPr>
          <w:b/>
          <w:sz w:val="19"/>
        </w:rPr>
        <w:br w:type="page"/>
      </w:r>
    </w:p>
    <w:p w14:paraId="058954A1" w14:textId="577E8879" w:rsidR="009D54AF" w:rsidRDefault="00000000">
      <w:pPr>
        <w:spacing w:before="222"/>
        <w:ind w:left="142"/>
        <w:rPr>
          <w:sz w:val="19"/>
        </w:rPr>
      </w:pPr>
      <w:r>
        <w:rPr>
          <w:b/>
          <w:sz w:val="19"/>
        </w:rPr>
        <w:lastRenderedPageBreak/>
        <w:t>Table</w:t>
      </w:r>
      <w:r>
        <w:rPr>
          <w:b/>
          <w:spacing w:val="-2"/>
          <w:sz w:val="19"/>
        </w:rPr>
        <w:t xml:space="preserve"> </w:t>
      </w:r>
      <w:r>
        <w:rPr>
          <w:b/>
          <w:sz w:val="19"/>
        </w:rPr>
        <w:t>4</w:t>
      </w:r>
      <w:r>
        <w:rPr>
          <w:b/>
          <w:spacing w:val="18"/>
          <w:sz w:val="19"/>
        </w:rPr>
        <w:t xml:space="preserve"> </w:t>
      </w:r>
      <w:r>
        <w:rPr>
          <w:sz w:val="19"/>
        </w:rPr>
        <w:t>Remuneration paid</w:t>
      </w:r>
      <w:r>
        <w:rPr>
          <w:spacing w:val="1"/>
          <w:sz w:val="19"/>
        </w:rPr>
        <w:t xml:space="preserve"> </w:t>
      </w:r>
      <w:r>
        <w:rPr>
          <w:sz w:val="19"/>
        </w:rPr>
        <w:t>to Key</w:t>
      </w:r>
      <w:r>
        <w:rPr>
          <w:spacing w:val="1"/>
          <w:sz w:val="19"/>
        </w:rPr>
        <w:t xml:space="preserve"> </w:t>
      </w:r>
      <w:r>
        <w:rPr>
          <w:sz w:val="19"/>
        </w:rPr>
        <w:t>Management Personnel,</w:t>
      </w:r>
      <w:r>
        <w:rPr>
          <w:spacing w:val="1"/>
          <w:sz w:val="19"/>
        </w:rPr>
        <w:t xml:space="preserve"> </w:t>
      </w:r>
      <w:r>
        <w:rPr>
          <w:sz w:val="19"/>
        </w:rPr>
        <w:t>2025-</w:t>
      </w:r>
      <w:r>
        <w:rPr>
          <w:spacing w:val="-5"/>
          <w:sz w:val="19"/>
        </w:rPr>
        <w:t>26</w:t>
      </w:r>
    </w:p>
    <w:p w14:paraId="00806262" w14:textId="77777777" w:rsidR="009D54AF" w:rsidRDefault="009D54AF">
      <w:pPr>
        <w:pStyle w:val="BodyText"/>
        <w:spacing w:before="1"/>
        <w:rPr>
          <w:sz w:val="8"/>
        </w:rPr>
      </w:pPr>
    </w:p>
    <w:tbl>
      <w:tblPr>
        <w:tblW w:w="0" w:type="auto"/>
        <w:tblInd w:w="149"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CellMar>
          <w:left w:w="0" w:type="dxa"/>
          <w:right w:w="0" w:type="dxa"/>
        </w:tblCellMar>
        <w:tblLook w:val="01E0" w:firstRow="1" w:lastRow="1" w:firstColumn="1" w:lastColumn="1" w:noHBand="0" w:noVBand="0"/>
      </w:tblPr>
      <w:tblGrid>
        <w:gridCol w:w="1417"/>
        <w:gridCol w:w="850"/>
        <w:gridCol w:w="963"/>
        <w:gridCol w:w="963"/>
        <w:gridCol w:w="963"/>
        <w:gridCol w:w="1076"/>
        <w:gridCol w:w="963"/>
        <w:gridCol w:w="963"/>
        <w:gridCol w:w="963"/>
        <w:gridCol w:w="1076"/>
      </w:tblGrid>
      <w:tr w:rsidR="009D54AF" w14:paraId="51E80A0C" w14:textId="77777777">
        <w:trPr>
          <w:trHeight w:val="859"/>
        </w:trPr>
        <w:tc>
          <w:tcPr>
            <w:tcW w:w="1417" w:type="dxa"/>
            <w:vMerge w:val="restart"/>
            <w:tcBorders>
              <w:top w:val="nil"/>
              <w:left w:val="nil"/>
              <w:bottom w:val="nil"/>
            </w:tcBorders>
            <w:shd w:val="clear" w:color="auto" w:fill="000000"/>
          </w:tcPr>
          <w:p w14:paraId="584AFE6D" w14:textId="77777777" w:rsidR="009D54AF" w:rsidRDefault="009D54AF">
            <w:pPr>
              <w:pStyle w:val="TableParagraph"/>
              <w:rPr>
                <w:sz w:val="14"/>
              </w:rPr>
            </w:pPr>
          </w:p>
          <w:p w14:paraId="500F779C" w14:textId="77777777" w:rsidR="009D54AF" w:rsidRDefault="009D54AF">
            <w:pPr>
              <w:pStyle w:val="TableParagraph"/>
              <w:rPr>
                <w:sz w:val="14"/>
              </w:rPr>
            </w:pPr>
          </w:p>
          <w:p w14:paraId="7C6C8312" w14:textId="77777777" w:rsidR="009D54AF" w:rsidRDefault="009D54AF">
            <w:pPr>
              <w:pStyle w:val="TableParagraph"/>
              <w:rPr>
                <w:sz w:val="14"/>
              </w:rPr>
            </w:pPr>
          </w:p>
          <w:p w14:paraId="69ED3CDA" w14:textId="77777777" w:rsidR="009D54AF" w:rsidRDefault="009D54AF">
            <w:pPr>
              <w:pStyle w:val="TableParagraph"/>
              <w:rPr>
                <w:sz w:val="14"/>
              </w:rPr>
            </w:pPr>
          </w:p>
          <w:p w14:paraId="4D446604" w14:textId="77777777" w:rsidR="009D54AF" w:rsidRDefault="009D54AF">
            <w:pPr>
              <w:pStyle w:val="TableParagraph"/>
              <w:rPr>
                <w:sz w:val="14"/>
              </w:rPr>
            </w:pPr>
          </w:p>
          <w:p w14:paraId="540A73BB" w14:textId="77777777" w:rsidR="009D54AF" w:rsidRDefault="009D54AF">
            <w:pPr>
              <w:pStyle w:val="TableParagraph"/>
              <w:rPr>
                <w:sz w:val="14"/>
              </w:rPr>
            </w:pPr>
          </w:p>
          <w:p w14:paraId="3006A354" w14:textId="77777777" w:rsidR="009D54AF" w:rsidRDefault="009D54AF">
            <w:pPr>
              <w:pStyle w:val="TableParagraph"/>
              <w:spacing w:before="111"/>
              <w:rPr>
                <w:sz w:val="14"/>
              </w:rPr>
            </w:pPr>
          </w:p>
          <w:p w14:paraId="09B4918E" w14:textId="77777777" w:rsidR="009D54AF" w:rsidRDefault="00000000">
            <w:pPr>
              <w:pStyle w:val="TableParagraph"/>
              <w:ind w:left="56"/>
              <w:rPr>
                <w:b/>
                <w:sz w:val="14"/>
              </w:rPr>
            </w:pPr>
            <w:r>
              <w:rPr>
                <w:b/>
                <w:color w:val="FFFFFF"/>
                <w:spacing w:val="-4"/>
                <w:sz w:val="14"/>
              </w:rPr>
              <w:t>Name</w:t>
            </w:r>
          </w:p>
        </w:tc>
        <w:tc>
          <w:tcPr>
            <w:tcW w:w="850" w:type="dxa"/>
            <w:vMerge w:val="restart"/>
            <w:tcBorders>
              <w:top w:val="nil"/>
              <w:bottom w:val="nil"/>
            </w:tcBorders>
            <w:shd w:val="clear" w:color="auto" w:fill="000000"/>
          </w:tcPr>
          <w:p w14:paraId="6F40A55D" w14:textId="77777777" w:rsidR="009D54AF" w:rsidRDefault="009D54AF">
            <w:pPr>
              <w:pStyle w:val="TableParagraph"/>
              <w:rPr>
                <w:sz w:val="14"/>
              </w:rPr>
            </w:pPr>
          </w:p>
          <w:p w14:paraId="1E14C424" w14:textId="77777777" w:rsidR="009D54AF" w:rsidRDefault="009D54AF">
            <w:pPr>
              <w:pStyle w:val="TableParagraph"/>
              <w:rPr>
                <w:sz w:val="14"/>
              </w:rPr>
            </w:pPr>
          </w:p>
          <w:p w14:paraId="1DB56D86" w14:textId="77777777" w:rsidR="009D54AF" w:rsidRDefault="009D54AF">
            <w:pPr>
              <w:pStyle w:val="TableParagraph"/>
              <w:rPr>
                <w:sz w:val="14"/>
              </w:rPr>
            </w:pPr>
          </w:p>
          <w:p w14:paraId="54377C5A" w14:textId="77777777" w:rsidR="009D54AF" w:rsidRDefault="009D54AF">
            <w:pPr>
              <w:pStyle w:val="TableParagraph"/>
              <w:rPr>
                <w:sz w:val="14"/>
              </w:rPr>
            </w:pPr>
          </w:p>
          <w:p w14:paraId="6FAA7E41" w14:textId="77777777" w:rsidR="009D54AF" w:rsidRDefault="009D54AF">
            <w:pPr>
              <w:pStyle w:val="TableParagraph"/>
              <w:rPr>
                <w:sz w:val="14"/>
              </w:rPr>
            </w:pPr>
          </w:p>
          <w:p w14:paraId="7ABA8396" w14:textId="77777777" w:rsidR="009D54AF" w:rsidRDefault="009D54AF">
            <w:pPr>
              <w:pStyle w:val="TableParagraph"/>
              <w:spacing w:before="112"/>
              <w:rPr>
                <w:sz w:val="14"/>
              </w:rPr>
            </w:pPr>
          </w:p>
          <w:p w14:paraId="60571AFC" w14:textId="77777777" w:rsidR="009D54AF" w:rsidRDefault="00000000">
            <w:pPr>
              <w:pStyle w:val="TableParagraph"/>
              <w:ind w:left="52" w:right="32"/>
              <w:rPr>
                <w:b/>
                <w:sz w:val="14"/>
              </w:rPr>
            </w:pPr>
            <w:r>
              <w:rPr>
                <w:b/>
                <w:color w:val="FFFFFF"/>
                <w:spacing w:val="-2"/>
                <w:sz w:val="14"/>
              </w:rPr>
              <w:t>Position</w:t>
            </w:r>
            <w:r>
              <w:rPr>
                <w:b/>
                <w:color w:val="FFFFFF"/>
                <w:spacing w:val="40"/>
                <w:sz w:val="14"/>
              </w:rPr>
              <w:t xml:space="preserve"> </w:t>
            </w:r>
            <w:r>
              <w:rPr>
                <w:b/>
                <w:color w:val="FFFFFF"/>
                <w:spacing w:val="-2"/>
                <w:sz w:val="14"/>
              </w:rPr>
              <w:t>title</w:t>
            </w:r>
          </w:p>
        </w:tc>
        <w:tc>
          <w:tcPr>
            <w:tcW w:w="2889" w:type="dxa"/>
            <w:gridSpan w:val="3"/>
            <w:tcBorders>
              <w:top w:val="nil"/>
            </w:tcBorders>
            <w:shd w:val="clear" w:color="auto" w:fill="000000"/>
          </w:tcPr>
          <w:p w14:paraId="08B31B61" w14:textId="77777777" w:rsidR="009D54AF" w:rsidRDefault="009D54AF">
            <w:pPr>
              <w:pStyle w:val="TableParagraph"/>
              <w:spacing w:before="104"/>
              <w:rPr>
                <w:sz w:val="14"/>
              </w:rPr>
            </w:pPr>
          </w:p>
          <w:p w14:paraId="5A2E05F1" w14:textId="77777777" w:rsidR="009D54AF" w:rsidRDefault="00000000">
            <w:pPr>
              <w:pStyle w:val="TableParagraph"/>
              <w:spacing w:line="270" w:lineRule="atLeast"/>
              <w:ind w:left="1381" w:right="686" w:hanging="591"/>
              <w:rPr>
                <w:b/>
                <w:sz w:val="14"/>
              </w:rPr>
            </w:pPr>
            <w:r>
              <w:rPr>
                <w:b/>
                <w:color w:val="FFFFFF"/>
                <w:sz w:val="14"/>
              </w:rPr>
              <w:t>Short-term</w:t>
            </w:r>
            <w:r>
              <w:rPr>
                <w:b/>
                <w:color w:val="FFFFFF"/>
                <w:spacing w:val="-2"/>
                <w:sz w:val="14"/>
              </w:rPr>
              <w:t xml:space="preserve"> </w:t>
            </w:r>
            <w:r>
              <w:rPr>
                <w:b/>
                <w:color w:val="FFFFFF"/>
                <w:sz w:val="14"/>
              </w:rPr>
              <w:t>benefits</w:t>
            </w:r>
            <w:r>
              <w:rPr>
                <w:b/>
                <w:color w:val="FFFFFF"/>
                <w:spacing w:val="40"/>
                <w:sz w:val="14"/>
              </w:rPr>
              <w:t xml:space="preserve"> </w:t>
            </w:r>
            <w:r>
              <w:rPr>
                <w:b/>
                <w:color w:val="FFFFFF"/>
                <w:spacing w:val="-4"/>
                <w:sz w:val="14"/>
              </w:rPr>
              <w:t>($)</w:t>
            </w:r>
          </w:p>
        </w:tc>
        <w:tc>
          <w:tcPr>
            <w:tcW w:w="1076" w:type="dxa"/>
            <w:tcBorders>
              <w:top w:val="nil"/>
            </w:tcBorders>
            <w:shd w:val="clear" w:color="auto" w:fill="000000"/>
          </w:tcPr>
          <w:p w14:paraId="32A6E71D" w14:textId="77777777" w:rsidR="009D54AF" w:rsidRDefault="00000000">
            <w:pPr>
              <w:pStyle w:val="TableParagraph"/>
              <w:spacing w:before="54"/>
              <w:ind w:left="65" w:right="4"/>
              <w:jc w:val="center"/>
              <w:rPr>
                <w:b/>
                <w:sz w:val="14"/>
              </w:rPr>
            </w:pPr>
            <w:r>
              <w:rPr>
                <w:b/>
                <w:color w:val="FFFFFF"/>
                <w:spacing w:val="-2"/>
                <w:sz w:val="14"/>
              </w:rPr>
              <w:t>Post-employment</w:t>
            </w:r>
            <w:r>
              <w:rPr>
                <w:b/>
                <w:color w:val="FFFFFF"/>
                <w:spacing w:val="40"/>
                <w:sz w:val="14"/>
              </w:rPr>
              <w:t xml:space="preserve"> </w:t>
            </w:r>
            <w:r>
              <w:rPr>
                <w:b/>
                <w:color w:val="FFFFFF"/>
                <w:spacing w:val="-2"/>
                <w:sz w:val="14"/>
              </w:rPr>
              <w:t>benefits</w:t>
            </w:r>
          </w:p>
          <w:p w14:paraId="47FD00FA" w14:textId="77777777" w:rsidR="009D54AF" w:rsidRDefault="00000000">
            <w:pPr>
              <w:pStyle w:val="TableParagraph"/>
              <w:spacing w:before="111"/>
              <w:ind w:left="62" w:right="4"/>
              <w:jc w:val="center"/>
              <w:rPr>
                <w:b/>
                <w:sz w:val="14"/>
              </w:rPr>
            </w:pPr>
            <w:r>
              <w:rPr>
                <w:b/>
                <w:color w:val="FFFFFF"/>
                <w:spacing w:val="-5"/>
                <w:sz w:val="14"/>
              </w:rPr>
              <w:t>($)</w:t>
            </w:r>
          </w:p>
        </w:tc>
        <w:tc>
          <w:tcPr>
            <w:tcW w:w="1926" w:type="dxa"/>
            <w:gridSpan w:val="2"/>
            <w:tcBorders>
              <w:top w:val="nil"/>
            </w:tcBorders>
            <w:shd w:val="clear" w:color="auto" w:fill="000000"/>
          </w:tcPr>
          <w:p w14:paraId="501B4E90" w14:textId="77777777" w:rsidR="009D54AF" w:rsidRDefault="009D54AF">
            <w:pPr>
              <w:pStyle w:val="TableParagraph"/>
              <w:spacing w:before="104"/>
              <w:rPr>
                <w:sz w:val="14"/>
              </w:rPr>
            </w:pPr>
          </w:p>
          <w:p w14:paraId="42A1B8B0" w14:textId="77777777" w:rsidR="009D54AF" w:rsidRDefault="00000000">
            <w:pPr>
              <w:pStyle w:val="TableParagraph"/>
              <w:spacing w:line="270" w:lineRule="atLeast"/>
              <w:ind w:left="903" w:right="211" w:hanging="577"/>
              <w:rPr>
                <w:b/>
                <w:sz w:val="14"/>
              </w:rPr>
            </w:pPr>
            <w:r>
              <w:rPr>
                <w:b/>
                <w:color w:val="FFFFFF"/>
                <w:sz w:val="14"/>
              </w:rPr>
              <w:t>Long-term</w:t>
            </w:r>
            <w:r>
              <w:rPr>
                <w:b/>
                <w:color w:val="FFFFFF"/>
                <w:spacing w:val="-2"/>
                <w:sz w:val="14"/>
              </w:rPr>
              <w:t xml:space="preserve"> </w:t>
            </w:r>
            <w:r>
              <w:rPr>
                <w:b/>
                <w:color w:val="FFFFFF"/>
                <w:sz w:val="14"/>
              </w:rPr>
              <w:t>benefits</w:t>
            </w:r>
            <w:r>
              <w:rPr>
                <w:b/>
                <w:color w:val="FFFFFF"/>
                <w:spacing w:val="40"/>
                <w:sz w:val="14"/>
              </w:rPr>
              <w:t xml:space="preserve"> </w:t>
            </w:r>
            <w:r>
              <w:rPr>
                <w:b/>
                <w:color w:val="FFFFFF"/>
                <w:spacing w:val="-4"/>
                <w:sz w:val="14"/>
              </w:rPr>
              <w:t>($)</w:t>
            </w:r>
          </w:p>
        </w:tc>
        <w:tc>
          <w:tcPr>
            <w:tcW w:w="963" w:type="dxa"/>
            <w:vMerge w:val="restart"/>
            <w:tcBorders>
              <w:top w:val="nil"/>
              <w:bottom w:val="nil"/>
            </w:tcBorders>
            <w:shd w:val="clear" w:color="auto" w:fill="000000"/>
          </w:tcPr>
          <w:p w14:paraId="513711A0" w14:textId="77777777" w:rsidR="009D54AF" w:rsidRDefault="009D54AF">
            <w:pPr>
              <w:pStyle w:val="TableParagraph"/>
              <w:rPr>
                <w:sz w:val="14"/>
              </w:rPr>
            </w:pPr>
          </w:p>
          <w:p w14:paraId="48AC1139" w14:textId="77777777" w:rsidR="009D54AF" w:rsidRDefault="009D54AF">
            <w:pPr>
              <w:pStyle w:val="TableParagraph"/>
              <w:rPr>
                <w:sz w:val="14"/>
              </w:rPr>
            </w:pPr>
          </w:p>
          <w:p w14:paraId="0C1D9958" w14:textId="77777777" w:rsidR="009D54AF" w:rsidRDefault="009D54AF">
            <w:pPr>
              <w:pStyle w:val="TableParagraph"/>
              <w:rPr>
                <w:sz w:val="14"/>
              </w:rPr>
            </w:pPr>
          </w:p>
          <w:p w14:paraId="66906C14" w14:textId="77777777" w:rsidR="009D54AF" w:rsidRDefault="009D54AF">
            <w:pPr>
              <w:pStyle w:val="TableParagraph"/>
              <w:spacing w:before="160"/>
              <w:rPr>
                <w:sz w:val="14"/>
              </w:rPr>
            </w:pPr>
          </w:p>
          <w:p w14:paraId="4D8F346D" w14:textId="77777777" w:rsidR="009D54AF" w:rsidRDefault="00000000">
            <w:pPr>
              <w:pStyle w:val="TableParagraph"/>
              <w:spacing w:before="1"/>
              <w:ind w:left="66"/>
              <w:jc w:val="center"/>
              <w:rPr>
                <w:b/>
                <w:sz w:val="14"/>
              </w:rPr>
            </w:pPr>
            <w:r>
              <w:rPr>
                <w:b/>
                <w:color w:val="FFFFFF"/>
                <w:spacing w:val="-2"/>
                <w:sz w:val="14"/>
              </w:rPr>
              <w:t>Termination</w:t>
            </w:r>
            <w:r>
              <w:rPr>
                <w:b/>
                <w:color w:val="FFFFFF"/>
                <w:spacing w:val="40"/>
                <w:sz w:val="14"/>
              </w:rPr>
              <w:t xml:space="preserve"> </w:t>
            </w:r>
            <w:r>
              <w:rPr>
                <w:b/>
                <w:color w:val="FFFFFF"/>
                <w:spacing w:val="-2"/>
                <w:sz w:val="14"/>
              </w:rPr>
              <w:t>benefits</w:t>
            </w:r>
          </w:p>
          <w:p w14:paraId="09DB086D" w14:textId="77777777" w:rsidR="009D54AF" w:rsidRDefault="00000000">
            <w:pPr>
              <w:pStyle w:val="TableParagraph"/>
              <w:spacing w:before="111"/>
              <w:ind w:left="66" w:right="3"/>
              <w:jc w:val="center"/>
              <w:rPr>
                <w:b/>
                <w:sz w:val="14"/>
              </w:rPr>
            </w:pPr>
            <w:r>
              <w:rPr>
                <w:b/>
                <w:color w:val="FFFFFF"/>
                <w:spacing w:val="-5"/>
                <w:sz w:val="14"/>
              </w:rPr>
              <w:t>($)</w:t>
            </w:r>
          </w:p>
        </w:tc>
        <w:tc>
          <w:tcPr>
            <w:tcW w:w="1076" w:type="dxa"/>
            <w:vMerge w:val="restart"/>
            <w:tcBorders>
              <w:top w:val="nil"/>
              <w:bottom w:val="nil"/>
              <w:right w:val="nil"/>
            </w:tcBorders>
            <w:shd w:val="clear" w:color="auto" w:fill="000000"/>
          </w:tcPr>
          <w:p w14:paraId="32DEF45F" w14:textId="77777777" w:rsidR="009D54AF" w:rsidRDefault="009D54AF">
            <w:pPr>
              <w:pStyle w:val="TableParagraph"/>
              <w:rPr>
                <w:sz w:val="14"/>
              </w:rPr>
            </w:pPr>
          </w:p>
          <w:p w14:paraId="2E51B1E3" w14:textId="77777777" w:rsidR="009D54AF" w:rsidRDefault="009D54AF">
            <w:pPr>
              <w:pStyle w:val="TableParagraph"/>
              <w:rPr>
                <w:sz w:val="14"/>
              </w:rPr>
            </w:pPr>
          </w:p>
          <w:p w14:paraId="0F220EFC" w14:textId="77777777" w:rsidR="009D54AF" w:rsidRDefault="009D54AF">
            <w:pPr>
              <w:pStyle w:val="TableParagraph"/>
              <w:rPr>
                <w:sz w:val="14"/>
              </w:rPr>
            </w:pPr>
          </w:p>
          <w:p w14:paraId="28A591E5" w14:textId="77777777" w:rsidR="009D54AF" w:rsidRDefault="009D54AF">
            <w:pPr>
              <w:pStyle w:val="TableParagraph"/>
              <w:spacing w:before="160"/>
              <w:rPr>
                <w:sz w:val="14"/>
              </w:rPr>
            </w:pPr>
          </w:p>
          <w:p w14:paraId="72DAC871" w14:textId="77777777" w:rsidR="009D54AF" w:rsidRDefault="00000000">
            <w:pPr>
              <w:pStyle w:val="TableParagraph"/>
              <w:spacing w:before="1"/>
              <w:ind w:left="104" w:right="36" w:hanging="1"/>
              <w:jc w:val="center"/>
              <w:rPr>
                <w:b/>
                <w:sz w:val="14"/>
              </w:rPr>
            </w:pPr>
            <w:r>
              <w:rPr>
                <w:b/>
                <w:color w:val="FFFFFF"/>
                <w:spacing w:val="-2"/>
                <w:sz w:val="14"/>
              </w:rPr>
              <w:t>Total</w:t>
            </w:r>
            <w:r>
              <w:rPr>
                <w:b/>
                <w:color w:val="FFFFFF"/>
                <w:spacing w:val="40"/>
                <w:sz w:val="14"/>
              </w:rPr>
              <w:t xml:space="preserve"> </w:t>
            </w:r>
            <w:r>
              <w:rPr>
                <w:b/>
                <w:color w:val="FFFFFF"/>
                <w:spacing w:val="-2"/>
                <w:sz w:val="14"/>
              </w:rPr>
              <w:t>remuneration</w:t>
            </w:r>
          </w:p>
          <w:p w14:paraId="4E48977A" w14:textId="77777777" w:rsidR="009D54AF" w:rsidRDefault="00000000">
            <w:pPr>
              <w:pStyle w:val="TableParagraph"/>
              <w:spacing w:before="111"/>
              <w:ind w:left="83" w:right="18"/>
              <w:jc w:val="center"/>
              <w:rPr>
                <w:b/>
                <w:sz w:val="14"/>
              </w:rPr>
            </w:pPr>
            <w:r>
              <w:rPr>
                <w:b/>
                <w:color w:val="FFFFFF"/>
                <w:spacing w:val="-5"/>
                <w:sz w:val="14"/>
              </w:rPr>
              <w:t>($)</w:t>
            </w:r>
          </w:p>
        </w:tc>
      </w:tr>
      <w:tr w:rsidR="009D54AF" w14:paraId="03851A96" w14:textId="77777777">
        <w:trPr>
          <w:trHeight w:val="585"/>
        </w:trPr>
        <w:tc>
          <w:tcPr>
            <w:tcW w:w="1417" w:type="dxa"/>
            <w:vMerge/>
            <w:tcBorders>
              <w:top w:val="nil"/>
              <w:left w:val="nil"/>
              <w:bottom w:val="nil"/>
            </w:tcBorders>
            <w:shd w:val="clear" w:color="auto" w:fill="000000"/>
          </w:tcPr>
          <w:p w14:paraId="4DD64952" w14:textId="77777777" w:rsidR="009D54AF" w:rsidRDefault="009D54AF">
            <w:pPr>
              <w:rPr>
                <w:sz w:val="2"/>
                <w:szCs w:val="2"/>
              </w:rPr>
            </w:pPr>
          </w:p>
        </w:tc>
        <w:tc>
          <w:tcPr>
            <w:tcW w:w="850" w:type="dxa"/>
            <w:vMerge/>
            <w:tcBorders>
              <w:top w:val="nil"/>
              <w:bottom w:val="nil"/>
            </w:tcBorders>
            <w:shd w:val="clear" w:color="auto" w:fill="000000"/>
          </w:tcPr>
          <w:p w14:paraId="30C7BC43" w14:textId="77777777" w:rsidR="009D54AF" w:rsidRDefault="009D54AF">
            <w:pPr>
              <w:rPr>
                <w:sz w:val="2"/>
                <w:szCs w:val="2"/>
              </w:rPr>
            </w:pPr>
          </w:p>
        </w:tc>
        <w:tc>
          <w:tcPr>
            <w:tcW w:w="963" w:type="dxa"/>
            <w:tcBorders>
              <w:bottom w:val="nil"/>
            </w:tcBorders>
            <w:shd w:val="clear" w:color="auto" w:fill="000000"/>
          </w:tcPr>
          <w:p w14:paraId="798E1846" w14:textId="77777777" w:rsidR="009D54AF" w:rsidRDefault="009D54AF">
            <w:pPr>
              <w:pStyle w:val="TableParagraph"/>
              <w:rPr>
                <w:sz w:val="14"/>
              </w:rPr>
            </w:pPr>
          </w:p>
          <w:p w14:paraId="5B462FA3" w14:textId="77777777" w:rsidR="009D54AF" w:rsidRDefault="009D54AF">
            <w:pPr>
              <w:pStyle w:val="TableParagraph"/>
              <w:spacing w:before="46"/>
              <w:rPr>
                <w:sz w:val="14"/>
              </w:rPr>
            </w:pPr>
          </w:p>
          <w:p w14:paraId="2E9E63F2" w14:textId="77777777" w:rsidR="009D54AF" w:rsidRDefault="00000000">
            <w:pPr>
              <w:pStyle w:val="TableParagraph"/>
              <w:spacing w:before="1"/>
              <w:ind w:right="69"/>
              <w:jc w:val="right"/>
              <w:rPr>
                <w:b/>
                <w:sz w:val="14"/>
              </w:rPr>
            </w:pPr>
            <w:r>
              <w:rPr>
                <w:b/>
                <w:color w:val="FFFFFF"/>
                <w:sz w:val="14"/>
              </w:rPr>
              <w:t>Base</w:t>
            </w:r>
            <w:r>
              <w:rPr>
                <w:b/>
                <w:color w:val="FFFFFF"/>
                <w:spacing w:val="7"/>
                <w:sz w:val="14"/>
              </w:rPr>
              <w:t xml:space="preserve"> </w:t>
            </w:r>
            <w:r>
              <w:rPr>
                <w:b/>
                <w:color w:val="FFFFFF"/>
                <w:spacing w:val="-2"/>
                <w:sz w:val="14"/>
              </w:rPr>
              <w:t>salary</w:t>
            </w:r>
          </w:p>
        </w:tc>
        <w:tc>
          <w:tcPr>
            <w:tcW w:w="963" w:type="dxa"/>
            <w:tcBorders>
              <w:bottom w:val="nil"/>
            </w:tcBorders>
            <w:shd w:val="clear" w:color="auto" w:fill="000000"/>
          </w:tcPr>
          <w:p w14:paraId="0D6D0BB1" w14:textId="77777777" w:rsidR="009D54AF" w:rsidRDefault="009D54AF">
            <w:pPr>
              <w:pStyle w:val="TableParagraph"/>
              <w:rPr>
                <w:sz w:val="14"/>
              </w:rPr>
            </w:pPr>
          </w:p>
          <w:p w14:paraId="2B66316F" w14:textId="77777777" w:rsidR="009D54AF" w:rsidRDefault="009D54AF">
            <w:pPr>
              <w:pStyle w:val="TableParagraph"/>
              <w:spacing w:before="46"/>
              <w:rPr>
                <w:sz w:val="14"/>
              </w:rPr>
            </w:pPr>
          </w:p>
          <w:p w14:paraId="0A8348A4" w14:textId="77777777" w:rsidR="009D54AF" w:rsidRDefault="00000000">
            <w:pPr>
              <w:pStyle w:val="TableParagraph"/>
              <w:spacing w:before="1"/>
              <w:ind w:left="174"/>
              <w:rPr>
                <w:b/>
                <w:sz w:val="14"/>
              </w:rPr>
            </w:pPr>
            <w:r>
              <w:rPr>
                <w:b/>
                <w:color w:val="FFFFFF"/>
                <w:spacing w:val="-2"/>
                <w:sz w:val="14"/>
              </w:rPr>
              <w:t>Bonuses</w:t>
            </w:r>
          </w:p>
        </w:tc>
        <w:tc>
          <w:tcPr>
            <w:tcW w:w="963" w:type="dxa"/>
            <w:tcBorders>
              <w:bottom w:val="nil"/>
            </w:tcBorders>
            <w:shd w:val="clear" w:color="auto" w:fill="000000"/>
          </w:tcPr>
          <w:p w14:paraId="698682D5" w14:textId="77777777" w:rsidR="009D54AF" w:rsidRDefault="00000000">
            <w:pPr>
              <w:pStyle w:val="TableParagraph"/>
              <w:spacing w:before="49"/>
              <w:ind w:left="49" w:right="42"/>
              <w:jc w:val="center"/>
              <w:rPr>
                <w:b/>
                <w:sz w:val="14"/>
              </w:rPr>
            </w:pPr>
            <w:r>
              <w:rPr>
                <w:b/>
                <w:color w:val="FFFFFF"/>
                <w:spacing w:val="-2"/>
                <w:sz w:val="14"/>
              </w:rPr>
              <w:t>Other</w:t>
            </w:r>
            <w:r>
              <w:rPr>
                <w:b/>
                <w:color w:val="FFFFFF"/>
                <w:spacing w:val="40"/>
                <w:sz w:val="14"/>
              </w:rPr>
              <w:t xml:space="preserve"> </w:t>
            </w:r>
            <w:r>
              <w:rPr>
                <w:b/>
                <w:color w:val="FFFFFF"/>
                <w:sz w:val="14"/>
              </w:rPr>
              <w:t>benefits</w:t>
            </w:r>
            <w:r>
              <w:rPr>
                <w:b/>
                <w:color w:val="FFFFFF"/>
                <w:spacing w:val="-5"/>
                <w:sz w:val="14"/>
              </w:rPr>
              <w:t xml:space="preserve"> </w:t>
            </w:r>
            <w:r>
              <w:rPr>
                <w:b/>
                <w:color w:val="FFFFFF"/>
                <w:sz w:val="14"/>
              </w:rPr>
              <w:t>and</w:t>
            </w:r>
            <w:r>
              <w:rPr>
                <w:b/>
                <w:color w:val="FFFFFF"/>
                <w:spacing w:val="40"/>
                <w:sz w:val="14"/>
              </w:rPr>
              <w:t xml:space="preserve"> </w:t>
            </w:r>
            <w:r>
              <w:rPr>
                <w:b/>
                <w:color w:val="FFFFFF"/>
                <w:spacing w:val="-2"/>
                <w:sz w:val="14"/>
              </w:rPr>
              <w:t>allowances</w:t>
            </w:r>
          </w:p>
        </w:tc>
        <w:tc>
          <w:tcPr>
            <w:tcW w:w="1076" w:type="dxa"/>
            <w:tcBorders>
              <w:bottom w:val="nil"/>
            </w:tcBorders>
            <w:shd w:val="clear" w:color="auto" w:fill="000000"/>
          </w:tcPr>
          <w:p w14:paraId="68561B9D" w14:textId="77777777" w:rsidR="009D54AF" w:rsidRDefault="00000000">
            <w:pPr>
              <w:pStyle w:val="TableParagraph"/>
              <w:spacing w:before="49"/>
              <w:ind w:left="69" w:right="60" w:firstLine="1"/>
              <w:jc w:val="center"/>
              <w:rPr>
                <w:b/>
                <w:sz w:val="14"/>
              </w:rPr>
            </w:pPr>
            <w:r>
              <w:rPr>
                <w:b/>
                <w:color w:val="FFFFFF"/>
                <w:spacing w:val="-2"/>
                <w:sz w:val="14"/>
              </w:rPr>
              <w:t>Super-annuation</w:t>
            </w:r>
            <w:r>
              <w:rPr>
                <w:b/>
                <w:color w:val="FFFFFF"/>
                <w:spacing w:val="40"/>
                <w:sz w:val="14"/>
              </w:rPr>
              <w:t xml:space="preserve"> </w:t>
            </w:r>
            <w:r>
              <w:rPr>
                <w:b/>
                <w:color w:val="FFFFFF"/>
                <w:spacing w:val="-2"/>
                <w:sz w:val="14"/>
              </w:rPr>
              <w:t>contributions</w:t>
            </w:r>
          </w:p>
        </w:tc>
        <w:tc>
          <w:tcPr>
            <w:tcW w:w="963" w:type="dxa"/>
            <w:tcBorders>
              <w:bottom w:val="nil"/>
            </w:tcBorders>
            <w:shd w:val="clear" w:color="auto" w:fill="000000"/>
          </w:tcPr>
          <w:p w14:paraId="4A6E4800" w14:textId="77777777" w:rsidR="009D54AF" w:rsidRDefault="009D54AF">
            <w:pPr>
              <w:pStyle w:val="TableParagraph"/>
              <w:spacing w:before="47"/>
              <w:rPr>
                <w:sz w:val="14"/>
              </w:rPr>
            </w:pPr>
          </w:p>
          <w:p w14:paraId="03CD0C68" w14:textId="77777777" w:rsidR="009D54AF" w:rsidRDefault="00000000">
            <w:pPr>
              <w:pStyle w:val="TableParagraph"/>
              <w:spacing w:before="1"/>
              <w:ind w:left="301" w:hanging="269"/>
              <w:rPr>
                <w:b/>
                <w:sz w:val="14"/>
              </w:rPr>
            </w:pPr>
            <w:r>
              <w:rPr>
                <w:b/>
                <w:color w:val="FFFFFF"/>
                <w:sz w:val="14"/>
              </w:rPr>
              <w:t>Long</w:t>
            </w:r>
            <w:r>
              <w:rPr>
                <w:b/>
                <w:color w:val="FFFFFF"/>
                <w:spacing w:val="-5"/>
                <w:sz w:val="14"/>
              </w:rPr>
              <w:t xml:space="preserve"> </w:t>
            </w:r>
            <w:r>
              <w:rPr>
                <w:b/>
                <w:color w:val="FFFFFF"/>
                <w:sz w:val="14"/>
              </w:rPr>
              <w:t>service</w:t>
            </w:r>
            <w:r>
              <w:rPr>
                <w:b/>
                <w:color w:val="FFFFFF"/>
                <w:spacing w:val="40"/>
                <w:sz w:val="14"/>
              </w:rPr>
              <w:t xml:space="preserve"> </w:t>
            </w:r>
            <w:r>
              <w:rPr>
                <w:b/>
                <w:color w:val="FFFFFF"/>
                <w:spacing w:val="-2"/>
                <w:sz w:val="14"/>
              </w:rPr>
              <w:t>leave</w:t>
            </w:r>
          </w:p>
        </w:tc>
        <w:tc>
          <w:tcPr>
            <w:tcW w:w="963" w:type="dxa"/>
            <w:tcBorders>
              <w:bottom w:val="nil"/>
            </w:tcBorders>
            <w:shd w:val="clear" w:color="auto" w:fill="000000"/>
          </w:tcPr>
          <w:p w14:paraId="6C61B48A" w14:textId="77777777" w:rsidR="009D54AF" w:rsidRDefault="009D54AF">
            <w:pPr>
              <w:pStyle w:val="TableParagraph"/>
              <w:spacing w:before="47"/>
              <w:rPr>
                <w:sz w:val="14"/>
              </w:rPr>
            </w:pPr>
          </w:p>
          <w:p w14:paraId="7B580C43" w14:textId="77777777" w:rsidR="009D54AF" w:rsidRDefault="00000000">
            <w:pPr>
              <w:pStyle w:val="TableParagraph"/>
              <w:spacing w:before="1"/>
              <w:ind w:left="23" w:firstLine="67"/>
              <w:rPr>
                <w:b/>
                <w:sz w:val="14"/>
              </w:rPr>
            </w:pPr>
            <w:r>
              <w:rPr>
                <w:b/>
                <w:color w:val="FFFFFF"/>
                <w:sz w:val="14"/>
              </w:rPr>
              <w:t>Other</w:t>
            </w:r>
            <w:r>
              <w:rPr>
                <w:b/>
                <w:color w:val="FFFFFF"/>
                <w:spacing w:val="-2"/>
                <w:sz w:val="14"/>
              </w:rPr>
              <w:t xml:space="preserve"> </w:t>
            </w:r>
            <w:r>
              <w:rPr>
                <w:b/>
                <w:color w:val="FFFFFF"/>
                <w:sz w:val="14"/>
              </w:rPr>
              <w:t>long-term</w:t>
            </w:r>
            <w:r>
              <w:rPr>
                <w:b/>
                <w:color w:val="FFFFFF"/>
                <w:spacing w:val="-2"/>
                <w:sz w:val="14"/>
              </w:rPr>
              <w:t xml:space="preserve"> </w:t>
            </w:r>
            <w:r>
              <w:rPr>
                <w:b/>
                <w:color w:val="FFFFFF"/>
                <w:sz w:val="14"/>
              </w:rPr>
              <w:t>benefits</w:t>
            </w:r>
          </w:p>
        </w:tc>
        <w:tc>
          <w:tcPr>
            <w:tcW w:w="963" w:type="dxa"/>
            <w:vMerge/>
            <w:tcBorders>
              <w:top w:val="nil"/>
              <w:bottom w:val="nil"/>
            </w:tcBorders>
            <w:shd w:val="clear" w:color="auto" w:fill="000000"/>
          </w:tcPr>
          <w:p w14:paraId="7BDB6989" w14:textId="77777777" w:rsidR="009D54AF" w:rsidRDefault="009D54AF">
            <w:pPr>
              <w:rPr>
                <w:sz w:val="2"/>
                <w:szCs w:val="2"/>
              </w:rPr>
            </w:pPr>
          </w:p>
        </w:tc>
        <w:tc>
          <w:tcPr>
            <w:tcW w:w="1076" w:type="dxa"/>
            <w:vMerge/>
            <w:tcBorders>
              <w:top w:val="nil"/>
              <w:bottom w:val="nil"/>
              <w:right w:val="nil"/>
            </w:tcBorders>
            <w:shd w:val="clear" w:color="auto" w:fill="000000"/>
          </w:tcPr>
          <w:p w14:paraId="2B6CAF12" w14:textId="77777777" w:rsidR="009D54AF" w:rsidRDefault="009D54AF">
            <w:pPr>
              <w:rPr>
                <w:sz w:val="2"/>
                <w:szCs w:val="2"/>
              </w:rPr>
            </w:pPr>
          </w:p>
        </w:tc>
      </w:tr>
      <w:tr w:rsidR="009D54AF" w14:paraId="6B716979" w14:textId="77777777">
        <w:trPr>
          <w:trHeight w:val="587"/>
        </w:trPr>
        <w:tc>
          <w:tcPr>
            <w:tcW w:w="1417" w:type="dxa"/>
            <w:tcBorders>
              <w:top w:val="nil"/>
              <w:left w:val="nil"/>
              <w:bottom w:val="single" w:sz="2" w:space="0" w:color="000000"/>
              <w:right w:val="single" w:sz="2" w:space="0" w:color="000000"/>
            </w:tcBorders>
          </w:tcPr>
          <w:p w14:paraId="2459A630" w14:textId="77777777" w:rsidR="009D54AF" w:rsidRDefault="00000000">
            <w:pPr>
              <w:pStyle w:val="TableParagraph"/>
              <w:spacing w:before="54"/>
              <w:ind w:left="56"/>
              <w:rPr>
                <w:sz w:val="14"/>
              </w:rPr>
            </w:pPr>
            <w:r>
              <w:rPr>
                <w:sz w:val="14"/>
              </w:rPr>
              <w:t>Anne</w:t>
            </w:r>
            <w:r>
              <w:rPr>
                <w:spacing w:val="5"/>
                <w:sz w:val="14"/>
              </w:rPr>
              <w:t xml:space="preserve"> </w:t>
            </w:r>
            <w:r>
              <w:rPr>
                <w:spacing w:val="-2"/>
                <w:sz w:val="14"/>
              </w:rPr>
              <w:t>Duggan</w:t>
            </w:r>
          </w:p>
        </w:tc>
        <w:tc>
          <w:tcPr>
            <w:tcW w:w="850" w:type="dxa"/>
            <w:tcBorders>
              <w:top w:val="nil"/>
              <w:left w:val="single" w:sz="2" w:space="0" w:color="000000"/>
              <w:bottom w:val="single" w:sz="2" w:space="0" w:color="000000"/>
              <w:right w:val="single" w:sz="2" w:space="0" w:color="000000"/>
            </w:tcBorders>
          </w:tcPr>
          <w:p w14:paraId="1E495409" w14:textId="77777777" w:rsidR="009D54AF" w:rsidRDefault="00000000">
            <w:pPr>
              <w:pStyle w:val="TableParagraph"/>
              <w:spacing w:before="54"/>
              <w:ind w:left="54"/>
              <w:rPr>
                <w:sz w:val="14"/>
              </w:rPr>
            </w:pPr>
            <w:r>
              <w:rPr>
                <w:spacing w:val="-4"/>
                <w:sz w:val="14"/>
              </w:rPr>
              <w:t>Chief</w:t>
            </w:r>
            <w:r>
              <w:rPr>
                <w:spacing w:val="40"/>
                <w:sz w:val="14"/>
              </w:rPr>
              <w:t xml:space="preserve"> </w:t>
            </w:r>
            <w:r>
              <w:rPr>
                <w:spacing w:val="-2"/>
                <w:sz w:val="14"/>
              </w:rPr>
              <w:t>Executive</w:t>
            </w:r>
            <w:r>
              <w:rPr>
                <w:spacing w:val="40"/>
                <w:sz w:val="14"/>
              </w:rPr>
              <w:t xml:space="preserve"> </w:t>
            </w:r>
            <w:r>
              <w:rPr>
                <w:spacing w:val="-2"/>
                <w:sz w:val="14"/>
              </w:rPr>
              <w:t>Officer</w:t>
            </w:r>
          </w:p>
        </w:tc>
        <w:tc>
          <w:tcPr>
            <w:tcW w:w="963" w:type="dxa"/>
            <w:tcBorders>
              <w:top w:val="nil"/>
              <w:left w:val="single" w:sz="2" w:space="0" w:color="000000"/>
              <w:bottom w:val="single" w:sz="2" w:space="0" w:color="000000"/>
              <w:right w:val="single" w:sz="2" w:space="0" w:color="000000"/>
            </w:tcBorders>
          </w:tcPr>
          <w:p w14:paraId="7E299384" w14:textId="77777777" w:rsidR="009D54AF" w:rsidRDefault="00000000">
            <w:pPr>
              <w:pStyle w:val="TableParagraph"/>
              <w:spacing w:before="54"/>
              <w:ind w:right="79"/>
              <w:jc w:val="right"/>
              <w:rPr>
                <w:sz w:val="14"/>
              </w:rPr>
            </w:pPr>
            <w:r>
              <w:rPr>
                <w:spacing w:val="-2"/>
                <w:sz w:val="14"/>
              </w:rPr>
              <w:t>495,408</w:t>
            </w:r>
          </w:p>
        </w:tc>
        <w:tc>
          <w:tcPr>
            <w:tcW w:w="963" w:type="dxa"/>
            <w:tcBorders>
              <w:top w:val="nil"/>
              <w:left w:val="single" w:sz="2" w:space="0" w:color="000000"/>
              <w:bottom w:val="single" w:sz="2" w:space="0" w:color="000000"/>
              <w:right w:val="single" w:sz="2" w:space="0" w:color="000000"/>
            </w:tcBorders>
          </w:tcPr>
          <w:p w14:paraId="1C0D1C47" w14:textId="77777777" w:rsidR="009D54AF" w:rsidRDefault="00000000">
            <w:pPr>
              <w:pStyle w:val="TableParagraph"/>
              <w:spacing w:before="54"/>
              <w:ind w:right="78"/>
              <w:jc w:val="right"/>
              <w:rPr>
                <w:sz w:val="14"/>
              </w:rPr>
            </w:pPr>
            <w:r>
              <w:rPr>
                <w:spacing w:val="-10"/>
                <w:sz w:val="14"/>
              </w:rPr>
              <w:t>–</w:t>
            </w:r>
          </w:p>
        </w:tc>
        <w:tc>
          <w:tcPr>
            <w:tcW w:w="963" w:type="dxa"/>
            <w:tcBorders>
              <w:top w:val="nil"/>
              <w:left w:val="single" w:sz="2" w:space="0" w:color="000000"/>
              <w:bottom w:val="single" w:sz="2" w:space="0" w:color="000000"/>
              <w:right w:val="single" w:sz="2" w:space="0" w:color="000000"/>
            </w:tcBorders>
          </w:tcPr>
          <w:p w14:paraId="3E0283DE" w14:textId="77777777" w:rsidR="009D54AF" w:rsidRDefault="00000000">
            <w:pPr>
              <w:pStyle w:val="TableParagraph"/>
              <w:spacing w:before="54"/>
              <w:ind w:right="77"/>
              <w:jc w:val="right"/>
              <w:rPr>
                <w:sz w:val="14"/>
              </w:rPr>
            </w:pPr>
            <w:r>
              <w:rPr>
                <w:spacing w:val="-2"/>
                <w:sz w:val="14"/>
              </w:rPr>
              <w:t>17,774</w:t>
            </w:r>
          </w:p>
        </w:tc>
        <w:tc>
          <w:tcPr>
            <w:tcW w:w="1076" w:type="dxa"/>
            <w:tcBorders>
              <w:top w:val="nil"/>
              <w:left w:val="single" w:sz="2" w:space="0" w:color="000000"/>
              <w:bottom w:val="single" w:sz="2" w:space="0" w:color="000000"/>
              <w:right w:val="single" w:sz="2" w:space="0" w:color="000000"/>
            </w:tcBorders>
          </w:tcPr>
          <w:p w14:paraId="0189BEB5" w14:textId="77777777" w:rsidR="009D54AF" w:rsidRDefault="00000000">
            <w:pPr>
              <w:pStyle w:val="TableParagraph"/>
              <w:spacing w:before="54"/>
              <w:ind w:right="76"/>
              <w:jc w:val="right"/>
              <w:rPr>
                <w:sz w:val="14"/>
              </w:rPr>
            </w:pPr>
            <w:r>
              <w:rPr>
                <w:spacing w:val="-2"/>
                <w:sz w:val="14"/>
              </w:rPr>
              <w:t>30,169</w:t>
            </w:r>
          </w:p>
        </w:tc>
        <w:tc>
          <w:tcPr>
            <w:tcW w:w="963" w:type="dxa"/>
            <w:tcBorders>
              <w:top w:val="nil"/>
              <w:left w:val="single" w:sz="2" w:space="0" w:color="000000"/>
              <w:bottom w:val="single" w:sz="2" w:space="0" w:color="000000"/>
              <w:right w:val="single" w:sz="2" w:space="0" w:color="000000"/>
            </w:tcBorders>
          </w:tcPr>
          <w:p w14:paraId="1C65DE2D" w14:textId="77777777" w:rsidR="009D54AF" w:rsidRDefault="00000000">
            <w:pPr>
              <w:pStyle w:val="TableParagraph"/>
              <w:spacing w:before="54"/>
              <w:ind w:right="75"/>
              <w:jc w:val="right"/>
              <w:rPr>
                <w:sz w:val="14"/>
              </w:rPr>
            </w:pPr>
            <w:r>
              <w:rPr>
                <w:spacing w:val="-2"/>
                <w:sz w:val="14"/>
              </w:rPr>
              <w:t>15,243</w:t>
            </w:r>
          </w:p>
        </w:tc>
        <w:tc>
          <w:tcPr>
            <w:tcW w:w="963" w:type="dxa"/>
            <w:tcBorders>
              <w:top w:val="nil"/>
              <w:left w:val="single" w:sz="2" w:space="0" w:color="000000"/>
              <w:bottom w:val="single" w:sz="2" w:space="0" w:color="000000"/>
              <w:right w:val="single" w:sz="2" w:space="0" w:color="000000"/>
            </w:tcBorders>
          </w:tcPr>
          <w:p w14:paraId="0B093593" w14:textId="77777777" w:rsidR="009D54AF" w:rsidRDefault="00000000">
            <w:pPr>
              <w:pStyle w:val="TableParagraph"/>
              <w:spacing w:before="54"/>
              <w:ind w:right="74"/>
              <w:jc w:val="right"/>
              <w:rPr>
                <w:sz w:val="14"/>
              </w:rPr>
            </w:pPr>
            <w:r>
              <w:rPr>
                <w:spacing w:val="-10"/>
                <w:sz w:val="14"/>
              </w:rPr>
              <w:t>–</w:t>
            </w:r>
          </w:p>
        </w:tc>
        <w:tc>
          <w:tcPr>
            <w:tcW w:w="963" w:type="dxa"/>
            <w:tcBorders>
              <w:top w:val="nil"/>
              <w:left w:val="single" w:sz="2" w:space="0" w:color="000000"/>
              <w:bottom w:val="single" w:sz="2" w:space="0" w:color="000000"/>
              <w:right w:val="single" w:sz="2" w:space="0" w:color="000000"/>
            </w:tcBorders>
          </w:tcPr>
          <w:p w14:paraId="7B59037B" w14:textId="77777777" w:rsidR="009D54AF" w:rsidRDefault="00000000">
            <w:pPr>
              <w:pStyle w:val="TableParagraph"/>
              <w:spacing w:before="54"/>
              <w:ind w:right="73"/>
              <w:jc w:val="right"/>
              <w:rPr>
                <w:sz w:val="14"/>
              </w:rPr>
            </w:pPr>
            <w:r>
              <w:rPr>
                <w:spacing w:val="-10"/>
                <w:sz w:val="14"/>
              </w:rPr>
              <w:t>–</w:t>
            </w:r>
          </w:p>
        </w:tc>
        <w:tc>
          <w:tcPr>
            <w:tcW w:w="1076" w:type="dxa"/>
            <w:tcBorders>
              <w:top w:val="nil"/>
              <w:left w:val="single" w:sz="2" w:space="0" w:color="000000"/>
              <w:bottom w:val="single" w:sz="2" w:space="0" w:color="000000"/>
              <w:right w:val="nil"/>
            </w:tcBorders>
          </w:tcPr>
          <w:p w14:paraId="20E77B49" w14:textId="77777777" w:rsidR="009D54AF" w:rsidRDefault="00000000">
            <w:pPr>
              <w:pStyle w:val="TableParagraph"/>
              <w:spacing w:before="54"/>
              <w:ind w:right="75"/>
              <w:jc w:val="right"/>
              <w:rPr>
                <w:sz w:val="14"/>
              </w:rPr>
            </w:pPr>
            <w:r>
              <w:rPr>
                <w:spacing w:val="-2"/>
                <w:sz w:val="14"/>
              </w:rPr>
              <w:t>558,594</w:t>
            </w:r>
          </w:p>
        </w:tc>
      </w:tr>
      <w:tr w:rsidR="009D54AF" w14:paraId="1D71744F" w14:textId="77777777">
        <w:trPr>
          <w:trHeight w:val="585"/>
        </w:trPr>
        <w:tc>
          <w:tcPr>
            <w:tcW w:w="1417" w:type="dxa"/>
            <w:tcBorders>
              <w:top w:val="single" w:sz="2" w:space="0" w:color="000000"/>
              <w:left w:val="nil"/>
              <w:bottom w:val="single" w:sz="2" w:space="0" w:color="000000"/>
              <w:right w:val="single" w:sz="2" w:space="0" w:color="000000"/>
            </w:tcBorders>
          </w:tcPr>
          <w:p w14:paraId="78E82B82" w14:textId="77777777" w:rsidR="009D54AF" w:rsidRDefault="00000000">
            <w:pPr>
              <w:pStyle w:val="TableParagraph"/>
              <w:spacing w:before="51"/>
              <w:ind w:left="56"/>
              <w:rPr>
                <w:sz w:val="14"/>
              </w:rPr>
            </w:pPr>
            <w:r>
              <w:rPr>
                <w:sz w:val="14"/>
              </w:rPr>
              <w:t>Christopher</w:t>
            </w:r>
            <w:r>
              <w:rPr>
                <w:spacing w:val="17"/>
                <w:sz w:val="14"/>
              </w:rPr>
              <w:t xml:space="preserve"> </w:t>
            </w:r>
            <w:r>
              <w:rPr>
                <w:spacing w:val="-2"/>
                <w:sz w:val="14"/>
              </w:rPr>
              <w:t>Leahy</w:t>
            </w:r>
          </w:p>
        </w:tc>
        <w:tc>
          <w:tcPr>
            <w:tcW w:w="850" w:type="dxa"/>
            <w:tcBorders>
              <w:top w:val="single" w:sz="2" w:space="0" w:color="000000"/>
              <w:left w:val="single" w:sz="2" w:space="0" w:color="000000"/>
              <w:bottom w:val="single" w:sz="2" w:space="0" w:color="000000"/>
              <w:right w:val="single" w:sz="2" w:space="0" w:color="000000"/>
            </w:tcBorders>
          </w:tcPr>
          <w:p w14:paraId="7DDA116F" w14:textId="77777777" w:rsidR="009D54AF" w:rsidRDefault="00000000">
            <w:pPr>
              <w:pStyle w:val="TableParagraph"/>
              <w:spacing w:before="51"/>
              <w:ind w:left="54"/>
              <w:rPr>
                <w:sz w:val="14"/>
              </w:rPr>
            </w:pPr>
            <w:r>
              <w:rPr>
                <w:spacing w:val="-4"/>
                <w:sz w:val="14"/>
              </w:rPr>
              <w:t>Chief</w:t>
            </w:r>
            <w:r>
              <w:rPr>
                <w:spacing w:val="40"/>
                <w:sz w:val="14"/>
              </w:rPr>
              <w:t xml:space="preserve"> </w:t>
            </w:r>
            <w:r>
              <w:rPr>
                <w:spacing w:val="-2"/>
                <w:sz w:val="14"/>
              </w:rPr>
              <w:t>Operating</w:t>
            </w:r>
            <w:r>
              <w:rPr>
                <w:spacing w:val="40"/>
                <w:sz w:val="14"/>
              </w:rPr>
              <w:t xml:space="preserve"> </w:t>
            </w:r>
            <w:r>
              <w:rPr>
                <w:spacing w:val="-2"/>
                <w:sz w:val="14"/>
              </w:rPr>
              <w:t>Officer</w:t>
            </w:r>
          </w:p>
        </w:tc>
        <w:tc>
          <w:tcPr>
            <w:tcW w:w="963" w:type="dxa"/>
            <w:tcBorders>
              <w:top w:val="single" w:sz="2" w:space="0" w:color="000000"/>
              <w:left w:val="single" w:sz="2" w:space="0" w:color="000000"/>
              <w:bottom w:val="single" w:sz="2" w:space="0" w:color="000000"/>
              <w:right w:val="single" w:sz="2" w:space="0" w:color="000000"/>
            </w:tcBorders>
          </w:tcPr>
          <w:p w14:paraId="31DBCF3A" w14:textId="77777777" w:rsidR="009D54AF" w:rsidRDefault="00000000">
            <w:pPr>
              <w:pStyle w:val="TableParagraph"/>
              <w:spacing w:before="51"/>
              <w:ind w:right="79"/>
              <w:jc w:val="right"/>
              <w:rPr>
                <w:sz w:val="14"/>
              </w:rPr>
            </w:pPr>
            <w:r>
              <w:rPr>
                <w:spacing w:val="-2"/>
                <w:sz w:val="14"/>
              </w:rPr>
              <w:t>326,234</w:t>
            </w:r>
          </w:p>
        </w:tc>
        <w:tc>
          <w:tcPr>
            <w:tcW w:w="963" w:type="dxa"/>
            <w:tcBorders>
              <w:top w:val="single" w:sz="2" w:space="0" w:color="000000"/>
              <w:left w:val="single" w:sz="2" w:space="0" w:color="000000"/>
              <w:bottom w:val="single" w:sz="2" w:space="0" w:color="000000"/>
              <w:right w:val="single" w:sz="2" w:space="0" w:color="000000"/>
            </w:tcBorders>
          </w:tcPr>
          <w:p w14:paraId="58A9C04E" w14:textId="77777777" w:rsidR="009D54AF" w:rsidRDefault="00000000">
            <w:pPr>
              <w:pStyle w:val="TableParagraph"/>
              <w:spacing w:before="51"/>
              <w:ind w:right="78"/>
              <w:jc w:val="right"/>
              <w:rPr>
                <w:sz w:val="14"/>
              </w:rPr>
            </w:pPr>
            <w:r>
              <w:rPr>
                <w:spacing w:val="-10"/>
                <w:sz w:val="14"/>
              </w:rPr>
              <w:t>–</w:t>
            </w:r>
          </w:p>
        </w:tc>
        <w:tc>
          <w:tcPr>
            <w:tcW w:w="963" w:type="dxa"/>
            <w:tcBorders>
              <w:top w:val="single" w:sz="2" w:space="0" w:color="000000"/>
              <w:left w:val="single" w:sz="2" w:space="0" w:color="000000"/>
              <w:bottom w:val="single" w:sz="2" w:space="0" w:color="000000"/>
              <w:right w:val="single" w:sz="2" w:space="0" w:color="000000"/>
            </w:tcBorders>
          </w:tcPr>
          <w:p w14:paraId="0343612F" w14:textId="77777777" w:rsidR="009D54AF" w:rsidRDefault="00000000">
            <w:pPr>
              <w:pStyle w:val="TableParagraph"/>
              <w:spacing w:before="51"/>
              <w:ind w:right="73"/>
              <w:jc w:val="right"/>
              <w:rPr>
                <w:sz w:val="14"/>
              </w:rPr>
            </w:pPr>
            <w:r>
              <w:rPr>
                <w:spacing w:val="-2"/>
                <w:sz w:val="14"/>
              </w:rPr>
              <w:t>57,888</w:t>
            </w:r>
          </w:p>
        </w:tc>
        <w:tc>
          <w:tcPr>
            <w:tcW w:w="1076" w:type="dxa"/>
            <w:tcBorders>
              <w:top w:val="single" w:sz="2" w:space="0" w:color="000000"/>
              <w:left w:val="single" w:sz="2" w:space="0" w:color="000000"/>
              <w:bottom w:val="single" w:sz="2" w:space="0" w:color="000000"/>
              <w:right w:val="single" w:sz="2" w:space="0" w:color="000000"/>
            </w:tcBorders>
          </w:tcPr>
          <w:p w14:paraId="4AF3EA51" w14:textId="77777777" w:rsidR="009D54AF" w:rsidRDefault="00000000">
            <w:pPr>
              <w:pStyle w:val="TableParagraph"/>
              <w:spacing w:before="51"/>
              <w:ind w:right="76"/>
              <w:jc w:val="right"/>
              <w:rPr>
                <w:sz w:val="14"/>
              </w:rPr>
            </w:pPr>
            <w:r>
              <w:rPr>
                <w:spacing w:val="-2"/>
                <w:sz w:val="14"/>
              </w:rPr>
              <w:t>54,114</w:t>
            </w:r>
          </w:p>
        </w:tc>
        <w:tc>
          <w:tcPr>
            <w:tcW w:w="963" w:type="dxa"/>
            <w:tcBorders>
              <w:top w:val="single" w:sz="2" w:space="0" w:color="000000"/>
              <w:left w:val="single" w:sz="2" w:space="0" w:color="000000"/>
              <w:bottom w:val="single" w:sz="2" w:space="0" w:color="000000"/>
              <w:right w:val="single" w:sz="2" w:space="0" w:color="000000"/>
            </w:tcBorders>
          </w:tcPr>
          <w:p w14:paraId="0A70FFA5" w14:textId="77777777" w:rsidR="009D54AF" w:rsidRDefault="00000000">
            <w:pPr>
              <w:pStyle w:val="TableParagraph"/>
              <w:spacing w:before="51"/>
              <w:ind w:right="71"/>
              <w:jc w:val="right"/>
              <w:rPr>
                <w:sz w:val="14"/>
              </w:rPr>
            </w:pPr>
            <w:r>
              <w:rPr>
                <w:spacing w:val="-2"/>
                <w:sz w:val="14"/>
              </w:rPr>
              <w:t>11,333</w:t>
            </w:r>
          </w:p>
        </w:tc>
        <w:tc>
          <w:tcPr>
            <w:tcW w:w="963" w:type="dxa"/>
            <w:tcBorders>
              <w:top w:val="single" w:sz="2" w:space="0" w:color="000000"/>
              <w:left w:val="single" w:sz="2" w:space="0" w:color="000000"/>
              <w:bottom w:val="single" w:sz="2" w:space="0" w:color="000000"/>
              <w:right w:val="single" w:sz="2" w:space="0" w:color="000000"/>
            </w:tcBorders>
          </w:tcPr>
          <w:p w14:paraId="2C0C1BBC" w14:textId="77777777" w:rsidR="009D54AF" w:rsidRDefault="00000000">
            <w:pPr>
              <w:pStyle w:val="TableParagraph"/>
              <w:spacing w:before="51"/>
              <w:ind w:right="74"/>
              <w:jc w:val="right"/>
              <w:rPr>
                <w:sz w:val="14"/>
              </w:rPr>
            </w:pPr>
            <w:r>
              <w:rPr>
                <w:spacing w:val="-10"/>
                <w:sz w:val="14"/>
              </w:rPr>
              <w:t>–</w:t>
            </w:r>
          </w:p>
        </w:tc>
        <w:tc>
          <w:tcPr>
            <w:tcW w:w="963" w:type="dxa"/>
            <w:tcBorders>
              <w:top w:val="single" w:sz="2" w:space="0" w:color="000000"/>
              <w:left w:val="single" w:sz="2" w:space="0" w:color="000000"/>
              <w:bottom w:val="single" w:sz="2" w:space="0" w:color="000000"/>
              <w:right w:val="single" w:sz="2" w:space="0" w:color="000000"/>
            </w:tcBorders>
          </w:tcPr>
          <w:p w14:paraId="6790B703" w14:textId="77777777" w:rsidR="009D54AF" w:rsidRDefault="00000000">
            <w:pPr>
              <w:pStyle w:val="TableParagraph"/>
              <w:spacing w:before="51"/>
              <w:ind w:right="73"/>
              <w:jc w:val="right"/>
              <w:rPr>
                <w:sz w:val="14"/>
              </w:rPr>
            </w:pPr>
            <w:r>
              <w:rPr>
                <w:spacing w:val="-10"/>
                <w:sz w:val="14"/>
              </w:rPr>
              <w:t>–</w:t>
            </w:r>
          </w:p>
        </w:tc>
        <w:tc>
          <w:tcPr>
            <w:tcW w:w="1076" w:type="dxa"/>
            <w:tcBorders>
              <w:top w:val="single" w:sz="2" w:space="0" w:color="000000"/>
              <w:left w:val="single" w:sz="2" w:space="0" w:color="000000"/>
              <w:bottom w:val="single" w:sz="2" w:space="0" w:color="000000"/>
              <w:right w:val="nil"/>
            </w:tcBorders>
          </w:tcPr>
          <w:p w14:paraId="35C9E560" w14:textId="77777777" w:rsidR="009D54AF" w:rsidRDefault="00000000">
            <w:pPr>
              <w:pStyle w:val="TableParagraph"/>
              <w:spacing w:before="51"/>
              <w:ind w:right="75"/>
              <w:jc w:val="right"/>
              <w:rPr>
                <w:sz w:val="14"/>
              </w:rPr>
            </w:pPr>
            <w:r>
              <w:rPr>
                <w:spacing w:val="-2"/>
                <w:sz w:val="14"/>
              </w:rPr>
              <w:t>449,569</w:t>
            </w:r>
          </w:p>
        </w:tc>
      </w:tr>
      <w:tr w:rsidR="009D54AF" w14:paraId="3490C7CC" w14:textId="77777777">
        <w:trPr>
          <w:trHeight w:val="585"/>
        </w:trPr>
        <w:tc>
          <w:tcPr>
            <w:tcW w:w="1417" w:type="dxa"/>
            <w:tcBorders>
              <w:top w:val="single" w:sz="2" w:space="0" w:color="000000"/>
              <w:left w:val="nil"/>
              <w:bottom w:val="single" w:sz="2" w:space="0" w:color="000000"/>
              <w:right w:val="single" w:sz="2" w:space="0" w:color="000000"/>
            </w:tcBorders>
          </w:tcPr>
          <w:p w14:paraId="2487CBC6" w14:textId="77777777" w:rsidR="009D54AF" w:rsidRDefault="00000000">
            <w:pPr>
              <w:pStyle w:val="TableParagraph"/>
              <w:spacing w:before="51"/>
              <w:ind w:left="56"/>
              <w:rPr>
                <w:sz w:val="14"/>
              </w:rPr>
            </w:pPr>
            <w:r>
              <w:rPr>
                <w:sz w:val="14"/>
              </w:rPr>
              <w:t>Suchit</w:t>
            </w:r>
            <w:r>
              <w:rPr>
                <w:spacing w:val="6"/>
                <w:sz w:val="14"/>
              </w:rPr>
              <w:t xml:space="preserve"> </w:t>
            </w:r>
            <w:r>
              <w:rPr>
                <w:spacing w:val="-2"/>
                <w:sz w:val="14"/>
              </w:rPr>
              <w:t>Handa</w:t>
            </w:r>
          </w:p>
        </w:tc>
        <w:tc>
          <w:tcPr>
            <w:tcW w:w="850" w:type="dxa"/>
            <w:tcBorders>
              <w:top w:val="single" w:sz="2" w:space="0" w:color="000000"/>
              <w:left w:val="single" w:sz="2" w:space="0" w:color="000000"/>
              <w:bottom w:val="single" w:sz="2" w:space="0" w:color="000000"/>
              <w:right w:val="single" w:sz="2" w:space="0" w:color="000000"/>
            </w:tcBorders>
          </w:tcPr>
          <w:p w14:paraId="08A132F1" w14:textId="77777777" w:rsidR="009D54AF" w:rsidRDefault="00000000">
            <w:pPr>
              <w:pStyle w:val="TableParagraph"/>
              <w:spacing w:before="51"/>
              <w:ind w:left="54"/>
              <w:rPr>
                <w:sz w:val="14"/>
              </w:rPr>
            </w:pPr>
            <w:r>
              <w:rPr>
                <w:sz w:val="14"/>
              </w:rPr>
              <w:t>Acting</w:t>
            </w:r>
            <w:r>
              <w:rPr>
                <w:spacing w:val="-10"/>
                <w:sz w:val="14"/>
              </w:rPr>
              <w:t xml:space="preserve"> </w:t>
            </w:r>
            <w:r>
              <w:rPr>
                <w:sz w:val="14"/>
              </w:rPr>
              <w:t>Chief</w:t>
            </w:r>
            <w:r>
              <w:rPr>
                <w:spacing w:val="40"/>
                <w:sz w:val="14"/>
              </w:rPr>
              <w:t xml:space="preserve"> </w:t>
            </w:r>
            <w:r>
              <w:rPr>
                <w:spacing w:val="-2"/>
                <w:sz w:val="14"/>
              </w:rPr>
              <w:t>Operating</w:t>
            </w:r>
            <w:r>
              <w:rPr>
                <w:spacing w:val="40"/>
                <w:sz w:val="14"/>
              </w:rPr>
              <w:t xml:space="preserve"> </w:t>
            </w:r>
            <w:r>
              <w:rPr>
                <w:spacing w:val="-2"/>
                <w:sz w:val="14"/>
              </w:rPr>
              <w:t>Officer</w:t>
            </w:r>
          </w:p>
        </w:tc>
        <w:tc>
          <w:tcPr>
            <w:tcW w:w="963" w:type="dxa"/>
            <w:tcBorders>
              <w:top w:val="single" w:sz="2" w:space="0" w:color="000000"/>
              <w:left w:val="single" w:sz="2" w:space="0" w:color="000000"/>
              <w:bottom w:val="single" w:sz="2" w:space="0" w:color="000000"/>
              <w:right w:val="single" w:sz="2" w:space="0" w:color="000000"/>
            </w:tcBorders>
          </w:tcPr>
          <w:p w14:paraId="2B2BEA05" w14:textId="77777777" w:rsidR="009D54AF" w:rsidRDefault="00000000">
            <w:pPr>
              <w:pStyle w:val="TableParagraph"/>
              <w:spacing w:before="51"/>
              <w:ind w:right="79"/>
              <w:jc w:val="right"/>
              <w:rPr>
                <w:sz w:val="14"/>
              </w:rPr>
            </w:pPr>
            <w:r>
              <w:rPr>
                <w:spacing w:val="-2"/>
                <w:sz w:val="14"/>
              </w:rPr>
              <w:t>19,129</w:t>
            </w:r>
          </w:p>
        </w:tc>
        <w:tc>
          <w:tcPr>
            <w:tcW w:w="963" w:type="dxa"/>
            <w:tcBorders>
              <w:top w:val="single" w:sz="2" w:space="0" w:color="000000"/>
              <w:left w:val="single" w:sz="2" w:space="0" w:color="000000"/>
              <w:bottom w:val="single" w:sz="2" w:space="0" w:color="000000"/>
              <w:right w:val="single" w:sz="2" w:space="0" w:color="000000"/>
            </w:tcBorders>
          </w:tcPr>
          <w:p w14:paraId="4EBD8A92" w14:textId="77777777" w:rsidR="009D54AF" w:rsidRDefault="00000000">
            <w:pPr>
              <w:pStyle w:val="TableParagraph"/>
              <w:spacing w:before="51"/>
              <w:ind w:right="78"/>
              <w:jc w:val="right"/>
              <w:rPr>
                <w:sz w:val="14"/>
              </w:rPr>
            </w:pPr>
            <w:r>
              <w:rPr>
                <w:spacing w:val="-10"/>
                <w:sz w:val="14"/>
              </w:rPr>
              <w:t>–</w:t>
            </w:r>
          </w:p>
        </w:tc>
        <w:tc>
          <w:tcPr>
            <w:tcW w:w="963" w:type="dxa"/>
            <w:tcBorders>
              <w:top w:val="single" w:sz="2" w:space="0" w:color="000000"/>
              <w:left w:val="single" w:sz="2" w:space="0" w:color="000000"/>
              <w:bottom w:val="single" w:sz="2" w:space="0" w:color="000000"/>
              <w:right w:val="single" w:sz="2" w:space="0" w:color="000000"/>
            </w:tcBorders>
          </w:tcPr>
          <w:p w14:paraId="5879EB30" w14:textId="77777777" w:rsidR="009D54AF" w:rsidRDefault="00000000">
            <w:pPr>
              <w:pStyle w:val="TableParagraph"/>
              <w:spacing w:before="51"/>
              <w:ind w:right="77"/>
              <w:jc w:val="right"/>
              <w:rPr>
                <w:sz w:val="14"/>
              </w:rPr>
            </w:pPr>
            <w:r>
              <w:rPr>
                <w:spacing w:val="-10"/>
                <w:sz w:val="14"/>
              </w:rPr>
              <w:t>–</w:t>
            </w:r>
          </w:p>
        </w:tc>
        <w:tc>
          <w:tcPr>
            <w:tcW w:w="1076" w:type="dxa"/>
            <w:tcBorders>
              <w:top w:val="single" w:sz="2" w:space="0" w:color="000000"/>
              <w:left w:val="single" w:sz="2" w:space="0" w:color="000000"/>
              <w:bottom w:val="single" w:sz="2" w:space="0" w:color="000000"/>
              <w:right w:val="single" w:sz="2" w:space="0" w:color="000000"/>
            </w:tcBorders>
          </w:tcPr>
          <w:p w14:paraId="58407CB5" w14:textId="77777777" w:rsidR="009D54AF" w:rsidRDefault="00000000">
            <w:pPr>
              <w:pStyle w:val="TableParagraph"/>
              <w:spacing w:before="51"/>
              <w:ind w:right="76"/>
              <w:jc w:val="right"/>
              <w:rPr>
                <w:sz w:val="14"/>
              </w:rPr>
            </w:pPr>
            <w:r>
              <w:rPr>
                <w:spacing w:val="-2"/>
                <w:sz w:val="14"/>
              </w:rPr>
              <w:t>2,682</w:t>
            </w:r>
          </w:p>
        </w:tc>
        <w:tc>
          <w:tcPr>
            <w:tcW w:w="963" w:type="dxa"/>
            <w:tcBorders>
              <w:top w:val="single" w:sz="2" w:space="0" w:color="000000"/>
              <w:left w:val="single" w:sz="2" w:space="0" w:color="000000"/>
              <w:bottom w:val="single" w:sz="2" w:space="0" w:color="000000"/>
              <w:right w:val="single" w:sz="2" w:space="0" w:color="000000"/>
            </w:tcBorders>
          </w:tcPr>
          <w:p w14:paraId="3CFD17A7" w14:textId="77777777" w:rsidR="009D54AF" w:rsidRDefault="00000000">
            <w:pPr>
              <w:pStyle w:val="TableParagraph"/>
              <w:spacing w:before="51"/>
              <w:ind w:right="75"/>
              <w:jc w:val="right"/>
              <w:rPr>
                <w:sz w:val="14"/>
              </w:rPr>
            </w:pPr>
            <w:r>
              <w:rPr>
                <w:spacing w:val="-5"/>
                <w:sz w:val="14"/>
              </w:rPr>
              <w:t>587</w:t>
            </w:r>
          </w:p>
        </w:tc>
        <w:tc>
          <w:tcPr>
            <w:tcW w:w="963" w:type="dxa"/>
            <w:tcBorders>
              <w:top w:val="single" w:sz="2" w:space="0" w:color="000000"/>
              <w:left w:val="single" w:sz="2" w:space="0" w:color="000000"/>
              <w:bottom w:val="single" w:sz="2" w:space="0" w:color="000000"/>
              <w:right w:val="single" w:sz="2" w:space="0" w:color="000000"/>
            </w:tcBorders>
          </w:tcPr>
          <w:p w14:paraId="54812AB9" w14:textId="77777777" w:rsidR="009D54AF" w:rsidRDefault="00000000">
            <w:pPr>
              <w:pStyle w:val="TableParagraph"/>
              <w:spacing w:before="51"/>
              <w:ind w:right="74"/>
              <w:jc w:val="right"/>
              <w:rPr>
                <w:sz w:val="14"/>
              </w:rPr>
            </w:pPr>
            <w:r>
              <w:rPr>
                <w:spacing w:val="-10"/>
                <w:sz w:val="14"/>
              </w:rPr>
              <w:t>–</w:t>
            </w:r>
          </w:p>
        </w:tc>
        <w:tc>
          <w:tcPr>
            <w:tcW w:w="963" w:type="dxa"/>
            <w:tcBorders>
              <w:top w:val="single" w:sz="2" w:space="0" w:color="000000"/>
              <w:left w:val="single" w:sz="2" w:space="0" w:color="000000"/>
              <w:bottom w:val="single" w:sz="2" w:space="0" w:color="000000"/>
              <w:right w:val="single" w:sz="2" w:space="0" w:color="000000"/>
            </w:tcBorders>
          </w:tcPr>
          <w:p w14:paraId="7A50D8DD" w14:textId="77777777" w:rsidR="009D54AF" w:rsidRDefault="00000000">
            <w:pPr>
              <w:pStyle w:val="TableParagraph"/>
              <w:spacing w:before="51"/>
              <w:ind w:right="73"/>
              <w:jc w:val="right"/>
              <w:rPr>
                <w:sz w:val="14"/>
              </w:rPr>
            </w:pPr>
            <w:r>
              <w:rPr>
                <w:spacing w:val="-10"/>
                <w:sz w:val="14"/>
              </w:rPr>
              <w:t>–</w:t>
            </w:r>
          </w:p>
        </w:tc>
        <w:tc>
          <w:tcPr>
            <w:tcW w:w="1076" w:type="dxa"/>
            <w:tcBorders>
              <w:top w:val="single" w:sz="2" w:space="0" w:color="000000"/>
              <w:left w:val="single" w:sz="2" w:space="0" w:color="000000"/>
              <w:bottom w:val="single" w:sz="2" w:space="0" w:color="000000"/>
              <w:right w:val="nil"/>
            </w:tcBorders>
          </w:tcPr>
          <w:p w14:paraId="0A9C9870" w14:textId="77777777" w:rsidR="009D54AF" w:rsidRDefault="00000000">
            <w:pPr>
              <w:pStyle w:val="TableParagraph"/>
              <w:spacing w:before="51"/>
              <w:ind w:right="75"/>
              <w:jc w:val="right"/>
              <w:rPr>
                <w:sz w:val="14"/>
              </w:rPr>
            </w:pPr>
            <w:r>
              <w:rPr>
                <w:spacing w:val="-2"/>
                <w:sz w:val="14"/>
              </w:rPr>
              <w:t>22,397</w:t>
            </w:r>
          </w:p>
        </w:tc>
      </w:tr>
      <w:tr w:rsidR="009D54AF" w14:paraId="4AFC42CB" w14:textId="77777777">
        <w:trPr>
          <w:trHeight w:val="505"/>
        </w:trPr>
        <w:tc>
          <w:tcPr>
            <w:tcW w:w="1417" w:type="dxa"/>
            <w:tcBorders>
              <w:top w:val="single" w:sz="2" w:space="0" w:color="000000"/>
              <w:left w:val="nil"/>
              <w:bottom w:val="single" w:sz="2" w:space="0" w:color="000000"/>
              <w:right w:val="single" w:sz="2" w:space="0" w:color="000000"/>
            </w:tcBorders>
          </w:tcPr>
          <w:p w14:paraId="314D9F0C" w14:textId="77777777" w:rsidR="009D54AF" w:rsidRDefault="00000000">
            <w:pPr>
              <w:pStyle w:val="TableParagraph"/>
              <w:spacing w:before="51"/>
              <w:ind w:left="56"/>
              <w:rPr>
                <w:sz w:val="14"/>
              </w:rPr>
            </w:pPr>
            <w:r>
              <w:rPr>
                <w:sz w:val="14"/>
              </w:rPr>
              <w:t>Christine</w:t>
            </w:r>
            <w:r>
              <w:rPr>
                <w:spacing w:val="15"/>
                <w:sz w:val="14"/>
              </w:rPr>
              <w:t xml:space="preserve"> </w:t>
            </w:r>
            <w:r>
              <w:rPr>
                <w:spacing w:val="-2"/>
                <w:sz w:val="14"/>
              </w:rPr>
              <w:t>Kilpatrick</w:t>
            </w:r>
          </w:p>
        </w:tc>
        <w:tc>
          <w:tcPr>
            <w:tcW w:w="850" w:type="dxa"/>
            <w:tcBorders>
              <w:top w:val="single" w:sz="2" w:space="0" w:color="000000"/>
              <w:left w:val="single" w:sz="2" w:space="0" w:color="000000"/>
              <w:bottom w:val="single" w:sz="2" w:space="0" w:color="000000"/>
              <w:right w:val="single" w:sz="2" w:space="0" w:color="000000"/>
            </w:tcBorders>
          </w:tcPr>
          <w:p w14:paraId="09DB6335" w14:textId="77777777" w:rsidR="009D54AF" w:rsidRDefault="00000000">
            <w:pPr>
              <w:pStyle w:val="TableParagraph"/>
              <w:spacing w:before="51"/>
              <w:ind w:left="54"/>
              <w:rPr>
                <w:sz w:val="14"/>
              </w:rPr>
            </w:pPr>
            <w:r>
              <w:rPr>
                <w:sz w:val="14"/>
              </w:rPr>
              <w:t>Board</w:t>
            </w:r>
            <w:r>
              <w:rPr>
                <w:spacing w:val="6"/>
                <w:sz w:val="14"/>
              </w:rPr>
              <w:t xml:space="preserve"> </w:t>
            </w:r>
            <w:r>
              <w:rPr>
                <w:spacing w:val="-2"/>
                <w:sz w:val="14"/>
              </w:rPr>
              <w:t>Chair</w:t>
            </w:r>
          </w:p>
        </w:tc>
        <w:tc>
          <w:tcPr>
            <w:tcW w:w="963" w:type="dxa"/>
            <w:tcBorders>
              <w:top w:val="single" w:sz="2" w:space="0" w:color="000000"/>
              <w:left w:val="single" w:sz="2" w:space="0" w:color="000000"/>
              <w:bottom w:val="single" w:sz="2" w:space="0" w:color="000000"/>
              <w:right w:val="single" w:sz="2" w:space="0" w:color="000000"/>
            </w:tcBorders>
          </w:tcPr>
          <w:p w14:paraId="4079A58C" w14:textId="77777777" w:rsidR="009D54AF" w:rsidRDefault="00000000">
            <w:pPr>
              <w:pStyle w:val="TableParagraph"/>
              <w:spacing w:before="51"/>
              <w:ind w:right="79"/>
              <w:jc w:val="right"/>
              <w:rPr>
                <w:sz w:val="14"/>
              </w:rPr>
            </w:pPr>
            <w:r>
              <w:rPr>
                <w:spacing w:val="-2"/>
                <w:sz w:val="14"/>
              </w:rPr>
              <w:t>87,596</w:t>
            </w:r>
          </w:p>
        </w:tc>
        <w:tc>
          <w:tcPr>
            <w:tcW w:w="963" w:type="dxa"/>
            <w:tcBorders>
              <w:top w:val="single" w:sz="2" w:space="0" w:color="000000"/>
              <w:left w:val="single" w:sz="2" w:space="0" w:color="000000"/>
              <w:bottom w:val="single" w:sz="2" w:space="0" w:color="000000"/>
              <w:right w:val="single" w:sz="2" w:space="0" w:color="000000"/>
            </w:tcBorders>
          </w:tcPr>
          <w:p w14:paraId="15D0B5AB" w14:textId="77777777" w:rsidR="009D54AF" w:rsidRDefault="00000000">
            <w:pPr>
              <w:pStyle w:val="TableParagraph"/>
              <w:spacing w:before="51"/>
              <w:ind w:right="78"/>
              <w:jc w:val="right"/>
              <w:rPr>
                <w:sz w:val="14"/>
              </w:rPr>
            </w:pPr>
            <w:r>
              <w:rPr>
                <w:spacing w:val="-10"/>
                <w:sz w:val="14"/>
              </w:rPr>
              <w:t>–</w:t>
            </w:r>
          </w:p>
        </w:tc>
        <w:tc>
          <w:tcPr>
            <w:tcW w:w="963" w:type="dxa"/>
            <w:tcBorders>
              <w:top w:val="single" w:sz="2" w:space="0" w:color="000000"/>
              <w:left w:val="single" w:sz="2" w:space="0" w:color="000000"/>
              <w:bottom w:val="single" w:sz="2" w:space="0" w:color="000000"/>
              <w:right w:val="single" w:sz="2" w:space="0" w:color="000000"/>
            </w:tcBorders>
          </w:tcPr>
          <w:p w14:paraId="02D61161" w14:textId="77777777" w:rsidR="009D54AF" w:rsidRDefault="00000000">
            <w:pPr>
              <w:pStyle w:val="TableParagraph"/>
              <w:spacing w:before="51"/>
              <w:ind w:right="77"/>
              <w:jc w:val="right"/>
              <w:rPr>
                <w:sz w:val="14"/>
              </w:rPr>
            </w:pPr>
            <w:r>
              <w:rPr>
                <w:spacing w:val="-10"/>
                <w:sz w:val="14"/>
              </w:rPr>
              <w:t>–</w:t>
            </w:r>
          </w:p>
        </w:tc>
        <w:tc>
          <w:tcPr>
            <w:tcW w:w="1076" w:type="dxa"/>
            <w:tcBorders>
              <w:top w:val="single" w:sz="2" w:space="0" w:color="000000"/>
              <w:left w:val="single" w:sz="2" w:space="0" w:color="000000"/>
              <w:bottom w:val="single" w:sz="2" w:space="0" w:color="000000"/>
              <w:right w:val="single" w:sz="2" w:space="0" w:color="000000"/>
            </w:tcBorders>
          </w:tcPr>
          <w:p w14:paraId="696568D0" w14:textId="77777777" w:rsidR="009D54AF" w:rsidRDefault="00000000">
            <w:pPr>
              <w:pStyle w:val="TableParagraph"/>
              <w:spacing w:before="51"/>
              <w:ind w:right="85"/>
              <w:jc w:val="right"/>
              <w:rPr>
                <w:sz w:val="14"/>
              </w:rPr>
            </w:pPr>
            <w:r>
              <w:rPr>
                <w:spacing w:val="-2"/>
                <w:sz w:val="14"/>
              </w:rPr>
              <w:t>10,511</w:t>
            </w:r>
          </w:p>
        </w:tc>
        <w:tc>
          <w:tcPr>
            <w:tcW w:w="963" w:type="dxa"/>
            <w:tcBorders>
              <w:top w:val="single" w:sz="2" w:space="0" w:color="000000"/>
              <w:left w:val="single" w:sz="2" w:space="0" w:color="000000"/>
              <w:bottom w:val="single" w:sz="2" w:space="0" w:color="000000"/>
              <w:right w:val="single" w:sz="2" w:space="0" w:color="000000"/>
            </w:tcBorders>
          </w:tcPr>
          <w:p w14:paraId="7272E4B4" w14:textId="77777777" w:rsidR="009D54AF" w:rsidRDefault="00000000">
            <w:pPr>
              <w:pStyle w:val="TableParagraph"/>
              <w:spacing w:before="51"/>
              <w:ind w:right="75"/>
              <w:jc w:val="right"/>
              <w:rPr>
                <w:sz w:val="14"/>
              </w:rPr>
            </w:pPr>
            <w:r>
              <w:rPr>
                <w:spacing w:val="-10"/>
                <w:sz w:val="14"/>
              </w:rPr>
              <w:t>–</w:t>
            </w:r>
          </w:p>
        </w:tc>
        <w:tc>
          <w:tcPr>
            <w:tcW w:w="963" w:type="dxa"/>
            <w:tcBorders>
              <w:top w:val="single" w:sz="2" w:space="0" w:color="000000"/>
              <w:left w:val="single" w:sz="2" w:space="0" w:color="000000"/>
              <w:bottom w:val="single" w:sz="2" w:space="0" w:color="000000"/>
              <w:right w:val="single" w:sz="2" w:space="0" w:color="000000"/>
            </w:tcBorders>
          </w:tcPr>
          <w:p w14:paraId="3CBCC8DF" w14:textId="77777777" w:rsidR="009D54AF" w:rsidRDefault="00000000">
            <w:pPr>
              <w:pStyle w:val="TableParagraph"/>
              <w:spacing w:before="51"/>
              <w:ind w:right="74"/>
              <w:jc w:val="right"/>
              <w:rPr>
                <w:sz w:val="14"/>
              </w:rPr>
            </w:pPr>
            <w:r>
              <w:rPr>
                <w:spacing w:val="-10"/>
                <w:sz w:val="14"/>
              </w:rPr>
              <w:t>–</w:t>
            </w:r>
          </w:p>
        </w:tc>
        <w:tc>
          <w:tcPr>
            <w:tcW w:w="963" w:type="dxa"/>
            <w:tcBorders>
              <w:top w:val="single" w:sz="2" w:space="0" w:color="000000"/>
              <w:left w:val="single" w:sz="2" w:space="0" w:color="000000"/>
              <w:bottom w:val="single" w:sz="2" w:space="0" w:color="000000"/>
              <w:right w:val="single" w:sz="2" w:space="0" w:color="000000"/>
            </w:tcBorders>
          </w:tcPr>
          <w:p w14:paraId="3172FA0A" w14:textId="77777777" w:rsidR="009D54AF" w:rsidRDefault="00000000">
            <w:pPr>
              <w:pStyle w:val="TableParagraph"/>
              <w:spacing w:before="51"/>
              <w:ind w:right="73"/>
              <w:jc w:val="right"/>
              <w:rPr>
                <w:sz w:val="14"/>
              </w:rPr>
            </w:pPr>
            <w:r>
              <w:rPr>
                <w:spacing w:val="-10"/>
                <w:sz w:val="14"/>
              </w:rPr>
              <w:t>–</w:t>
            </w:r>
          </w:p>
        </w:tc>
        <w:tc>
          <w:tcPr>
            <w:tcW w:w="1076" w:type="dxa"/>
            <w:tcBorders>
              <w:top w:val="single" w:sz="2" w:space="0" w:color="000000"/>
              <w:left w:val="single" w:sz="2" w:space="0" w:color="000000"/>
              <w:bottom w:val="single" w:sz="2" w:space="0" w:color="000000"/>
              <w:right w:val="nil"/>
            </w:tcBorders>
          </w:tcPr>
          <w:p w14:paraId="22EF221C" w14:textId="77777777" w:rsidR="009D54AF" w:rsidRDefault="00000000">
            <w:pPr>
              <w:pStyle w:val="TableParagraph"/>
              <w:spacing w:before="51"/>
              <w:ind w:right="75"/>
              <w:jc w:val="right"/>
              <w:rPr>
                <w:sz w:val="14"/>
              </w:rPr>
            </w:pPr>
            <w:r>
              <w:rPr>
                <w:spacing w:val="-2"/>
                <w:sz w:val="14"/>
              </w:rPr>
              <w:t>98,107</w:t>
            </w:r>
          </w:p>
        </w:tc>
      </w:tr>
      <w:tr w:rsidR="00400729" w14:paraId="6082218E" w14:textId="77777777">
        <w:trPr>
          <w:trHeight w:val="505"/>
        </w:trPr>
        <w:tc>
          <w:tcPr>
            <w:tcW w:w="1417" w:type="dxa"/>
            <w:tcBorders>
              <w:top w:val="single" w:sz="2" w:space="0" w:color="000000"/>
              <w:left w:val="nil"/>
              <w:bottom w:val="single" w:sz="2" w:space="0" w:color="000000"/>
              <w:right w:val="single" w:sz="2" w:space="0" w:color="000000"/>
            </w:tcBorders>
          </w:tcPr>
          <w:p w14:paraId="2D576883" w14:textId="7336F1B0" w:rsidR="00400729" w:rsidRDefault="00400729" w:rsidP="00400729">
            <w:pPr>
              <w:pStyle w:val="TableParagraph"/>
              <w:spacing w:before="51"/>
              <w:ind w:left="56"/>
              <w:rPr>
                <w:sz w:val="14"/>
              </w:rPr>
            </w:pPr>
            <w:r>
              <w:rPr>
                <w:sz w:val="14"/>
              </w:rPr>
              <w:t>Christine</w:t>
            </w:r>
            <w:r>
              <w:rPr>
                <w:spacing w:val="15"/>
                <w:sz w:val="14"/>
              </w:rPr>
              <w:t xml:space="preserve"> </w:t>
            </w:r>
            <w:r>
              <w:rPr>
                <w:spacing w:val="-5"/>
                <w:sz w:val="14"/>
              </w:rPr>
              <w:t>Gee</w:t>
            </w:r>
          </w:p>
        </w:tc>
        <w:tc>
          <w:tcPr>
            <w:tcW w:w="850" w:type="dxa"/>
            <w:tcBorders>
              <w:top w:val="single" w:sz="2" w:space="0" w:color="000000"/>
              <w:left w:val="single" w:sz="2" w:space="0" w:color="000000"/>
              <w:bottom w:val="single" w:sz="2" w:space="0" w:color="000000"/>
              <w:right w:val="single" w:sz="2" w:space="0" w:color="000000"/>
            </w:tcBorders>
          </w:tcPr>
          <w:p w14:paraId="0D51241D" w14:textId="1DE2D8B0" w:rsidR="00400729" w:rsidRDefault="00400729" w:rsidP="00400729">
            <w:pPr>
              <w:pStyle w:val="TableParagraph"/>
              <w:spacing w:before="51"/>
              <w:ind w:left="54"/>
              <w:rPr>
                <w:sz w:val="14"/>
              </w:rPr>
            </w:pPr>
            <w:r>
              <w:rPr>
                <w:spacing w:val="-2"/>
                <w:sz w:val="14"/>
              </w:rPr>
              <w:t>Board</w:t>
            </w:r>
            <w:r>
              <w:rPr>
                <w:spacing w:val="40"/>
                <w:sz w:val="14"/>
              </w:rPr>
              <w:t xml:space="preserve"> </w:t>
            </w:r>
            <w:r>
              <w:rPr>
                <w:spacing w:val="-2"/>
                <w:sz w:val="14"/>
              </w:rPr>
              <w:t>Member</w:t>
            </w:r>
          </w:p>
        </w:tc>
        <w:tc>
          <w:tcPr>
            <w:tcW w:w="963" w:type="dxa"/>
            <w:tcBorders>
              <w:top w:val="single" w:sz="2" w:space="0" w:color="000000"/>
              <w:left w:val="single" w:sz="2" w:space="0" w:color="000000"/>
              <w:bottom w:val="single" w:sz="2" w:space="0" w:color="000000"/>
              <w:right w:val="single" w:sz="2" w:space="0" w:color="000000"/>
            </w:tcBorders>
          </w:tcPr>
          <w:p w14:paraId="7CE31AB0" w14:textId="229F9335" w:rsidR="00400729" w:rsidRDefault="00400729" w:rsidP="00400729">
            <w:pPr>
              <w:pStyle w:val="TableParagraph"/>
              <w:spacing w:before="51"/>
              <w:ind w:right="79"/>
              <w:jc w:val="right"/>
              <w:rPr>
                <w:spacing w:val="-2"/>
                <w:sz w:val="14"/>
              </w:rPr>
            </w:pPr>
            <w:r>
              <w:rPr>
                <w:spacing w:val="-2"/>
                <w:sz w:val="14"/>
              </w:rPr>
              <w:t>28,916</w:t>
            </w:r>
          </w:p>
        </w:tc>
        <w:tc>
          <w:tcPr>
            <w:tcW w:w="963" w:type="dxa"/>
            <w:tcBorders>
              <w:top w:val="single" w:sz="2" w:space="0" w:color="000000"/>
              <w:left w:val="single" w:sz="2" w:space="0" w:color="000000"/>
              <w:bottom w:val="single" w:sz="2" w:space="0" w:color="000000"/>
              <w:right w:val="single" w:sz="2" w:space="0" w:color="000000"/>
            </w:tcBorders>
          </w:tcPr>
          <w:p w14:paraId="2F83CDF2" w14:textId="5EDF25BA" w:rsidR="00400729" w:rsidRDefault="00400729" w:rsidP="00400729">
            <w:pPr>
              <w:pStyle w:val="TableParagraph"/>
              <w:spacing w:before="51"/>
              <w:ind w:right="78"/>
              <w:jc w:val="right"/>
              <w:rPr>
                <w:spacing w:val="-10"/>
                <w:sz w:val="14"/>
              </w:rPr>
            </w:pPr>
            <w:r>
              <w:rPr>
                <w:spacing w:val="-10"/>
                <w:sz w:val="14"/>
              </w:rPr>
              <w:t>–</w:t>
            </w:r>
          </w:p>
        </w:tc>
        <w:tc>
          <w:tcPr>
            <w:tcW w:w="963" w:type="dxa"/>
            <w:tcBorders>
              <w:top w:val="single" w:sz="2" w:space="0" w:color="000000"/>
              <w:left w:val="single" w:sz="2" w:space="0" w:color="000000"/>
              <w:bottom w:val="single" w:sz="2" w:space="0" w:color="000000"/>
              <w:right w:val="single" w:sz="2" w:space="0" w:color="000000"/>
            </w:tcBorders>
          </w:tcPr>
          <w:p w14:paraId="6E808811" w14:textId="31B749BB" w:rsidR="00400729" w:rsidRDefault="00400729" w:rsidP="00400729">
            <w:pPr>
              <w:pStyle w:val="TableParagraph"/>
              <w:spacing w:before="51"/>
              <w:ind w:right="77"/>
              <w:jc w:val="right"/>
              <w:rPr>
                <w:spacing w:val="-10"/>
                <w:sz w:val="14"/>
              </w:rPr>
            </w:pPr>
            <w:r>
              <w:rPr>
                <w:spacing w:val="-10"/>
                <w:sz w:val="14"/>
              </w:rPr>
              <w:t>–</w:t>
            </w:r>
          </w:p>
        </w:tc>
        <w:tc>
          <w:tcPr>
            <w:tcW w:w="1076" w:type="dxa"/>
            <w:tcBorders>
              <w:top w:val="single" w:sz="2" w:space="0" w:color="000000"/>
              <w:left w:val="single" w:sz="2" w:space="0" w:color="000000"/>
              <w:bottom w:val="single" w:sz="2" w:space="0" w:color="000000"/>
              <w:right w:val="single" w:sz="2" w:space="0" w:color="000000"/>
            </w:tcBorders>
          </w:tcPr>
          <w:p w14:paraId="53F0D522" w14:textId="5F9459C2" w:rsidR="00400729" w:rsidRDefault="00400729" w:rsidP="00400729">
            <w:pPr>
              <w:pStyle w:val="TableParagraph"/>
              <w:spacing w:before="51"/>
              <w:ind w:right="85"/>
              <w:jc w:val="right"/>
              <w:rPr>
                <w:spacing w:val="-2"/>
                <w:sz w:val="14"/>
              </w:rPr>
            </w:pPr>
            <w:r>
              <w:rPr>
                <w:spacing w:val="-2"/>
                <w:sz w:val="14"/>
              </w:rPr>
              <w:t>3,470</w:t>
            </w:r>
          </w:p>
        </w:tc>
        <w:tc>
          <w:tcPr>
            <w:tcW w:w="963" w:type="dxa"/>
            <w:tcBorders>
              <w:top w:val="single" w:sz="2" w:space="0" w:color="000000"/>
              <w:left w:val="single" w:sz="2" w:space="0" w:color="000000"/>
              <w:bottom w:val="single" w:sz="2" w:space="0" w:color="000000"/>
              <w:right w:val="single" w:sz="2" w:space="0" w:color="000000"/>
            </w:tcBorders>
          </w:tcPr>
          <w:p w14:paraId="592D54FD" w14:textId="5944449C" w:rsidR="00400729" w:rsidRDefault="00400729" w:rsidP="00400729">
            <w:pPr>
              <w:pStyle w:val="TableParagraph"/>
              <w:spacing w:before="51"/>
              <w:ind w:right="75"/>
              <w:jc w:val="right"/>
              <w:rPr>
                <w:spacing w:val="-10"/>
                <w:sz w:val="14"/>
              </w:rPr>
            </w:pPr>
            <w:r>
              <w:rPr>
                <w:spacing w:val="-10"/>
                <w:sz w:val="14"/>
              </w:rPr>
              <w:t>–</w:t>
            </w:r>
          </w:p>
        </w:tc>
        <w:tc>
          <w:tcPr>
            <w:tcW w:w="963" w:type="dxa"/>
            <w:tcBorders>
              <w:top w:val="single" w:sz="2" w:space="0" w:color="000000"/>
              <w:left w:val="single" w:sz="2" w:space="0" w:color="000000"/>
              <w:bottom w:val="single" w:sz="2" w:space="0" w:color="000000"/>
              <w:right w:val="single" w:sz="2" w:space="0" w:color="000000"/>
            </w:tcBorders>
          </w:tcPr>
          <w:p w14:paraId="3B224D5F" w14:textId="2B090C69" w:rsidR="00400729" w:rsidRDefault="00400729" w:rsidP="00400729">
            <w:pPr>
              <w:pStyle w:val="TableParagraph"/>
              <w:spacing w:before="51"/>
              <w:ind w:right="74"/>
              <w:jc w:val="right"/>
              <w:rPr>
                <w:spacing w:val="-10"/>
                <w:sz w:val="14"/>
              </w:rPr>
            </w:pPr>
            <w:r>
              <w:rPr>
                <w:spacing w:val="-10"/>
                <w:sz w:val="14"/>
              </w:rPr>
              <w:t>–</w:t>
            </w:r>
          </w:p>
        </w:tc>
        <w:tc>
          <w:tcPr>
            <w:tcW w:w="963" w:type="dxa"/>
            <w:tcBorders>
              <w:top w:val="single" w:sz="2" w:space="0" w:color="000000"/>
              <w:left w:val="single" w:sz="2" w:space="0" w:color="000000"/>
              <w:bottom w:val="single" w:sz="2" w:space="0" w:color="000000"/>
              <w:right w:val="single" w:sz="2" w:space="0" w:color="000000"/>
            </w:tcBorders>
          </w:tcPr>
          <w:p w14:paraId="2DFEF8B9" w14:textId="152DD5AA" w:rsidR="00400729" w:rsidRDefault="00400729" w:rsidP="00400729">
            <w:pPr>
              <w:pStyle w:val="TableParagraph"/>
              <w:spacing w:before="51"/>
              <w:ind w:right="73"/>
              <w:jc w:val="right"/>
              <w:rPr>
                <w:spacing w:val="-10"/>
                <w:sz w:val="14"/>
              </w:rPr>
            </w:pPr>
            <w:r>
              <w:rPr>
                <w:spacing w:val="-10"/>
                <w:sz w:val="14"/>
              </w:rPr>
              <w:t>–</w:t>
            </w:r>
          </w:p>
        </w:tc>
        <w:tc>
          <w:tcPr>
            <w:tcW w:w="1076" w:type="dxa"/>
            <w:tcBorders>
              <w:top w:val="single" w:sz="2" w:space="0" w:color="000000"/>
              <w:left w:val="single" w:sz="2" w:space="0" w:color="000000"/>
              <w:bottom w:val="single" w:sz="2" w:space="0" w:color="000000"/>
              <w:right w:val="nil"/>
            </w:tcBorders>
          </w:tcPr>
          <w:p w14:paraId="2998A86D" w14:textId="1A6A931B" w:rsidR="00400729" w:rsidRDefault="00400729" w:rsidP="00400729">
            <w:pPr>
              <w:pStyle w:val="TableParagraph"/>
              <w:spacing w:before="51"/>
              <w:ind w:right="75"/>
              <w:jc w:val="right"/>
              <w:rPr>
                <w:spacing w:val="-2"/>
                <w:sz w:val="14"/>
              </w:rPr>
            </w:pPr>
            <w:r>
              <w:rPr>
                <w:spacing w:val="-2"/>
                <w:sz w:val="14"/>
              </w:rPr>
              <w:t>32,386</w:t>
            </w:r>
          </w:p>
        </w:tc>
      </w:tr>
      <w:tr w:rsidR="00400729" w14:paraId="59C40053" w14:textId="77777777">
        <w:trPr>
          <w:trHeight w:val="505"/>
        </w:trPr>
        <w:tc>
          <w:tcPr>
            <w:tcW w:w="1417" w:type="dxa"/>
            <w:tcBorders>
              <w:top w:val="single" w:sz="2" w:space="0" w:color="000000"/>
              <w:left w:val="nil"/>
              <w:bottom w:val="single" w:sz="2" w:space="0" w:color="000000"/>
              <w:right w:val="single" w:sz="2" w:space="0" w:color="000000"/>
            </w:tcBorders>
          </w:tcPr>
          <w:p w14:paraId="223569DC" w14:textId="059A3D11" w:rsidR="00400729" w:rsidRDefault="00400729" w:rsidP="00400729">
            <w:pPr>
              <w:pStyle w:val="TableParagraph"/>
              <w:spacing w:before="51"/>
              <w:ind w:left="56"/>
              <w:rPr>
                <w:sz w:val="14"/>
              </w:rPr>
            </w:pPr>
            <w:r>
              <w:rPr>
                <w:sz w:val="14"/>
              </w:rPr>
              <w:t>Peter</w:t>
            </w:r>
            <w:r>
              <w:rPr>
                <w:spacing w:val="3"/>
                <w:sz w:val="14"/>
              </w:rPr>
              <w:t xml:space="preserve"> </w:t>
            </w:r>
            <w:r>
              <w:rPr>
                <w:spacing w:val="-2"/>
                <w:sz w:val="14"/>
              </w:rPr>
              <w:t>McClellan</w:t>
            </w:r>
          </w:p>
        </w:tc>
        <w:tc>
          <w:tcPr>
            <w:tcW w:w="850" w:type="dxa"/>
            <w:tcBorders>
              <w:top w:val="single" w:sz="2" w:space="0" w:color="000000"/>
              <w:left w:val="single" w:sz="2" w:space="0" w:color="000000"/>
              <w:bottom w:val="single" w:sz="2" w:space="0" w:color="000000"/>
              <w:right w:val="single" w:sz="2" w:space="0" w:color="000000"/>
            </w:tcBorders>
          </w:tcPr>
          <w:p w14:paraId="762AD065" w14:textId="092568E1" w:rsidR="00400729" w:rsidRDefault="00400729" w:rsidP="00400729">
            <w:pPr>
              <w:pStyle w:val="TableParagraph"/>
              <w:spacing w:before="51"/>
              <w:ind w:left="54"/>
              <w:rPr>
                <w:sz w:val="14"/>
              </w:rPr>
            </w:pPr>
            <w:r>
              <w:rPr>
                <w:spacing w:val="-2"/>
                <w:sz w:val="14"/>
              </w:rPr>
              <w:t>Board</w:t>
            </w:r>
            <w:r>
              <w:rPr>
                <w:spacing w:val="40"/>
                <w:sz w:val="14"/>
              </w:rPr>
              <w:t xml:space="preserve"> </w:t>
            </w:r>
            <w:r>
              <w:rPr>
                <w:spacing w:val="-2"/>
                <w:sz w:val="14"/>
              </w:rPr>
              <w:t>Member</w:t>
            </w:r>
          </w:p>
        </w:tc>
        <w:tc>
          <w:tcPr>
            <w:tcW w:w="963" w:type="dxa"/>
            <w:tcBorders>
              <w:top w:val="single" w:sz="2" w:space="0" w:color="000000"/>
              <w:left w:val="single" w:sz="2" w:space="0" w:color="000000"/>
              <w:bottom w:val="single" w:sz="2" w:space="0" w:color="000000"/>
              <w:right w:val="single" w:sz="2" w:space="0" w:color="000000"/>
            </w:tcBorders>
          </w:tcPr>
          <w:p w14:paraId="6389AABA" w14:textId="7B353FF3" w:rsidR="00400729" w:rsidRDefault="00400729" w:rsidP="00400729">
            <w:pPr>
              <w:pStyle w:val="TableParagraph"/>
              <w:spacing w:before="51"/>
              <w:ind w:right="79"/>
              <w:jc w:val="right"/>
              <w:rPr>
                <w:spacing w:val="-2"/>
                <w:sz w:val="14"/>
              </w:rPr>
            </w:pPr>
            <w:r>
              <w:rPr>
                <w:spacing w:val="-2"/>
                <w:sz w:val="14"/>
              </w:rPr>
              <w:t>28,916</w:t>
            </w:r>
          </w:p>
        </w:tc>
        <w:tc>
          <w:tcPr>
            <w:tcW w:w="963" w:type="dxa"/>
            <w:tcBorders>
              <w:top w:val="single" w:sz="2" w:space="0" w:color="000000"/>
              <w:left w:val="single" w:sz="2" w:space="0" w:color="000000"/>
              <w:bottom w:val="single" w:sz="2" w:space="0" w:color="000000"/>
              <w:right w:val="single" w:sz="2" w:space="0" w:color="000000"/>
            </w:tcBorders>
          </w:tcPr>
          <w:p w14:paraId="33677B1C" w14:textId="44E340AB" w:rsidR="00400729" w:rsidRDefault="00400729" w:rsidP="00400729">
            <w:pPr>
              <w:pStyle w:val="TableParagraph"/>
              <w:spacing w:before="51"/>
              <w:ind w:right="78"/>
              <w:jc w:val="right"/>
              <w:rPr>
                <w:spacing w:val="-10"/>
                <w:sz w:val="14"/>
              </w:rPr>
            </w:pPr>
            <w:r>
              <w:rPr>
                <w:spacing w:val="-10"/>
                <w:sz w:val="14"/>
              </w:rPr>
              <w:t>–</w:t>
            </w:r>
          </w:p>
        </w:tc>
        <w:tc>
          <w:tcPr>
            <w:tcW w:w="963" w:type="dxa"/>
            <w:tcBorders>
              <w:top w:val="single" w:sz="2" w:space="0" w:color="000000"/>
              <w:left w:val="single" w:sz="2" w:space="0" w:color="000000"/>
              <w:bottom w:val="single" w:sz="2" w:space="0" w:color="000000"/>
              <w:right w:val="single" w:sz="2" w:space="0" w:color="000000"/>
            </w:tcBorders>
          </w:tcPr>
          <w:p w14:paraId="23EABD56" w14:textId="5D34AF78" w:rsidR="00400729" w:rsidRDefault="00400729" w:rsidP="00400729">
            <w:pPr>
              <w:pStyle w:val="TableParagraph"/>
              <w:spacing w:before="51"/>
              <w:ind w:right="77"/>
              <w:jc w:val="right"/>
              <w:rPr>
                <w:spacing w:val="-10"/>
                <w:sz w:val="14"/>
              </w:rPr>
            </w:pPr>
            <w:r>
              <w:rPr>
                <w:spacing w:val="-10"/>
                <w:sz w:val="14"/>
              </w:rPr>
              <w:t>–</w:t>
            </w:r>
          </w:p>
        </w:tc>
        <w:tc>
          <w:tcPr>
            <w:tcW w:w="1076" w:type="dxa"/>
            <w:tcBorders>
              <w:top w:val="single" w:sz="2" w:space="0" w:color="000000"/>
              <w:left w:val="single" w:sz="2" w:space="0" w:color="000000"/>
              <w:bottom w:val="single" w:sz="2" w:space="0" w:color="000000"/>
              <w:right w:val="single" w:sz="2" w:space="0" w:color="000000"/>
            </w:tcBorders>
          </w:tcPr>
          <w:p w14:paraId="7F6E4FC0" w14:textId="493C7625" w:rsidR="00400729" w:rsidRDefault="00400729" w:rsidP="00400729">
            <w:pPr>
              <w:pStyle w:val="TableParagraph"/>
              <w:spacing w:before="51"/>
              <w:ind w:right="85"/>
              <w:jc w:val="right"/>
              <w:rPr>
                <w:spacing w:val="-2"/>
                <w:sz w:val="14"/>
              </w:rPr>
            </w:pPr>
            <w:r>
              <w:rPr>
                <w:spacing w:val="-2"/>
                <w:sz w:val="14"/>
              </w:rPr>
              <w:t>3,470</w:t>
            </w:r>
          </w:p>
        </w:tc>
        <w:tc>
          <w:tcPr>
            <w:tcW w:w="963" w:type="dxa"/>
            <w:tcBorders>
              <w:top w:val="single" w:sz="2" w:space="0" w:color="000000"/>
              <w:left w:val="single" w:sz="2" w:space="0" w:color="000000"/>
              <w:bottom w:val="single" w:sz="2" w:space="0" w:color="000000"/>
              <w:right w:val="single" w:sz="2" w:space="0" w:color="000000"/>
            </w:tcBorders>
          </w:tcPr>
          <w:p w14:paraId="45F66BD7" w14:textId="2F8D4455" w:rsidR="00400729" w:rsidRDefault="00400729" w:rsidP="00400729">
            <w:pPr>
              <w:pStyle w:val="TableParagraph"/>
              <w:spacing w:before="51"/>
              <w:ind w:right="75"/>
              <w:jc w:val="right"/>
              <w:rPr>
                <w:spacing w:val="-10"/>
                <w:sz w:val="14"/>
              </w:rPr>
            </w:pPr>
            <w:r>
              <w:rPr>
                <w:spacing w:val="-10"/>
                <w:sz w:val="14"/>
              </w:rPr>
              <w:t>–</w:t>
            </w:r>
          </w:p>
        </w:tc>
        <w:tc>
          <w:tcPr>
            <w:tcW w:w="963" w:type="dxa"/>
            <w:tcBorders>
              <w:top w:val="single" w:sz="2" w:space="0" w:color="000000"/>
              <w:left w:val="single" w:sz="2" w:space="0" w:color="000000"/>
              <w:bottom w:val="single" w:sz="2" w:space="0" w:color="000000"/>
              <w:right w:val="single" w:sz="2" w:space="0" w:color="000000"/>
            </w:tcBorders>
          </w:tcPr>
          <w:p w14:paraId="1993F0F2" w14:textId="59833104" w:rsidR="00400729" w:rsidRDefault="00400729" w:rsidP="00400729">
            <w:pPr>
              <w:pStyle w:val="TableParagraph"/>
              <w:spacing w:before="51"/>
              <w:ind w:right="74"/>
              <w:jc w:val="right"/>
              <w:rPr>
                <w:spacing w:val="-10"/>
                <w:sz w:val="14"/>
              </w:rPr>
            </w:pPr>
            <w:r>
              <w:rPr>
                <w:spacing w:val="-10"/>
                <w:sz w:val="14"/>
              </w:rPr>
              <w:t>–</w:t>
            </w:r>
          </w:p>
        </w:tc>
        <w:tc>
          <w:tcPr>
            <w:tcW w:w="963" w:type="dxa"/>
            <w:tcBorders>
              <w:top w:val="single" w:sz="2" w:space="0" w:color="000000"/>
              <w:left w:val="single" w:sz="2" w:space="0" w:color="000000"/>
              <w:bottom w:val="single" w:sz="2" w:space="0" w:color="000000"/>
              <w:right w:val="single" w:sz="2" w:space="0" w:color="000000"/>
            </w:tcBorders>
          </w:tcPr>
          <w:p w14:paraId="5B8F4596" w14:textId="18FC52E1" w:rsidR="00400729" w:rsidRDefault="00400729" w:rsidP="00400729">
            <w:pPr>
              <w:pStyle w:val="TableParagraph"/>
              <w:spacing w:before="51"/>
              <w:ind w:right="73"/>
              <w:jc w:val="right"/>
              <w:rPr>
                <w:spacing w:val="-10"/>
                <w:sz w:val="14"/>
              </w:rPr>
            </w:pPr>
            <w:r>
              <w:rPr>
                <w:spacing w:val="-10"/>
                <w:sz w:val="14"/>
              </w:rPr>
              <w:t>–</w:t>
            </w:r>
          </w:p>
        </w:tc>
        <w:tc>
          <w:tcPr>
            <w:tcW w:w="1076" w:type="dxa"/>
            <w:tcBorders>
              <w:top w:val="single" w:sz="2" w:space="0" w:color="000000"/>
              <w:left w:val="single" w:sz="2" w:space="0" w:color="000000"/>
              <w:bottom w:val="single" w:sz="2" w:space="0" w:color="000000"/>
              <w:right w:val="nil"/>
            </w:tcBorders>
          </w:tcPr>
          <w:p w14:paraId="226D64E2" w14:textId="23042ED9" w:rsidR="00400729" w:rsidRDefault="00400729" w:rsidP="00400729">
            <w:pPr>
              <w:pStyle w:val="TableParagraph"/>
              <w:spacing w:before="51"/>
              <w:ind w:right="75"/>
              <w:jc w:val="right"/>
              <w:rPr>
                <w:spacing w:val="-2"/>
                <w:sz w:val="14"/>
              </w:rPr>
            </w:pPr>
            <w:r>
              <w:rPr>
                <w:spacing w:val="-2"/>
                <w:sz w:val="14"/>
              </w:rPr>
              <w:t>32,386</w:t>
            </w:r>
          </w:p>
        </w:tc>
      </w:tr>
      <w:tr w:rsidR="00400729" w14:paraId="74F3DE71" w14:textId="77777777">
        <w:trPr>
          <w:trHeight w:val="505"/>
        </w:trPr>
        <w:tc>
          <w:tcPr>
            <w:tcW w:w="1417" w:type="dxa"/>
            <w:tcBorders>
              <w:top w:val="single" w:sz="2" w:space="0" w:color="000000"/>
              <w:left w:val="nil"/>
              <w:bottom w:val="single" w:sz="2" w:space="0" w:color="000000"/>
              <w:right w:val="single" w:sz="2" w:space="0" w:color="000000"/>
            </w:tcBorders>
          </w:tcPr>
          <w:p w14:paraId="61ABB435" w14:textId="7285FBA4" w:rsidR="00400729" w:rsidRDefault="00400729" w:rsidP="00400729">
            <w:pPr>
              <w:pStyle w:val="TableParagraph"/>
              <w:spacing w:before="51"/>
              <w:ind w:left="56"/>
              <w:rPr>
                <w:sz w:val="14"/>
              </w:rPr>
            </w:pPr>
            <w:r>
              <w:rPr>
                <w:sz w:val="14"/>
              </w:rPr>
              <w:t>Leanne</w:t>
            </w:r>
            <w:r>
              <w:rPr>
                <w:spacing w:val="5"/>
                <w:sz w:val="14"/>
              </w:rPr>
              <w:t xml:space="preserve"> </w:t>
            </w:r>
            <w:r>
              <w:rPr>
                <w:spacing w:val="-2"/>
                <w:sz w:val="14"/>
              </w:rPr>
              <w:t>Wells</w:t>
            </w:r>
          </w:p>
        </w:tc>
        <w:tc>
          <w:tcPr>
            <w:tcW w:w="850" w:type="dxa"/>
            <w:tcBorders>
              <w:top w:val="single" w:sz="2" w:space="0" w:color="000000"/>
              <w:left w:val="single" w:sz="2" w:space="0" w:color="000000"/>
              <w:bottom w:val="single" w:sz="2" w:space="0" w:color="000000"/>
              <w:right w:val="single" w:sz="2" w:space="0" w:color="000000"/>
            </w:tcBorders>
          </w:tcPr>
          <w:p w14:paraId="132D413B" w14:textId="1913C75B" w:rsidR="00400729" w:rsidRDefault="00400729" w:rsidP="00400729">
            <w:pPr>
              <w:pStyle w:val="TableParagraph"/>
              <w:spacing w:before="51"/>
              <w:ind w:left="54"/>
              <w:rPr>
                <w:sz w:val="14"/>
              </w:rPr>
            </w:pPr>
            <w:r>
              <w:rPr>
                <w:spacing w:val="-2"/>
                <w:sz w:val="14"/>
              </w:rPr>
              <w:t>Board</w:t>
            </w:r>
            <w:r>
              <w:rPr>
                <w:spacing w:val="40"/>
                <w:sz w:val="14"/>
              </w:rPr>
              <w:t xml:space="preserve"> </w:t>
            </w:r>
            <w:r>
              <w:rPr>
                <w:spacing w:val="-2"/>
                <w:sz w:val="14"/>
              </w:rPr>
              <w:t>Member</w:t>
            </w:r>
          </w:p>
        </w:tc>
        <w:tc>
          <w:tcPr>
            <w:tcW w:w="963" w:type="dxa"/>
            <w:tcBorders>
              <w:top w:val="single" w:sz="2" w:space="0" w:color="000000"/>
              <w:left w:val="single" w:sz="2" w:space="0" w:color="000000"/>
              <w:bottom w:val="single" w:sz="2" w:space="0" w:color="000000"/>
              <w:right w:val="single" w:sz="2" w:space="0" w:color="000000"/>
            </w:tcBorders>
          </w:tcPr>
          <w:p w14:paraId="4A2C1E18" w14:textId="26D39C71" w:rsidR="00400729" w:rsidRDefault="00400729" w:rsidP="00400729">
            <w:pPr>
              <w:pStyle w:val="TableParagraph"/>
              <w:spacing w:before="51"/>
              <w:ind w:right="79"/>
              <w:jc w:val="right"/>
              <w:rPr>
                <w:spacing w:val="-2"/>
                <w:sz w:val="14"/>
              </w:rPr>
            </w:pPr>
            <w:r>
              <w:rPr>
                <w:spacing w:val="-2"/>
                <w:sz w:val="14"/>
              </w:rPr>
              <w:t>28,916</w:t>
            </w:r>
          </w:p>
        </w:tc>
        <w:tc>
          <w:tcPr>
            <w:tcW w:w="963" w:type="dxa"/>
            <w:tcBorders>
              <w:top w:val="single" w:sz="2" w:space="0" w:color="000000"/>
              <w:left w:val="single" w:sz="2" w:space="0" w:color="000000"/>
              <w:bottom w:val="single" w:sz="2" w:space="0" w:color="000000"/>
              <w:right w:val="single" w:sz="2" w:space="0" w:color="000000"/>
            </w:tcBorders>
          </w:tcPr>
          <w:p w14:paraId="198B5843" w14:textId="1F255F3D" w:rsidR="00400729" w:rsidRDefault="00400729" w:rsidP="00400729">
            <w:pPr>
              <w:pStyle w:val="TableParagraph"/>
              <w:spacing w:before="51"/>
              <w:ind w:right="78"/>
              <w:jc w:val="right"/>
              <w:rPr>
                <w:spacing w:val="-10"/>
                <w:sz w:val="14"/>
              </w:rPr>
            </w:pPr>
            <w:r>
              <w:rPr>
                <w:spacing w:val="-10"/>
                <w:sz w:val="14"/>
              </w:rPr>
              <w:t>–</w:t>
            </w:r>
          </w:p>
        </w:tc>
        <w:tc>
          <w:tcPr>
            <w:tcW w:w="963" w:type="dxa"/>
            <w:tcBorders>
              <w:top w:val="single" w:sz="2" w:space="0" w:color="000000"/>
              <w:left w:val="single" w:sz="2" w:space="0" w:color="000000"/>
              <w:bottom w:val="single" w:sz="2" w:space="0" w:color="000000"/>
              <w:right w:val="single" w:sz="2" w:space="0" w:color="000000"/>
            </w:tcBorders>
          </w:tcPr>
          <w:p w14:paraId="11C5B824" w14:textId="77C365DF" w:rsidR="00400729" w:rsidRDefault="00400729" w:rsidP="00400729">
            <w:pPr>
              <w:pStyle w:val="TableParagraph"/>
              <w:spacing w:before="51"/>
              <w:ind w:right="77"/>
              <w:jc w:val="right"/>
              <w:rPr>
                <w:spacing w:val="-10"/>
                <w:sz w:val="14"/>
              </w:rPr>
            </w:pPr>
            <w:r>
              <w:rPr>
                <w:spacing w:val="-10"/>
                <w:sz w:val="14"/>
              </w:rPr>
              <w:t>–</w:t>
            </w:r>
          </w:p>
        </w:tc>
        <w:tc>
          <w:tcPr>
            <w:tcW w:w="1076" w:type="dxa"/>
            <w:tcBorders>
              <w:top w:val="single" w:sz="2" w:space="0" w:color="000000"/>
              <w:left w:val="single" w:sz="2" w:space="0" w:color="000000"/>
              <w:bottom w:val="single" w:sz="2" w:space="0" w:color="000000"/>
              <w:right w:val="single" w:sz="2" w:space="0" w:color="000000"/>
            </w:tcBorders>
          </w:tcPr>
          <w:p w14:paraId="69360096" w14:textId="1E281D7D" w:rsidR="00400729" w:rsidRDefault="00400729" w:rsidP="00400729">
            <w:pPr>
              <w:pStyle w:val="TableParagraph"/>
              <w:spacing w:before="51"/>
              <w:ind w:right="85"/>
              <w:jc w:val="right"/>
              <w:rPr>
                <w:spacing w:val="-2"/>
                <w:sz w:val="14"/>
              </w:rPr>
            </w:pPr>
            <w:r>
              <w:rPr>
                <w:spacing w:val="-2"/>
                <w:sz w:val="14"/>
              </w:rPr>
              <w:t>3,470</w:t>
            </w:r>
          </w:p>
        </w:tc>
        <w:tc>
          <w:tcPr>
            <w:tcW w:w="963" w:type="dxa"/>
            <w:tcBorders>
              <w:top w:val="single" w:sz="2" w:space="0" w:color="000000"/>
              <w:left w:val="single" w:sz="2" w:space="0" w:color="000000"/>
              <w:bottom w:val="single" w:sz="2" w:space="0" w:color="000000"/>
              <w:right w:val="single" w:sz="2" w:space="0" w:color="000000"/>
            </w:tcBorders>
          </w:tcPr>
          <w:p w14:paraId="57C16D95" w14:textId="04001975" w:rsidR="00400729" w:rsidRDefault="00400729" w:rsidP="00400729">
            <w:pPr>
              <w:pStyle w:val="TableParagraph"/>
              <w:spacing w:before="51"/>
              <w:ind w:right="75"/>
              <w:jc w:val="right"/>
              <w:rPr>
                <w:spacing w:val="-10"/>
                <w:sz w:val="14"/>
              </w:rPr>
            </w:pPr>
            <w:r>
              <w:rPr>
                <w:spacing w:val="-10"/>
                <w:sz w:val="14"/>
              </w:rPr>
              <w:t>–</w:t>
            </w:r>
          </w:p>
        </w:tc>
        <w:tc>
          <w:tcPr>
            <w:tcW w:w="963" w:type="dxa"/>
            <w:tcBorders>
              <w:top w:val="single" w:sz="2" w:space="0" w:color="000000"/>
              <w:left w:val="single" w:sz="2" w:space="0" w:color="000000"/>
              <w:bottom w:val="single" w:sz="2" w:space="0" w:color="000000"/>
              <w:right w:val="single" w:sz="2" w:space="0" w:color="000000"/>
            </w:tcBorders>
          </w:tcPr>
          <w:p w14:paraId="3295C6F8" w14:textId="12DD5734" w:rsidR="00400729" w:rsidRDefault="00400729" w:rsidP="00400729">
            <w:pPr>
              <w:pStyle w:val="TableParagraph"/>
              <w:spacing w:before="51"/>
              <w:ind w:right="74"/>
              <w:jc w:val="right"/>
              <w:rPr>
                <w:spacing w:val="-10"/>
                <w:sz w:val="14"/>
              </w:rPr>
            </w:pPr>
            <w:r>
              <w:rPr>
                <w:spacing w:val="-10"/>
                <w:sz w:val="14"/>
              </w:rPr>
              <w:t>–</w:t>
            </w:r>
          </w:p>
        </w:tc>
        <w:tc>
          <w:tcPr>
            <w:tcW w:w="963" w:type="dxa"/>
            <w:tcBorders>
              <w:top w:val="single" w:sz="2" w:space="0" w:color="000000"/>
              <w:left w:val="single" w:sz="2" w:space="0" w:color="000000"/>
              <w:bottom w:val="single" w:sz="2" w:space="0" w:color="000000"/>
              <w:right w:val="single" w:sz="2" w:space="0" w:color="000000"/>
            </w:tcBorders>
          </w:tcPr>
          <w:p w14:paraId="36FEE9C4" w14:textId="5067141F" w:rsidR="00400729" w:rsidRDefault="00400729" w:rsidP="00400729">
            <w:pPr>
              <w:pStyle w:val="TableParagraph"/>
              <w:spacing w:before="51"/>
              <w:ind w:right="73"/>
              <w:jc w:val="right"/>
              <w:rPr>
                <w:spacing w:val="-10"/>
                <w:sz w:val="14"/>
              </w:rPr>
            </w:pPr>
            <w:r>
              <w:rPr>
                <w:spacing w:val="-10"/>
                <w:sz w:val="14"/>
              </w:rPr>
              <w:t>–</w:t>
            </w:r>
          </w:p>
        </w:tc>
        <w:tc>
          <w:tcPr>
            <w:tcW w:w="1076" w:type="dxa"/>
            <w:tcBorders>
              <w:top w:val="single" w:sz="2" w:space="0" w:color="000000"/>
              <w:left w:val="single" w:sz="2" w:space="0" w:color="000000"/>
              <w:bottom w:val="single" w:sz="2" w:space="0" w:color="000000"/>
              <w:right w:val="nil"/>
            </w:tcBorders>
          </w:tcPr>
          <w:p w14:paraId="6C5ADD97" w14:textId="1D7BC5E0" w:rsidR="00400729" w:rsidRDefault="00400729" w:rsidP="00400729">
            <w:pPr>
              <w:pStyle w:val="TableParagraph"/>
              <w:spacing w:before="51"/>
              <w:ind w:right="75"/>
              <w:jc w:val="right"/>
              <w:rPr>
                <w:spacing w:val="-2"/>
                <w:sz w:val="14"/>
              </w:rPr>
            </w:pPr>
            <w:r>
              <w:rPr>
                <w:spacing w:val="-2"/>
                <w:sz w:val="14"/>
              </w:rPr>
              <w:t>32,386</w:t>
            </w:r>
          </w:p>
        </w:tc>
      </w:tr>
      <w:tr w:rsidR="00400729" w14:paraId="506A11FD" w14:textId="77777777">
        <w:trPr>
          <w:trHeight w:val="505"/>
        </w:trPr>
        <w:tc>
          <w:tcPr>
            <w:tcW w:w="1417" w:type="dxa"/>
            <w:tcBorders>
              <w:top w:val="single" w:sz="2" w:space="0" w:color="000000"/>
              <w:left w:val="nil"/>
              <w:bottom w:val="single" w:sz="2" w:space="0" w:color="000000"/>
              <w:right w:val="single" w:sz="2" w:space="0" w:color="000000"/>
            </w:tcBorders>
          </w:tcPr>
          <w:p w14:paraId="52E30EB5" w14:textId="3062E955" w:rsidR="00400729" w:rsidRDefault="00400729" w:rsidP="00400729">
            <w:pPr>
              <w:pStyle w:val="TableParagraph"/>
              <w:spacing w:before="51"/>
              <w:ind w:left="56"/>
              <w:rPr>
                <w:sz w:val="14"/>
              </w:rPr>
            </w:pPr>
            <w:r>
              <w:rPr>
                <w:sz w:val="14"/>
              </w:rPr>
              <w:t>Alicia</w:t>
            </w:r>
            <w:r>
              <w:rPr>
                <w:spacing w:val="10"/>
                <w:sz w:val="14"/>
              </w:rPr>
              <w:t xml:space="preserve"> </w:t>
            </w:r>
            <w:r>
              <w:rPr>
                <w:spacing w:val="-2"/>
                <w:sz w:val="14"/>
              </w:rPr>
              <w:t>Veasey</w:t>
            </w:r>
          </w:p>
        </w:tc>
        <w:tc>
          <w:tcPr>
            <w:tcW w:w="850" w:type="dxa"/>
            <w:tcBorders>
              <w:top w:val="single" w:sz="2" w:space="0" w:color="000000"/>
              <w:left w:val="single" w:sz="2" w:space="0" w:color="000000"/>
              <w:bottom w:val="single" w:sz="2" w:space="0" w:color="000000"/>
              <w:right w:val="single" w:sz="2" w:space="0" w:color="000000"/>
            </w:tcBorders>
          </w:tcPr>
          <w:p w14:paraId="6BB81A4E" w14:textId="5D9E3C3E" w:rsidR="00400729" w:rsidRDefault="00400729" w:rsidP="00400729">
            <w:pPr>
              <w:pStyle w:val="TableParagraph"/>
              <w:spacing w:before="51"/>
              <w:ind w:left="54"/>
              <w:rPr>
                <w:sz w:val="14"/>
              </w:rPr>
            </w:pPr>
            <w:r>
              <w:rPr>
                <w:spacing w:val="-2"/>
                <w:sz w:val="14"/>
              </w:rPr>
              <w:t>Board</w:t>
            </w:r>
            <w:r>
              <w:rPr>
                <w:spacing w:val="40"/>
                <w:sz w:val="14"/>
              </w:rPr>
              <w:t xml:space="preserve"> </w:t>
            </w:r>
            <w:r>
              <w:rPr>
                <w:spacing w:val="-2"/>
                <w:sz w:val="14"/>
              </w:rPr>
              <w:t>Member</w:t>
            </w:r>
          </w:p>
        </w:tc>
        <w:tc>
          <w:tcPr>
            <w:tcW w:w="963" w:type="dxa"/>
            <w:tcBorders>
              <w:top w:val="single" w:sz="2" w:space="0" w:color="000000"/>
              <w:left w:val="single" w:sz="2" w:space="0" w:color="000000"/>
              <w:bottom w:val="single" w:sz="2" w:space="0" w:color="000000"/>
              <w:right w:val="single" w:sz="2" w:space="0" w:color="000000"/>
            </w:tcBorders>
          </w:tcPr>
          <w:p w14:paraId="10D61966" w14:textId="1A79F29D" w:rsidR="00400729" w:rsidRDefault="00400729" w:rsidP="00400729">
            <w:pPr>
              <w:pStyle w:val="TableParagraph"/>
              <w:spacing w:before="51"/>
              <w:ind w:right="79"/>
              <w:jc w:val="right"/>
              <w:rPr>
                <w:spacing w:val="-2"/>
                <w:sz w:val="14"/>
              </w:rPr>
            </w:pPr>
            <w:r>
              <w:rPr>
                <w:spacing w:val="-2"/>
                <w:sz w:val="14"/>
              </w:rPr>
              <w:t>28,916</w:t>
            </w:r>
          </w:p>
        </w:tc>
        <w:tc>
          <w:tcPr>
            <w:tcW w:w="963" w:type="dxa"/>
            <w:tcBorders>
              <w:top w:val="single" w:sz="2" w:space="0" w:color="000000"/>
              <w:left w:val="single" w:sz="2" w:space="0" w:color="000000"/>
              <w:bottom w:val="single" w:sz="2" w:space="0" w:color="000000"/>
              <w:right w:val="single" w:sz="2" w:space="0" w:color="000000"/>
            </w:tcBorders>
          </w:tcPr>
          <w:p w14:paraId="009929A9" w14:textId="535D2D94" w:rsidR="00400729" w:rsidRDefault="00400729" w:rsidP="00400729">
            <w:pPr>
              <w:pStyle w:val="TableParagraph"/>
              <w:spacing w:before="51"/>
              <w:ind w:right="78"/>
              <w:jc w:val="right"/>
              <w:rPr>
                <w:spacing w:val="-10"/>
                <w:sz w:val="14"/>
              </w:rPr>
            </w:pPr>
            <w:r>
              <w:rPr>
                <w:spacing w:val="-10"/>
                <w:sz w:val="14"/>
              </w:rPr>
              <w:t>–</w:t>
            </w:r>
          </w:p>
        </w:tc>
        <w:tc>
          <w:tcPr>
            <w:tcW w:w="963" w:type="dxa"/>
            <w:tcBorders>
              <w:top w:val="single" w:sz="2" w:space="0" w:color="000000"/>
              <w:left w:val="single" w:sz="2" w:space="0" w:color="000000"/>
              <w:bottom w:val="single" w:sz="2" w:space="0" w:color="000000"/>
              <w:right w:val="single" w:sz="2" w:space="0" w:color="000000"/>
            </w:tcBorders>
          </w:tcPr>
          <w:p w14:paraId="0EDFF670" w14:textId="38AA579D" w:rsidR="00400729" w:rsidRDefault="00400729" w:rsidP="00400729">
            <w:pPr>
              <w:pStyle w:val="TableParagraph"/>
              <w:spacing w:before="51"/>
              <w:ind w:right="77"/>
              <w:jc w:val="right"/>
              <w:rPr>
                <w:spacing w:val="-10"/>
                <w:sz w:val="14"/>
              </w:rPr>
            </w:pPr>
            <w:r>
              <w:rPr>
                <w:spacing w:val="-10"/>
                <w:sz w:val="14"/>
              </w:rPr>
              <w:t>–</w:t>
            </w:r>
          </w:p>
        </w:tc>
        <w:tc>
          <w:tcPr>
            <w:tcW w:w="1076" w:type="dxa"/>
            <w:tcBorders>
              <w:top w:val="single" w:sz="2" w:space="0" w:color="000000"/>
              <w:left w:val="single" w:sz="2" w:space="0" w:color="000000"/>
              <w:bottom w:val="single" w:sz="2" w:space="0" w:color="000000"/>
              <w:right w:val="single" w:sz="2" w:space="0" w:color="000000"/>
            </w:tcBorders>
          </w:tcPr>
          <w:p w14:paraId="40FDE973" w14:textId="79EFFB7F" w:rsidR="00400729" w:rsidRDefault="00400729" w:rsidP="00400729">
            <w:pPr>
              <w:pStyle w:val="TableParagraph"/>
              <w:spacing w:before="51"/>
              <w:ind w:right="85"/>
              <w:jc w:val="right"/>
              <w:rPr>
                <w:spacing w:val="-2"/>
                <w:sz w:val="14"/>
              </w:rPr>
            </w:pPr>
            <w:r>
              <w:rPr>
                <w:spacing w:val="-2"/>
                <w:sz w:val="14"/>
              </w:rPr>
              <w:t>3,470</w:t>
            </w:r>
          </w:p>
        </w:tc>
        <w:tc>
          <w:tcPr>
            <w:tcW w:w="963" w:type="dxa"/>
            <w:tcBorders>
              <w:top w:val="single" w:sz="2" w:space="0" w:color="000000"/>
              <w:left w:val="single" w:sz="2" w:space="0" w:color="000000"/>
              <w:bottom w:val="single" w:sz="2" w:space="0" w:color="000000"/>
              <w:right w:val="single" w:sz="2" w:space="0" w:color="000000"/>
            </w:tcBorders>
          </w:tcPr>
          <w:p w14:paraId="67F1C00C" w14:textId="069032B3" w:rsidR="00400729" w:rsidRDefault="00400729" w:rsidP="00400729">
            <w:pPr>
              <w:pStyle w:val="TableParagraph"/>
              <w:spacing w:before="51"/>
              <w:ind w:right="75"/>
              <w:jc w:val="right"/>
              <w:rPr>
                <w:spacing w:val="-10"/>
                <w:sz w:val="14"/>
              </w:rPr>
            </w:pPr>
            <w:r>
              <w:rPr>
                <w:spacing w:val="-10"/>
                <w:sz w:val="14"/>
              </w:rPr>
              <w:t>–</w:t>
            </w:r>
          </w:p>
        </w:tc>
        <w:tc>
          <w:tcPr>
            <w:tcW w:w="963" w:type="dxa"/>
            <w:tcBorders>
              <w:top w:val="single" w:sz="2" w:space="0" w:color="000000"/>
              <w:left w:val="single" w:sz="2" w:space="0" w:color="000000"/>
              <w:bottom w:val="single" w:sz="2" w:space="0" w:color="000000"/>
              <w:right w:val="single" w:sz="2" w:space="0" w:color="000000"/>
            </w:tcBorders>
          </w:tcPr>
          <w:p w14:paraId="406177A8" w14:textId="64F59E5E" w:rsidR="00400729" w:rsidRDefault="00400729" w:rsidP="00400729">
            <w:pPr>
              <w:pStyle w:val="TableParagraph"/>
              <w:spacing w:before="51"/>
              <w:ind w:right="74"/>
              <w:jc w:val="right"/>
              <w:rPr>
                <w:spacing w:val="-10"/>
                <w:sz w:val="14"/>
              </w:rPr>
            </w:pPr>
            <w:r>
              <w:rPr>
                <w:spacing w:val="-10"/>
                <w:sz w:val="14"/>
              </w:rPr>
              <w:t>–</w:t>
            </w:r>
          </w:p>
        </w:tc>
        <w:tc>
          <w:tcPr>
            <w:tcW w:w="963" w:type="dxa"/>
            <w:tcBorders>
              <w:top w:val="single" w:sz="2" w:space="0" w:color="000000"/>
              <w:left w:val="single" w:sz="2" w:space="0" w:color="000000"/>
              <w:bottom w:val="single" w:sz="2" w:space="0" w:color="000000"/>
              <w:right w:val="single" w:sz="2" w:space="0" w:color="000000"/>
            </w:tcBorders>
          </w:tcPr>
          <w:p w14:paraId="76384610" w14:textId="3DC975D5" w:rsidR="00400729" w:rsidRDefault="00400729" w:rsidP="00400729">
            <w:pPr>
              <w:pStyle w:val="TableParagraph"/>
              <w:spacing w:before="51"/>
              <w:ind w:right="73"/>
              <w:jc w:val="right"/>
              <w:rPr>
                <w:spacing w:val="-10"/>
                <w:sz w:val="14"/>
              </w:rPr>
            </w:pPr>
            <w:r>
              <w:rPr>
                <w:spacing w:val="-10"/>
                <w:sz w:val="14"/>
              </w:rPr>
              <w:t>–</w:t>
            </w:r>
          </w:p>
        </w:tc>
        <w:tc>
          <w:tcPr>
            <w:tcW w:w="1076" w:type="dxa"/>
            <w:tcBorders>
              <w:top w:val="single" w:sz="2" w:space="0" w:color="000000"/>
              <w:left w:val="single" w:sz="2" w:space="0" w:color="000000"/>
              <w:bottom w:val="single" w:sz="2" w:space="0" w:color="000000"/>
              <w:right w:val="nil"/>
            </w:tcBorders>
          </w:tcPr>
          <w:p w14:paraId="67E4D270" w14:textId="74BA459E" w:rsidR="00400729" w:rsidRDefault="00400729" w:rsidP="00400729">
            <w:pPr>
              <w:pStyle w:val="TableParagraph"/>
              <w:spacing w:before="51"/>
              <w:ind w:right="75"/>
              <w:jc w:val="right"/>
              <w:rPr>
                <w:spacing w:val="-2"/>
                <w:sz w:val="14"/>
              </w:rPr>
            </w:pPr>
            <w:r>
              <w:rPr>
                <w:spacing w:val="-2"/>
                <w:sz w:val="14"/>
              </w:rPr>
              <w:t>32,386</w:t>
            </w:r>
          </w:p>
        </w:tc>
      </w:tr>
      <w:tr w:rsidR="00400729" w14:paraId="3ACB5D62" w14:textId="77777777">
        <w:trPr>
          <w:trHeight w:val="505"/>
        </w:trPr>
        <w:tc>
          <w:tcPr>
            <w:tcW w:w="1417" w:type="dxa"/>
            <w:tcBorders>
              <w:top w:val="single" w:sz="2" w:space="0" w:color="000000"/>
              <w:left w:val="nil"/>
              <w:bottom w:val="single" w:sz="2" w:space="0" w:color="000000"/>
              <w:right w:val="single" w:sz="2" w:space="0" w:color="000000"/>
            </w:tcBorders>
          </w:tcPr>
          <w:p w14:paraId="7D2D6A91" w14:textId="290DA50D" w:rsidR="00400729" w:rsidRDefault="00400729" w:rsidP="00400729">
            <w:pPr>
              <w:pStyle w:val="TableParagraph"/>
              <w:spacing w:before="51"/>
              <w:ind w:left="56"/>
              <w:rPr>
                <w:sz w:val="14"/>
              </w:rPr>
            </w:pPr>
            <w:r>
              <w:rPr>
                <w:sz w:val="14"/>
              </w:rPr>
              <w:t>Jeffrey</w:t>
            </w:r>
            <w:r>
              <w:rPr>
                <w:spacing w:val="14"/>
                <w:sz w:val="14"/>
              </w:rPr>
              <w:t xml:space="preserve"> </w:t>
            </w:r>
            <w:r>
              <w:rPr>
                <w:spacing w:val="-2"/>
                <w:sz w:val="14"/>
              </w:rPr>
              <w:t>Braithwaite</w:t>
            </w:r>
          </w:p>
        </w:tc>
        <w:tc>
          <w:tcPr>
            <w:tcW w:w="850" w:type="dxa"/>
            <w:tcBorders>
              <w:top w:val="single" w:sz="2" w:space="0" w:color="000000"/>
              <w:left w:val="single" w:sz="2" w:space="0" w:color="000000"/>
              <w:bottom w:val="single" w:sz="2" w:space="0" w:color="000000"/>
              <w:right w:val="single" w:sz="2" w:space="0" w:color="000000"/>
            </w:tcBorders>
          </w:tcPr>
          <w:p w14:paraId="525E48A4" w14:textId="0B81B7DF" w:rsidR="00400729" w:rsidRDefault="00400729" w:rsidP="00400729">
            <w:pPr>
              <w:pStyle w:val="TableParagraph"/>
              <w:spacing w:before="51"/>
              <w:ind w:left="54"/>
              <w:rPr>
                <w:sz w:val="14"/>
              </w:rPr>
            </w:pPr>
            <w:r>
              <w:rPr>
                <w:spacing w:val="-2"/>
                <w:sz w:val="14"/>
              </w:rPr>
              <w:t>Board</w:t>
            </w:r>
            <w:r>
              <w:rPr>
                <w:spacing w:val="40"/>
                <w:sz w:val="14"/>
              </w:rPr>
              <w:t xml:space="preserve"> </w:t>
            </w:r>
            <w:r>
              <w:rPr>
                <w:spacing w:val="-2"/>
                <w:sz w:val="14"/>
              </w:rPr>
              <w:t>Member</w:t>
            </w:r>
          </w:p>
        </w:tc>
        <w:tc>
          <w:tcPr>
            <w:tcW w:w="963" w:type="dxa"/>
            <w:tcBorders>
              <w:top w:val="single" w:sz="2" w:space="0" w:color="000000"/>
              <w:left w:val="single" w:sz="2" w:space="0" w:color="000000"/>
              <w:bottom w:val="single" w:sz="2" w:space="0" w:color="000000"/>
              <w:right w:val="single" w:sz="2" w:space="0" w:color="000000"/>
            </w:tcBorders>
          </w:tcPr>
          <w:p w14:paraId="0615A11C" w14:textId="0A7798D1" w:rsidR="00400729" w:rsidRDefault="00400729" w:rsidP="00400729">
            <w:pPr>
              <w:pStyle w:val="TableParagraph"/>
              <w:spacing w:before="51"/>
              <w:ind w:right="79"/>
              <w:jc w:val="right"/>
              <w:rPr>
                <w:spacing w:val="-2"/>
                <w:sz w:val="14"/>
              </w:rPr>
            </w:pPr>
            <w:r>
              <w:rPr>
                <w:spacing w:val="-2"/>
                <w:sz w:val="14"/>
              </w:rPr>
              <w:t>28,916</w:t>
            </w:r>
          </w:p>
        </w:tc>
        <w:tc>
          <w:tcPr>
            <w:tcW w:w="963" w:type="dxa"/>
            <w:tcBorders>
              <w:top w:val="single" w:sz="2" w:space="0" w:color="000000"/>
              <w:left w:val="single" w:sz="2" w:space="0" w:color="000000"/>
              <w:bottom w:val="single" w:sz="2" w:space="0" w:color="000000"/>
              <w:right w:val="single" w:sz="2" w:space="0" w:color="000000"/>
            </w:tcBorders>
          </w:tcPr>
          <w:p w14:paraId="06D2675F" w14:textId="292E433F" w:rsidR="00400729" w:rsidRDefault="00400729" w:rsidP="00400729">
            <w:pPr>
              <w:pStyle w:val="TableParagraph"/>
              <w:spacing w:before="51"/>
              <w:ind w:right="78"/>
              <w:jc w:val="right"/>
              <w:rPr>
                <w:spacing w:val="-10"/>
                <w:sz w:val="14"/>
              </w:rPr>
            </w:pPr>
            <w:r>
              <w:rPr>
                <w:spacing w:val="-10"/>
                <w:sz w:val="14"/>
              </w:rPr>
              <w:t>–</w:t>
            </w:r>
          </w:p>
        </w:tc>
        <w:tc>
          <w:tcPr>
            <w:tcW w:w="963" w:type="dxa"/>
            <w:tcBorders>
              <w:top w:val="single" w:sz="2" w:space="0" w:color="000000"/>
              <w:left w:val="single" w:sz="2" w:space="0" w:color="000000"/>
              <w:bottom w:val="single" w:sz="2" w:space="0" w:color="000000"/>
              <w:right w:val="single" w:sz="2" w:space="0" w:color="000000"/>
            </w:tcBorders>
          </w:tcPr>
          <w:p w14:paraId="50D463D4" w14:textId="6ED6A000" w:rsidR="00400729" w:rsidRDefault="00400729" w:rsidP="00400729">
            <w:pPr>
              <w:pStyle w:val="TableParagraph"/>
              <w:spacing w:before="51"/>
              <w:ind w:right="77"/>
              <w:jc w:val="right"/>
              <w:rPr>
                <w:spacing w:val="-10"/>
                <w:sz w:val="14"/>
              </w:rPr>
            </w:pPr>
            <w:r>
              <w:rPr>
                <w:spacing w:val="-10"/>
                <w:sz w:val="14"/>
              </w:rPr>
              <w:t>–</w:t>
            </w:r>
          </w:p>
        </w:tc>
        <w:tc>
          <w:tcPr>
            <w:tcW w:w="1076" w:type="dxa"/>
            <w:tcBorders>
              <w:top w:val="single" w:sz="2" w:space="0" w:color="000000"/>
              <w:left w:val="single" w:sz="2" w:space="0" w:color="000000"/>
              <w:bottom w:val="single" w:sz="2" w:space="0" w:color="000000"/>
              <w:right w:val="single" w:sz="2" w:space="0" w:color="000000"/>
            </w:tcBorders>
          </w:tcPr>
          <w:p w14:paraId="7F069E51" w14:textId="3AC51138" w:rsidR="00400729" w:rsidRDefault="00400729" w:rsidP="00400729">
            <w:pPr>
              <w:pStyle w:val="TableParagraph"/>
              <w:spacing w:before="51"/>
              <w:ind w:right="85"/>
              <w:jc w:val="right"/>
              <w:rPr>
                <w:spacing w:val="-2"/>
                <w:sz w:val="14"/>
              </w:rPr>
            </w:pPr>
            <w:r>
              <w:rPr>
                <w:spacing w:val="-2"/>
                <w:sz w:val="14"/>
              </w:rPr>
              <w:t>3,470</w:t>
            </w:r>
          </w:p>
        </w:tc>
        <w:tc>
          <w:tcPr>
            <w:tcW w:w="963" w:type="dxa"/>
            <w:tcBorders>
              <w:top w:val="single" w:sz="2" w:space="0" w:color="000000"/>
              <w:left w:val="single" w:sz="2" w:space="0" w:color="000000"/>
              <w:bottom w:val="single" w:sz="2" w:space="0" w:color="000000"/>
              <w:right w:val="single" w:sz="2" w:space="0" w:color="000000"/>
            </w:tcBorders>
          </w:tcPr>
          <w:p w14:paraId="3BF4959E" w14:textId="35325681" w:rsidR="00400729" w:rsidRDefault="00400729" w:rsidP="00400729">
            <w:pPr>
              <w:pStyle w:val="TableParagraph"/>
              <w:spacing w:before="51"/>
              <w:ind w:right="75"/>
              <w:jc w:val="right"/>
              <w:rPr>
                <w:spacing w:val="-10"/>
                <w:sz w:val="14"/>
              </w:rPr>
            </w:pPr>
            <w:r>
              <w:rPr>
                <w:spacing w:val="-10"/>
                <w:sz w:val="14"/>
              </w:rPr>
              <w:t>–</w:t>
            </w:r>
          </w:p>
        </w:tc>
        <w:tc>
          <w:tcPr>
            <w:tcW w:w="963" w:type="dxa"/>
            <w:tcBorders>
              <w:top w:val="single" w:sz="2" w:space="0" w:color="000000"/>
              <w:left w:val="single" w:sz="2" w:space="0" w:color="000000"/>
              <w:bottom w:val="single" w:sz="2" w:space="0" w:color="000000"/>
              <w:right w:val="single" w:sz="2" w:space="0" w:color="000000"/>
            </w:tcBorders>
          </w:tcPr>
          <w:p w14:paraId="311CA28B" w14:textId="672D5F70" w:rsidR="00400729" w:rsidRDefault="00400729" w:rsidP="00400729">
            <w:pPr>
              <w:pStyle w:val="TableParagraph"/>
              <w:spacing w:before="51"/>
              <w:ind w:right="74"/>
              <w:jc w:val="right"/>
              <w:rPr>
                <w:spacing w:val="-10"/>
                <w:sz w:val="14"/>
              </w:rPr>
            </w:pPr>
            <w:r>
              <w:rPr>
                <w:spacing w:val="-10"/>
                <w:sz w:val="14"/>
              </w:rPr>
              <w:t>–</w:t>
            </w:r>
          </w:p>
        </w:tc>
        <w:tc>
          <w:tcPr>
            <w:tcW w:w="963" w:type="dxa"/>
            <w:tcBorders>
              <w:top w:val="single" w:sz="2" w:space="0" w:color="000000"/>
              <w:left w:val="single" w:sz="2" w:space="0" w:color="000000"/>
              <w:bottom w:val="single" w:sz="2" w:space="0" w:color="000000"/>
              <w:right w:val="single" w:sz="2" w:space="0" w:color="000000"/>
            </w:tcBorders>
          </w:tcPr>
          <w:p w14:paraId="329487A9" w14:textId="52B33DF4" w:rsidR="00400729" w:rsidRDefault="00400729" w:rsidP="00400729">
            <w:pPr>
              <w:pStyle w:val="TableParagraph"/>
              <w:spacing w:before="51"/>
              <w:ind w:right="73"/>
              <w:jc w:val="right"/>
              <w:rPr>
                <w:spacing w:val="-10"/>
                <w:sz w:val="14"/>
              </w:rPr>
            </w:pPr>
            <w:r>
              <w:rPr>
                <w:spacing w:val="-10"/>
                <w:sz w:val="14"/>
              </w:rPr>
              <w:t>–</w:t>
            </w:r>
          </w:p>
        </w:tc>
        <w:tc>
          <w:tcPr>
            <w:tcW w:w="1076" w:type="dxa"/>
            <w:tcBorders>
              <w:top w:val="single" w:sz="2" w:space="0" w:color="000000"/>
              <w:left w:val="single" w:sz="2" w:space="0" w:color="000000"/>
              <w:bottom w:val="single" w:sz="2" w:space="0" w:color="000000"/>
              <w:right w:val="nil"/>
            </w:tcBorders>
          </w:tcPr>
          <w:p w14:paraId="07253E15" w14:textId="415C938E" w:rsidR="00400729" w:rsidRDefault="00400729" w:rsidP="00400729">
            <w:pPr>
              <w:pStyle w:val="TableParagraph"/>
              <w:spacing w:before="51"/>
              <w:ind w:right="75"/>
              <w:jc w:val="right"/>
              <w:rPr>
                <w:spacing w:val="-2"/>
                <w:sz w:val="14"/>
              </w:rPr>
            </w:pPr>
            <w:r>
              <w:rPr>
                <w:spacing w:val="-2"/>
                <w:sz w:val="14"/>
              </w:rPr>
              <w:t>32,386</w:t>
            </w:r>
          </w:p>
        </w:tc>
      </w:tr>
      <w:tr w:rsidR="00400729" w14:paraId="74827474" w14:textId="77777777">
        <w:trPr>
          <w:trHeight w:val="505"/>
        </w:trPr>
        <w:tc>
          <w:tcPr>
            <w:tcW w:w="1417" w:type="dxa"/>
            <w:tcBorders>
              <w:top w:val="single" w:sz="2" w:space="0" w:color="000000"/>
              <w:left w:val="nil"/>
              <w:bottom w:val="single" w:sz="2" w:space="0" w:color="000000"/>
              <w:right w:val="single" w:sz="2" w:space="0" w:color="000000"/>
            </w:tcBorders>
          </w:tcPr>
          <w:p w14:paraId="6BDAD4F4" w14:textId="1795873B" w:rsidR="00400729" w:rsidRDefault="00400729" w:rsidP="00400729">
            <w:pPr>
              <w:pStyle w:val="TableParagraph"/>
              <w:spacing w:before="51"/>
              <w:ind w:left="56"/>
              <w:rPr>
                <w:sz w:val="14"/>
              </w:rPr>
            </w:pPr>
            <w:r>
              <w:rPr>
                <w:sz w:val="14"/>
              </w:rPr>
              <w:t>David</w:t>
            </w:r>
            <w:r>
              <w:rPr>
                <w:spacing w:val="6"/>
                <w:sz w:val="14"/>
              </w:rPr>
              <w:t xml:space="preserve"> </w:t>
            </w:r>
            <w:r>
              <w:rPr>
                <w:spacing w:val="-4"/>
                <w:sz w:val="14"/>
              </w:rPr>
              <w:t>Swan</w:t>
            </w:r>
          </w:p>
        </w:tc>
        <w:tc>
          <w:tcPr>
            <w:tcW w:w="850" w:type="dxa"/>
            <w:tcBorders>
              <w:top w:val="single" w:sz="2" w:space="0" w:color="000000"/>
              <w:left w:val="single" w:sz="2" w:space="0" w:color="000000"/>
              <w:bottom w:val="single" w:sz="2" w:space="0" w:color="000000"/>
              <w:right w:val="single" w:sz="2" w:space="0" w:color="000000"/>
            </w:tcBorders>
          </w:tcPr>
          <w:p w14:paraId="4528893B" w14:textId="5E719156" w:rsidR="00400729" w:rsidRDefault="00400729" w:rsidP="00400729">
            <w:pPr>
              <w:pStyle w:val="TableParagraph"/>
              <w:spacing w:before="51"/>
              <w:ind w:left="54"/>
              <w:rPr>
                <w:sz w:val="14"/>
              </w:rPr>
            </w:pPr>
            <w:r>
              <w:rPr>
                <w:spacing w:val="-2"/>
                <w:sz w:val="14"/>
              </w:rPr>
              <w:t>Board</w:t>
            </w:r>
            <w:r>
              <w:rPr>
                <w:spacing w:val="40"/>
                <w:sz w:val="14"/>
              </w:rPr>
              <w:t xml:space="preserve"> </w:t>
            </w:r>
            <w:r>
              <w:rPr>
                <w:spacing w:val="-2"/>
                <w:sz w:val="14"/>
              </w:rPr>
              <w:t>Member</w:t>
            </w:r>
          </w:p>
        </w:tc>
        <w:tc>
          <w:tcPr>
            <w:tcW w:w="963" w:type="dxa"/>
            <w:tcBorders>
              <w:top w:val="single" w:sz="2" w:space="0" w:color="000000"/>
              <w:left w:val="single" w:sz="2" w:space="0" w:color="000000"/>
              <w:bottom w:val="single" w:sz="2" w:space="0" w:color="000000"/>
              <w:right w:val="single" w:sz="2" w:space="0" w:color="000000"/>
            </w:tcBorders>
          </w:tcPr>
          <w:p w14:paraId="3F256830" w14:textId="45E18535" w:rsidR="00400729" w:rsidRDefault="00400729" w:rsidP="00400729">
            <w:pPr>
              <w:pStyle w:val="TableParagraph"/>
              <w:spacing w:before="51"/>
              <w:ind w:right="79"/>
              <w:jc w:val="right"/>
              <w:rPr>
                <w:spacing w:val="-2"/>
                <w:sz w:val="14"/>
              </w:rPr>
            </w:pPr>
            <w:r>
              <w:rPr>
                <w:spacing w:val="-2"/>
                <w:sz w:val="14"/>
              </w:rPr>
              <w:t>28,916</w:t>
            </w:r>
          </w:p>
        </w:tc>
        <w:tc>
          <w:tcPr>
            <w:tcW w:w="963" w:type="dxa"/>
            <w:tcBorders>
              <w:top w:val="single" w:sz="2" w:space="0" w:color="000000"/>
              <w:left w:val="single" w:sz="2" w:space="0" w:color="000000"/>
              <w:bottom w:val="single" w:sz="2" w:space="0" w:color="000000"/>
              <w:right w:val="single" w:sz="2" w:space="0" w:color="000000"/>
            </w:tcBorders>
          </w:tcPr>
          <w:p w14:paraId="191AC56B" w14:textId="77C00A7B" w:rsidR="00400729" w:rsidRDefault="00400729" w:rsidP="00400729">
            <w:pPr>
              <w:pStyle w:val="TableParagraph"/>
              <w:spacing w:before="51"/>
              <w:ind w:right="78"/>
              <w:jc w:val="right"/>
              <w:rPr>
                <w:spacing w:val="-10"/>
                <w:sz w:val="14"/>
              </w:rPr>
            </w:pPr>
            <w:r>
              <w:rPr>
                <w:spacing w:val="-10"/>
                <w:sz w:val="14"/>
              </w:rPr>
              <w:t>–</w:t>
            </w:r>
          </w:p>
        </w:tc>
        <w:tc>
          <w:tcPr>
            <w:tcW w:w="963" w:type="dxa"/>
            <w:tcBorders>
              <w:top w:val="single" w:sz="2" w:space="0" w:color="000000"/>
              <w:left w:val="single" w:sz="2" w:space="0" w:color="000000"/>
              <w:bottom w:val="single" w:sz="2" w:space="0" w:color="000000"/>
              <w:right w:val="single" w:sz="2" w:space="0" w:color="000000"/>
            </w:tcBorders>
          </w:tcPr>
          <w:p w14:paraId="33145464" w14:textId="1D5F14C9" w:rsidR="00400729" w:rsidRDefault="00400729" w:rsidP="00400729">
            <w:pPr>
              <w:pStyle w:val="TableParagraph"/>
              <w:spacing w:before="51"/>
              <w:ind w:right="77"/>
              <w:jc w:val="right"/>
              <w:rPr>
                <w:spacing w:val="-10"/>
                <w:sz w:val="14"/>
              </w:rPr>
            </w:pPr>
            <w:r>
              <w:rPr>
                <w:spacing w:val="-10"/>
                <w:sz w:val="14"/>
              </w:rPr>
              <w:t>–</w:t>
            </w:r>
          </w:p>
        </w:tc>
        <w:tc>
          <w:tcPr>
            <w:tcW w:w="1076" w:type="dxa"/>
            <w:tcBorders>
              <w:top w:val="single" w:sz="2" w:space="0" w:color="000000"/>
              <w:left w:val="single" w:sz="2" w:space="0" w:color="000000"/>
              <w:bottom w:val="single" w:sz="2" w:space="0" w:color="000000"/>
              <w:right w:val="single" w:sz="2" w:space="0" w:color="000000"/>
            </w:tcBorders>
          </w:tcPr>
          <w:p w14:paraId="2DF654D9" w14:textId="63AD1F7C" w:rsidR="00400729" w:rsidRDefault="00400729" w:rsidP="00400729">
            <w:pPr>
              <w:pStyle w:val="TableParagraph"/>
              <w:spacing w:before="51"/>
              <w:ind w:right="85"/>
              <w:jc w:val="right"/>
              <w:rPr>
                <w:spacing w:val="-2"/>
                <w:sz w:val="14"/>
              </w:rPr>
            </w:pPr>
            <w:r>
              <w:rPr>
                <w:spacing w:val="-2"/>
                <w:sz w:val="14"/>
              </w:rPr>
              <w:t>3,470</w:t>
            </w:r>
          </w:p>
        </w:tc>
        <w:tc>
          <w:tcPr>
            <w:tcW w:w="963" w:type="dxa"/>
            <w:tcBorders>
              <w:top w:val="single" w:sz="2" w:space="0" w:color="000000"/>
              <w:left w:val="single" w:sz="2" w:space="0" w:color="000000"/>
              <w:bottom w:val="single" w:sz="2" w:space="0" w:color="000000"/>
              <w:right w:val="single" w:sz="2" w:space="0" w:color="000000"/>
            </w:tcBorders>
          </w:tcPr>
          <w:p w14:paraId="5E21DE79" w14:textId="039DC84B" w:rsidR="00400729" w:rsidRDefault="00400729" w:rsidP="00400729">
            <w:pPr>
              <w:pStyle w:val="TableParagraph"/>
              <w:spacing w:before="51"/>
              <w:ind w:right="75"/>
              <w:jc w:val="right"/>
              <w:rPr>
                <w:spacing w:val="-10"/>
                <w:sz w:val="14"/>
              </w:rPr>
            </w:pPr>
            <w:r>
              <w:rPr>
                <w:spacing w:val="-10"/>
                <w:sz w:val="14"/>
              </w:rPr>
              <w:t>–</w:t>
            </w:r>
          </w:p>
        </w:tc>
        <w:tc>
          <w:tcPr>
            <w:tcW w:w="963" w:type="dxa"/>
            <w:tcBorders>
              <w:top w:val="single" w:sz="2" w:space="0" w:color="000000"/>
              <w:left w:val="single" w:sz="2" w:space="0" w:color="000000"/>
              <w:bottom w:val="single" w:sz="2" w:space="0" w:color="000000"/>
              <w:right w:val="single" w:sz="2" w:space="0" w:color="000000"/>
            </w:tcBorders>
          </w:tcPr>
          <w:p w14:paraId="5460B966" w14:textId="57199C78" w:rsidR="00400729" w:rsidRDefault="00400729" w:rsidP="00400729">
            <w:pPr>
              <w:pStyle w:val="TableParagraph"/>
              <w:spacing w:before="51"/>
              <w:ind w:right="74"/>
              <w:jc w:val="right"/>
              <w:rPr>
                <w:spacing w:val="-10"/>
                <w:sz w:val="14"/>
              </w:rPr>
            </w:pPr>
            <w:r>
              <w:rPr>
                <w:spacing w:val="-10"/>
                <w:sz w:val="14"/>
              </w:rPr>
              <w:t>–</w:t>
            </w:r>
          </w:p>
        </w:tc>
        <w:tc>
          <w:tcPr>
            <w:tcW w:w="963" w:type="dxa"/>
            <w:tcBorders>
              <w:top w:val="single" w:sz="2" w:space="0" w:color="000000"/>
              <w:left w:val="single" w:sz="2" w:space="0" w:color="000000"/>
              <w:bottom w:val="single" w:sz="2" w:space="0" w:color="000000"/>
              <w:right w:val="single" w:sz="2" w:space="0" w:color="000000"/>
            </w:tcBorders>
          </w:tcPr>
          <w:p w14:paraId="1DB5580C" w14:textId="0C947C6B" w:rsidR="00400729" w:rsidRDefault="00400729" w:rsidP="00400729">
            <w:pPr>
              <w:pStyle w:val="TableParagraph"/>
              <w:spacing w:before="51"/>
              <w:ind w:right="73"/>
              <w:jc w:val="right"/>
              <w:rPr>
                <w:spacing w:val="-10"/>
                <w:sz w:val="14"/>
              </w:rPr>
            </w:pPr>
            <w:r>
              <w:rPr>
                <w:spacing w:val="-10"/>
                <w:sz w:val="14"/>
              </w:rPr>
              <w:t>–</w:t>
            </w:r>
          </w:p>
        </w:tc>
        <w:tc>
          <w:tcPr>
            <w:tcW w:w="1076" w:type="dxa"/>
            <w:tcBorders>
              <w:top w:val="single" w:sz="2" w:space="0" w:color="000000"/>
              <w:left w:val="single" w:sz="2" w:space="0" w:color="000000"/>
              <w:bottom w:val="single" w:sz="2" w:space="0" w:color="000000"/>
              <w:right w:val="nil"/>
            </w:tcBorders>
          </w:tcPr>
          <w:p w14:paraId="50FF7D9B" w14:textId="3775B9A9" w:rsidR="00400729" w:rsidRDefault="00400729" w:rsidP="00400729">
            <w:pPr>
              <w:pStyle w:val="TableParagraph"/>
              <w:spacing w:before="51"/>
              <w:ind w:right="75"/>
              <w:jc w:val="right"/>
              <w:rPr>
                <w:spacing w:val="-2"/>
                <w:sz w:val="14"/>
              </w:rPr>
            </w:pPr>
            <w:r>
              <w:rPr>
                <w:spacing w:val="-2"/>
                <w:sz w:val="14"/>
              </w:rPr>
              <w:t>32,386</w:t>
            </w:r>
          </w:p>
        </w:tc>
      </w:tr>
      <w:tr w:rsidR="00400729" w14:paraId="67AC5592" w14:textId="77777777">
        <w:trPr>
          <w:trHeight w:val="505"/>
        </w:trPr>
        <w:tc>
          <w:tcPr>
            <w:tcW w:w="1417" w:type="dxa"/>
            <w:tcBorders>
              <w:top w:val="single" w:sz="2" w:space="0" w:color="000000"/>
              <w:left w:val="nil"/>
              <w:bottom w:val="single" w:sz="2" w:space="0" w:color="000000"/>
              <w:right w:val="single" w:sz="2" w:space="0" w:color="000000"/>
            </w:tcBorders>
          </w:tcPr>
          <w:p w14:paraId="34A0DC25" w14:textId="3A60695A" w:rsidR="00400729" w:rsidRDefault="00400729" w:rsidP="00400729">
            <w:pPr>
              <w:pStyle w:val="TableParagraph"/>
              <w:spacing w:before="51"/>
              <w:ind w:left="56"/>
              <w:rPr>
                <w:sz w:val="14"/>
              </w:rPr>
            </w:pPr>
            <w:r>
              <w:rPr>
                <w:sz w:val="14"/>
              </w:rPr>
              <w:t>Hannah</w:t>
            </w:r>
            <w:r>
              <w:rPr>
                <w:spacing w:val="7"/>
                <w:sz w:val="14"/>
              </w:rPr>
              <w:t xml:space="preserve"> </w:t>
            </w:r>
            <w:r>
              <w:rPr>
                <w:spacing w:val="-2"/>
                <w:sz w:val="14"/>
              </w:rPr>
              <w:t>Seymour</w:t>
            </w:r>
          </w:p>
        </w:tc>
        <w:tc>
          <w:tcPr>
            <w:tcW w:w="850" w:type="dxa"/>
            <w:tcBorders>
              <w:top w:val="single" w:sz="2" w:space="0" w:color="000000"/>
              <w:left w:val="single" w:sz="2" w:space="0" w:color="000000"/>
              <w:bottom w:val="single" w:sz="2" w:space="0" w:color="000000"/>
              <w:right w:val="single" w:sz="2" w:space="0" w:color="000000"/>
            </w:tcBorders>
          </w:tcPr>
          <w:p w14:paraId="1A2A5601" w14:textId="1FB67D2F" w:rsidR="00400729" w:rsidRDefault="00400729" w:rsidP="00400729">
            <w:pPr>
              <w:pStyle w:val="TableParagraph"/>
              <w:spacing w:before="51"/>
              <w:ind w:left="54"/>
              <w:rPr>
                <w:sz w:val="14"/>
              </w:rPr>
            </w:pPr>
            <w:r>
              <w:rPr>
                <w:spacing w:val="-2"/>
                <w:sz w:val="14"/>
              </w:rPr>
              <w:t>Board</w:t>
            </w:r>
            <w:r>
              <w:rPr>
                <w:spacing w:val="40"/>
                <w:sz w:val="14"/>
              </w:rPr>
              <w:t xml:space="preserve"> </w:t>
            </w:r>
            <w:r>
              <w:rPr>
                <w:spacing w:val="-2"/>
                <w:sz w:val="14"/>
              </w:rPr>
              <w:t>Member</w:t>
            </w:r>
          </w:p>
        </w:tc>
        <w:tc>
          <w:tcPr>
            <w:tcW w:w="963" w:type="dxa"/>
            <w:tcBorders>
              <w:top w:val="single" w:sz="2" w:space="0" w:color="000000"/>
              <w:left w:val="single" w:sz="2" w:space="0" w:color="000000"/>
              <w:bottom w:val="single" w:sz="2" w:space="0" w:color="000000"/>
              <w:right w:val="single" w:sz="2" w:space="0" w:color="000000"/>
            </w:tcBorders>
          </w:tcPr>
          <w:p w14:paraId="653220AE" w14:textId="36ED4599" w:rsidR="00400729" w:rsidRDefault="00400729" w:rsidP="00400729">
            <w:pPr>
              <w:pStyle w:val="TableParagraph"/>
              <w:spacing w:before="51"/>
              <w:ind w:right="79"/>
              <w:jc w:val="right"/>
              <w:rPr>
                <w:spacing w:val="-2"/>
                <w:sz w:val="14"/>
              </w:rPr>
            </w:pPr>
            <w:r>
              <w:rPr>
                <w:spacing w:val="-2"/>
                <w:sz w:val="14"/>
              </w:rPr>
              <w:t>28,916</w:t>
            </w:r>
          </w:p>
        </w:tc>
        <w:tc>
          <w:tcPr>
            <w:tcW w:w="963" w:type="dxa"/>
            <w:tcBorders>
              <w:top w:val="single" w:sz="2" w:space="0" w:color="000000"/>
              <w:left w:val="single" w:sz="2" w:space="0" w:color="000000"/>
              <w:bottom w:val="single" w:sz="2" w:space="0" w:color="000000"/>
              <w:right w:val="single" w:sz="2" w:space="0" w:color="000000"/>
            </w:tcBorders>
          </w:tcPr>
          <w:p w14:paraId="4F1C9584" w14:textId="4793CA09" w:rsidR="00400729" w:rsidRDefault="00400729" w:rsidP="00400729">
            <w:pPr>
              <w:pStyle w:val="TableParagraph"/>
              <w:spacing w:before="51"/>
              <w:ind w:right="78"/>
              <w:jc w:val="right"/>
              <w:rPr>
                <w:spacing w:val="-10"/>
                <w:sz w:val="14"/>
              </w:rPr>
            </w:pPr>
            <w:r>
              <w:rPr>
                <w:spacing w:val="-10"/>
                <w:sz w:val="14"/>
              </w:rPr>
              <w:t>–</w:t>
            </w:r>
          </w:p>
        </w:tc>
        <w:tc>
          <w:tcPr>
            <w:tcW w:w="963" w:type="dxa"/>
            <w:tcBorders>
              <w:top w:val="single" w:sz="2" w:space="0" w:color="000000"/>
              <w:left w:val="single" w:sz="2" w:space="0" w:color="000000"/>
              <w:bottom w:val="single" w:sz="2" w:space="0" w:color="000000"/>
              <w:right w:val="single" w:sz="2" w:space="0" w:color="000000"/>
            </w:tcBorders>
          </w:tcPr>
          <w:p w14:paraId="16A0CEC9" w14:textId="0BBA91BE" w:rsidR="00400729" w:rsidRDefault="00400729" w:rsidP="00400729">
            <w:pPr>
              <w:pStyle w:val="TableParagraph"/>
              <w:spacing w:before="51"/>
              <w:ind w:right="77"/>
              <w:jc w:val="right"/>
              <w:rPr>
                <w:spacing w:val="-10"/>
                <w:sz w:val="14"/>
              </w:rPr>
            </w:pPr>
            <w:r>
              <w:rPr>
                <w:spacing w:val="-10"/>
                <w:sz w:val="14"/>
              </w:rPr>
              <w:t>–</w:t>
            </w:r>
          </w:p>
        </w:tc>
        <w:tc>
          <w:tcPr>
            <w:tcW w:w="1076" w:type="dxa"/>
            <w:tcBorders>
              <w:top w:val="single" w:sz="2" w:space="0" w:color="000000"/>
              <w:left w:val="single" w:sz="2" w:space="0" w:color="000000"/>
              <w:bottom w:val="single" w:sz="2" w:space="0" w:color="000000"/>
              <w:right w:val="single" w:sz="2" w:space="0" w:color="000000"/>
            </w:tcBorders>
          </w:tcPr>
          <w:p w14:paraId="3229A2BA" w14:textId="0F75CAAB" w:rsidR="00400729" w:rsidRDefault="00400729" w:rsidP="00400729">
            <w:pPr>
              <w:pStyle w:val="TableParagraph"/>
              <w:spacing w:before="51"/>
              <w:ind w:right="85"/>
              <w:jc w:val="right"/>
              <w:rPr>
                <w:spacing w:val="-2"/>
                <w:sz w:val="14"/>
              </w:rPr>
            </w:pPr>
            <w:r>
              <w:rPr>
                <w:spacing w:val="-2"/>
                <w:sz w:val="14"/>
              </w:rPr>
              <w:t>3,470</w:t>
            </w:r>
          </w:p>
        </w:tc>
        <w:tc>
          <w:tcPr>
            <w:tcW w:w="963" w:type="dxa"/>
            <w:tcBorders>
              <w:top w:val="single" w:sz="2" w:space="0" w:color="000000"/>
              <w:left w:val="single" w:sz="2" w:space="0" w:color="000000"/>
              <w:bottom w:val="single" w:sz="2" w:space="0" w:color="000000"/>
              <w:right w:val="single" w:sz="2" w:space="0" w:color="000000"/>
            </w:tcBorders>
          </w:tcPr>
          <w:p w14:paraId="02548BC5" w14:textId="34ECAEC8" w:rsidR="00400729" w:rsidRDefault="00400729" w:rsidP="00400729">
            <w:pPr>
              <w:pStyle w:val="TableParagraph"/>
              <w:spacing w:before="51"/>
              <w:ind w:right="75"/>
              <w:jc w:val="right"/>
              <w:rPr>
                <w:spacing w:val="-10"/>
                <w:sz w:val="14"/>
              </w:rPr>
            </w:pPr>
            <w:r>
              <w:rPr>
                <w:spacing w:val="-10"/>
                <w:sz w:val="14"/>
              </w:rPr>
              <w:t>–</w:t>
            </w:r>
          </w:p>
        </w:tc>
        <w:tc>
          <w:tcPr>
            <w:tcW w:w="963" w:type="dxa"/>
            <w:tcBorders>
              <w:top w:val="single" w:sz="2" w:space="0" w:color="000000"/>
              <w:left w:val="single" w:sz="2" w:space="0" w:color="000000"/>
              <w:bottom w:val="single" w:sz="2" w:space="0" w:color="000000"/>
              <w:right w:val="single" w:sz="2" w:space="0" w:color="000000"/>
            </w:tcBorders>
          </w:tcPr>
          <w:p w14:paraId="0082C203" w14:textId="76F9EC05" w:rsidR="00400729" w:rsidRDefault="00400729" w:rsidP="00400729">
            <w:pPr>
              <w:pStyle w:val="TableParagraph"/>
              <w:spacing w:before="51"/>
              <w:ind w:right="74"/>
              <w:jc w:val="right"/>
              <w:rPr>
                <w:spacing w:val="-10"/>
                <w:sz w:val="14"/>
              </w:rPr>
            </w:pPr>
            <w:r>
              <w:rPr>
                <w:spacing w:val="-10"/>
                <w:sz w:val="14"/>
              </w:rPr>
              <w:t>–</w:t>
            </w:r>
          </w:p>
        </w:tc>
        <w:tc>
          <w:tcPr>
            <w:tcW w:w="963" w:type="dxa"/>
            <w:tcBorders>
              <w:top w:val="single" w:sz="2" w:space="0" w:color="000000"/>
              <w:left w:val="single" w:sz="2" w:space="0" w:color="000000"/>
              <w:bottom w:val="single" w:sz="2" w:space="0" w:color="000000"/>
              <w:right w:val="single" w:sz="2" w:space="0" w:color="000000"/>
            </w:tcBorders>
          </w:tcPr>
          <w:p w14:paraId="33599E79" w14:textId="6CE072F3" w:rsidR="00400729" w:rsidRDefault="00400729" w:rsidP="00400729">
            <w:pPr>
              <w:pStyle w:val="TableParagraph"/>
              <w:spacing w:before="51"/>
              <w:ind w:right="73"/>
              <w:jc w:val="right"/>
              <w:rPr>
                <w:spacing w:val="-10"/>
                <w:sz w:val="14"/>
              </w:rPr>
            </w:pPr>
            <w:r>
              <w:rPr>
                <w:spacing w:val="-10"/>
                <w:sz w:val="14"/>
              </w:rPr>
              <w:t>–</w:t>
            </w:r>
          </w:p>
        </w:tc>
        <w:tc>
          <w:tcPr>
            <w:tcW w:w="1076" w:type="dxa"/>
            <w:tcBorders>
              <w:top w:val="single" w:sz="2" w:space="0" w:color="000000"/>
              <w:left w:val="single" w:sz="2" w:space="0" w:color="000000"/>
              <w:bottom w:val="single" w:sz="2" w:space="0" w:color="000000"/>
              <w:right w:val="nil"/>
            </w:tcBorders>
          </w:tcPr>
          <w:p w14:paraId="102146F8" w14:textId="79A6CD49" w:rsidR="00400729" w:rsidRDefault="00400729" w:rsidP="00400729">
            <w:pPr>
              <w:pStyle w:val="TableParagraph"/>
              <w:spacing w:before="51"/>
              <w:ind w:right="75"/>
              <w:jc w:val="right"/>
              <w:rPr>
                <w:spacing w:val="-2"/>
                <w:sz w:val="14"/>
              </w:rPr>
            </w:pPr>
            <w:r>
              <w:rPr>
                <w:spacing w:val="-2"/>
                <w:sz w:val="14"/>
              </w:rPr>
              <w:t>32,386</w:t>
            </w:r>
          </w:p>
        </w:tc>
      </w:tr>
      <w:tr w:rsidR="00400729" w14:paraId="0277757E" w14:textId="77777777">
        <w:trPr>
          <w:trHeight w:val="505"/>
        </w:trPr>
        <w:tc>
          <w:tcPr>
            <w:tcW w:w="1417" w:type="dxa"/>
            <w:tcBorders>
              <w:top w:val="single" w:sz="2" w:space="0" w:color="000000"/>
              <w:left w:val="nil"/>
              <w:bottom w:val="single" w:sz="2" w:space="0" w:color="000000"/>
              <w:right w:val="single" w:sz="2" w:space="0" w:color="000000"/>
            </w:tcBorders>
          </w:tcPr>
          <w:p w14:paraId="1368B6F2" w14:textId="0F1E50D9" w:rsidR="00400729" w:rsidRDefault="00400729" w:rsidP="00400729">
            <w:pPr>
              <w:pStyle w:val="TableParagraph"/>
              <w:spacing w:before="51"/>
              <w:ind w:left="56"/>
              <w:rPr>
                <w:sz w:val="14"/>
              </w:rPr>
            </w:pPr>
            <w:r>
              <w:rPr>
                <w:sz w:val="14"/>
              </w:rPr>
              <w:t>Helena</w:t>
            </w:r>
            <w:r>
              <w:rPr>
                <w:spacing w:val="8"/>
                <w:sz w:val="14"/>
              </w:rPr>
              <w:t xml:space="preserve"> </w:t>
            </w:r>
            <w:r>
              <w:rPr>
                <w:spacing w:val="-2"/>
                <w:sz w:val="14"/>
              </w:rPr>
              <w:t>Williams</w:t>
            </w:r>
          </w:p>
        </w:tc>
        <w:tc>
          <w:tcPr>
            <w:tcW w:w="850" w:type="dxa"/>
            <w:tcBorders>
              <w:top w:val="single" w:sz="2" w:space="0" w:color="000000"/>
              <w:left w:val="single" w:sz="2" w:space="0" w:color="000000"/>
              <w:bottom w:val="single" w:sz="2" w:space="0" w:color="000000"/>
              <w:right w:val="single" w:sz="2" w:space="0" w:color="000000"/>
            </w:tcBorders>
          </w:tcPr>
          <w:p w14:paraId="333F0CD9" w14:textId="19105AE5" w:rsidR="00400729" w:rsidRDefault="00400729" w:rsidP="00400729">
            <w:pPr>
              <w:pStyle w:val="TableParagraph"/>
              <w:spacing w:before="51"/>
              <w:ind w:left="54"/>
              <w:rPr>
                <w:sz w:val="14"/>
              </w:rPr>
            </w:pPr>
            <w:r>
              <w:rPr>
                <w:spacing w:val="-2"/>
                <w:sz w:val="14"/>
              </w:rPr>
              <w:t>Board</w:t>
            </w:r>
            <w:r>
              <w:rPr>
                <w:spacing w:val="40"/>
                <w:sz w:val="14"/>
              </w:rPr>
              <w:t xml:space="preserve"> </w:t>
            </w:r>
            <w:r>
              <w:rPr>
                <w:spacing w:val="-2"/>
                <w:sz w:val="14"/>
              </w:rPr>
              <w:t>Member</w:t>
            </w:r>
          </w:p>
        </w:tc>
        <w:tc>
          <w:tcPr>
            <w:tcW w:w="963" w:type="dxa"/>
            <w:tcBorders>
              <w:top w:val="single" w:sz="2" w:space="0" w:color="000000"/>
              <w:left w:val="single" w:sz="2" w:space="0" w:color="000000"/>
              <w:bottom w:val="single" w:sz="2" w:space="0" w:color="000000"/>
              <w:right w:val="single" w:sz="2" w:space="0" w:color="000000"/>
            </w:tcBorders>
          </w:tcPr>
          <w:p w14:paraId="14DCBDBF" w14:textId="237BB04D" w:rsidR="00400729" w:rsidRDefault="00400729" w:rsidP="00400729">
            <w:pPr>
              <w:pStyle w:val="TableParagraph"/>
              <w:spacing w:before="51"/>
              <w:ind w:right="79"/>
              <w:jc w:val="right"/>
              <w:rPr>
                <w:spacing w:val="-2"/>
                <w:sz w:val="14"/>
              </w:rPr>
            </w:pPr>
            <w:r>
              <w:rPr>
                <w:spacing w:val="-2"/>
                <w:sz w:val="14"/>
              </w:rPr>
              <w:t>22,683</w:t>
            </w:r>
          </w:p>
        </w:tc>
        <w:tc>
          <w:tcPr>
            <w:tcW w:w="963" w:type="dxa"/>
            <w:tcBorders>
              <w:top w:val="single" w:sz="2" w:space="0" w:color="000000"/>
              <w:left w:val="single" w:sz="2" w:space="0" w:color="000000"/>
              <w:bottom w:val="single" w:sz="2" w:space="0" w:color="000000"/>
              <w:right w:val="single" w:sz="2" w:space="0" w:color="000000"/>
            </w:tcBorders>
          </w:tcPr>
          <w:p w14:paraId="736804DA" w14:textId="5B273AC9" w:rsidR="00400729" w:rsidRDefault="00400729" w:rsidP="00400729">
            <w:pPr>
              <w:pStyle w:val="TableParagraph"/>
              <w:spacing w:before="51"/>
              <w:ind w:right="78"/>
              <w:jc w:val="right"/>
              <w:rPr>
                <w:spacing w:val="-10"/>
                <w:sz w:val="14"/>
              </w:rPr>
            </w:pPr>
            <w:r>
              <w:rPr>
                <w:spacing w:val="-10"/>
                <w:sz w:val="14"/>
              </w:rPr>
              <w:t>–</w:t>
            </w:r>
          </w:p>
        </w:tc>
        <w:tc>
          <w:tcPr>
            <w:tcW w:w="963" w:type="dxa"/>
            <w:tcBorders>
              <w:top w:val="single" w:sz="2" w:space="0" w:color="000000"/>
              <w:left w:val="single" w:sz="2" w:space="0" w:color="000000"/>
              <w:bottom w:val="single" w:sz="2" w:space="0" w:color="000000"/>
              <w:right w:val="single" w:sz="2" w:space="0" w:color="000000"/>
            </w:tcBorders>
          </w:tcPr>
          <w:p w14:paraId="788F0F6F" w14:textId="0B070F6F" w:rsidR="00400729" w:rsidRDefault="00400729" w:rsidP="00400729">
            <w:pPr>
              <w:pStyle w:val="TableParagraph"/>
              <w:spacing w:before="51"/>
              <w:ind w:right="77"/>
              <w:jc w:val="right"/>
              <w:rPr>
                <w:spacing w:val="-10"/>
                <w:sz w:val="14"/>
              </w:rPr>
            </w:pPr>
            <w:r>
              <w:rPr>
                <w:spacing w:val="-10"/>
                <w:sz w:val="14"/>
              </w:rPr>
              <w:t>–</w:t>
            </w:r>
          </w:p>
        </w:tc>
        <w:tc>
          <w:tcPr>
            <w:tcW w:w="1076" w:type="dxa"/>
            <w:tcBorders>
              <w:top w:val="single" w:sz="2" w:space="0" w:color="000000"/>
              <w:left w:val="single" w:sz="2" w:space="0" w:color="000000"/>
              <w:bottom w:val="single" w:sz="2" w:space="0" w:color="000000"/>
              <w:right w:val="single" w:sz="2" w:space="0" w:color="000000"/>
            </w:tcBorders>
          </w:tcPr>
          <w:p w14:paraId="2350196D" w14:textId="28E7C3B5" w:rsidR="00400729" w:rsidRDefault="00400729" w:rsidP="00400729">
            <w:pPr>
              <w:pStyle w:val="TableParagraph"/>
              <w:spacing w:before="51"/>
              <w:ind w:right="85"/>
              <w:jc w:val="right"/>
              <w:rPr>
                <w:spacing w:val="-2"/>
                <w:sz w:val="14"/>
              </w:rPr>
            </w:pPr>
            <w:r>
              <w:rPr>
                <w:spacing w:val="-2"/>
                <w:sz w:val="14"/>
              </w:rPr>
              <w:t>2,775</w:t>
            </w:r>
          </w:p>
        </w:tc>
        <w:tc>
          <w:tcPr>
            <w:tcW w:w="963" w:type="dxa"/>
            <w:tcBorders>
              <w:top w:val="single" w:sz="2" w:space="0" w:color="000000"/>
              <w:left w:val="single" w:sz="2" w:space="0" w:color="000000"/>
              <w:bottom w:val="single" w:sz="2" w:space="0" w:color="000000"/>
              <w:right w:val="single" w:sz="2" w:space="0" w:color="000000"/>
            </w:tcBorders>
          </w:tcPr>
          <w:p w14:paraId="52EC2710" w14:textId="5E4BBAF0" w:rsidR="00400729" w:rsidRDefault="00400729" w:rsidP="00400729">
            <w:pPr>
              <w:pStyle w:val="TableParagraph"/>
              <w:spacing w:before="51"/>
              <w:ind w:right="75"/>
              <w:jc w:val="right"/>
              <w:rPr>
                <w:spacing w:val="-10"/>
                <w:sz w:val="14"/>
              </w:rPr>
            </w:pPr>
            <w:r>
              <w:rPr>
                <w:spacing w:val="-10"/>
                <w:sz w:val="14"/>
              </w:rPr>
              <w:t>–</w:t>
            </w:r>
          </w:p>
        </w:tc>
        <w:tc>
          <w:tcPr>
            <w:tcW w:w="963" w:type="dxa"/>
            <w:tcBorders>
              <w:top w:val="single" w:sz="2" w:space="0" w:color="000000"/>
              <w:left w:val="single" w:sz="2" w:space="0" w:color="000000"/>
              <w:bottom w:val="single" w:sz="2" w:space="0" w:color="000000"/>
              <w:right w:val="single" w:sz="2" w:space="0" w:color="000000"/>
            </w:tcBorders>
          </w:tcPr>
          <w:p w14:paraId="48A3810E" w14:textId="1A4F6E45" w:rsidR="00400729" w:rsidRDefault="00400729" w:rsidP="00400729">
            <w:pPr>
              <w:pStyle w:val="TableParagraph"/>
              <w:spacing w:before="51"/>
              <w:ind w:right="74"/>
              <w:jc w:val="right"/>
              <w:rPr>
                <w:spacing w:val="-10"/>
                <w:sz w:val="14"/>
              </w:rPr>
            </w:pPr>
            <w:r>
              <w:rPr>
                <w:spacing w:val="-10"/>
                <w:sz w:val="14"/>
              </w:rPr>
              <w:t>–</w:t>
            </w:r>
          </w:p>
        </w:tc>
        <w:tc>
          <w:tcPr>
            <w:tcW w:w="963" w:type="dxa"/>
            <w:tcBorders>
              <w:top w:val="single" w:sz="2" w:space="0" w:color="000000"/>
              <w:left w:val="single" w:sz="2" w:space="0" w:color="000000"/>
              <w:bottom w:val="single" w:sz="2" w:space="0" w:color="000000"/>
              <w:right w:val="single" w:sz="2" w:space="0" w:color="000000"/>
            </w:tcBorders>
          </w:tcPr>
          <w:p w14:paraId="439AD3AC" w14:textId="744601D0" w:rsidR="00400729" w:rsidRDefault="00400729" w:rsidP="00400729">
            <w:pPr>
              <w:pStyle w:val="TableParagraph"/>
              <w:spacing w:before="51"/>
              <w:ind w:right="73"/>
              <w:jc w:val="right"/>
              <w:rPr>
                <w:spacing w:val="-10"/>
                <w:sz w:val="14"/>
              </w:rPr>
            </w:pPr>
            <w:r>
              <w:rPr>
                <w:spacing w:val="-10"/>
                <w:sz w:val="14"/>
              </w:rPr>
              <w:t>–</w:t>
            </w:r>
          </w:p>
        </w:tc>
        <w:tc>
          <w:tcPr>
            <w:tcW w:w="1076" w:type="dxa"/>
            <w:tcBorders>
              <w:top w:val="single" w:sz="2" w:space="0" w:color="000000"/>
              <w:left w:val="single" w:sz="2" w:space="0" w:color="000000"/>
              <w:bottom w:val="single" w:sz="2" w:space="0" w:color="000000"/>
              <w:right w:val="nil"/>
            </w:tcBorders>
          </w:tcPr>
          <w:p w14:paraId="25B7424E" w14:textId="3CC083F8" w:rsidR="00400729" w:rsidRDefault="00400729" w:rsidP="00400729">
            <w:pPr>
              <w:pStyle w:val="TableParagraph"/>
              <w:spacing w:before="51"/>
              <w:ind w:right="75"/>
              <w:jc w:val="right"/>
              <w:rPr>
                <w:spacing w:val="-2"/>
                <w:sz w:val="14"/>
              </w:rPr>
            </w:pPr>
            <w:r>
              <w:rPr>
                <w:spacing w:val="-2"/>
                <w:sz w:val="14"/>
              </w:rPr>
              <w:t>25,459</w:t>
            </w:r>
          </w:p>
        </w:tc>
      </w:tr>
      <w:tr w:rsidR="00400729" w14:paraId="1621EFF1" w14:textId="77777777">
        <w:trPr>
          <w:trHeight w:val="505"/>
        </w:trPr>
        <w:tc>
          <w:tcPr>
            <w:tcW w:w="1417" w:type="dxa"/>
            <w:tcBorders>
              <w:top w:val="single" w:sz="2" w:space="0" w:color="000000"/>
              <w:left w:val="nil"/>
              <w:bottom w:val="single" w:sz="2" w:space="0" w:color="000000"/>
              <w:right w:val="single" w:sz="2" w:space="0" w:color="000000"/>
            </w:tcBorders>
          </w:tcPr>
          <w:p w14:paraId="0362E0E2" w14:textId="4093A13A" w:rsidR="00400729" w:rsidRDefault="00400729" w:rsidP="00400729">
            <w:pPr>
              <w:pStyle w:val="TableParagraph"/>
              <w:spacing w:before="51"/>
              <w:ind w:left="56"/>
              <w:rPr>
                <w:sz w:val="14"/>
              </w:rPr>
            </w:pPr>
            <w:r>
              <w:rPr>
                <w:sz w:val="14"/>
              </w:rPr>
              <w:t>Kylie</w:t>
            </w:r>
            <w:r>
              <w:rPr>
                <w:spacing w:val="-2"/>
                <w:sz w:val="14"/>
              </w:rPr>
              <w:t xml:space="preserve"> </w:t>
            </w:r>
            <w:r>
              <w:rPr>
                <w:spacing w:val="-4"/>
                <w:sz w:val="14"/>
              </w:rPr>
              <w:t>Ward</w:t>
            </w:r>
          </w:p>
        </w:tc>
        <w:tc>
          <w:tcPr>
            <w:tcW w:w="850" w:type="dxa"/>
            <w:tcBorders>
              <w:top w:val="single" w:sz="2" w:space="0" w:color="000000"/>
              <w:left w:val="single" w:sz="2" w:space="0" w:color="000000"/>
              <w:bottom w:val="single" w:sz="2" w:space="0" w:color="000000"/>
              <w:right w:val="single" w:sz="2" w:space="0" w:color="000000"/>
            </w:tcBorders>
          </w:tcPr>
          <w:p w14:paraId="0359F0C2" w14:textId="7A9D09A1" w:rsidR="00400729" w:rsidRDefault="00400729" w:rsidP="00400729">
            <w:pPr>
              <w:pStyle w:val="TableParagraph"/>
              <w:spacing w:before="51"/>
              <w:ind w:left="54"/>
              <w:rPr>
                <w:sz w:val="14"/>
              </w:rPr>
            </w:pPr>
            <w:r>
              <w:rPr>
                <w:spacing w:val="-2"/>
                <w:sz w:val="14"/>
              </w:rPr>
              <w:t>Board</w:t>
            </w:r>
            <w:r>
              <w:rPr>
                <w:spacing w:val="40"/>
                <w:sz w:val="14"/>
              </w:rPr>
              <w:t xml:space="preserve"> </w:t>
            </w:r>
            <w:r>
              <w:rPr>
                <w:spacing w:val="-2"/>
                <w:sz w:val="14"/>
              </w:rPr>
              <w:t>Member</w:t>
            </w:r>
          </w:p>
        </w:tc>
        <w:tc>
          <w:tcPr>
            <w:tcW w:w="963" w:type="dxa"/>
            <w:tcBorders>
              <w:top w:val="single" w:sz="2" w:space="0" w:color="000000"/>
              <w:left w:val="single" w:sz="2" w:space="0" w:color="000000"/>
              <w:bottom w:val="single" w:sz="2" w:space="0" w:color="000000"/>
              <w:right w:val="single" w:sz="2" w:space="0" w:color="000000"/>
            </w:tcBorders>
          </w:tcPr>
          <w:p w14:paraId="2C7604DB" w14:textId="75876457" w:rsidR="00400729" w:rsidRDefault="00400729" w:rsidP="00400729">
            <w:pPr>
              <w:pStyle w:val="TableParagraph"/>
              <w:spacing w:before="51"/>
              <w:ind w:right="79"/>
              <w:jc w:val="right"/>
              <w:rPr>
                <w:spacing w:val="-2"/>
                <w:sz w:val="14"/>
              </w:rPr>
            </w:pPr>
            <w:r>
              <w:rPr>
                <w:spacing w:val="-2"/>
                <w:sz w:val="14"/>
              </w:rPr>
              <w:t>8,549</w:t>
            </w:r>
          </w:p>
        </w:tc>
        <w:tc>
          <w:tcPr>
            <w:tcW w:w="963" w:type="dxa"/>
            <w:tcBorders>
              <w:top w:val="single" w:sz="2" w:space="0" w:color="000000"/>
              <w:left w:val="single" w:sz="2" w:space="0" w:color="000000"/>
              <w:bottom w:val="single" w:sz="2" w:space="0" w:color="000000"/>
              <w:right w:val="single" w:sz="2" w:space="0" w:color="000000"/>
            </w:tcBorders>
          </w:tcPr>
          <w:p w14:paraId="46A50D98" w14:textId="66214B60" w:rsidR="00400729" w:rsidRDefault="00400729" w:rsidP="00400729">
            <w:pPr>
              <w:pStyle w:val="TableParagraph"/>
              <w:spacing w:before="51"/>
              <w:ind w:right="78"/>
              <w:jc w:val="right"/>
              <w:rPr>
                <w:spacing w:val="-10"/>
                <w:sz w:val="14"/>
              </w:rPr>
            </w:pPr>
            <w:r>
              <w:rPr>
                <w:spacing w:val="-10"/>
                <w:sz w:val="14"/>
              </w:rPr>
              <w:t>–</w:t>
            </w:r>
          </w:p>
        </w:tc>
        <w:tc>
          <w:tcPr>
            <w:tcW w:w="963" w:type="dxa"/>
            <w:tcBorders>
              <w:top w:val="single" w:sz="2" w:space="0" w:color="000000"/>
              <w:left w:val="single" w:sz="2" w:space="0" w:color="000000"/>
              <w:bottom w:val="single" w:sz="2" w:space="0" w:color="000000"/>
              <w:right w:val="single" w:sz="2" w:space="0" w:color="000000"/>
            </w:tcBorders>
          </w:tcPr>
          <w:p w14:paraId="45075078" w14:textId="26557FC3" w:rsidR="00400729" w:rsidRDefault="00400729" w:rsidP="00400729">
            <w:pPr>
              <w:pStyle w:val="TableParagraph"/>
              <w:spacing w:before="51"/>
              <w:ind w:right="77"/>
              <w:jc w:val="right"/>
              <w:rPr>
                <w:spacing w:val="-10"/>
                <w:sz w:val="14"/>
              </w:rPr>
            </w:pPr>
            <w:r>
              <w:rPr>
                <w:spacing w:val="-10"/>
                <w:sz w:val="14"/>
              </w:rPr>
              <w:t>–</w:t>
            </w:r>
          </w:p>
        </w:tc>
        <w:tc>
          <w:tcPr>
            <w:tcW w:w="1076" w:type="dxa"/>
            <w:tcBorders>
              <w:top w:val="single" w:sz="2" w:space="0" w:color="000000"/>
              <w:left w:val="single" w:sz="2" w:space="0" w:color="000000"/>
              <w:bottom w:val="single" w:sz="2" w:space="0" w:color="000000"/>
              <w:right w:val="single" w:sz="2" w:space="0" w:color="000000"/>
            </w:tcBorders>
          </w:tcPr>
          <w:p w14:paraId="44A6D3AD" w14:textId="3913262B" w:rsidR="00400729" w:rsidRDefault="00400729" w:rsidP="00400729">
            <w:pPr>
              <w:pStyle w:val="TableParagraph"/>
              <w:spacing w:before="51"/>
              <w:ind w:right="85"/>
              <w:jc w:val="right"/>
              <w:rPr>
                <w:spacing w:val="-2"/>
                <w:sz w:val="14"/>
              </w:rPr>
            </w:pPr>
            <w:r>
              <w:rPr>
                <w:spacing w:val="-2"/>
                <w:sz w:val="14"/>
              </w:rPr>
              <w:t>1,026</w:t>
            </w:r>
          </w:p>
        </w:tc>
        <w:tc>
          <w:tcPr>
            <w:tcW w:w="963" w:type="dxa"/>
            <w:tcBorders>
              <w:top w:val="single" w:sz="2" w:space="0" w:color="000000"/>
              <w:left w:val="single" w:sz="2" w:space="0" w:color="000000"/>
              <w:bottom w:val="single" w:sz="2" w:space="0" w:color="000000"/>
              <w:right w:val="single" w:sz="2" w:space="0" w:color="000000"/>
            </w:tcBorders>
          </w:tcPr>
          <w:p w14:paraId="4F1363A5" w14:textId="2EAC20A8" w:rsidR="00400729" w:rsidRDefault="00400729" w:rsidP="00400729">
            <w:pPr>
              <w:pStyle w:val="TableParagraph"/>
              <w:spacing w:before="51"/>
              <w:ind w:right="75"/>
              <w:jc w:val="right"/>
              <w:rPr>
                <w:spacing w:val="-10"/>
                <w:sz w:val="14"/>
              </w:rPr>
            </w:pPr>
            <w:r>
              <w:rPr>
                <w:spacing w:val="-10"/>
                <w:sz w:val="14"/>
              </w:rPr>
              <w:t>–</w:t>
            </w:r>
          </w:p>
        </w:tc>
        <w:tc>
          <w:tcPr>
            <w:tcW w:w="963" w:type="dxa"/>
            <w:tcBorders>
              <w:top w:val="single" w:sz="2" w:space="0" w:color="000000"/>
              <w:left w:val="single" w:sz="2" w:space="0" w:color="000000"/>
              <w:bottom w:val="single" w:sz="2" w:space="0" w:color="000000"/>
              <w:right w:val="single" w:sz="2" w:space="0" w:color="000000"/>
            </w:tcBorders>
          </w:tcPr>
          <w:p w14:paraId="35E29BF1" w14:textId="1C6D8920" w:rsidR="00400729" w:rsidRDefault="00400729" w:rsidP="00400729">
            <w:pPr>
              <w:pStyle w:val="TableParagraph"/>
              <w:spacing w:before="51"/>
              <w:ind w:right="74"/>
              <w:jc w:val="right"/>
              <w:rPr>
                <w:spacing w:val="-10"/>
                <w:sz w:val="14"/>
              </w:rPr>
            </w:pPr>
            <w:r>
              <w:rPr>
                <w:spacing w:val="-10"/>
                <w:sz w:val="14"/>
              </w:rPr>
              <w:t>–</w:t>
            </w:r>
          </w:p>
        </w:tc>
        <w:tc>
          <w:tcPr>
            <w:tcW w:w="963" w:type="dxa"/>
            <w:tcBorders>
              <w:top w:val="single" w:sz="2" w:space="0" w:color="000000"/>
              <w:left w:val="single" w:sz="2" w:space="0" w:color="000000"/>
              <w:bottom w:val="single" w:sz="2" w:space="0" w:color="000000"/>
              <w:right w:val="single" w:sz="2" w:space="0" w:color="000000"/>
            </w:tcBorders>
          </w:tcPr>
          <w:p w14:paraId="51852EB6" w14:textId="31325E07" w:rsidR="00400729" w:rsidRDefault="00400729" w:rsidP="00400729">
            <w:pPr>
              <w:pStyle w:val="TableParagraph"/>
              <w:spacing w:before="51"/>
              <w:ind w:right="73"/>
              <w:jc w:val="right"/>
              <w:rPr>
                <w:spacing w:val="-10"/>
                <w:sz w:val="14"/>
              </w:rPr>
            </w:pPr>
            <w:r>
              <w:rPr>
                <w:spacing w:val="-10"/>
                <w:sz w:val="14"/>
              </w:rPr>
              <w:t>–</w:t>
            </w:r>
          </w:p>
        </w:tc>
        <w:tc>
          <w:tcPr>
            <w:tcW w:w="1076" w:type="dxa"/>
            <w:tcBorders>
              <w:top w:val="single" w:sz="2" w:space="0" w:color="000000"/>
              <w:left w:val="single" w:sz="2" w:space="0" w:color="000000"/>
              <w:bottom w:val="single" w:sz="2" w:space="0" w:color="000000"/>
              <w:right w:val="nil"/>
            </w:tcBorders>
          </w:tcPr>
          <w:p w14:paraId="7D5DE4DD" w14:textId="744DFE5E" w:rsidR="00400729" w:rsidRDefault="00400729" w:rsidP="00400729">
            <w:pPr>
              <w:pStyle w:val="TableParagraph"/>
              <w:spacing w:before="51"/>
              <w:ind w:right="75"/>
              <w:jc w:val="right"/>
              <w:rPr>
                <w:spacing w:val="-2"/>
                <w:sz w:val="14"/>
              </w:rPr>
            </w:pPr>
            <w:r>
              <w:rPr>
                <w:spacing w:val="-2"/>
                <w:sz w:val="14"/>
              </w:rPr>
              <w:t>9,575</w:t>
            </w:r>
          </w:p>
        </w:tc>
      </w:tr>
      <w:tr w:rsidR="00400729" w14:paraId="0DEB57A9" w14:textId="77777777">
        <w:trPr>
          <w:trHeight w:val="505"/>
        </w:trPr>
        <w:tc>
          <w:tcPr>
            <w:tcW w:w="1417" w:type="dxa"/>
            <w:tcBorders>
              <w:top w:val="single" w:sz="2" w:space="0" w:color="000000"/>
              <w:left w:val="nil"/>
              <w:bottom w:val="single" w:sz="2" w:space="0" w:color="000000"/>
              <w:right w:val="single" w:sz="2" w:space="0" w:color="000000"/>
            </w:tcBorders>
          </w:tcPr>
          <w:p w14:paraId="631AEC1D" w14:textId="6F245574" w:rsidR="00400729" w:rsidRDefault="00400729" w:rsidP="00400729">
            <w:pPr>
              <w:pStyle w:val="TableParagraph"/>
              <w:spacing w:before="51"/>
              <w:ind w:left="56"/>
              <w:rPr>
                <w:sz w:val="14"/>
              </w:rPr>
            </w:pPr>
            <w:r>
              <w:rPr>
                <w:sz w:val="14"/>
              </w:rPr>
              <w:t>Hung</w:t>
            </w:r>
            <w:r>
              <w:rPr>
                <w:spacing w:val="3"/>
                <w:sz w:val="14"/>
              </w:rPr>
              <w:t xml:space="preserve"> </w:t>
            </w:r>
            <w:r>
              <w:rPr>
                <w:spacing w:val="-2"/>
                <w:sz w:val="14"/>
              </w:rPr>
              <w:t>Nguyen</w:t>
            </w:r>
          </w:p>
        </w:tc>
        <w:tc>
          <w:tcPr>
            <w:tcW w:w="850" w:type="dxa"/>
            <w:tcBorders>
              <w:top w:val="single" w:sz="2" w:space="0" w:color="000000"/>
              <w:left w:val="single" w:sz="2" w:space="0" w:color="000000"/>
              <w:bottom w:val="single" w:sz="2" w:space="0" w:color="000000"/>
              <w:right w:val="single" w:sz="2" w:space="0" w:color="000000"/>
            </w:tcBorders>
          </w:tcPr>
          <w:p w14:paraId="1AE1024F" w14:textId="5FEF4657" w:rsidR="00400729" w:rsidRDefault="00400729" w:rsidP="00400729">
            <w:pPr>
              <w:pStyle w:val="TableParagraph"/>
              <w:spacing w:before="51"/>
              <w:ind w:left="54"/>
              <w:rPr>
                <w:sz w:val="14"/>
              </w:rPr>
            </w:pPr>
            <w:r>
              <w:rPr>
                <w:spacing w:val="-2"/>
                <w:sz w:val="14"/>
              </w:rPr>
              <w:t>Board</w:t>
            </w:r>
            <w:r>
              <w:rPr>
                <w:spacing w:val="40"/>
                <w:sz w:val="14"/>
              </w:rPr>
              <w:t xml:space="preserve"> </w:t>
            </w:r>
            <w:r>
              <w:rPr>
                <w:spacing w:val="-2"/>
                <w:sz w:val="14"/>
              </w:rPr>
              <w:t>Member</w:t>
            </w:r>
          </w:p>
        </w:tc>
        <w:tc>
          <w:tcPr>
            <w:tcW w:w="963" w:type="dxa"/>
            <w:tcBorders>
              <w:top w:val="single" w:sz="2" w:space="0" w:color="000000"/>
              <w:left w:val="single" w:sz="2" w:space="0" w:color="000000"/>
              <w:bottom w:val="single" w:sz="2" w:space="0" w:color="000000"/>
              <w:right w:val="single" w:sz="2" w:space="0" w:color="000000"/>
            </w:tcBorders>
          </w:tcPr>
          <w:p w14:paraId="45224825" w14:textId="796A538A" w:rsidR="00400729" w:rsidRDefault="00400729" w:rsidP="00400729">
            <w:pPr>
              <w:pStyle w:val="TableParagraph"/>
              <w:spacing w:before="51"/>
              <w:ind w:right="79"/>
              <w:jc w:val="right"/>
              <w:rPr>
                <w:spacing w:val="-2"/>
                <w:sz w:val="14"/>
              </w:rPr>
            </w:pPr>
            <w:r>
              <w:rPr>
                <w:spacing w:val="-2"/>
                <w:sz w:val="14"/>
              </w:rPr>
              <w:t>6,233</w:t>
            </w:r>
          </w:p>
        </w:tc>
        <w:tc>
          <w:tcPr>
            <w:tcW w:w="963" w:type="dxa"/>
            <w:tcBorders>
              <w:top w:val="single" w:sz="2" w:space="0" w:color="000000"/>
              <w:left w:val="single" w:sz="2" w:space="0" w:color="000000"/>
              <w:bottom w:val="single" w:sz="2" w:space="0" w:color="000000"/>
              <w:right w:val="single" w:sz="2" w:space="0" w:color="000000"/>
            </w:tcBorders>
          </w:tcPr>
          <w:p w14:paraId="4F369D2A" w14:textId="7F13D076" w:rsidR="00400729" w:rsidRDefault="00400729" w:rsidP="00400729">
            <w:pPr>
              <w:pStyle w:val="TableParagraph"/>
              <w:spacing w:before="51"/>
              <w:ind w:right="78"/>
              <w:jc w:val="right"/>
              <w:rPr>
                <w:spacing w:val="-10"/>
                <w:sz w:val="14"/>
              </w:rPr>
            </w:pPr>
            <w:r>
              <w:rPr>
                <w:spacing w:val="-10"/>
                <w:sz w:val="14"/>
              </w:rPr>
              <w:t>–</w:t>
            </w:r>
          </w:p>
        </w:tc>
        <w:tc>
          <w:tcPr>
            <w:tcW w:w="963" w:type="dxa"/>
            <w:tcBorders>
              <w:top w:val="single" w:sz="2" w:space="0" w:color="000000"/>
              <w:left w:val="single" w:sz="2" w:space="0" w:color="000000"/>
              <w:bottom w:val="single" w:sz="2" w:space="0" w:color="000000"/>
              <w:right w:val="single" w:sz="2" w:space="0" w:color="000000"/>
            </w:tcBorders>
          </w:tcPr>
          <w:p w14:paraId="7D383968" w14:textId="36313E79" w:rsidR="00400729" w:rsidRDefault="00400729" w:rsidP="00400729">
            <w:pPr>
              <w:pStyle w:val="TableParagraph"/>
              <w:spacing w:before="51"/>
              <w:ind w:right="77"/>
              <w:jc w:val="right"/>
              <w:rPr>
                <w:spacing w:val="-10"/>
                <w:sz w:val="14"/>
              </w:rPr>
            </w:pPr>
            <w:r>
              <w:rPr>
                <w:spacing w:val="-10"/>
                <w:sz w:val="14"/>
              </w:rPr>
              <w:t>–</w:t>
            </w:r>
          </w:p>
        </w:tc>
        <w:tc>
          <w:tcPr>
            <w:tcW w:w="1076" w:type="dxa"/>
            <w:tcBorders>
              <w:top w:val="single" w:sz="2" w:space="0" w:color="000000"/>
              <w:left w:val="single" w:sz="2" w:space="0" w:color="000000"/>
              <w:bottom w:val="single" w:sz="2" w:space="0" w:color="000000"/>
              <w:right w:val="single" w:sz="2" w:space="0" w:color="000000"/>
            </w:tcBorders>
          </w:tcPr>
          <w:p w14:paraId="70FF5339" w14:textId="1A366853" w:rsidR="00400729" w:rsidRDefault="00400729" w:rsidP="00400729">
            <w:pPr>
              <w:pStyle w:val="TableParagraph"/>
              <w:spacing w:before="51"/>
              <w:ind w:right="85"/>
              <w:jc w:val="right"/>
              <w:rPr>
                <w:spacing w:val="-2"/>
                <w:sz w:val="14"/>
              </w:rPr>
            </w:pPr>
            <w:r>
              <w:rPr>
                <w:spacing w:val="-5"/>
                <w:sz w:val="14"/>
              </w:rPr>
              <w:t>748</w:t>
            </w:r>
          </w:p>
        </w:tc>
        <w:tc>
          <w:tcPr>
            <w:tcW w:w="963" w:type="dxa"/>
            <w:tcBorders>
              <w:top w:val="single" w:sz="2" w:space="0" w:color="000000"/>
              <w:left w:val="single" w:sz="2" w:space="0" w:color="000000"/>
              <w:bottom w:val="single" w:sz="2" w:space="0" w:color="000000"/>
              <w:right w:val="single" w:sz="2" w:space="0" w:color="000000"/>
            </w:tcBorders>
          </w:tcPr>
          <w:p w14:paraId="0E28A912" w14:textId="344CECC1" w:rsidR="00400729" w:rsidRDefault="00400729" w:rsidP="00400729">
            <w:pPr>
              <w:pStyle w:val="TableParagraph"/>
              <w:spacing w:before="51"/>
              <w:ind w:right="75"/>
              <w:jc w:val="right"/>
              <w:rPr>
                <w:spacing w:val="-10"/>
                <w:sz w:val="14"/>
              </w:rPr>
            </w:pPr>
            <w:r>
              <w:rPr>
                <w:spacing w:val="-10"/>
                <w:sz w:val="14"/>
              </w:rPr>
              <w:t>–</w:t>
            </w:r>
          </w:p>
        </w:tc>
        <w:tc>
          <w:tcPr>
            <w:tcW w:w="963" w:type="dxa"/>
            <w:tcBorders>
              <w:top w:val="single" w:sz="2" w:space="0" w:color="000000"/>
              <w:left w:val="single" w:sz="2" w:space="0" w:color="000000"/>
              <w:bottom w:val="single" w:sz="2" w:space="0" w:color="000000"/>
              <w:right w:val="single" w:sz="2" w:space="0" w:color="000000"/>
            </w:tcBorders>
          </w:tcPr>
          <w:p w14:paraId="48EAD8A7" w14:textId="06236F39" w:rsidR="00400729" w:rsidRDefault="00400729" w:rsidP="00400729">
            <w:pPr>
              <w:pStyle w:val="TableParagraph"/>
              <w:spacing w:before="51"/>
              <w:ind w:right="74"/>
              <w:jc w:val="right"/>
              <w:rPr>
                <w:spacing w:val="-10"/>
                <w:sz w:val="14"/>
              </w:rPr>
            </w:pPr>
            <w:r>
              <w:rPr>
                <w:spacing w:val="-10"/>
                <w:sz w:val="14"/>
              </w:rPr>
              <w:t>–</w:t>
            </w:r>
          </w:p>
        </w:tc>
        <w:tc>
          <w:tcPr>
            <w:tcW w:w="963" w:type="dxa"/>
            <w:tcBorders>
              <w:top w:val="single" w:sz="2" w:space="0" w:color="000000"/>
              <w:left w:val="single" w:sz="2" w:space="0" w:color="000000"/>
              <w:bottom w:val="single" w:sz="2" w:space="0" w:color="000000"/>
              <w:right w:val="single" w:sz="2" w:space="0" w:color="000000"/>
            </w:tcBorders>
          </w:tcPr>
          <w:p w14:paraId="74865296" w14:textId="186E9FA6" w:rsidR="00400729" w:rsidRDefault="00400729" w:rsidP="00400729">
            <w:pPr>
              <w:pStyle w:val="TableParagraph"/>
              <w:spacing w:before="51"/>
              <w:ind w:right="73"/>
              <w:jc w:val="right"/>
              <w:rPr>
                <w:spacing w:val="-10"/>
                <w:sz w:val="14"/>
              </w:rPr>
            </w:pPr>
            <w:r>
              <w:rPr>
                <w:spacing w:val="-10"/>
                <w:sz w:val="14"/>
              </w:rPr>
              <w:t>–</w:t>
            </w:r>
          </w:p>
        </w:tc>
        <w:tc>
          <w:tcPr>
            <w:tcW w:w="1076" w:type="dxa"/>
            <w:tcBorders>
              <w:top w:val="single" w:sz="2" w:space="0" w:color="000000"/>
              <w:left w:val="single" w:sz="2" w:space="0" w:color="000000"/>
              <w:bottom w:val="single" w:sz="2" w:space="0" w:color="000000"/>
              <w:right w:val="nil"/>
            </w:tcBorders>
          </w:tcPr>
          <w:p w14:paraId="601B2F1D" w14:textId="66EF50C9" w:rsidR="00400729" w:rsidRDefault="00400729" w:rsidP="00400729">
            <w:pPr>
              <w:pStyle w:val="TableParagraph"/>
              <w:spacing w:before="51"/>
              <w:ind w:right="75"/>
              <w:jc w:val="right"/>
              <w:rPr>
                <w:spacing w:val="-2"/>
                <w:sz w:val="14"/>
              </w:rPr>
            </w:pPr>
            <w:r>
              <w:rPr>
                <w:spacing w:val="-2"/>
                <w:sz w:val="14"/>
              </w:rPr>
              <w:t>6,981</w:t>
            </w:r>
          </w:p>
        </w:tc>
      </w:tr>
      <w:tr w:rsidR="00400729" w14:paraId="4FCF8248" w14:textId="77777777">
        <w:trPr>
          <w:trHeight w:val="505"/>
        </w:trPr>
        <w:tc>
          <w:tcPr>
            <w:tcW w:w="1417" w:type="dxa"/>
            <w:tcBorders>
              <w:top w:val="single" w:sz="2" w:space="0" w:color="000000"/>
              <w:left w:val="nil"/>
              <w:bottom w:val="single" w:sz="2" w:space="0" w:color="000000"/>
              <w:right w:val="single" w:sz="2" w:space="0" w:color="000000"/>
            </w:tcBorders>
          </w:tcPr>
          <w:p w14:paraId="05FB12AE" w14:textId="77777777" w:rsidR="00400729" w:rsidRDefault="00400729" w:rsidP="00400729">
            <w:pPr>
              <w:pStyle w:val="TableParagraph"/>
              <w:spacing w:before="10"/>
              <w:rPr>
                <w:sz w:val="14"/>
              </w:rPr>
            </w:pPr>
          </w:p>
          <w:p w14:paraId="443A7BA4" w14:textId="0C0840A8" w:rsidR="00400729" w:rsidRDefault="00400729" w:rsidP="00400729">
            <w:pPr>
              <w:pStyle w:val="TableParagraph"/>
              <w:spacing w:before="51"/>
              <w:ind w:left="56"/>
              <w:rPr>
                <w:sz w:val="14"/>
              </w:rPr>
            </w:pPr>
            <w:r>
              <w:rPr>
                <w:b/>
                <w:spacing w:val="-2"/>
                <w:sz w:val="14"/>
              </w:rPr>
              <w:t>Total</w:t>
            </w:r>
          </w:p>
        </w:tc>
        <w:tc>
          <w:tcPr>
            <w:tcW w:w="850" w:type="dxa"/>
            <w:tcBorders>
              <w:top w:val="single" w:sz="2" w:space="0" w:color="000000"/>
              <w:left w:val="single" w:sz="2" w:space="0" w:color="000000"/>
              <w:bottom w:val="single" w:sz="2" w:space="0" w:color="000000"/>
              <w:right w:val="single" w:sz="2" w:space="0" w:color="000000"/>
            </w:tcBorders>
          </w:tcPr>
          <w:p w14:paraId="12A60E09" w14:textId="77777777" w:rsidR="00400729" w:rsidRDefault="00400729" w:rsidP="00400729">
            <w:pPr>
              <w:pStyle w:val="TableParagraph"/>
              <w:spacing w:before="51"/>
              <w:ind w:left="54"/>
              <w:rPr>
                <w:sz w:val="14"/>
              </w:rPr>
            </w:pPr>
          </w:p>
        </w:tc>
        <w:tc>
          <w:tcPr>
            <w:tcW w:w="963" w:type="dxa"/>
            <w:tcBorders>
              <w:top w:val="single" w:sz="2" w:space="0" w:color="000000"/>
              <w:left w:val="single" w:sz="2" w:space="0" w:color="000000"/>
              <w:bottom w:val="single" w:sz="2" w:space="0" w:color="000000"/>
              <w:right w:val="single" w:sz="2" w:space="0" w:color="000000"/>
            </w:tcBorders>
          </w:tcPr>
          <w:p w14:paraId="33A51D49" w14:textId="77777777" w:rsidR="00400729" w:rsidRDefault="00400729" w:rsidP="00400729">
            <w:pPr>
              <w:pStyle w:val="TableParagraph"/>
              <w:spacing w:before="10"/>
              <w:rPr>
                <w:sz w:val="14"/>
              </w:rPr>
            </w:pPr>
          </w:p>
          <w:p w14:paraId="07751F61" w14:textId="60615275" w:rsidR="00400729" w:rsidRDefault="00400729" w:rsidP="00400729">
            <w:pPr>
              <w:pStyle w:val="TableParagraph"/>
              <w:spacing w:before="51"/>
              <w:ind w:right="79"/>
              <w:jc w:val="right"/>
              <w:rPr>
                <w:spacing w:val="-2"/>
                <w:sz w:val="14"/>
              </w:rPr>
            </w:pPr>
            <w:r>
              <w:rPr>
                <w:b/>
                <w:spacing w:val="-2"/>
                <w:sz w:val="14"/>
              </w:rPr>
              <w:t>1,168,243</w:t>
            </w:r>
          </w:p>
        </w:tc>
        <w:tc>
          <w:tcPr>
            <w:tcW w:w="963" w:type="dxa"/>
            <w:tcBorders>
              <w:top w:val="single" w:sz="2" w:space="0" w:color="000000"/>
              <w:left w:val="single" w:sz="2" w:space="0" w:color="000000"/>
              <w:bottom w:val="single" w:sz="2" w:space="0" w:color="000000"/>
              <w:right w:val="single" w:sz="2" w:space="0" w:color="000000"/>
            </w:tcBorders>
          </w:tcPr>
          <w:p w14:paraId="10A543A6" w14:textId="77777777" w:rsidR="00400729" w:rsidRDefault="00400729" w:rsidP="00400729">
            <w:pPr>
              <w:pStyle w:val="TableParagraph"/>
              <w:spacing w:before="10"/>
              <w:rPr>
                <w:sz w:val="14"/>
              </w:rPr>
            </w:pPr>
          </w:p>
          <w:p w14:paraId="334170E1" w14:textId="2F20F56C" w:rsidR="00400729" w:rsidRDefault="00400729" w:rsidP="00400729">
            <w:pPr>
              <w:pStyle w:val="TableParagraph"/>
              <w:spacing w:before="51"/>
              <w:ind w:right="78"/>
              <w:jc w:val="right"/>
              <w:rPr>
                <w:spacing w:val="-10"/>
                <w:sz w:val="14"/>
              </w:rPr>
            </w:pPr>
            <w:r>
              <w:rPr>
                <w:b/>
                <w:spacing w:val="-10"/>
                <w:sz w:val="14"/>
              </w:rPr>
              <w:t>–</w:t>
            </w:r>
          </w:p>
        </w:tc>
        <w:tc>
          <w:tcPr>
            <w:tcW w:w="963" w:type="dxa"/>
            <w:tcBorders>
              <w:top w:val="single" w:sz="2" w:space="0" w:color="000000"/>
              <w:left w:val="single" w:sz="2" w:space="0" w:color="000000"/>
              <w:bottom w:val="single" w:sz="2" w:space="0" w:color="000000"/>
              <w:right w:val="single" w:sz="2" w:space="0" w:color="000000"/>
            </w:tcBorders>
          </w:tcPr>
          <w:p w14:paraId="1E73F9F7" w14:textId="77777777" w:rsidR="00400729" w:rsidRDefault="00400729" w:rsidP="00400729">
            <w:pPr>
              <w:pStyle w:val="TableParagraph"/>
              <w:spacing w:before="10"/>
              <w:rPr>
                <w:sz w:val="14"/>
              </w:rPr>
            </w:pPr>
          </w:p>
          <w:p w14:paraId="70943AC2" w14:textId="62494861" w:rsidR="00400729" w:rsidRDefault="00400729" w:rsidP="00400729">
            <w:pPr>
              <w:pStyle w:val="TableParagraph"/>
              <w:spacing w:before="51"/>
              <w:ind w:right="77"/>
              <w:jc w:val="right"/>
              <w:rPr>
                <w:spacing w:val="-10"/>
                <w:sz w:val="14"/>
              </w:rPr>
            </w:pPr>
            <w:r>
              <w:rPr>
                <w:b/>
                <w:spacing w:val="-2"/>
                <w:sz w:val="14"/>
              </w:rPr>
              <w:t>75,662</w:t>
            </w:r>
          </w:p>
        </w:tc>
        <w:tc>
          <w:tcPr>
            <w:tcW w:w="1076" w:type="dxa"/>
            <w:tcBorders>
              <w:top w:val="single" w:sz="2" w:space="0" w:color="000000"/>
              <w:left w:val="single" w:sz="2" w:space="0" w:color="000000"/>
              <w:bottom w:val="single" w:sz="2" w:space="0" w:color="000000"/>
              <w:right w:val="single" w:sz="2" w:space="0" w:color="000000"/>
            </w:tcBorders>
          </w:tcPr>
          <w:p w14:paraId="306A8E4D" w14:textId="77777777" w:rsidR="00400729" w:rsidRDefault="00400729" w:rsidP="00400729">
            <w:pPr>
              <w:pStyle w:val="TableParagraph"/>
              <w:spacing w:before="10"/>
              <w:rPr>
                <w:sz w:val="14"/>
              </w:rPr>
            </w:pPr>
          </w:p>
          <w:p w14:paraId="019F0836" w14:textId="02E1EA61" w:rsidR="00400729" w:rsidRDefault="00400729" w:rsidP="00400729">
            <w:pPr>
              <w:pStyle w:val="TableParagraph"/>
              <w:spacing w:before="51"/>
              <w:ind w:right="85"/>
              <w:jc w:val="right"/>
              <w:rPr>
                <w:spacing w:val="-2"/>
                <w:sz w:val="14"/>
              </w:rPr>
            </w:pPr>
            <w:r>
              <w:rPr>
                <w:b/>
                <w:spacing w:val="-2"/>
                <w:sz w:val="14"/>
              </w:rPr>
              <w:t>126,316</w:t>
            </w:r>
          </w:p>
        </w:tc>
        <w:tc>
          <w:tcPr>
            <w:tcW w:w="963" w:type="dxa"/>
            <w:tcBorders>
              <w:top w:val="single" w:sz="2" w:space="0" w:color="000000"/>
              <w:left w:val="single" w:sz="2" w:space="0" w:color="000000"/>
              <w:bottom w:val="single" w:sz="2" w:space="0" w:color="000000"/>
              <w:right w:val="single" w:sz="2" w:space="0" w:color="000000"/>
            </w:tcBorders>
          </w:tcPr>
          <w:p w14:paraId="2FE94CE0" w14:textId="77777777" w:rsidR="00400729" w:rsidRDefault="00400729" w:rsidP="00400729">
            <w:pPr>
              <w:pStyle w:val="TableParagraph"/>
              <w:spacing w:before="10"/>
              <w:rPr>
                <w:sz w:val="14"/>
              </w:rPr>
            </w:pPr>
          </w:p>
          <w:p w14:paraId="4D0AAA1A" w14:textId="24370BB7" w:rsidR="00400729" w:rsidRDefault="00400729" w:rsidP="00400729">
            <w:pPr>
              <w:pStyle w:val="TableParagraph"/>
              <w:spacing w:before="51"/>
              <w:ind w:right="75"/>
              <w:jc w:val="right"/>
              <w:rPr>
                <w:spacing w:val="-10"/>
                <w:sz w:val="14"/>
              </w:rPr>
            </w:pPr>
            <w:r>
              <w:rPr>
                <w:b/>
                <w:spacing w:val="-2"/>
                <w:sz w:val="14"/>
              </w:rPr>
              <w:t>27,163</w:t>
            </w:r>
          </w:p>
        </w:tc>
        <w:tc>
          <w:tcPr>
            <w:tcW w:w="963" w:type="dxa"/>
            <w:tcBorders>
              <w:top w:val="single" w:sz="2" w:space="0" w:color="000000"/>
              <w:left w:val="single" w:sz="2" w:space="0" w:color="000000"/>
              <w:bottom w:val="single" w:sz="2" w:space="0" w:color="000000"/>
              <w:right w:val="single" w:sz="2" w:space="0" w:color="000000"/>
            </w:tcBorders>
          </w:tcPr>
          <w:p w14:paraId="6EC929E5" w14:textId="77777777" w:rsidR="00400729" w:rsidRDefault="00400729" w:rsidP="00400729">
            <w:pPr>
              <w:pStyle w:val="TableParagraph"/>
              <w:spacing w:before="10"/>
              <w:rPr>
                <w:sz w:val="14"/>
              </w:rPr>
            </w:pPr>
          </w:p>
          <w:p w14:paraId="2D2C80EA" w14:textId="36591BCC" w:rsidR="00400729" w:rsidRDefault="00400729" w:rsidP="00400729">
            <w:pPr>
              <w:pStyle w:val="TableParagraph"/>
              <w:spacing w:before="51"/>
              <w:ind w:right="74"/>
              <w:jc w:val="right"/>
              <w:rPr>
                <w:spacing w:val="-10"/>
                <w:sz w:val="14"/>
              </w:rPr>
            </w:pPr>
            <w:r>
              <w:rPr>
                <w:b/>
                <w:spacing w:val="-10"/>
                <w:sz w:val="14"/>
              </w:rPr>
              <w:t>–</w:t>
            </w:r>
          </w:p>
        </w:tc>
        <w:tc>
          <w:tcPr>
            <w:tcW w:w="963" w:type="dxa"/>
            <w:tcBorders>
              <w:top w:val="single" w:sz="2" w:space="0" w:color="000000"/>
              <w:left w:val="single" w:sz="2" w:space="0" w:color="000000"/>
              <w:bottom w:val="single" w:sz="2" w:space="0" w:color="000000"/>
              <w:right w:val="single" w:sz="2" w:space="0" w:color="000000"/>
            </w:tcBorders>
          </w:tcPr>
          <w:p w14:paraId="138C2047" w14:textId="77777777" w:rsidR="00400729" w:rsidRDefault="00400729" w:rsidP="00400729">
            <w:pPr>
              <w:pStyle w:val="TableParagraph"/>
              <w:spacing w:before="10"/>
              <w:rPr>
                <w:sz w:val="14"/>
              </w:rPr>
            </w:pPr>
          </w:p>
          <w:p w14:paraId="1F5A4B4E" w14:textId="01BEFBFE" w:rsidR="00400729" w:rsidRDefault="00400729" w:rsidP="00400729">
            <w:pPr>
              <w:pStyle w:val="TableParagraph"/>
              <w:spacing w:before="51"/>
              <w:ind w:right="73"/>
              <w:jc w:val="right"/>
              <w:rPr>
                <w:spacing w:val="-10"/>
                <w:sz w:val="14"/>
              </w:rPr>
            </w:pPr>
            <w:r>
              <w:rPr>
                <w:b/>
                <w:spacing w:val="-10"/>
                <w:sz w:val="14"/>
              </w:rPr>
              <w:t>–</w:t>
            </w:r>
          </w:p>
        </w:tc>
        <w:tc>
          <w:tcPr>
            <w:tcW w:w="1076" w:type="dxa"/>
            <w:tcBorders>
              <w:top w:val="single" w:sz="2" w:space="0" w:color="000000"/>
              <w:left w:val="single" w:sz="2" w:space="0" w:color="000000"/>
              <w:bottom w:val="single" w:sz="2" w:space="0" w:color="000000"/>
              <w:right w:val="nil"/>
            </w:tcBorders>
          </w:tcPr>
          <w:p w14:paraId="16D5FB98" w14:textId="77777777" w:rsidR="00400729" w:rsidRDefault="00400729" w:rsidP="00400729">
            <w:pPr>
              <w:pStyle w:val="TableParagraph"/>
              <w:spacing w:before="10"/>
              <w:rPr>
                <w:sz w:val="14"/>
              </w:rPr>
            </w:pPr>
          </w:p>
          <w:p w14:paraId="6607AEF3" w14:textId="2A21B22A" w:rsidR="00400729" w:rsidRDefault="00400729" w:rsidP="00400729">
            <w:pPr>
              <w:pStyle w:val="TableParagraph"/>
              <w:spacing w:before="51"/>
              <w:ind w:right="75"/>
              <w:jc w:val="right"/>
              <w:rPr>
                <w:spacing w:val="-2"/>
                <w:sz w:val="14"/>
              </w:rPr>
            </w:pPr>
            <w:r>
              <w:rPr>
                <w:b/>
                <w:spacing w:val="-2"/>
                <w:sz w:val="14"/>
              </w:rPr>
              <w:t>1,397,383</w:t>
            </w:r>
          </w:p>
        </w:tc>
      </w:tr>
    </w:tbl>
    <w:p w14:paraId="7DCA31B2" w14:textId="6C897EBC" w:rsidR="00400729" w:rsidRDefault="00400729" w:rsidP="00400729">
      <w:pPr>
        <w:pStyle w:val="TableParagraph"/>
        <w:tabs>
          <w:tab w:val="left" w:pos="1566"/>
          <w:tab w:val="left" w:pos="2416"/>
          <w:tab w:val="left" w:pos="3379"/>
          <w:tab w:val="left" w:pos="4342"/>
          <w:tab w:val="left" w:pos="5305"/>
          <w:tab w:val="left" w:pos="6381"/>
          <w:tab w:val="left" w:pos="7344"/>
          <w:tab w:val="left" w:pos="8307"/>
          <w:tab w:val="left" w:pos="9270"/>
        </w:tabs>
        <w:spacing w:before="10"/>
        <w:ind w:left="149"/>
        <w:rPr>
          <w:sz w:val="14"/>
        </w:rPr>
      </w:pPr>
    </w:p>
    <w:p w14:paraId="71CFEB61" w14:textId="77777777" w:rsidR="00400729" w:rsidRDefault="00400729">
      <w:pPr>
        <w:rPr>
          <w:sz w:val="14"/>
        </w:rPr>
      </w:pPr>
      <w:r>
        <w:rPr>
          <w:sz w:val="14"/>
        </w:rPr>
        <w:br w:type="page"/>
      </w:r>
    </w:p>
    <w:p w14:paraId="03158B31" w14:textId="77777777" w:rsidR="00400729" w:rsidRDefault="00400729" w:rsidP="00400729">
      <w:pPr>
        <w:pStyle w:val="TableParagraph"/>
        <w:tabs>
          <w:tab w:val="left" w:pos="1566"/>
          <w:tab w:val="left" w:pos="2416"/>
          <w:tab w:val="left" w:pos="3379"/>
          <w:tab w:val="left" w:pos="4342"/>
          <w:tab w:val="left" w:pos="5305"/>
          <w:tab w:val="left" w:pos="6381"/>
          <w:tab w:val="left" w:pos="7344"/>
          <w:tab w:val="left" w:pos="8307"/>
          <w:tab w:val="left" w:pos="9270"/>
        </w:tabs>
        <w:spacing w:before="10"/>
        <w:ind w:left="149"/>
        <w:rPr>
          <w:sz w:val="14"/>
        </w:rPr>
      </w:pPr>
    </w:p>
    <w:p w14:paraId="4347739E" w14:textId="77777777" w:rsidR="009D54AF" w:rsidRDefault="009D54AF">
      <w:pPr>
        <w:pStyle w:val="BodyText"/>
        <w:spacing w:before="6"/>
        <w:rPr>
          <w:sz w:val="2"/>
        </w:rPr>
      </w:pPr>
    </w:p>
    <w:p w14:paraId="196EB090" w14:textId="77777777" w:rsidR="009D54AF" w:rsidRDefault="00000000">
      <w:pPr>
        <w:ind w:left="142"/>
        <w:rPr>
          <w:sz w:val="19"/>
        </w:rPr>
      </w:pPr>
      <w:r>
        <w:rPr>
          <w:b/>
          <w:sz w:val="19"/>
        </w:rPr>
        <w:t>Table</w:t>
      </w:r>
      <w:r>
        <w:rPr>
          <w:b/>
          <w:spacing w:val="1"/>
          <w:sz w:val="19"/>
        </w:rPr>
        <w:t xml:space="preserve"> </w:t>
      </w:r>
      <w:r>
        <w:rPr>
          <w:b/>
          <w:sz w:val="19"/>
        </w:rPr>
        <w:t>5</w:t>
      </w:r>
      <w:r>
        <w:rPr>
          <w:b/>
          <w:spacing w:val="20"/>
          <w:sz w:val="19"/>
        </w:rPr>
        <w:t xml:space="preserve"> </w:t>
      </w:r>
      <w:r>
        <w:rPr>
          <w:sz w:val="19"/>
        </w:rPr>
        <w:t>Remuneration</w:t>
      </w:r>
      <w:r>
        <w:rPr>
          <w:spacing w:val="2"/>
          <w:sz w:val="19"/>
        </w:rPr>
        <w:t xml:space="preserve"> </w:t>
      </w:r>
      <w:r>
        <w:rPr>
          <w:sz w:val="19"/>
        </w:rPr>
        <w:t>paid</w:t>
      </w:r>
      <w:r>
        <w:rPr>
          <w:spacing w:val="2"/>
          <w:sz w:val="19"/>
        </w:rPr>
        <w:t xml:space="preserve"> </w:t>
      </w:r>
      <w:r>
        <w:rPr>
          <w:sz w:val="19"/>
        </w:rPr>
        <w:t>to</w:t>
      </w:r>
      <w:r>
        <w:rPr>
          <w:spacing w:val="1"/>
          <w:sz w:val="19"/>
        </w:rPr>
        <w:t xml:space="preserve"> </w:t>
      </w:r>
      <w:r>
        <w:rPr>
          <w:sz w:val="19"/>
        </w:rPr>
        <w:t>executive</w:t>
      </w:r>
      <w:r>
        <w:rPr>
          <w:spacing w:val="2"/>
          <w:sz w:val="19"/>
        </w:rPr>
        <w:t xml:space="preserve"> </w:t>
      </w:r>
      <w:r>
        <w:rPr>
          <w:sz w:val="19"/>
        </w:rPr>
        <w:t>staff</w:t>
      </w:r>
      <w:r>
        <w:rPr>
          <w:spacing w:val="2"/>
          <w:sz w:val="19"/>
        </w:rPr>
        <w:t xml:space="preserve"> </w:t>
      </w:r>
      <w:r>
        <w:rPr>
          <w:sz w:val="19"/>
        </w:rPr>
        <w:t>(Senior</w:t>
      </w:r>
      <w:r>
        <w:rPr>
          <w:spacing w:val="2"/>
          <w:sz w:val="19"/>
        </w:rPr>
        <w:t xml:space="preserve"> </w:t>
      </w:r>
      <w:r>
        <w:rPr>
          <w:sz w:val="19"/>
        </w:rPr>
        <w:t>Executive</w:t>
      </w:r>
      <w:r>
        <w:rPr>
          <w:spacing w:val="2"/>
          <w:sz w:val="19"/>
        </w:rPr>
        <w:t xml:space="preserve"> </w:t>
      </w:r>
      <w:r>
        <w:rPr>
          <w:sz w:val="19"/>
        </w:rPr>
        <w:t>Service</w:t>
      </w:r>
      <w:r>
        <w:rPr>
          <w:spacing w:val="2"/>
          <w:sz w:val="19"/>
        </w:rPr>
        <w:t xml:space="preserve"> </w:t>
      </w:r>
      <w:r>
        <w:rPr>
          <w:sz w:val="19"/>
        </w:rPr>
        <w:t>equivalent),</w:t>
      </w:r>
      <w:r>
        <w:rPr>
          <w:spacing w:val="2"/>
          <w:sz w:val="19"/>
        </w:rPr>
        <w:t xml:space="preserve"> </w:t>
      </w:r>
      <w:r>
        <w:rPr>
          <w:sz w:val="19"/>
        </w:rPr>
        <w:t>2025–</w:t>
      </w:r>
      <w:r>
        <w:rPr>
          <w:spacing w:val="-5"/>
          <w:sz w:val="19"/>
        </w:rPr>
        <w:t>26</w:t>
      </w:r>
    </w:p>
    <w:p w14:paraId="46783D1C" w14:textId="77777777" w:rsidR="009D54AF" w:rsidRDefault="009D54AF">
      <w:pPr>
        <w:pStyle w:val="BodyText"/>
        <w:spacing w:before="1"/>
        <w:rPr>
          <w:sz w:val="8"/>
        </w:rPr>
      </w:pPr>
    </w:p>
    <w:tbl>
      <w:tblPr>
        <w:tblW w:w="0" w:type="auto"/>
        <w:tblInd w:w="149"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CellMar>
          <w:left w:w="0" w:type="dxa"/>
          <w:right w:w="0" w:type="dxa"/>
        </w:tblCellMar>
        <w:tblLook w:val="01E0" w:firstRow="1" w:lastRow="1" w:firstColumn="1" w:lastColumn="1" w:noHBand="0" w:noVBand="0"/>
      </w:tblPr>
      <w:tblGrid>
        <w:gridCol w:w="1417"/>
        <w:gridCol w:w="850"/>
        <w:gridCol w:w="963"/>
        <w:gridCol w:w="963"/>
        <w:gridCol w:w="963"/>
        <w:gridCol w:w="1076"/>
        <w:gridCol w:w="963"/>
        <w:gridCol w:w="963"/>
        <w:gridCol w:w="963"/>
        <w:gridCol w:w="1076"/>
      </w:tblGrid>
      <w:tr w:rsidR="009D54AF" w14:paraId="402A2752" w14:textId="77777777">
        <w:trPr>
          <w:trHeight w:val="859"/>
        </w:trPr>
        <w:tc>
          <w:tcPr>
            <w:tcW w:w="1417" w:type="dxa"/>
            <w:vMerge w:val="restart"/>
            <w:tcBorders>
              <w:top w:val="nil"/>
              <w:left w:val="nil"/>
              <w:bottom w:val="nil"/>
            </w:tcBorders>
            <w:shd w:val="clear" w:color="auto" w:fill="000000"/>
          </w:tcPr>
          <w:p w14:paraId="0DCD3FE1" w14:textId="77777777" w:rsidR="009D54AF" w:rsidRDefault="009D54AF">
            <w:pPr>
              <w:pStyle w:val="TableParagraph"/>
              <w:rPr>
                <w:sz w:val="14"/>
              </w:rPr>
            </w:pPr>
          </w:p>
          <w:p w14:paraId="16185303" w14:textId="77777777" w:rsidR="009D54AF" w:rsidRDefault="009D54AF">
            <w:pPr>
              <w:pStyle w:val="TableParagraph"/>
              <w:rPr>
                <w:sz w:val="14"/>
              </w:rPr>
            </w:pPr>
          </w:p>
          <w:p w14:paraId="3E355D60" w14:textId="77777777" w:rsidR="009D54AF" w:rsidRDefault="009D54AF">
            <w:pPr>
              <w:pStyle w:val="TableParagraph"/>
              <w:rPr>
                <w:sz w:val="14"/>
              </w:rPr>
            </w:pPr>
          </w:p>
          <w:p w14:paraId="204C0A10" w14:textId="77777777" w:rsidR="009D54AF" w:rsidRDefault="009D54AF">
            <w:pPr>
              <w:pStyle w:val="TableParagraph"/>
              <w:rPr>
                <w:sz w:val="14"/>
              </w:rPr>
            </w:pPr>
          </w:p>
          <w:p w14:paraId="202AC7A7" w14:textId="77777777" w:rsidR="009D54AF" w:rsidRDefault="009D54AF">
            <w:pPr>
              <w:pStyle w:val="TableParagraph"/>
              <w:spacing w:before="160"/>
              <w:rPr>
                <w:sz w:val="14"/>
              </w:rPr>
            </w:pPr>
          </w:p>
          <w:p w14:paraId="243A2238" w14:textId="77777777" w:rsidR="009D54AF" w:rsidRDefault="00000000">
            <w:pPr>
              <w:pStyle w:val="TableParagraph"/>
              <w:ind w:left="85" w:right="42"/>
              <w:rPr>
                <w:b/>
                <w:sz w:val="14"/>
              </w:rPr>
            </w:pPr>
            <w:r>
              <w:rPr>
                <w:b/>
                <w:color w:val="FFFFFF"/>
                <w:sz w:val="14"/>
              </w:rPr>
              <w:t>Total</w:t>
            </w:r>
            <w:r>
              <w:rPr>
                <w:b/>
                <w:color w:val="FFFFFF"/>
                <w:spacing w:val="-10"/>
                <w:sz w:val="14"/>
              </w:rPr>
              <w:t xml:space="preserve"> </w:t>
            </w:r>
            <w:proofErr w:type="spellStart"/>
            <w:r>
              <w:rPr>
                <w:b/>
                <w:color w:val="FFFFFF"/>
                <w:sz w:val="14"/>
              </w:rPr>
              <w:t>remunera-tion</w:t>
            </w:r>
            <w:proofErr w:type="spellEnd"/>
            <w:r>
              <w:rPr>
                <w:b/>
                <w:color w:val="FFFFFF"/>
                <w:spacing w:val="-2"/>
                <w:sz w:val="14"/>
              </w:rPr>
              <w:t xml:space="preserve"> </w:t>
            </w:r>
            <w:r>
              <w:rPr>
                <w:b/>
                <w:color w:val="FFFFFF"/>
                <w:sz w:val="14"/>
              </w:rPr>
              <w:t>bands</w:t>
            </w:r>
          </w:p>
          <w:p w14:paraId="653F7BEF" w14:textId="77777777" w:rsidR="009D54AF" w:rsidRDefault="00000000">
            <w:pPr>
              <w:pStyle w:val="TableParagraph"/>
              <w:spacing w:before="111"/>
              <w:ind w:left="85"/>
              <w:rPr>
                <w:b/>
                <w:sz w:val="14"/>
              </w:rPr>
            </w:pPr>
            <w:r>
              <w:rPr>
                <w:b/>
                <w:color w:val="FFFFFF"/>
                <w:spacing w:val="-5"/>
                <w:sz w:val="14"/>
              </w:rPr>
              <w:t>($)</w:t>
            </w:r>
          </w:p>
        </w:tc>
        <w:tc>
          <w:tcPr>
            <w:tcW w:w="850" w:type="dxa"/>
            <w:vMerge w:val="restart"/>
            <w:tcBorders>
              <w:top w:val="nil"/>
              <w:bottom w:val="nil"/>
            </w:tcBorders>
            <w:shd w:val="clear" w:color="auto" w:fill="000000"/>
          </w:tcPr>
          <w:p w14:paraId="4F826580" w14:textId="77777777" w:rsidR="009D54AF" w:rsidRDefault="009D54AF">
            <w:pPr>
              <w:pStyle w:val="TableParagraph"/>
              <w:rPr>
                <w:sz w:val="14"/>
              </w:rPr>
            </w:pPr>
          </w:p>
          <w:p w14:paraId="587CCBFF" w14:textId="77777777" w:rsidR="009D54AF" w:rsidRDefault="009D54AF">
            <w:pPr>
              <w:pStyle w:val="TableParagraph"/>
              <w:rPr>
                <w:sz w:val="14"/>
              </w:rPr>
            </w:pPr>
          </w:p>
          <w:p w14:paraId="46AAD013" w14:textId="77777777" w:rsidR="009D54AF" w:rsidRDefault="009D54AF">
            <w:pPr>
              <w:pStyle w:val="TableParagraph"/>
              <w:rPr>
                <w:sz w:val="14"/>
              </w:rPr>
            </w:pPr>
          </w:p>
          <w:p w14:paraId="21FD4BF6" w14:textId="77777777" w:rsidR="009D54AF" w:rsidRDefault="009D54AF">
            <w:pPr>
              <w:pStyle w:val="TableParagraph"/>
              <w:rPr>
                <w:sz w:val="14"/>
              </w:rPr>
            </w:pPr>
          </w:p>
          <w:p w14:paraId="0D57D4CB" w14:textId="77777777" w:rsidR="009D54AF" w:rsidRDefault="009D54AF">
            <w:pPr>
              <w:pStyle w:val="TableParagraph"/>
              <w:rPr>
                <w:sz w:val="14"/>
              </w:rPr>
            </w:pPr>
          </w:p>
          <w:p w14:paraId="7D8B1A9A" w14:textId="77777777" w:rsidR="009D54AF" w:rsidRDefault="009D54AF">
            <w:pPr>
              <w:pStyle w:val="TableParagraph"/>
              <w:spacing w:before="112"/>
              <w:rPr>
                <w:sz w:val="14"/>
              </w:rPr>
            </w:pPr>
          </w:p>
          <w:p w14:paraId="5C888240" w14:textId="77777777" w:rsidR="009D54AF" w:rsidRDefault="00000000">
            <w:pPr>
              <w:pStyle w:val="TableParagraph"/>
              <w:ind w:left="118" w:right="112"/>
              <w:jc w:val="center"/>
              <w:rPr>
                <w:b/>
                <w:position w:val="5"/>
                <w:sz w:val="8"/>
              </w:rPr>
            </w:pPr>
            <w:r>
              <w:rPr>
                <w:b/>
                <w:color w:val="FFFFFF"/>
                <w:spacing w:val="-2"/>
                <w:sz w:val="14"/>
              </w:rPr>
              <w:t>Number</w:t>
            </w:r>
            <w:r>
              <w:rPr>
                <w:b/>
                <w:color w:val="FFFFFF"/>
                <w:spacing w:val="40"/>
                <w:sz w:val="14"/>
              </w:rPr>
              <w:t xml:space="preserve"> </w:t>
            </w:r>
            <w:r>
              <w:rPr>
                <w:b/>
                <w:color w:val="FFFFFF"/>
                <w:sz w:val="14"/>
              </w:rPr>
              <w:t>of</w:t>
            </w:r>
            <w:r>
              <w:rPr>
                <w:b/>
                <w:color w:val="FFFFFF"/>
                <w:spacing w:val="-2"/>
                <w:sz w:val="14"/>
              </w:rPr>
              <w:t xml:space="preserve"> </w:t>
            </w:r>
            <w:r>
              <w:rPr>
                <w:b/>
                <w:color w:val="FFFFFF"/>
                <w:sz w:val="14"/>
              </w:rPr>
              <w:t>SES</w:t>
            </w:r>
            <w:r>
              <w:rPr>
                <w:b/>
                <w:color w:val="FFFFFF"/>
                <w:spacing w:val="40"/>
                <w:sz w:val="14"/>
              </w:rPr>
              <w:t xml:space="preserve"> </w:t>
            </w:r>
            <w:r>
              <w:rPr>
                <w:b/>
                <w:color w:val="FFFFFF"/>
                <w:sz w:val="14"/>
              </w:rPr>
              <w:t>staff</w:t>
            </w:r>
            <w:r>
              <w:rPr>
                <w:b/>
                <w:color w:val="FFFFFF"/>
                <w:spacing w:val="-2"/>
                <w:sz w:val="14"/>
              </w:rPr>
              <w:t xml:space="preserve"> </w:t>
            </w:r>
            <w:r>
              <w:rPr>
                <w:b/>
                <w:color w:val="FFFFFF"/>
                <w:position w:val="5"/>
                <w:sz w:val="8"/>
              </w:rPr>
              <w:t>1</w:t>
            </w:r>
          </w:p>
        </w:tc>
        <w:tc>
          <w:tcPr>
            <w:tcW w:w="2889" w:type="dxa"/>
            <w:gridSpan w:val="3"/>
            <w:tcBorders>
              <w:top w:val="nil"/>
            </w:tcBorders>
            <w:shd w:val="clear" w:color="auto" w:fill="000000"/>
          </w:tcPr>
          <w:p w14:paraId="7BF9B846" w14:textId="77777777" w:rsidR="009D54AF" w:rsidRDefault="009D54AF">
            <w:pPr>
              <w:pStyle w:val="TableParagraph"/>
              <w:spacing w:before="104"/>
              <w:rPr>
                <w:sz w:val="14"/>
              </w:rPr>
            </w:pPr>
          </w:p>
          <w:p w14:paraId="361F4C44" w14:textId="77777777" w:rsidR="009D54AF" w:rsidRDefault="00000000">
            <w:pPr>
              <w:pStyle w:val="TableParagraph"/>
              <w:spacing w:before="1" w:line="270" w:lineRule="atLeast"/>
              <w:ind w:left="1355" w:right="686" w:hanging="591"/>
              <w:rPr>
                <w:b/>
                <w:sz w:val="14"/>
              </w:rPr>
            </w:pPr>
            <w:r>
              <w:rPr>
                <w:b/>
                <w:color w:val="FFFFFF"/>
                <w:sz w:val="14"/>
              </w:rPr>
              <w:t>Short-term</w:t>
            </w:r>
            <w:r>
              <w:rPr>
                <w:b/>
                <w:color w:val="FFFFFF"/>
                <w:spacing w:val="-2"/>
                <w:sz w:val="14"/>
              </w:rPr>
              <w:t xml:space="preserve"> </w:t>
            </w:r>
            <w:r>
              <w:rPr>
                <w:b/>
                <w:color w:val="FFFFFF"/>
                <w:sz w:val="14"/>
              </w:rPr>
              <w:t>benefits</w:t>
            </w:r>
            <w:r>
              <w:rPr>
                <w:b/>
                <w:color w:val="FFFFFF"/>
                <w:spacing w:val="40"/>
                <w:sz w:val="14"/>
              </w:rPr>
              <w:t xml:space="preserve"> </w:t>
            </w:r>
            <w:r>
              <w:rPr>
                <w:b/>
                <w:color w:val="FFFFFF"/>
                <w:spacing w:val="-4"/>
                <w:sz w:val="14"/>
              </w:rPr>
              <w:t>($)</w:t>
            </w:r>
          </w:p>
        </w:tc>
        <w:tc>
          <w:tcPr>
            <w:tcW w:w="1076" w:type="dxa"/>
            <w:tcBorders>
              <w:top w:val="nil"/>
            </w:tcBorders>
            <w:shd w:val="clear" w:color="auto" w:fill="000000"/>
          </w:tcPr>
          <w:p w14:paraId="69BDA9D6" w14:textId="77777777" w:rsidR="009D54AF" w:rsidRDefault="00000000">
            <w:pPr>
              <w:pStyle w:val="TableParagraph"/>
              <w:spacing w:before="55"/>
              <w:ind w:left="111" w:right="102"/>
              <w:jc w:val="center"/>
              <w:rPr>
                <w:b/>
                <w:sz w:val="14"/>
              </w:rPr>
            </w:pPr>
            <w:r>
              <w:rPr>
                <w:b/>
                <w:color w:val="FFFFFF"/>
                <w:spacing w:val="-2"/>
                <w:sz w:val="14"/>
              </w:rPr>
              <w:t>Post-employment</w:t>
            </w:r>
            <w:r>
              <w:rPr>
                <w:b/>
                <w:color w:val="FFFFFF"/>
                <w:spacing w:val="40"/>
                <w:sz w:val="14"/>
              </w:rPr>
              <w:t xml:space="preserve"> </w:t>
            </w:r>
            <w:r>
              <w:rPr>
                <w:b/>
                <w:color w:val="FFFFFF"/>
                <w:spacing w:val="-2"/>
                <w:sz w:val="14"/>
              </w:rPr>
              <w:t>benefits</w:t>
            </w:r>
          </w:p>
          <w:p w14:paraId="2C296E7B" w14:textId="77777777" w:rsidR="009D54AF" w:rsidRDefault="00000000">
            <w:pPr>
              <w:pStyle w:val="TableParagraph"/>
              <w:spacing w:before="110"/>
              <w:ind w:left="6"/>
              <w:jc w:val="center"/>
              <w:rPr>
                <w:b/>
                <w:sz w:val="14"/>
              </w:rPr>
            </w:pPr>
            <w:r>
              <w:rPr>
                <w:b/>
                <w:color w:val="FFFFFF"/>
                <w:spacing w:val="-5"/>
                <w:sz w:val="14"/>
              </w:rPr>
              <w:t>($)</w:t>
            </w:r>
          </w:p>
        </w:tc>
        <w:tc>
          <w:tcPr>
            <w:tcW w:w="1926" w:type="dxa"/>
            <w:gridSpan w:val="2"/>
            <w:tcBorders>
              <w:top w:val="nil"/>
            </w:tcBorders>
            <w:shd w:val="clear" w:color="auto" w:fill="000000"/>
          </w:tcPr>
          <w:p w14:paraId="4C802233" w14:textId="77777777" w:rsidR="009D54AF" w:rsidRDefault="009D54AF">
            <w:pPr>
              <w:pStyle w:val="TableParagraph"/>
              <w:spacing w:before="104"/>
              <w:rPr>
                <w:sz w:val="14"/>
              </w:rPr>
            </w:pPr>
          </w:p>
          <w:p w14:paraId="6AACDD3C" w14:textId="77777777" w:rsidR="009D54AF" w:rsidRDefault="00000000">
            <w:pPr>
              <w:pStyle w:val="TableParagraph"/>
              <w:spacing w:before="1" w:line="270" w:lineRule="atLeast"/>
              <w:ind w:left="877" w:right="211" w:hanging="594"/>
              <w:rPr>
                <w:b/>
                <w:sz w:val="14"/>
              </w:rPr>
            </w:pPr>
            <w:r>
              <w:rPr>
                <w:b/>
                <w:color w:val="FFFFFF"/>
                <w:sz w:val="14"/>
              </w:rPr>
              <w:t>Long- term benefits</w:t>
            </w:r>
            <w:r>
              <w:rPr>
                <w:b/>
                <w:color w:val="FFFFFF"/>
                <w:spacing w:val="40"/>
                <w:sz w:val="14"/>
              </w:rPr>
              <w:t xml:space="preserve"> </w:t>
            </w:r>
            <w:r>
              <w:rPr>
                <w:b/>
                <w:color w:val="FFFFFF"/>
                <w:spacing w:val="-4"/>
                <w:sz w:val="14"/>
              </w:rPr>
              <w:t>($)</w:t>
            </w:r>
          </w:p>
        </w:tc>
        <w:tc>
          <w:tcPr>
            <w:tcW w:w="963" w:type="dxa"/>
            <w:tcBorders>
              <w:top w:val="nil"/>
            </w:tcBorders>
            <w:shd w:val="clear" w:color="auto" w:fill="000000"/>
          </w:tcPr>
          <w:p w14:paraId="04B0376B" w14:textId="77777777" w:rsidR="009D54AF" w:rsidRDefault="009D54AF">
            <w:pPr>
              <w:pStyle w:val="TableParagraph"/>
              <w:spacing w:before="53"/>
              <w:rPr>
                <w:sz w:val="14"/>
              </w:rPr>
            </w:pPr>
          </w:p>
          <w:p w14:paraId="774AB792" w14:textId="77777777" w:rsidR="009D54AF" w:rsidRDefault="00000000">
            <w:pPr>
              <w:pStyle w:val="TableParagraph"/>
              <w:spacing w:before="1"/>
              <w:ind w:left="17"/>
              <w:jc w:val="center"/>
              <w:rPr>
                <w:b/>
                <w:sz w:val="14"/>
              </w:rPr>
            </w:pPr>
            <w:r>
              <w:rPr>
                <w:b/>
                <w:color w:val="FFFFFF"/>
                <w:sz w:val="14"/>
              </w:rPr>
              <w:t>Termina-</w:t>
            </w:r>
            <w:r>
              <w:rPr>
                <w:b/>
                <w:color w:val="FFFFFF"/>
                <w:spacing w:val="-10"/>
                <w:sz w:val="14"/>
              </w:rPr>
              <w:t xml:space="preserve"> </w:t>
            </w:r>
            <w:proofErr w:type="spellStart"/>
            <w:r>
              <w:rPr>
                <w:b/>
                <w:color w:val="FFFFFF"/>
                <w:sz w:val="14"/>
              </w:rPr>
              <w:t>tion</w:t>
            </w:r>
            <w:proofErr w:type="spellEnd"/>
            <w:r>
              <w:rPr>
                <w:b/>
                <w:color w:val="FFFFFF"/>
                <w:spacing w:val="40"/>
                <w:sz w:val="14"/>
              </w:rPr>
              <w:t xml:space="preserve"> </w:t>
            </w:r>
            <w:r>
              <w:rPr>
                <w:b/>
                <w:color w:val="FFFFFF"/>
                <w:spacing w:val="-2"/>
                <w:sz w:val="14"/>
              </w:rPr>
              <w:t>benefits</w:t>
            </w:r>
          </w:p>
          <w:p w14:paraId="0871429F" w14:textId="77777777" w:rsidR="009D54AF" w:rsidRDefault="00000000">
            <w:pPr>
              <w:pStyle w:val="TableParagraph"/>
              <w:spacing w:before="111"/>
              <w:ind w:left="11"/>
              <w:jc w:val="center"/>
              <w:rPr>
                <w:b/>
                <w:sz w:val="14"/>
              </w:rPr>
            </w:pPr>
            <w:r>
              <w:rPr>
                <w:b/>
                <w:color w:val="FFFFFF"/>
                <w:spacing w:val="-5"/>
                <w:sz w:val="14"/>
              </w:rPr>
              <w:t>($)</w:t>
            </w:r>
          </w:p>
        </w:tc>
        <w:tc>
          <w:tcPr>
            <w:tcW w:w="1076" w:type="dxa"/>
            <w:tcBorders>
              <w:top w:val="nil"/>
              <w:right w:val="nil"/>
            </w:tcBorders>
            <w:shd w:val="clear" w:color="auto" w:fill="000000"/>
          </w:tcPr>
          <w:p w14:paraId="7C15747F" w14:textId="77777777" w:rsidR="009D54AF" w:rsidRDefault="009D54AF">
            <w:pPr>
              <w:pStyle w:val="TableParagraph"/>
              <w:spacing w:before="53"/>
              <w:rPr>
                <w:sz w:val="14"/>
              </w:rPr>
            </w:pPr>
          </w:p>
          <w:p w14:paraId="5E2328D1" w14:textId="77777777" w:rsidR="009D54AF" w:rsidRDefault="00000000">
            <w:pPr>
              <w:pStyle w:val="TableParagraph"/>
              <w:spacing w:before="1"/>
              <w:ind w:left="34" w:right="18"/>
              <w:jc w:val="center"/>
              <w:rPr>
                <w:b/>
                <w:sz w:val="14"/>
              </w:rPr>
            </w:pPr>
            <w:r>
              <w:rPr>
                <w:b/>
                <w:color w:val="FFFFFF"/>
                <w:spacing w:val="-2"/>
                <w:sz w:val="14"/>
              </w:rPr>
              <w:t>Total</w:t>
            </w:r>
            <w:r>
              <w:rPr>
                <w:b/>
                <w:color w:val="FFFFFF"/>
                <w:spacing w:val="40"/>
                <w:sz w:val="14"/>
              </w:rPr>
              <w:t xml:space="preserve"> </w:t>
            </w:r>
            <w:proofErr w:type="spellStart"/>
            <w:r>
              <w:rPr>
                <w:b/>
                <w:color w:val="FFFFFF"/>
                <w:sz w:val="14"/>
              </w:rPr>
              <w:t>remunera</w:t>
            </w:r>
            <w:proofErr w:type="spellEnd"/>
            <w:r>
              <w:rPr>
                <w:b/>
                <w:color w:val="FFFFFF"/>
                <w:sz w:val="14"/>
              </w:rPr>
              <w:t>-</w:t>
            </w:r>
            <w:r>
              <w:rPr>
                <w:b/>
                <w:color w:val="FFFFFF"/>
                <w:spacing w:val="-2"/>
                <w:sz w:val="14"/>
              </w:rPr>
              <w:t xml:space="preserve"> </w:t>
            </w:r>
            <w:proofErr w:type="spellStart"/>
            <w:r>
              <w:rPr>
                <w:b/>
                <w:color w:val="FFFFFF"/>
                <w:sz w:val="14"/>
              </w:rPr>
              <w:t>tion</w:t>
            </w:r>
            <w:proofErr w:type="spellEnd"/>
          </w:p>
          <w:p w14:paraId="05E1BD5C" w14:textId="77777777" w:rsidR="009D54AF" w:rsidRDefault="00000000">
            <w:pPr>
              <w:pStyle w:val="TableParagraph"/>
              <w:spacing w:before="111"/>
              <w:ind w:left="13"/>
              <w:jc w:val="center"/>
              <w:rPr>
                <w:b/>
                <w:sz w:val="14"/>
              </w:rPr>
            </w:pPr>
            <w:r>
              <w:rPr>
                <w:b/>
                <w:color w:val="FFFFFF"/>
                <w:spacing w:val="-5"/>
                <w:sz w:val="14"/>
              </w:rPr>
              <w:t>($)</w:t>
            </w:r>
          </w:p>
        </w:tc>
      </w:tr>
      <w:tr w:rsidR="009D54AF" w14:paraId="10E90CB5" w14:textId="77777777">
        <w:trPr>
          <w:trHeight w:val="745"/>
        </w:trPr>
        <w:tc>
          <w:tcPr>
            <w:tcW w:w="1417" w:type="dxa"/>
            <w:vMerge/>
            <w:tcBorders>
              <w:top w:val="nil"/>
              <w:left w:val="nil"/>
              <w:bottom w:val="nil"/>
            </w:tcBorders>
            <w:shd w:val="clear" w:color="auto" w:fill="000000"/>
          </w:tcPr>
          <w:p w14:paraId="2C3357C5" w14:textId="77777777" w:rsidR="009D54AF" w:rsidRDefault="009D54AF">
            <w:pPr>
              <w:rPr>
                <w:sz w:val="2"/>
                <w:szCs w:val="2"/>
              </w:rPr>
            </w:pPr>
          </w:p>
        </w:tc>
        <w:tc>
          <w:tcPr>
            <w:tcW w:w="850" w:type="dxa"/>
            <w:vMerge/>
            <w:tcBorders>
              <w:top w:val="nil"/>
              <w:bottom w:val="nil"/>
            </w:tcBorders>
            <w:shd w:val="clear" w:color="auto" w:fill="000000"/>
          </w:tcPr>
          <w:p w14:paraId="48BAF862" w14:textId="77777777" w:rsidR="009D54AF" w:rsidRDefault="009D54AF">
            <w:pPr>
              <w:rPr>
                <w:sz w:val="2"/>
                <w:szCs w:val="2"/>
              </w:rPr>
            </w:pPr>
          </w:p>
        </w:tc>
        <w:tc>
          <w:tcPr>
            <w:tcW w:w="963" w:type="dxa"/>
            <w:tcBorders>
              <w:bottom w:val="nil"/>
            </w:tcBorders>
            <w:shd w:val="clear" w:color="auto" w:fill="000000"/>
          </w:tcPr>
          <w:p w14:paraId="47D79CF2" w14:textId="77777777" w:rsidR="009D54AF" w:rsidRDefault="009D54AF">
            <w:pPr>
              <w:pStyle w:val="TableParagraph"/>
              <w:rPr>
                <w:sz w:val="14"/>
              </w:rPr>
            </w:pPr>
          </w:p>
          <w:p w14:paraId="35ACC57C" w14:textId="77777777" w:rsidR="009D54AF" w:rsidRDefault="009D54AF">
            <w:pPr>
              <w:pStyle w:val="TableParagraph"/>
              <w:spacing w:before="46"/>
              <w:rPr>
                <w:sz w:val="14"/>
              </w:rPr>
            </w:pPr>
          </w:p>
          <w:p w14:paraId="4020EA28" w14:textId="77777777" w:rsidR="009D54AF" w:rsidRDefault="00000000">
            <w:pPr>
              <w:pStyle w:val="TableParagraph"/>
              <w:spacing w:before="1"/>
              <w:ind w:left="265" w:hanging="254"/>
              <w:rPr>
                <w:b/>
                <w:sz w:val="14"/>
              </w:rPr>
            </w:pPr>
            <w:r>
              <w:rPr>
                <w:b/>
                <w:color w:val="FFFFFF"/>
                <w:sz w:val="14"/>
              </w:rPr>
              <w:t>Average</w:t>
            </w:r>
            <w:r>
              <w:rPr>
                <w:b/>
                <w:color w:val="FFFFFF"/>
                <w:spacing w:val="-10"/>
                <w:sz w:val="14"/>
              </w:rPr>
              <w:t xml:space="preserve"> </w:t>
            </w:r>
            <w:r>
              <w:rPr>
                <w:b/>
                <w:color w:val="FFFFFF"/>
                <w:sz w:val="14"/>
              </w:rPr>
              <w:t>base</w:t>
            </w:r>
            <w:r>
              <w:rPr>
                <w:b/>
                <w:color w:val="FFFFFF"/>
                <w:spacing w:val="40"/>
                <w:sz w:val="14"/>
              </w:rPr>
              <w:t xml:space="preserve"> </w:t>
            </w:r>
            <w:r>
              <w:rPr>
                <w:b/>
                <w:color w:val="FFFFFF"/>
                <w:spacing w:val="-2"/>
                <w:sz w:val="14"/>
              </w:rPr>
              <w:t>salary</w:t>
            </w:r>
          </w:p>
        </w:tc>
        <w:tc>
          <w:tcPr>
            <w:tcW w:w="963" w:type="dxa"/>
            <w:tcBorders>
              <w:bottom w:val="nil"/>
            </w:tcBorders>
            <w:shd w:val="clear" w:color="auto" w:fill="000000"/>
          </w:tcPr>
          <w:p w14:paraId="49C3DEA4" w14:textId="77777777" w:rsidR="009D54AF" w:rsidRDefault="009D54AF">
            <w:pPr>
              <w:pStyle w:val="TableParagraph"/>
              <w:rPr>
                <w:sz w:val="14"/>
              </w:rPr>
            </w:pPr>
          </w:p>
          <w:p w14:paraId="7A4118CF" w14:textId="77777777" w:rsidR="009D54AF" w:rsidRDefault="009D54AF">
            <w:pPr>
              <w:pStyle w:val="TableParagraph"/>
              <w:spacing w:before="46"/>
              <w:rPr>
                <w:sz w:val="14"/>
              </w:rPr>
            </w:pPr>
          </w:p>
          <w:p w14:paraId="2E61B83C" w14:textId="77777777" w:rsidR="009D54AF" w:rsidRDefault="00000000">
            <w:pPr>
              <w:pStyle w:val="TableParagraph"/>
              <w:spacing w:before="1"/>
              <w:ind w:left="181" w:firstLine="14"/>
              <w:rPr>
                <w:b/>
                <w:sz w:val="14"/>
              </w:rPr>
            </w:pPr>
            <w:r>
              <w:rPr>
                <w:b/>
                <w:color w:val="FFFFFF"/>
                <w:spacing w:val="-2"/>
                <w:sz w:val="14"/>
              </w:rPr>
              <w:t>Average</w:t>
            </w:r>
            <w:r>
              <w:rPr>
                <w:b/>
                <w:color w:val="FFFFFF"/>
                <w:spacing w:val="40"/>
                <w:sz w:val="14"/>
              </w:rPr>
              <w:t xml:space="preserve"> </w:t>
            </w:r>
            <w:r>
              <w:rPr>
                <w:b/>
                <w:color w:val="FFFFFF"/>
                <w:spacing w:val="-2"/>
                <w:sz w:val="14"/>
              </w:rPr>
              <w:t>bonuses</w:t>
            </w:r>
          </w:p>
        </w:tc>
        <w:tc>
          <w:tcPr>
            <w:tcW w:w="963" w:type="dxa"/>
            <w:tcBorders>
              <w:bottom w:val="nil"/>
            </w:tcBorders>
            <w:shd w:val="clear" w:color="auto" w:fill="000000"/>
          </w:tcPr>
          <w:p w14:paraId="75E59329" w14:textId="77777777" w:rsidR="009D54AF" w:rsidRDefault="00000000">
            <w:pPr>
              <w:pStyle w:val="TableParagraph"/>
              <w:spacing w:before="49"/>
              <w:ind w:left="50" w:right="43" w:hanging="1"/>
              <w:jc w:val="center"/>
              <w:rPr>
                <w:b/>
                <w:sz w:val="14"/>
              </w:rPr>
            </w:pPr>
            <w:r>
              <w:rPr>
                <w:b/>
                <w:color w:val="FFFFFF"/>
                <w:spacing w:val="-2"/>
                <w:sz w:val="14"/>
              </w:rPr>
              <w:t>Average</w:t>
            </w:r>
            <w:r>
              <w:rPr>
                <w:b/>
                <w:color w:val="FFFFFF"/>
                <w:spacing w:val="40"/>
                <w:sz w:val="14"/>
              </w:rPr>
              <w:t xml:space="preserve"> </w:t>
            </w:r>
            <w:r>
              <w:rPr>
                <w:b/>
                <w:color w:val="FFFFFF"/>
                <w:spacing w:val="-2"/>
                <w:sz w:val="14"/>
              </w:rPr>
              <w:t>other</w:t>
            </w:r>
            <w:r>
              <w:rPr>
                <w:b/>
                <w:color w:val="FFFFFF"/>
                <w:spacing w:val="40"/>
                <w:sz w:val="14"/>
              </w:rPr>
              <w:t xml:space="preserve"> </w:t>
            </w:r>
            <w:r>
              <w:rPr>
                <w:b/>
                <w:color w:val="FFFFFF"/>
                <w:sz w:val="14"/>
              </w:rPr>
              <w:t>benefits</w:t>
            </w:r>
            <w:r>
              <w:rPr>
                <w:b/>
                <w:color w:val="FFFFFF"/>
                <w:spacing w:val="-5"/>
                <w:sz w:val="14"/>
              </w:rPr>
              <w:t xml:space="preserve"> </w:t>
            </w:r>
            <w:r>
              <w:rPr>
                <w:b/>
                <w:color w:val="FFFFFF"/>
                <w:sz w:val="14"/>
              </w:rPr>
              <w:t>and</w:t>
            </w:r>
            <w:r>
              <w:rPr>
                <w:b/>
                <w:color w:val="FFFFFF"/>
                <w:spacing w:val="40"/>
                <w:sz w:val="14"/>
              </w:rPr>
              <w:t xml:space="preserve"> </w:t>
            </w:r>
            <w:r>
              <w:rPr>
                <w:b/>
                <w:color w:val="FFFFFF"/>
                <w:spacing w:val="-2"/>
                <w:sz w:val="14"/>
              </w:rPr>
              <w:t>allowances</w:t>
            </w:r>
          </w:p>
        </w:tc>
        <w:tc>
          <w:tcPr>
            <w:tcW w:w="1076" w:type="dxa"/>
            <w:tcBorders>
              <w:bottom w:val="nil"/>
            </w:tcBorders>
            <w:shd w:val="clear" w:color="auto" w:fill="000000"/>
          </w:tcPr>
          <w:p w14:paraId="034B8309" w14:textId="77777777" w:rsidR="009D54AF" w:rsidRDefault="009D54AF">
            <w:pPr>
              <w:pStyle w:val="TableParagraph"/>
              <w:spacing w:before="47"/>
              <w:rPr>
                <w:sz w:val="14"/>
              </w:rPr>
            </w:pPr>
          </w:p>
          <w:p w14:paraId="02EE9C8E" w14:textId="77777777" w:rsidR="009D54AF" w:rsidRDefault="00000000">
            <w:pPr>
              <w:pStyle w:val="TableParagraph"/>
              <w:spacing w:before="1"/>
              <w:ind w:left="14" w:right="4"/>
              <w:jc w:val="center"/>
              <w:rPr>
                <w:b/>
                <w:sz w:val="14"/>
              </w:rPr>
            </w:pPr>
            <w:r>
              <w:rPr>
                <w:b/>
                <w:color w:val="FFFFFF"/>
                <w:sz w:val="14"/>
              </w:rPr>
              <w:t>Average</w:t>
            </w:r>
            <w:r>
              <w:rPr>
                <w:b/>
                <w:color w:val="FFFFFF"/>
                <w:spacing w:val="-10"/>
                <w:sz w:val="14"/>
              </w:rPr>
              <w:t xml:space="preserve"> </w:t>
            </w:r>
            <w:r>
              <w:rPr>
                <w:b/>
                <w:color w:val="FFFFFF"/>
                <w:sz w:val="14"/>
              </w:rPr>
              <w:t>super-</w:t>
            </w:r>
            <w:r>
              <w:rPr>
                <w:b/>
                <w:color w:val="FFFFFF"/>
                <w:spacing w:val="-2"/>
                <w:sz w:val="14"/>
              </w:rPr>
              <w:t>annuation</w:t>
            </w:r>
            <w:r>
              <w:rPr>
                <w:b/>
                <w:color w:val="FFFFFF"/>
                <w:spacing w:val="40"/>
                <w:sz w:val="14"/>
              </w:rPr>
              <w:t xml:space="preserve"> </w:t>
            </w:r>
            <w:proofErr w:type="spellStart"/>
            <w:r>
              <w:rPr>
                <w:b/>
                <w:color w:val="FFFFFF"/>
                <w:sz w:val="14"/>
              </w:rPr>
              <w:t>contribu</w:t>
            </w:r>
            <w:proofErr w:type="spellEnd"/>
            <w:r>
              <w:rPr>
                <w:b/>
                <w:color w:val="FFFFFF"/>
                <w:sz w:val="14"/>
              </w:rPr>
              <w:t>-</w:t>
            </w:r>
            <w:r>
              <w:rPr>
                <w:b/>
                <w:color w:val="FFFFFF"/>
                <w:spacing w:val="-2"/>
                <w:sz w:val="14"/>
              </w:rPr>
              <w:t xml:space="preserve"> </w:t>
            </w:r>
            <w:proofErr w:type="spellStart"/>
            <w:r>
              <w:rPr>
                <w:b/>
                <w:color w:val="FFFFFF"/>
                <w:sz w:val="14"/>
              </w:rPr>
              <w:t>tions</w:t>
            </w:r>
            <w:proofErr w:type="spellEnd"/>
          </w:p>
        </w:tc>
        <w:tc>
          <w:tcPr>
            <w:tcW w:w="963" w:type="dxa"/>
            <w:tcBorders>
              <w:bottom w:val="nil"/>
            </w:tcBorders>
            <w:shd w:val="clear" w:color="auto" w:fill="000000"/>
          </w:tcPr>
          <w:p w14:paraId="16F8B47B" w14:textId="77777777" w:rsidR="009D54AF" w:rsidRDefault="009D54AF">
            <w:pPr>
              <w:pStyle w:val="TableParagraph"/>
              <w:spacing w:before="47"/>
              <w:rPr>
                <w:sz w:val="14"/>
              </w:rPr>
            </w:pPr>
          </w:p>
          <w:p w14:paraId="5E308255" w14:textId="77777777" w:rsidR="009D54AF" w:rsidRDefault="00000000">
            <w:pPr>
              <w:pStyle w:val="TableParagraph"/>
              <w:spacing w:before="1"/>
              <w:ind w:left="228" w:hanging="202"/>
              <w:rPr>
                <w:b/>
                <w:position w:val="5"/>
                <w:sz w:val="8"/>
              </w:rPr>
            </w:pPr>
            <w:r>
              <w:rPr>
                <w:b/>
                <w:color w:val="FFFFFF"/>
                <w:sz w:val="14"/>
              </w:rPr>
              <w:t>Average</w:t>
            </w:r>
            <w:r>
              <w:rPr>
                <w:b/>
                <w:color w:val="FFFFFF"/>
                <w:spacing w:val="-10"/>
                <w:sz w:val="14"/>
              </w:rPr>
              <w:t xml:space="preserve"> </w:t>
            </w:r>
            <w:r>
              <w:rPr>
                <w:b/>
                <w:color w:val="FFFFFF"/>
                <w:sz w:val="14"/>
              </w:rPr>
              <w:t>long</w:t>
            </w:r>
            <w:r>
              <w:rPr>
                <w:b/>
                <w:color w:val="FFFFFF"/>
                <w:spacing w:val="40"/>
                <w:sz w:val="14"/>
              </w:rPr>
              <w:t xml:space="preserve"> </w:t>
            </w:r>
            <w:r>
              <w:rPr>
                <w:b/>
                <w:color w:val="FFFFFF"/>
                <w:spacing w:val="-2"/>
                <w:sz w:val="14"/>
              </w:rPr>
              <w:t>service</w:t>
            </w:r>
            <w:r>
              <w:rPr>
                <w:b/>
                <w:color w:val="FFFFFF"/>
                <w:spacing w:val="40"/>
                <w:sz w:val="14"/>
              </w:rPr>
              <w:t xml:space="preserve"> </w:t>
            </w:r>
            <w:r>
              <w:rPr>
                <w:b/>
                <w:color w:val="FFFFFF"/>
                <w:sz w:val="14"/>
              </w:rPr>
              <w:t>leave</w:t>
            </w:r>
            <w:r>
              <w:rPr>
                <w:b/>
                <w:color w:val="FFFFFF"/>
                <w:spacing w:val="-2"/>
                <w:sz w:val="14"/>
              </w:rPr>
              <w:t xml:space="preserve"> </w:t>
            </w:r>
            <w:r>
              <w:rPr>
                <w:b/>
                <w:color w:val="FFFFFF"/>
                <w:position w:val="5"/>
                <w:sz w:val="8"/>
              </w:rPr>
              <w:t>2</w:t>
            </w:r>
          </w:p>
        </w:tc>
        <w:tc>
          <w:tcPr>
            <w:tcW w:w="963" w:type="dxa"/>
            <w:tcBorders>
              <w:bottom w:val="nil"/>
            </w:tcBorders>
            <w:shd w:val="clear" w:color="auto" w:fill="000000"/>
          </w:tcPr>
          <w:p w14:paraId="0604DD2E" w14:textId="77777777" w:rsidR="009D54AF" w:rsidRDefault="00000000">
            <w:pPr>
              <w:pStyle w:val="TableParagraph"/>
              <w:spacing w:before="49"/>
              <w:ind w:left="143" w:right="131"/>
              <w:jc w:val="center"/>
              <w:rPr>
                <w:b/>
                <w:sz w:val="14"/>
              </w:rPr>
            </w:pPr>
            <w:r>
              <w:rPr>
                <w:b/>
                <w:color w:val="FFFFFF"/>
                <w:spacing w:val="-2"/>
                <w:sz w:val="14"/>
              </w:rPr>
              <w:t>Average</w:t>
            </w:r>
            <w:r>
              <w:rPr>
                <w:b/>
                <w:color w:val="FFFFFF"/>
                <w:spacing w:val="40"/>
                <w:sz w:val="14"/>
              </w:rPr>
              <w:t xml:space="preserve"> </w:t>
            </w:r>
            <w:r>
              <w:rPr>
                <w:b/>
                <w:color w:val="FFFFFF"/>
                <w:spacing w:val="-2"/>
                <w:sz w:val="14"/>
              </w:rPr>
              <w:t>other</w:t>
            </w:r>
            <w:r>
              <w:rPr>
                <w:b/>
                <w:color w:val="FFFFFF"/>
                <w:spacing w:val="40"/>
                <w:sz w:val="14"/>
              </w:rPr>
              <w:t xml:space="preserve"> </w:t>
            </w:r>
            <w:r>
              <w:rPr>
                <w:b/>
                <w:color w:val="FFFFFF"/>
                <w:spacing w:val="-2"/>
                <w:sz w:val="14"/>
              </w:rPr>
              <w:t>long-term</w:t>
            </w:r>
            <w:r>
              <w:rPr>
                <w:b/>
                <w:color w:val="FFFFFF"/>
                <w:spacing w:val="40"/>
                <w:sz w:val="14"/>
              </w:rPr>
              <w:t xml:space="preserve"> </w:t>
            </w:r>
            <w:r>
              <w:rPr>
                <w:b/>
                <w:color w:val="FFFFFF"/>
                <w:spacing w:val="-2"/>
                <w:sz w:val="14"/>
              </w:rPr>
              <w:t>benefits</w:t>
            </w:r>
          </w:p>
        </w:tc>
        <w:tc>
          <w:tcPr>
            <w:tcW w:w="963" w:type="dxa"/>
            <w:tcBorders>
              <w:bottom w:val="nil"/>
            </w:tcBorders>
            <w:shd w:val="clear" w:color="auto" w:fill="000000"/>
          </w:tcPr>
          <w:p w14:paraId="03A5D700" w14:textId="77777777" w:rsidR="009D54AF" w:rsidRDefault="00000000">
            <w:pPr>
              <w:pStyle w:val="TableParagraph"/>
              <w:spacing w:before="49"/>
              <w:ind w:left="158" w:right="144" w:hanging="1"/>
              <w:jc w:val="center"/>
              <w:rPr>
                <w:b/>
                <w:position w:val="5"/>
                <w:sz w:val="8"/>
              </w:rPr>
            </w:pPr>
            <w:r>
              <w:rPr>
                <w:b/>
                <w:color w:val="FFFFFF"/>
                <w:spacing w:val="-2"/>
                <w:sz w:val="14"/>
              </w:rPr>
              <w:t>Average</w:t>
            </w:r>
            <w:r>
              <w:rPr>
                <w:b/>
                <w:color w:val="FFFFFF"/>
                <w:spacing w:val="40"/>
                <w:sz w:val="14"/>
              </w:rPr>
              <w:t xml:space="preserve"> </w:t>
            </w:r>
            <w:r>
              <w:rPr>
                <w:b/>
                <w:color w:val="FFFFFF"/>
                <w:spacing w:val="-2"/>
                <w:sz w:val="14"/>
              </w:rPr>
              <w:t>termina-</w:t>
            </w:r>
            <w:proofErr w:type="spellStart"/>
            <w:r>
              <w:rPr>
                <w:b/>
                <w:color w:val="FFFFFF"/>
                <w:spacing w:val="-4"/>
                <w:sz w:val="14"/>
              </w:rPr>
              <w:t>tion</w:t>
            </w:r>
            <w:proofErr w:type="spellEnd"/>
            <w:r>
              <w:rPr>
                <w:b/>
                <w:color w:val="FFFFFF"/>
                <w:spacing w:val="40"/>
                <w:sz w:val="14"/>
              </w:rPr>
              <w:t xml:space="preserve"> </w:t>
            </w:r>
            <w:r>
              <w:rPr>
                <w:b/>
                <w:color w:val="FFFFFF"/>
                <w:sz w:val="14"/>
              </w:rPr>
              <w:t>benefits</w:t>
            </w:r>
            <w:r>
              <w:rPr>
                <w:b/>
                <w:color w:val="FFFFFF"/>
                <w:spacing w:val="-10"/>
                <w:sz w:val="14"/>
              </w:rPr>
              <w:t xml:space="preserve"> </w:t>
            </w:r>
            <w:r>
              <w:rPr>
                <w:b/>
                <w:color w:val="FFFFFF"/>
                <w:position w:val="5"/>
                <w:sz w:val="8"/>
              </w:rPr>
              <w:t>3</w:t>
            </w:r>
          </w:p>
        </w:tc>
        <w:tc>
          <w:tcPr>
            <w:tcW w:w="1076" w:type="dxa"/>
            <w:tcBorders>
              <w:bottom w:val="nil"/>
              <w:right w:val="nil"/>
            </w:tcBorders>
            <w:shd w:val="clear" w:color="auto" w:fill="000000"/>
          </w:tcPr>
          <w:p w14:paraId="0C35D1B3" w14:textId="77777777" w:rsidR="009D54AF" w:rsidRDefault="009D54AF">
            <w:pPr>
              <w:pStyle w:val="TableParagraph"/>
              <w:rPr>
                <w:sz w:val="14"/>
              </w:rPr>
            </w:pPr>
          </w:p>
          <w:p w14:paraId="07BA8A6F" w14:textId="77777777" w:rsidR="009D54AF" w:rsidRDefault="009D54AF">
            <w:pPr>
              <w:pStyle w:val="TableParagraph"/>
              <w:spacing w:before="46"/>
              <w:rPr>
                <w:sz w:val="14"/>
              </w:rPr>
            </w:pPr>
          </w:p>
          <w:p w14:paraId="1A5D85F7" w14:textId="77777777" w:rsidR="009D54AF" w:rsidRDefault="00000000">
            <w:pPr>
              <w:pStyle w:val="TableParagraph"/>
              <w:spacing w:before="1"/>
              <w:ind w:left="78" w:firstLine="8"/>
              <w:rPr>
                <w:b/>
                <w:sz w:val="14"/>
              </w:rPr>
            </w:pPr>
            <w:r>
              <w:rPr>
                <w:b/>
                <w:color w:val="FFFFFF"/>
                <w:sz w:val="14"/>
              </w:rPr>
              <w:t>Average</w:t>
            </w:r>
            <w:r>
              <w:rPr>
                <w:b/>
                <w:color w:val="FFFFFF"/>
                <w:spacing w:val="-4"/>
                <w:sz w:val="14"/>
              </w:rPr>
              <w:t xml:space="preserve"> </w:t>
            </w:r>
            <w:r>
              <w:rPr>
                <w:b/>
                <w:color w:val="FFFFFF"/>
                <w:sz w:val="14"/>
              </w:rPr>
              <w:t>total</w:t>
            </w:r>
            <w:r>
              <w:rPr>
                <w:b/>
                <w:color w:val="FFFFFF"/>
                <w:spacing w:val="40"/>
                <w:sz w:val="14"/>
              </w:rPr>
              <w:t xml:space="preserve"> </w:t>
            </w:r>
            <w:r>
              <w:rPr>
                <w:b/>
                <w:color w:val="FFFFFF"/>
                <w:spacing w:val="-2"/>
                <w:sz w:val="14"/>
              </w:rPr>
              <w:t>remuneration</w:t>
            </w:r>
          </w:p>
        </w:tc>
      </w:tr>
      <w:tr w:rsidR="009D54AF" w14:paraId="2B1EFA53" w14:textId="77777777">
        <w:trPr>
          <w:trHeight w:val="479"/>
        </w:trPr>
        <w:tc>
          <w:tcPr>
            <w:tcW w:w="1417" w:type="dxa"/>
            <w:tcBorders>
              <w:top w:val="nil"/>
              <w:left w:val="nil"/>
              <w:bottom w:val="single" w:sz="2" w:space="0" w:color="000000"/>
              <w:right w:val="single" w:sz="2" w:space="0" w:color="000000"/>
            </w:tcBorders>
          </w:tcPr>
          <w:p w14:paraId="5799232A" w14:textId="77777777" w:rsidR="009D54AF" w:rsidRDefault="00000000">
            <w:pPr>
              <w:pStyle w:val="TableParagraph"/>
              <w:spacing w:before="159"/>
              <w:ind w:left="85"/>
              <w:rPr>
                <w:sz w:val="14"/>
              </w:rPr>
            </w:pPr>
            <w:r>
              <w:rPr>
                <w:sz w:val="14"/>
              </w:rPr>
              <w:t>0-</w:t>
            </w:r>
            <w:r>
              <w:rPr>
                <w:spacing w:val="-2"/>
                <w:sz w:val="14"/>
              </w:rPr>
              <w:t>220,000</w:t>
            </w:r>
          </w:p>
        </w:tc>
        <w:tc>
          <w:tcPr>
            <w:tcW w:w="850" w:type="dxa"/>
            <w:tcBorders>
              <w:top w:val="nil"/>
              <w:left w:val="single" w:sz="2" w:space="0" w:color="000000"/>
              <w:bottom w:val="single" w:sz="2" w:space="0" w:color="000000"/>
              <w:right w:val="single" w:sz="2" w:space="0" w:color="000000"/>
            </w:tcBorders>
          </w:tcPr>
          <w:p w14:paraId="28E6F0EE" w14:textId="77777777" w:rsidR="009D54AF" w:rsidRDefault="00000000">
            <w:pPr>
              <w:pStyle w:val="TableParagraph"/>
              <w:spacing w:before="159"/>
              <w:ind w:right="79"/>
              <w:jc w:val="right"/>
              <w:rPr>
                <w:sz w:val="14"/>
              </w:rPr>
            </w:pPr>
            <w:r>
              <w:rPr>
                <w:spacing w:val="-10"/>
                <w:sz w:val="14"/>
              </w:rPr>
              <w:t>–</w:t>
            </w:r>
          </w:p>
        </w:tc>
        <w:tc>
          <w:tcPr>
            <w:tcW w:w="963" w:type="dxa"/>
            <w:tcBorders>
              <w:top w:val="nil"/>
              <w:left w:val="single" w:sz="2" w:space="0" w:color="000000"/>
              <w:bottom w:val="single" w:sz="2" w:space="0" w:color="000000"/>
              <w:right w:val="single" w:sz="2" w:space="0" w:color="000000"/>
            </w:tcBorders>
          </w:tcPr>
          <w:p w14:paraId="3EB598CD" w14:textId="77777777" w:rsidR="009D54AF" w:rsidRDefault="00000000">
            <w:pPr>
              <w:pStyle w:val="TableParagraph"/>
              <w:spacing w:before="159"/>
              <w:ind w:right="79"/>
              <w:jc w:val="right"/>
              <w:rPr>
                <w:sz w:val="14"/>
              </w:rPr>
            </w:pPr>
            <w:r>
              <w:rPr>
                <w:spacing w:val="-10"/>
                <w:sz w:val="14"/>
              </w:rPr>
              <w:t>–</w:t>
            </w:r>
          </w:p>
        </w:tc>
        <w:tc>
          <w:tcPr>
            <w:tcW w:w="963" w:type="dxa"/>
            <w:tcBorders>
              <w:top w:val="nil"/>
              <w:left w:val="single" w:sz="2" w:space="0" w:color="000000"/>
              <w:bottom w:val="single" w:sz="2" w:space="0" w:color="000000"/>
              <w:right w:val="single" w:sz="2" w:space="0" w:color="000000"/>
            </w:tcBorders>
          </w:tcPr>
          <w:p w14:paraId="57B3CF1B" w14:textId="77777777" w:rsidR="009D54AF" w:rsidRDefault="00000000">
            <w:pPr>
              <w:pStyle w:val="TableParagraph"/>
              <w:spacing w:before="159"/>
              <w:ind w:right="78"/>
              <w:jc w:val="right"/>
              <w:rPr>
                <w:sz w:val="14"/>
              </w:rPr>
            </w:pPr>
            <w:r>
              <w:rPr>
                <w:spacing w:val="-10"/>
                <w:sz w:val="14"/>
              </w:rPr>
              <w:t>–</w:t>
            </w:r>
          </w:p>
        </w:tc>
        <w:tc>
          <w:tcPr>
            <w:tcW w:w="963" w:type="dxa"/>
            <w:tcBorders>
              <w:top w:val="nil"/>
              <w:left w:val="single" w:sz="2" w:space="0" w:color="000000"/>
              <w:bottom w:val="single" w:sz="2" w:space="0" w:color="000000"/>
              <w:right w:val="single" w:sz="2" w:space="0" w:color="000000"/>
            </w:tcBorders>
          </w:tcPr>
          <w:p w14:paraId="281D2876" w14:textId="77777777" w:rsidR="009D54AF" w:rsidRDefault="00000000">
            <w:pPr>
              <w:pStyle w:val="TableParagraph"/>
              <w:spacing w:before="159"/>
              <w:ind w:right="77"/>
              <w:jc w:val="right"/>
              <w:rPr>
                <w:sz w:val="14"/>
              </w:rPr>
            </w:pPr>
            <w:r>
              <w:rPr>
                <w:spacing w:val="-10"/>
                <w:sz w:val="14"/>
              </w:rPr>
              <w:t>–</w:t>
            </w:r>
          </w:p>
        </w:tc>
        <w:tc>
          <w:tcPr>
            <w:tcW w:w="1076" w:type="dxa"/>
            <w:tcBorders>
              <w:top w:val="nil"/>
              <w:left w:val="single" w:sz="2" w:space="0" w:color="000000"/>
              <w:bottom w:val="single" w:sz="2" w:space="0" w:color="000000"/>
              <w:right w:val="single" w:sz="2" w:space="0" w:color="000000"/>
            </w:tcBorders>
          </w:tcPr>
          <w:p w14:paraId="01A5EEB1" w14:textId="77777777" w:rsidR="009D54AF" w:rsidRDefault="00000000">
            <w:pPr>
              <w:pStyle w:val="TableParagraph"/>
              <w:spacing w:before="159"/>
              <w:ind w:right="76"/>
              <w:jc w:val="right"/>
              <w:rPr>
                <w:sz w:val="14"/>
              </w:rPr>
            </w:pPr>
            <w:r>
              <w:rPr>
                <w:spacing w:val="-10"/>
                <w:sz w:val="14"/>
              </w:rPr>
              <w:t>–</w:t>
            </w:r>
          </w:p>
        </w:tc>
        <w:tc>
          <w:tcPr>
            <w:tcW w:w="963" w:type="dxa"/>
            <w:tcBorders>
              <w:top w:val="nil"/>
              <w:left w:val="single" w:sz="2" w:space="0" w:color="000000"/>
              <w:bottom w:val="single" w:sz="2" w:space="0" w:color="000000"/>
              <w:right w:val="single" w:sz="2" w:space="0" w:color="000000"/>
            </w:tcBorders>
          </w:tcPr>
          <w:p w14:paraId="55C2BC24" w14:textId="77777777" w:rsidR="009D54AF" w:rsidRDefault="00000000">
            <w:pPr>
              <w:pStyle w:val="TableParagraph"/>
              <w:spacing w:before="159"/>
              <w:ind w:right="75"/>
              <w:jc w:val="right"/>
              <w:rPr>
                <w:sz w:val="14"/>
              </w:rPr>
            </w:pPr>
            <w:r>
              <w:rPr>
                <w:spacing w:val="-10"/>
                <w:sz w:val="14"/>
              </w:rPr>
              <w:t>–</w:t>
            </w:r>
          </w:p>
        </w:tc>
        <w:tc>
          <w:tcPr>
            <w:tcW w:w="963" w:type="dxa"/>
            <w:tcBorders>
              <w:top w:val="nil"/>
              <w:left w:val="single" w:sz="2" w:space="0" w:color="000000"/>
              <w:bottom w:val="single" w:sz="2" w:space="0" w:color="000000"/>
              <w:right w:val="single" w:sz="2" w:space="0" w:color="000000"/>
            </w:tcBorders>
          </w:tcPr>
          <w:p w14:paraId="2AB881A1" w14:textId="77777777" w:rsidR="009D54AF" w:rsidRDefault="00000000">
            <w:pPr>
              <w:pStyle w:val="TableParagraph"/>
              <w:spacing w:before="159"/>
              <w:ind w:right="74"/>
              <w:jc w:val="right"/>
              <w:rPr>
                <w:sz w:val="14"/>
              </w:rPr>
            </w:pPr>
            <w:r>
              <w:rPr>
                <w:spacing w:val="-10"/>
                <w:sz w:val="14"/>
              </w:rPr>
              <w:t>–</w:t>
            </w:r>
          </w:p>
        </w:tc>
        <w:tc>
          <w:tcPr>
            <w:tcW w:w="963" w:type="dxa"/>
            <w:tcBorders>
              <w:top w:val="nil"/>
              <w:left w:val="single" w:sz="2" w:space="0" w:color="000000"/>
              <w:bottom w:val="single" w:sz="2" w:space="0" w:color="000000"/>
              <w:right w:val="single" w:sz="2" w:space="0" w:color="000000"/>
            </w:tcBorders>
          </w:tcPr>
          <w:p w14:paraId="0351C68C" w14:textId="77777777" w:rsidR="009D54AF" w:rsidRDefault="00000000">
            <w:pPr>
              <w:pStyle w:val="TableParagraph"/>
              <w:spacing w:before="159"/>
              <w:ind w:right="73"/>
              <w:jc w:val="right"/>
              <w:rPr>
                <w:sz w:val="14"/>
              </w:rPr>
            </w:pPr>
            <w:r>
              <w:rPr>
                <w:spacing w:val="-10"/>
                <w:sz w:val="14"/>
              </w:rPr>
              <w:t>–</w:t>
            </w:r>
          </w:p>
        </w:tc>
        <w:tc>
          <w:tcPr>
            <w:tcW w:w="1076" w:type="dxa"/>
            <w:tcBorders>
              <w:top w:val="nil"/>
              <w:left w:val="single" w:sz="2" w:space="0" w:color="000000"/>
              <w:bottom w:val="single" w:sz="2" w:space="0" w:color="000000"/>
              <w:right w:val="nil"/>
            </w:tcBorders>
          </w:tcPr>
          <w:p w14:paraId="733AA027" w14:textId="77777777" w:rsidR="009D54AF" w:rsidRDefault="00000000">
            <w:pPr>
              <w:pStyle w:val="TableParagraph"/>
              <w:spacing w:before="159"/>
              <w:ind w:right="75"/>
              <w:jc w:val="right"/>
              <w:rPr>
                <w:sz w:val="14"/>
              </w:rPr>
            </w:pPr>
            <w:r>
              <w:rPr>
                <w:spacing w:val="-10"/>
                <w:sz w:val="14"/>
              </w:rPr>
              <w:t>–</w:t>
            </w:r>
          </w:p>
        </w:tc>
      </w:tr>
      <w:tr w:rsidR="009D54AF" w14:paraId="60100223" w14:textId="77777777">
        <w:trPr>
          <w:trHeight w:val="476"/>
        </w:trPr>
        <w:tc>
          <w:tcPr>
            <w:tcW w:w="1417" w:type="dxa"/>
            <w:tcBorders>
              <w:top w:val="single" w:sz="2" w:space="0" w:color="000000"/>
              <w:left w:val="nil"/>
              <w:bottom w:val="single" w:sz="2" w:space="0" w:color="000000"/>
              <w:right w:val="single" w:sz="2" w:space="0" w:color="000000"/>
            </w:tcBorders>
          </w:tcPr>
          <w:p w14:paraId="5E75F9D3" w14:textId="77777777" w:rsidR="009D54AF" w:rsidRDefault="00000000">
            <w:pPr>
              <w:pStyle w:val="TableParagraph"/>
              <w:spacing w:before="51"/>
              <w:ind w:left="85"/>
              <w:rPr>
                <w:sz w:val="14"/>
              </w:rPr>
            </w:pPr>
            <w:r>
              <w:rPr>
                <w:sz w:val="14"/>
              </w:rPr>
              <w:t>220,001-</w:t>
            </w:r>
            <w:r>
              <w:rPr>
                <w:spacing w:val="-2"/>
                <w:sz w:val="14"/>
              </w:rPr>
              <w:t>245,000</w:t>
            </w:r>
          </w:p>
        </w:tc>
        <w:tc>
          <w:tcPr>
            <w:tcW w:w="850" w:type="dxa"/>
            <w:tcBorders>
              <w:top w:val="single" w:sz="2" w:space="0" w:color="000000"/>
              <w:left w:val="single" w:sz="2" w:space="0" w:color="000000"/>
              <w:bottom w:val="single" w:sz="2" w:space="0" w:color="000000"/>
              <w:right w:val="single" w:sz="2" w:space="0" w:color="000000"/>
            </w:tcBorders>
          </w:tcPr>
          <w:p w14:paraId="6EFDEBEA" w14:textId="77777777" w:rsidR="009D54AF" w:rsidRDefault="00000000">
            <w:pPr>
              <w:pStyle w:val="TableParagraph"/>
              <w:spacing w:before="51"/>
              <w:ind w:left="384"/>
              <w:rPr>
                <w:sz w:val="14"/>
              </w:rPr>
            </w:pPr>
            <w:r>
              <w:rPr>
                <w:spacing w:val="-10"/>
                <w:sz w:val="14"/>
              </w:rPr>
              <w:t>1</w:t>
            </w:r>
          </w:p>
        </w:tc>
        <w:tc>
          <w:tcPr>
            <w:tcW w:w="963" w:type="dxa"/>
            <w:tcBorders>
              <w:top w:val="single" w:sz="2" w:space="0" w:color="000000"/>
              <w:left w:val="single" w:sz="2" w:space="0" w:color="000000"/>
              <w:bottom w:val="single" w:sz="2" w:space="0" w:color="000000"/>
              <w:right w:val="single" w:sz="2" w:space="0" w:color="000000"/>
            </w:tcBorders>
          </w:tcPr>
          <w:p w14:paraId="1E506F2A" w14:textId="77777777" w:rsidR="009D54AF" w:rsidRDefault="00000000">
            <w:pPr>
              <w:pStyle w:val="TableParagraph"/>
              <w:spacing w:before="51"/>
              <w:ind w:left="220"/>
              <w:rPr>
                <w:sz w:val="14"/>
              </w:rPr>
            </w:pPr>
            <w:r>
              <w:rPr>
                <w:spacing w:val="-2"/>
                <w:sz w:val="14"/>
              </w:rPr>
              <w:t>188,022</w:t>
            </w:r>
          </w:p>
        </w:tc>
        <w:tc>
          <w:tcPr>
            <w:tcW w:w="963" w:type="dxa"/>
            <w:tcBorders>
              <w:top w:val="single" w:sz="2" w:space="0" w:color="000000"/>
              <w:left w:val="single" w:sz="2" w:space="0" w:color="000000"/>
              <w:bottom w:val="single" w:sz="2" w:space="0" w:color="000000"/>
              <w:right w:val="single" w:sz="2" w:space="0" w:color="000000"/>
            </w:tcBorders>
          </w:tcPr>
          <w:p w14:paraId="0EC55B2E" w14:textId="77777777" w:rsidR="009D54AF" w:rsidRDefault="00000000">
            <w:pPr>
              <w:pStyle w:val="TableParagraph"/>
              <w:spacing w:before="51"/>
              <w:ind w:right="78"/>
              <w:jc w:val="right"/>
              <w:rPr>
                <w:sz w:val="14"/>
              </w:rPr>
            </w:pPr>
            <w:r>
              <w:rPr>
                <w:spacing w:val="-10"/>
                <w:sz w:val="14"/>
              </w:rPr>
              <w:t>–</w:t>
            </w:r>
          </w:p>
        </w:tc>
        <w:tc>
          <w:tcPr>
            <w:tcW w:w="963" w:type="dxa"/>
            <w:tcBorders>
              <w:top w:val="single" w:sz="2" w:space="0" w:color="000000"/>
              <w:left w:val="single" w:sz="2" w:space="0" w:color="000000"/>
              <w:bottom w:val="single" w:sz="2" w:space="0" w:color="000000"/>
              <w:right w:val="single" w:sz="2" w:space="0" w:color="000000"/>
            </w:tcBorders>
          </w:tcPr>
          <w:p w14:paraId="44479AAC" w14:textId="77777777" w:rsidR="009D54AF" w:rsidRDefault="00000000">
            <w:pPr>
              <w:pStyle w:val="TableParagraph"/>
              <w:spacing w:before="51"/>
              <w:ind w:left="269"/>
              <w:rPr>
                <w:sz w:val="14"/>
              </w:rPr>
            </w:pPr>
            <w:r>
              <w:rPr>
                <w:spacing w:val="-2"/>
                <w:sz w:val="14"/>
              </w:rPr>
              <w:t>12,818</w:t>
            </w:r>
          </w:p>
        </w:tc>
        <w:tc>
          <w:tcPr>
            <w:tcW w:w="1076" w:type="dxa"/>
            <w:tcBorders>
              <w:top w:val="single" w:sz="2" w:space="0" w:color="000000"/>
              <w:left w:val="single" w:sz="2" w:space="0" w:color="000000"/>
              <w:bottom w:val="single" w:sz="2" w:space="0" w:color="000000"/>
              <w:right w:val="single" w:sz="2" w:space="0" w:color="000000"/>
            </w:tcBorders>
          </w:tcPr>
          <w:p w14:paraId="0A05A3B6" w14:textId="77777777" w:rsidR="009D54AF" w:rsidRDefault="00000000">
            <w:pPr>
              <w:pStyle w:val="TableParagraph"/>
              <w:spacing w:before="51"/>
              <w:ind w:left="332"/>
              <w:rPr>
                <w:sz w:val="14"/>
              </w:rPr>
            </w:pPr>
            <w:r>
              <w:rPr>
                <w:spacing w:val="-2"/>
                <w:sz w:val="14"/>
              </w:rPr>
              <w:t>30,171</w:t>
            </w:r>
          </w:p>
        </w:tc>
        <w:tc>
          <w:tcPr>
            <w:tcW w:w="963" w:type="dxa"/>
            <w:tcBorders>
              <w:top w:val="single" w:sz="2" w:space="0" w:color="000000"/>
              <w:left w:val="single" w:sz="2" w:space="0" w:color="000000"/>
              <w:bottom w:val="single" w:sz="2" w:space="0" w:color="000000"/>
              <w:right w:val="single" w:sz="2" w:space="0" w:color="000000"/>
            </w:tcBorders>
          </w:tcPr>
          <w:p w14:paraId="15662DD3" w14:textId="77777777" w:rsidR="009D54AF" w:rsidRDefault="00000000">
            <w:pPr>
              <w:pStyle w:val="TableParagraph"/>
              <w:spacing w:before="51"/>
              <w:ind w:left="266"/>
              <w:rPr>
                <w:sz w:val="14"/>
              </w:rPr>
            </w:pPr>
            <w:r>
              <w:rPr>
                <w:spacing w:val="-2"/>
                <w:sz w:val="14"/>
              </w:rPr>
              <w:t>10,597</w:t>
            </w:r>
          </w:p>
        </w:tc>
        <w:tc>
          <w:tcPr>
            <w:tcW w:w="963" w:type="dxa"/>
            <w:tcBorders>
              <w:top w:val="single" w:sz="2" w:space="0" w:color="000000"/>
              <w:left w:val="single" w:sz="2" w:space="0" w:color="000000"/>
              <w:bottom w:val="single" w:sz="2" w:space="0" w:color="000000"/>
              <w:right w:val="single" w:sz="2" w:space="0" w:color="000000"/>
            </w:tcBorders>
          </w:tcPr>
          <w:p w14:paraId="0BF8ADAE" w14:textId="77777777" w:rsidR="009D54AF" w:rsidRDefault="00000000">
            <w:pPr>
              <w:pStyle w:val="TableParagraph"/>
              <w:spacing w:before="51"/>
              <w:ind w:right="74"/>
              <w:jc w:val="right"/>
              <w:rPr>
                <w:sz w:val="14"/>
              </w:rPr>
            </w:pPr>
            <w:r>
              <w:rPr>
                <w:spacing w:val="-10"/>
                <w:sz w:val="14"/>
              </w:rPr>
              <w:t>–</w:t>
            </w:r>
          </w:p>
        </w:tc>
        <w:tc>
          <w:tcPr>
            <w:tcW w:w="963" w:type="dxa"/>
            <w:tcBorders>
              <w:top w:val="single" w:sz="2" w:space="0" w:color="000000"/>
              <w:left w:val="single" w:sz="2" w:space="0" w:color="000000"/>
              <w:bottom w:val="single" w:sz="2" w:space="0" w:color="000000"/>
              <w:right w:val="single" w:sz="2" w:space="0" w:color="000000"/>
            </w:tcBorders>
          </w:tcPr>
          <w:p w14:paraId="5E2B9E43" w14:textId="77777777" w:rsidR="009D54AF" w:rsidRDefault="00000000">
            <w:pPr>
              <w:pStyle w:val="TableParagraph"/>
              <w:spacing w:before="51"/>
              <w:ind w:right="73"/>
              <w:jc w:val="right"/>
              <w:rPr>
                <w:sz w:val="14"/>
              </w:rPr>
            </w:pPr>
            <w:r>
              <w:rPr>
                <w:spacing w:val="-10"/>
                <w:sz w:val="14"/>
              </w:rPr>
              <w:t>–</w:t>
            </w:r>
          </w:p>
        </w:tc>
        <w:tc>
          <w:tcPr>
            <w:tcW w:w="1076" w:type="dxa"/>
            <w:tcBorders>
              <w:top w:val="single" w:sz="2" w:space="0" w:color="000000"/>
              <w:left w:val="single" w:sz="2" w:space="0" w:color="000000"/>
              <w:bottom w:val="single" w:sz="2" w:space="0" w:color="000000"/>
              <w:right w:val="nil"/>
            </w:tcBorders>
          </w:tcPr>
          <w:p w14:paraId="4A635711" w14:textId="77777777" w:rsidR="009D54AF" w:rsidRDefault="00000000">
            <w:pPr>
              <w:pStyle w:val="TableParagraph"/>
              <w:spacing w:before="51"/>
              <w:ind w:left="290"/>
              <w:rPr>
                <w:sz w:val="14"/>
              </w:rPr>
            </w:pPr>
            <w:r>
              <w:rPr>
                <w:spacing w:val="-2"/>
                <w:sz w:val="14"/>
              </w:rPr>
              <w:t>241,608</w:t>
            </w:r>
          </w:p>
        </w:tc>
      </w:tr>
      <w:tr w:rsidR="009D54AF" w14:paraId="564907F0" w14:textId="77777777">
        <w:trPr>
          <w:trHeight w:val="476"/>
        </w:trPr>
        <w:tc>
          <w:tcPr>
            <w:tcW w:w="1417" w:type="dxa"/>
            <w:tcBorders>
              <w:top w:val="single" w:sz="2" w:space="0" w:color="000000"/>
              <w:left w:val="nil"/>
              <w:bottom w:val="single" w:sz="2" w:space="0" w:color="000000"/>
              <w:right w:val="single" w:sz="2" w:space="0" w:color="000000"/>
            </w:tcBorders>
          </w:tcPr>
          <w:p w14:paraId="612EE62F" w14:textId="77777777" w:rsidR="009D54AF" w:rsidRDefault="00000000">
            <w:pPr>
              <w:pStyle w:val="TableParagraph"/>
              <w:spacing w:before="51"/>
              <w:ind w:left="85"/>
              <w:rPr>
                <w:sz w:val="14"/>
              </w:rPr>
            </w:pPr>
            <w:r>
              <w:rPr>
                <w:sz w:val="14"/>
              </w:rPr>
              <w:t>245,001-</w:t>
            </w:r>
            <w:r>
              <w:rPr>
                <w:spacing w:val="-2"/>
                <w:sz w:val="14"/>
              </w:rPr>
              <w:t>270,000</w:t>
            </w:r>
          </w:p>
        </w:tc>
        <w:tc>
          <w:tcPr>
            <w:tcW w:w="850" w:type="dxa"/>
            <w:tcBorders>
              <w:top w:val="single" w:sz="2" w:space="0" w:color="000000"/>
              <w:left w:val="single" w:sz="2" w:space="0" w:color="000000"/>
              <w:bottom w:val="single" w:sz="2" w:space="0" w:color="000000"/>
              <w:right w:val="single" w:sz="2" w:space="0" w:color="000000"/>
            </w:tcBorders>
          </w:tcPr>
          <w:p w14:paraId="5F41815F" w14:textId="77777777" w:rsidR="009D54AF" w:rsidRDefault="00000000">
            <w:pPr>
              <w:pStyle w:val="TableParagraph"/>
              <w:spacing w:before="51"/>
              <w:ind w:right="79"/>
              <w:jc w:val="right"/>
              <w:rPr>
                <w:sz w:val="14"/>
              </w:rPr>
            </w:pPr>
            <w:r>
              <w:rPr>
                <w:spacing w:val="-10"/>
                <w:sz w:val="14"/>
              </w:rPr>
              <w:t>–</w:t>
            </w:r>
          </w:p>
        </w:tc>
        <w:tc>
          <w:tcPr>
            <w:tcW w:w="963" w:type="dxa"/>
            <w:tcBorders>
              <w:top w:val="single" w:sz="2" w:space="0" w:color="000000"/>
              <w:left w:val="single" w:sz="2" w:space="0" w:color="000000"/>
              <w:bottom w:val="single" w:sz="2" w:space="0" w:color="000000"/>
              <w:right w:val="single" w:sz="2" w:space="0" w:color="000000"/>
            </w:tcBorders>
          </w:tcPr>
          <w:p w14:paraId="6F0D13B8" w14:textId="77777777" w:rsidR="009D54AF" w:rsidRDefault="00000000">
            <w:pPr>
              <w:pStyle w:val="TableParagraph"/>
              <w:spacing w:before="51"/>
              <w:ind w:right="79"/>
              <w:jc w:val="right"/>
              <w:rPr>
                <w:sz w:val="14"/>
              </w:rPr>
            </w:pPr>
            <w:r>
              <w:rPr>
                <w:spacing w:val="-10"/>
                <w:sz w:val="14"/>
              </w:rPr>
              <w:t>–</w:t>
            </w:r>
          </w:p>
        </w:tc>
        <w:tc>
          <w:tcPr>
            <w:tcW w:w="963" w:type="dxa"/>
            <w:tcBorders>
              <w:top w:val="single" w:sz="2" w:space="0" w:color="000000"/>
              <w:left w:val="single" w:sz="2" w:space="0" w:color="000000"/>
              <w:bottom w:val="single" w:sz="2" w:space="0" w:color="000000"/>
              <w:right w:val="single" w:sz="2" w:space="0" w:color="000000"/>
            </w:tcBorders>
          </w:tcPr>
          <w:p w14:paraId="63BA5D7F" w14:textId="77777777" w:rsidR="009D54AF" w:rsidRDefault="00000000">
            <w:pPr>
              <w:pStyle w:val="TableParagraph"/>
              <w:spacing w:before="51"/>
              <w:ind w:right="78"/>
              <w:jc w:val="right"/>
              <w:rPr>
                <w:sz w:val="14"/>
              </w:rPr>
            </w:pPr>
            <w:r>
              <w:rPr>
                <w:spacing w:val="-10"/>
                <w:sz w:val="14"/>
              </w:rPr>
              <w:t>–</w:t>
            </w:r>
          </w:p>
        </w:tc>
        <w:tc>
          <w:tcPr>
            <w:tcW w:w="963" w:type="dxa"/>
            <w:tcBorders>
              <w:top w:val="single" w:sz="2" w:space="0" w:color="000000"/>
              <w:left w:val="single" w:sz="2" w:space="0" w:color="000000"/>
              <w:bottom w:val="single" w:sz="2" w:space="0" w:color="000000"/>
              <w:right w:val="single" w:sz="2" w:space="0" w:color="000000"/>
            </w:tcBorders>
          </w:tcPr>
          <w:p w14:paraId="7FA1C173" w14:textId="77777777" w:rsidR="009D54AF" w:rsidRDefault="00000000">
            <w:pPr>
              <w:pStyle w:val="TableParagraph"/>
              <w:spacing w:before="51"/>
              <w:ind w:right="77"/>
              <w:jc w:val="right"/>
              <w:rPr>
                <w:sz w:val="14"/>
              </w:rPr>
            </w:pPr>
            <w:r>
              <w:rPr>
                <w:spacing w:val="-10"/>
                <w:sz w:val="14"/>
              </w:rPr>
              <w:t>–</w:t>
            </w:r>
          </w:p>
        </w:tc>
        <w:tc>
          <w:tcPr>
            <w:tcW w:w="1076" w:type="dxa"/>
            <w:tcBorders>
              <w:top w:val="single" w:sz="2" w:space="0" w:color="000000"/>
              <w:left w:val="single" w:sz="2" w:space="0" w:color="000000"/>
              <w:bottom w:val="single" w:sz="2" w:space="0" w:color="000000"/>
              <w:right w:val="single" w:sz="2" w:space="0" w:color="000000"/>
            </w:tcBorders>
          </w:tcPr>
          <w:p w14:paraId="7B8763B1" w14:textId="77777777" w:rsidR="009D54AF" w:rsidRDefault="00000000">
            <w:pPr>
              <w:pStyle w:val="TableParagraph"/>
              <w:spacing w:before="51"/>
              <w:ind w:right="76"/>
              <w:jc w:val="right"/>
              <w:rPr>
                <w:sz w:val="14"/>
              </w:rPr>
            </w:pPr>
            <w:r>
              <w:rPr>
                <w:spacing w:val="-10"/>
                <w:sz w:val="14"/>
              </w:rPr>
              <w:t>–</w:t>
            </w:r>
          </w:p>
        </w:tc>
        <w:tc>
          <w:tcPr>
            <w:tcW w:w="963" w:type="dxa"/>
            <w:tcBorders>
              <w:top w:val="single" w:sz="2" w:space="0" w:color="000000"/>
              <w:left w:val="single" w:sz="2" w:space="0" w:color="000000"/>
              <w:bottom w:val="single" w:sz="2" w:space="0" w:color="000000"/>
              <w:right w:val="single" w:sz="2" w:space="0" w:color="000000"/>
            </w:tcBorders>
          </w:tcPr>
          <w:p w14:paraId="14087484" w14:textId="77777777" w:rsidR="009D54AF" w:rsidRDefault="00000000">
            <w:pPr>
              <w:pStyle w:val="TableParagraph"/>
              <w:spacing w:before="51"/>
              <w:ind w:right="75"/>
              <w:jc w:val="right"/>
              <w:rPr>
                <w:sz w:val="14"/>
              </w:rPr>
            </w:pPr>
            <w:r>
              <w:rPr>
                <w:spacing w:val="-10"/>
                <w:sz w:val="14"/>
              </w:rPr>
              <w:t>–</w:t>
            </w:r>
          </w:p>
        </w:tc>
        <w:tc>
          <w:tcPr>
            <w:tcW w:w="963" w:type="dxa"/>
            <w:tcBorders>
              <w:top w:val="single" w:sz="2" w:space="0" w:color="000000"/>
              <w:left w:val="single" w:sz="2" w:space="0" w:color="000000"/>
              <w:bottom w:val="single" w:sz="2" w:space="0" w:color="000000"/>
              <w:right w:val="single" w:sz="2" w:space="0" w:color="000000"/>
            </w:tcBorders>
          </w:tcPr>
          <w:p w14:paraId="236A9F22" w14:textId="77777777" w:rsidR="009D54AF" w:rsidRDefault="00000000">
            <w:pPr>
              <w:pStyle w:val="TableParagraph"/>
              <w:spacing w:before="51"/>
              <w:ind w:right="74"/>
              <w:jc w:val="right"/>
              <w:rPr>
                <w:sz w:val="14"/>
              </w:rPr>
            </w:pPr>
            <w:r>
              <w:rPr>
                <w:spacing w:val="-10"/>
                <w:sz w:val="14"/>
              </w:rPr>
              <w:t>–</w:t>
            </w:r>
          </w:p>
        </w:tc>
        <w:tc>
          <w:tcPr>
            <w:tcW w:w="963" w:type="dxa"/>
            <w:tcBorders>
              <w:top w:val="single" w:sz="2" w:space="0" w:color="000000"/>
              <w:left w:val="single" w:sz="2" w:space="0" w:color="000000"/>
              <w:bottom w:val="single" w:sz="2" w:space="0" w:color="000000"/>
              <w:right w:val="single" w:sz="2" w:space="0" w:color="000000"/>
            </w:tcBorders>
          </w:tcPr>
          <w:p w14:paraId="4C679126" w14:textId="77777777" w:rsidR="009D54AF" w:rsidRDefault="00000000">
            <w:pPr>
              <w:pStyle w:val="TableParagraph"/>
              <w:spacing w:before="51"/>
              <w:ind w:right="73"/>
              <w:jc w:val="right"/>
              <w:rPr>
                <w:sz w:val="14"/>
              </w:rPr>
            </w:pPr>
            <w:r>
              <w:rPr>
                <w:spacing w:val="-10"/>
                <w:sz w:val="14"/>
              </w:rPr>
              <w:t>–</w:t>
            </w:r>
          </w:p>
        </w:tc>
        <w:tc>
          <w:tcPr>
            <w:tcW w:w="1076" w:type="dxa"/>
            <w:tcBorders>
              <w:top w:val="single" w:sz="2" w:space="0" w:color="000000"/>
              <w:left w:val="single" w:sz="2" w:space="0" w:color="000000"/>
              <w:bottom w:val="single" w:sz="2" w:space="0" w:color="000000"/>
              <w:right w:val="nil"/>
            </w:tcBorders>
          </w:tcPr>
          <w:p w14:paraId="3C3848AE" w14:textId="77777777" w:rsidR="009D54AF" w:rsidRDefault="00000000">
            <w:pPr>
              <w:pStyle w:val="TableParagraph"/>
              <w:spacing w:before="51"/>
              <w:ind w:right="75"/>
              <w:jc w:val="right"/>
              <w:rPr>
                <w:sz w:val="14"/>
              </w:rPr>
            </w:pPr>
            <w:r>
              <w:rPr>
                <w:spacing w:val="-10"/>
                <w:sz w:val="14"/>
              </w:rPr>
              <w:t>–</w:t>
            </w:r>
          </w:p>
        </w:tc>
      </w:tr>
      <w:tr w:rsidR="009D54AF" w14:paraId="28DDAEB6" w14:textId="77777777">
        <w:trPr>
          <w:trHeight w:val="476"/>
        </w:trPr>
        <w:tc>
          <w:tcPr>
            <w:tcW w:w="1417" w:type="dxa"/>
            <w:tcBorders>
              <w:top w:val="single" w:sz="2" w:space="0" w:color="000000"/>
              <w:left w:val="nil"/>
              <w:bottom w:val="single" w:sz="2" w:space="0" w:color="000000"/>
              <w:right w:val="single" w:sz="2" w:space="0" w:color="000000"/>
            </w:tcBorders>
          </w:tcPr>
          <w:p w14:paraId="4AC25C07" w14:textId="77777777" w:rsidR="009D54AF" w:rsidRDefault="00000000">
            <w:pPr>
              <w:pStyle w:val="TableParagraph"/>
              <w:spacing w:before="51"/>
              <w:ind w:left="85"/>
              <w:rPr>
                <w:sz w:val="14"/>
              </w:rPr>
            </w:pPr>
            <w:r>
              <w:rPr>
                <w:sz w:val="14"/>
              </w:rPr>
              <w:t>370,001-</w:t>
            </w:r>
            <w:r>
              <w:rPr>
                <w:spacing w:val="-2"/>
                <w:sz w:val="14"/>
              </w:rPr>
              <w:t>395,000</w:t>
            </w:r>
          </w:p>
        </w:tc>
        <w:tc>
          <w:tcPr>
            <w:tcW w:w="850" w:type="dxa"/>
            <w:tcBorders>
              <w:top w:val="single" w:sz="2" w:space="0" w:color="000000"/>
              <w:left w:val="single" w:sz="2" w:space="0" w:color="000000"/>
              <w:bottom w:val="single" w:sz="2" w:space="0" w:color="000000"/>
              <w:right w:val="single" w:sz="2" w:space="0" w:color="000000"/>
            </w:tcBorders>
          </w:tcPr>
          <w:p w14:paraId="1D514A38" w14:textId="77777777" w:rsidR="009D54AF" w:rsidRDefault="00000000">
            <w:pPr>
              <w:pStyle w:val="TableParagraph"/>
              <w:spacing w:before="51"/>
              <w:ind w:right="79"/>
              <w:jc w:val="right"/>
              <w:rPr>
                <w:sz w:val="14"/>
              </w:rPr>
            </w:pPr>
            <w:r>
              <w:rPr>
                <w:spacing w:val="-10"/>
                <w:sz w:val="14"/>
              </w:rPr>
              <w:t>–</w:t>
            </w:r>
          </w:p>
        </w:tc>
        <w:tc>
          <w:tcPr>
            <w:tcW w:w="963" w:type="dxa"/>
            <w:tcBorders>
              <w:top w:val="single" w:sz="2" w:space="0" w:color="000000"/>
              <w:left w:val="single" w:sz="2" w:space="0" w:color="000000"/>
              <w:bottom w:val="single" w:sz="2" w:space="0" w:color="000000"/>
              <w:right w:val="single" w:sz="2" w:space="0" w:color="000000"/>
            </w:tcBorders>
          </w:tcPr>
          <w:p w14:paraId="5298F95E" w14:textId="77777777" w:rsidR="009D54AF" w:rsidRDefault="00000000">
            <w:pPr>
              <w:pStyle w:val="TableParagraph"/>
              <w:spacing w:before="51"/>
              <w:ind w:right="79"/>
              <w:jc w:val="right"/>
              <w:rPr>
                <w:sz w:val="14"/>
              </w:rPr>
            </w:pPr>
            <w:r>
              <w:rPr>
                <w:spacing w:val="-10"/>
                <w:sz w:val="14"/>
              </w:rPr>
              <w:t>–</w:t>
            </w:r>
          </w:p>
        </w:tc>
        <w:tc>
          <w:tcPr>
            <w:tcW w:w="963" w:type="dxa"/>
            <w:tcBorders>
              <w:top w:val="single" w:sz="2" w:space="0" w:color="000000"/>
              <w:left w:val="single" w:sz="2" w:space="0" w:color="000000"/>
              <w:bottom w:val="single" w:sz="2" w:space="0" w:color="000000"/>
              <w:right w:val="single" w:sz="2" w:space="0" w:color="000000"/>
            </w:tcBorders>
          </w:tcPr>
          <w:p w14:paraId="51A37FBC" w14:textId="77777777" w:rsidR="009D54AF" w:rsidRDefault="00000000">
            <w:pPr>
              <w:pStyle w:val="TableParagraph"/>
              <w:spacing w:before="51"/>
              <w:ind w:right="78"/>
              <w:jc w:val="right"/>
              <w:rPr>
                <w:sz w:val="14"/>
              </w:rPr>
            </w:pPr>
            <w:r>
              <w:rPr>
                <w:spacing w:val="-10"/>
                <w:sz w:val="14"/>
              </w:rPr>
              <w:t>–</w:t>
            </w:r>
          </w:p>
        </w:tc>
        <w:tc>
          <w:tcPr>
            <w:tcW w:w="963" w:type="dxa"/>
            <w:tcBorders>
              <w:top w:val="single" w:sz="2" w:space="0" w:color="000000"/>
              <w:left w:val="single" w:sz="2" w:space="0" w:color="000000"/>
              <w:bottom w:val="single" w:sz="2" w:space="0" w:color="000000"/>
              <w:right w:val="single" w:sz="2" w:space="0" w:color="000000"/>
            </w:tcBorders>
          </w:tcPr>
          <w:p w14:paraId="0868416B" w14:textId="77777777" w:rsidR="009D54AF" w:rsidRDefault="00000000">
            <w:pPr>
              <w:pStyle w:val="TableParagraph"/>
              <w:spacing w:before="51"/>
              <w:ind w:right="77"/>
              <w:jc w:val="right"/>
              <w:rPr>
                <w:sz w:val="14"/>
              </w:rPr>
            </w:pPr>
            <w:r>
              <w:rPr>
                <w:spacing w:val="-10"/>
                <w:sz w:val="14"/>
              </w:rPr>
              <w:t>–</w:t>
            </w:r>
          </w:p>
        </w:tc>
        <w:tc>
          <w:tcPr>
            <w:tcW w:w="1076" w:type="dxa"/>
            <w:tcBorders>
              <w:top w:val="single" w:sz="2" w:space="0" w:color="000000"/>
              <w:left w:val="single" w:sz="2" w:space="0" w:color="000000"/>
              <w:bottom w:val="single" w:sz="2" w:space="0" w:color="000000"/>
              <w:right w:val="single" w:sz="2" w:space="0" w:color="000000"/>
            </w:tcBorders>
          </w:tcPr>
          <w:p w14:paraId="22A24B7D" w14:textId="77777777" w:rsidR="009D54AF" w:rsidRDefault="00000000">
            <w:pPr>
              <w:pStyle w:val="TableParagraph"/>
              <w:spacing w:before="51"/>
              <w:ind w:right="76"/>
              <w:jc w:val="right"/>
              <w:rPr>
                <w:sz w:val="14"/>
              </w:rPr>
            </w:pPr>
            <w:r>
              <w:rPr>
                <w:spacing w:val="-10"/>
                <w:sz w:val="14"/>
              </w:rPr>
              <w:t>–</w:t>
            </w:r>
          </w:p>
        </w:tc>
        <w:tc>
          <w:tcPr>
            <w:tcW w:w="963" w:type="dxa"/>
            <w:tcBorders>
              <w:top w:val="single" w:sz="2" w:space="0" w:color="000000"/>
              <w:left w:val="single" w:sz="2" w:space="0" w:color="000000"/>
              <w:bottom w:val="single" w:sz="2" w:space="0" w:color="000000"/>
              <w:right w:val="single" w:sz="2" w:space="0" w:color="000000"/>
            </w:tcBorders>
          </w:tcPr>
          <w:p w14:paraId="4736B4EE" w14:textId="77777777" w:rsidR="009D54AF" w:rsidRDefault="00000000">
            <w:pPr>
              <w:pStyle w:val="TableParagraph"/>
              <w:spacing w:before="51"/>
              <w:ind w:right="75"/>
              <w:jc w:val="right"/>
              <w:rPr>
                <w:sz w:val="14"/>
              </w:rPr>
            </w:pPr>
            <w:r>
              <w:rPr>
                <w:spacing w:val="-10"/>
                <w:sz w:val="14"/>
              </w:rPr>
              <w:t>–</w:t>
            </w:r>
          </w:p>
        </w:tc>
        <w:tc>
          <w:tcPr>
            <w:tcW w:w="963" w:type="dxa"/>
            <w:tcBorders>
              <w:top w:val="single" w:sz="2" w:space="0" w:color="000000"/>
              <w:left w:val="single" w:sz="2" w:space="0" w:color="000000"/>
              <w:bottom w:val="single" w:sz="2" w:space="0" w:color="000000"/>
              <w:right w:val="single" w:sz="2" w:space="0" w:color="000000"/>
            </w:tcBorders>
          </w:tcPr>
          <w:p w14:paraId="18C7E2FC" w14:textId="77777777" w:rsidR="009D54AF" w:rsidRDefault="00000000">
            <w:pPr>
              <w:pStyle w:val="TableParagraph"/>
              <w:spacing w:before="51"/>
              <w:ind w:right="74"/>
              <w:jc w:val="right"/>
              <w:rPr>
                <w:sz w:val="14"/>
              </w:rPr>
            </w:pPr>
            <w:r>
              <w:rPr>
                <w:spacing w:val="-10"/>
                <w:sz w:val="14"/>
              </w:rPr>
              <w:t>–</w:t>
            </w:r>
          </w:p>
        </w:tc>
        <w:tc>
          <w:tcPr>
            <w:tcW w:w="963" w:type="dxa"/>
            <w:tcBorders>
              <w:top w:val="single" w:sz="2" w:space="0" w:color="000000"/>
              <w:left w:val="single" w:sz="2" w:space="0" w:color="000000"/>
              <w:bottom w:val="single" w:sz="2" w:space="0" w:color="000000"/>
              <w:right w:val="single" w:sz="2" w:space="0" w:color="000000"/>
            </w:tcBorders>
          </w:tcPr>
          <w:p w14:paraId="475B8CD4" w14:textId="77777777" w:rsidR="009D54AF" w:rsidRDefault="00000000">
            <w:pPr>
              <w:pStyle w:val="TableParagraph"/>
              <w:spacing w:before="51"/>
              <w:ind w:right="73"/>
              <w:jc w:val="right"/>
              <w:rPr>
                <w:sz w:val="14"/>
              </w:rPr>
            </w:pPr>
            <w:r>
              <w:rPr>
                <w:spacing w:val="-10"/>
                <w:sz w:val="14"/>
              </w:rPr>
              <w:t>–</w:t>
            </w:r>
          </w:p>
        </w:tc>
        <w:tc>
          <w:tcPr>
            <w:tcW w:w="1076" w:type="dxa"/>
            <w:tcBorders>
              <w:top w:val="single" w:sz="2" w:space="0" w:color="000000"/>
              <w:left w:val="single" w:sz="2" w:space="0" w:color="000000"/>
              <w:bottom w:val="single" w:sz="2" w:space="0" w:color="000000"/>
              <w:right w:val="nil"/>
            </w:tcBorders>
          </w:tcPr>
          <w:p w14:paraId="1E366C19" w14:textId="77777777" w:rsidR="009D54AF" w:rsidRDefault="00000000">
            <w:pPr>
              <w:pStyle w:val="TableParagraph"/>
              <w:spacing w:before="51"/>
              <w:ind w:right="75"/>
              <w:jc w:val="right"/>
              <w:rPr>
                <w:sz w:val="14"/>
              </w:rPr>
            </w:pPr>
            <w:r>
              <w:rPr>
                <w:spacing w:val="-10"/>
                <w:sz w:val="14"/>
              </w:rPr>
              <w:t>–</w:t>
            </w:r>
          </w:p>
        </w:tc>
      </w:tr>
      <w:tr w:rsidR="009D54AF" w14:paraId="24F0D787" w14:textId="77777777">
        <w:trPr>
          <w:trHeight w:val="476"/>
        </w:trPr>
        <w:tc>
          <w:tcPr>
            <w:tcW w:w="1417" w:type="dxa"/>
            <w:tcBorders>
              <w:top w:val="single" w:sz="2" w:space="0" w:color="000000"/>
              <w:left w:val="nil"/>
              <w:bottom w:val="single" w:sz="2" w:space="0" w:color="000000"/>
              <w:right w:val="single" w:sz="2" w:space="0" w:color="000000"/>
            </w:tcBorders>
          </w:tcPr>
          <w:p w14:paraId="5B84355C" w14:textId="77777777" w:rsidR="009D54AF" w:rsidRDefault="00000000">
            <w:pPr>
              <w:pStyle w:val="TableParagraph"/>
              <w:spacing w:before="51"/>
              <w:ind w:left="85"/>
              <w:rPr>
                <w:sz w:val="14"/>
              </w:rPr>
            </w:pPr>
            <w:r>
              <w:rPr>
                <w:sz w:val="14"/>
              </w:rPr>
              <w:t>395,001-</w:t>
            </w:r>
            <w:r>
              <w:rPr>
                <w:spacing w:val="-2"/>
                <w:sz w:val="14"/>
              </w:rPr>
              <w:t>420,000</w:t>
            </w:r>
          </w:p>
        </w:tc>
        <w:tc>
          <w:tcPr>
            <w:tcW w:w="850" w:type="dxa"/>
            <w:tcBorders>
              <w:top w:val="single" w:sz="2" w:space="0" w:color="000000"/>
              <w:left w:val="single" w:sz="2" w:space="0" w:color="000000"/>
              <w:bottom w:val="single" w:sz="2" w:space="0" w:color="000000"/>
              <w:right w:val="single" w:sz="2" w:space="0" w:color="000000"/>
            </w:tcBorders>
          </w:tcPr>
          <w:p w14:paraId="7A0001EE" w14:textId="77777777" w:rsidR="009D54AF" w:rsidRDefault="00000000">
            <w:pPr>
              <w:pStyle w:val="TableParagraph"/>
              <w:spacing w:before="51"/>
              <w:ind w:left="384"/>
              <w:rPr>
                <w:sz w:val="14"/>
              </w:rPr>
            </w:pPr>
            <w:r>
              <w:rPr>
                <w:spacing w:val="-10"/>
                <w:sz w:val="14"/>
              </w:rPr>
              <w:t>1</w:t>
            </w:r>
          </w:p>
        </w:tc>
        <w:tc>
          <w:tcPr>
            <w:tcW w:w="963" w:type="dxa"/>
            <w:tcBorders>
              <w:top w:val="single" w:sz="2" w:space="0" w:color="000000"/>
              <w:left w:val="single" w:sz="2" w:space="0" w:color="000000"/>
              <w:bottom w:val="single" w:sz="2" w:space="0" w:color="000000"/>
              <w:right w:val="single" w:sz="2" w:space="0" w:color="000000"/>
            </w:tcBorders>
          </w:tcPr>
          <w:p w14:paraId="6D56FCCC" w14:textId="77777777" w:rsidR="009D54AF" w:rsidRDefault="00000000">
            <w:pPr>
              <w:pStyle w:val="TableParagraph"/>
              <w:spacing w:before="51"/>
              <w:ind w:left="219"/>
              <w:rPr>
                <w:sz w:val="14"/>
              </w:rPr>
            </w:pPr>
            <w:r>
              <w:rPr>
                <w:spacing w:val="-2"/>
                <w:sz w:val="14"/>
              </w:rPr>
              <w:t>338,784</w:t>
            </w:r>
          </w:p>
        </w:tc>
        <w:tc>
          <w:tcPr>
            <w:tcW w:w="963" w:type="dxa"/>
            <w:tcBorders>
              <w:top w:val="single" w:sz="2" w:space="0" w:color="000000"/>
              <w:left w:val="single" w:sz="2" w:space="0" w:color="000000"/>
              <w:bottom w:val="single" w:sz="2" w:space="0" w:color="000000"/>
              <w:right w:val="single" w:sz="2" w:space="0" w:color="000000"/>
            </w:tcBorders>
          </w:tcPr>
          <w:p w14:paraId="3D2D0955" w14:textId="77777777" w:rsidR="009D54AF" w:rsidRDefault="00000000">
            <w:pPr>
              <w:pStyle w:val="TableParagraph"/>
              <w:spacing w:before="51"/>
              <w:ind w:right="78"/>
              <w:jc w:val="right"/>
              <w:rPr>
                <w:sz w:val="14"/>
              </w:rPr>
            </w:pPr>
            <w:r>
              <w:rPr>
                <w:spacing w:val="-10"/>
                <w:sz w:val="14"/>
              </w:rPr>
              <w:t>–</w:t>
            </w:r>
          </w:p>
        </w:tc>
        <w:tc>
          <w:tcPr>
            <w:tcW w:w="963" w:type="dxa"/>
            <w:tcBorders>
              <w:top w:val="single" w:sz="2" w:space="0" w:color="000000"/>
              <w:left w:val="single" w:sz="2" w:space="0" w:color="000000"/>
              <w:bottom w:val="single" w:sz="2" w:space="0" w:color="000000"/>
              <w:right w:val="single" w:sz="2" w:space="0" w:color="000000"/>
            </w:tcBorders>
          </w:tcPr>
          <w:p w14:paraId="03CBD906" w14:textId="77777777" w:rsidR="009D54AF" w:rsidRDefault="00000000">
            <w:pPr>
              <w:pStyle w:val="TableParagraph"/>
              <w:spacing w:before="51"/>
              <w:ind w:left="279"/>
              <w:rPr>
                <w:sz w:val="14"/>
              </w:rPr>
            </w:pPr>
            <w:r>
              <w:rPr>
                <w:spacing w:val="-2"/>
                <w:sz w:val="14"/>
              </w:rPr>
              <w:t>17,774</w:t>
            </w:r>
          </w:p>
        </w:tc>
        <w:tc>
          <w:tcPr>
            <w:tcW w:w="1076" w:type="dxa"/>
            <w:tcBorders>
              <w:top w:val="single" w:sz="2" w:space="0" w:color="000000"/>
              <w:left w:val="single" w:sz="2" w:space="0" w:color="000000"/>
              <w:bottom w:val="single" w:sz="2" w:space="0" w:color="000000"/>
              <w:right w:val="single" w:sz="2" w:space="0" w:color="000000"/>
            </w:tcBorders>
          </w:tcPr>
          <w:p w14:paraId="3E51782C" w14:textId="77777777" w:rsidR="009D54AF" w:rsidRDefault="00000000">
            <w:pPr>
              <w:pStyle w:val="TableParagraph"/>
              <w:spacing w:before="51"/>
              <w:ind w:left="335"/>
              <w:rPr>
                <w:sz w:val="14"/>
              </w:rPr>
            </w:pPr>
            <w:r>
              <w:rPr>
                <w:spacing w:val="-2"/>
                <w:sz w:val="14"/>
              </w:rPr>
              <w:t>51,120</w:t>
            </w:r>
          </w:p>
        </w:tc>
        <w:tc>
          <w:tcPr>
            <w:tcW w:w="963" w:type="dxa"/>
            <w:tcBorders>
              <w:top w:val="single" w:sz="2" w:space="0" w:color="000000"/>
              <w:left w:val="single" w:sz="2" w:space="0" w:color="000000"/>
              <w:bottom w:val="single" w:sz="2" w:space="0" w:color="000000"/>
              <w:right w:val="single" w:sz="2" w:space="0" w:color="000000"/>
            </w:tcBorders>
          </w:tcPr>
          <w:p w14:paraId="567C0447" w14:textId="77777777" w:rsidR="009D54AF" w:rsidRDefault="00000000">
            <w:pPr>
              <w:pStyle w:val="TableParagraph"/>
              <w:spacing w:before="51"/>
              <w:ind w:left="273"/>
              <w:rPr>
                <w:sz w:val="14"/>
              </w:rPr>
            </w:pPr>
            <w:r>
              <w:rPr>
                <w:spacing w:val="-2"/>
                <w:sz w:val="14"/>
              </w:rPr>
              <w:t>11,077</w:t>
            </w:r>
          </w:p>
        </w:tc>
        <w:tc>
          <w:tcPr>
            <w:tcW w:w="963" w:type="dxa"/>
            <w:tcBorders>
              <w:top w:val="single" w:sz="2" w:space="0" w:color="000000"/>
              <w:left w:val="single" w:sz="2" w:space="0" w:color="000000"/>
              <w:bottom w:val="single" w:sz="2" w:space="0" w:color="000000"/>
              <w:right w:val="single" w:sz="2" w:space="0" w:color="000000"/>
            </w:tcBorders>
          </w:tcPr>
          <w:p w14:paraId="6EBCFEE4" w14:textId="77777777" w:rsidR="009D54AF" w:rsidRDefault="00000000">
            <w:pPr>
              <w:pStyle w:val="TableParagraph"/>
              <w:spacing w:before="51"/>
              <w:ind w:right="74"/>
              <w:jc w:val="right"/>
              <w:rPr>
                <w:sz w:val="14"/>
              </w:rPr>
            </w:pPr>
            <w:r>
              <w:rPr>
                <w:spacing w:val="-10"/>
                <w:sz w:val="14"/>
              </w:rPr>
              <w:t>–</w:t>
            </w:r>
          </w:p>
        </w:tc>
        <w:tc>
          <w:tcPr>
            <w:tcW w:w="963" w:type="dxa"/>
            <w:tcBorders>
              <w:top w:val="single" w:sz="2" w:space="0" w:color="000000"/>
              <w:left w:val="single" w:sz="2" w:space="0" w:color="000000"/>
              <w:bottom w:val="single" w:sz="2" w:space="0" w:color="000000"/>
              <w:right w:val="single" w:sz="2" w:space="0" w:color="000000"/>
            </w:tcBorders>
          </w:tcPr>
          <w:p w14:paraId="638B6EA2" w14:textId="77777777" w:rsidR="009D54AF" w:rsidRDefault="00000000">
            <w:pPr>
              <w:pStyle w:val="TableParagraph"/>
              <w:spacing w:before="51"/>
              <w:ind w:right="73"/>
              <w:jc w:val="right"/>
              <w:rPr>
                <w:sz w:val="14"/>
              </w:rPr>
            </w:pPr>
            <w:r>
              <w:rPr>
                <w:spacing w:val="-10"/>
                <w:sz w:val="14"/>
              </w:rPr>
              <w:t>–</w:t>
            </w:r>
          </w:p>
        </w:tc>
        <w:tc>
          <w:tcPr>
            <w:tcW w:w="1076" w:type="dxa"/>
            <w:tcBorders>
              <w:top w:val="single" w:sz="2" w:space="0" w:color="000000"/>
              <w:left w:val="single" w:sz="2" w:space="0" w:color="000000"/>
              <w:bottom w:val="single" w:sz="2" w:space="0" w:color="000000"/>
              <w:right w:val="nil"/>
            </w:tcBorders>
          </w:tcPr>
          <w:p w14:paraId="772015CA" w14:textId="77777777" w:rsidR="009D54AF" w:rsidRDefault="00000000">
            <w:pPr>
              <w:pStyle w:val="TableParagraph"/>
              <w:spacing w:before="51"/>
              <w:ind w:left="293"/>
              <w:rPr>
                <w:sz w:val="14"/>
              </w:rPr>
            </w:pPr>
            <w:r>
              <w:rPr>
                <w:spacing w:val="-2"/>
                <w:sz w:val="14"/>
              </w:rPr>
              <w:t>418,756</w:t>
            </w:r>
          </w:p>
        </w:tc>
      </w:tr>
    </w:tbl>
    <w:p w14:paraId="4689144F" w14:textId="77777777" w:rsidR="009D54AF" w:rsidRDefault="00000000">
      <w:pPr>
        <w:spacing w:before="64"/>
        <w:ind w:left="142"/>
        <w:rPr>
          <w:b/>
          <w:sz w:val="17"/>
        </w:rPr>
      </w:pPr>
      <w:r>
        <w:rPr>
          <w:b/>
          <w:spacing w:val="-2"/>
          <w:sz w:val="17"/>
        </w:rPr>
        <w:t>Notes:</w:t>
      </w:r>
    </w:p>
    <w:p w14:paraId="13DCF25E" w14:textId="77777777" w:rsidR="009D54AF" w:rsidRDefault="00000000">
      <w:pPr>
        <w:pStyle w:val="ListParagraph"/>
        <w:numPr>
          <w:ilvl w:val="0"/>
          <w:numId w:val="17"/>
        </w:numPr>
        <w:tabs>
          <w:tab w:val="left" w:pos="367"/>
          <w:tab w:val="left" w:pos="369"/>
        </w:tabs>
        <w:spacing w:before="45" w:line="295" w:lineRule="auto"/>
        <w:ind w:right="206"/>
        <w:rPr>
          <w:sz w:val="17"/>
        </w:rPr>
      </w:pPr>
      <w:r>
        <w:rPr>
          <w:sz w:val="17"/>
        </w:rPr>
        <w:t>Any employee who held a substantive senior executive or equivalent position during 2025-26 is represented as one. This excludes those executives who have been disclosed in Table 3.</w:t>
      </w:r>
    </w:p>
    <w:p w14:paraId="1E4AC78F" w14:textId="77777777" w:rsidR="009D54AF" w:rsidRDefault="00000000">
      <w:pPr>
        <w:pStyle w:val="ListParagraph"/>
        <w:numPr>
          <w:ilvl w:val="0"/>
          <w:numId w:val="17"/>
        </w:numPr>
        <w:tabs>
          <w:tab w:val="left" w:pos="367"/>
        </w:tabs>
        <w:spacing w:before="0" w:line="195" w:lineRule="exact"/>
        <w:ind w:left="367" w:hanging="225"/>
        <w:rPr>
          <w:sz w:val="17"/>
        </w:rPr>
      </w:pPr>
      <w:r>
        <w:rPr>
          <w:sz w:val="17"/>
        </w:rPr>
        <w:t>Excludes</w:t>
      </w:r>
      <w:r>
        <w:rPr>
          <w:spacing w:val="5"/>
          <w:sz w:val="17"/>
        </w:rPr>
        <w:t xml:space="preserve"> </w:t>
      </w:r>
      <w:r>
        <w:rPr>
          <w:sz w:val="17"/>
        </w:rPr>
        <w:t>bond</w:t>
      </w:r>
      <w:r>
        <w:rPr>
          <w:spacing w:val="6"/>
          <w:sz w:val="17"/>
        </w:rPr>
        <w:t xml:space="preserve"> </w:t>
      </w:r>
      <w:r>
        <w:rPr>
          <w:sz w:val="17"/>
        </w:rPr>
        <w:t>rate</w:t>
      </w:r>
      <w:r>
        <w:rPr>
          <w:spacing w:val="5"/>
          <w:sz w:val="17"/>
        </w:rPr>
        <w:t xml:space="preserve"> </w:t>
      </w:r>
      <w:r>
        <w:rPr>
          <w:sz w:val="17"/>
        </w:rPr>
        <w:t>impact</w:t>
      </w:r>
      <w:r>
        <w:rPr>
          <w:spacing w:val="6"/>
          <w:sz w:val="17"/>
        </w:rPr>
        <w:t xml:space="preserve"> </w:t>
      </w:r>
      <w:r>
        <w:rPr>
          <w:sz w:val="17"/>
        </w:rPr>
        <w:t>on</w:t>
      </w:r>
      <w:r>
        <w:rPr>
          <w:spacing w:val="5"/>
          <w:sz w:val="17"/>
        </w:rPr>
        <w:t xml:space="preserve"> </w:t>
      </w:r>
      <w:r>
        <w:rPr>
          <w:sz w:val="17"/>
        </w:rPr>
        <w:t>long</w:t>
      </w:r>
      <w:r>
        <w:rPr>
          <w:spacing w:val="6"/>
          <w:sz w:val="17"/>
        </w:rPr>
        <w:t xml:space="preserve"> </w:t>
      </w:r>
      <w:r>
        <w:rPr>
          <w:sz w:val="17"/>
        </w:rPr>
        <w:t>service</w:t>
      </w:r>
      <w:r>
        <w:rPr>
          <w:spacing w:val="6"/>
          <w:sz w:val="17"/>
        </w:rPr>
        <w:t xml:space="preserve"> </w:t>
      </w:r>
      <w:r>
        <w:rPr>
          <w:spacing w:val="-2"/>
          <w:sz w:val="17"/>
        </w:rPr>
        <w:t>leave.</w:t>
      </w:r>
    </w:p>
    <w:p w14:paraId="35D67066" w14:textId="77777777" w:rsidR="009D54AF" w:rsidRPr="00400729" w:rsidRDefault="00000000">
      <w:pPr>
        <w:pStyle w:val="ListParagraph"/>
        <w:numPr>
          <w:ilvl w:val="0"/>
          <w:numId w:val="17"/>
        </w:numPr>
        <w:tabs>
          <w:tab w:val="left" w:pos="368"/>
        </w:tabs>
        <w:spacing w:before="44"/>
        <w:ind w:left="368" w:hanging="226"/>
        <w:rPr>
          <w:sz w:val="17"/>
        </w:rPr>
      </w:pPr>
      <w:r>
        <w:rPr>
          <w:spacing w:val="-2"/>
          <w:sz w:val="17"/>
        </w:rPr>
        <w:t>No</w:t>
      </w:r>
      <w:r>
        <w:rPr>
          <w:spacing w:val="-7"/>
          <w:sz w:val="17"/>
        </w:rPr>
        <w:t xml:space="preserve"> </w:t>
      </w:r>
      <w:r>
        <w:rPr>
          <w:spacing w:val="-2"/>
          <w:sz w:val="17"/>
        </w:rPr>
        <w:t>termination</w:t>
      </w:r>
      <w:r>
        <w:rPr>
          <w:spacing w:val="-7"/>
          <w:sz w:val="17"/>
        </w:rPr>
        <w:t xml:space="preserve"> </w:t>
      </w:r>
      <w:r>
        <w:rPr>
          <w:spacing w:val="-2"/>
          <w:sz w:val="17"/>
        </w:rPr>
        <w:t>payments</w:t>
      </w:r>
      <w:r>
        <w:rPr>
          <w:spacing w:val="-7"/>
          <w:sz w:val="17"/>
        </w:rPr>
        <w:t xml:space="preserve"> </w:t>
      </w:r>
      <w:r>
        <w:rPr>
          <w:spacing w:val="-2"/>
          <w:sz w:val="17"/>
        </w:rPr>
        <w:t>were</w:t>
      </w:r>
      <w:r>
        <w:rPr>
          <w:spacing w:val="-6"/>
          <w:sz w:val="17"/>
        </w:rPr>
        <w:t xml:space="preserve"> </w:t>
      </w:r>
      <w:r>
        <w:rPr>
          <w:spacing w:val="-2"/>
          <w:sz w:val="17"/>
        </w:rPr>
        <w:t>made</w:t>
      </w:r>
      <w:r>
        <w:rPr>
          <w:spacing w:val="-7"/>
          <w:sz w:val="17"/>
        </w:rPr>
        <w:t xml:space="preserve"> </w:t>
      </w:r>
      <w:r>
        <w:rPr>
          <w:spacing w:val="-2"/>
          <w:sz w:val="17"/>
        </w:rPr>
        <w:t>to</w:t>
      </w:r>
      <w:r>
        <w:rPr>
          <w:spacing w:val="-7"/>
          <w:sz w:val="17"/>
        </w:rPr>
        <w:t xml:space="preserve"> </w:t>
      </w:r>
      <w:r>
        <w:rPr>
          <w:spacing w:val="-2"/>
          <w:sz w:val="17"/>
        </w:rPr>
        <w:t>senior</w:t>
      </w:r>
      <w:r>
        <w:rPr>
          <w:spacing w:val="-6"/>
          <w:sz w:val="17"/>
        </w:rPr>
        <w:t xml:space="preserve"> </w:t>
      </w:r>
      <w:r>
        <w:rPr>
          <w:spacing w:val="-2"/>
          <w:sz w:val="17"/>
        </w:rPr>
        <w:t>executive</w:t>
      </w:r>
      <w:r>
        <w:rPr>
          <w:spacing w:val="-7"/>
          <w:sz w:val="17"/>
        </w:rPr>
        <w:t xml:space="preserve"> </w:t>
      </w:r>
      <w:r>
        <w:rPr>
          <w:spacing w:val="-2"/>
          <w:sz w:val="17"/>
        </w:rPr>
        <w:t>service</w:t>
      </w:r>
      <w:r>
        <w:rPr>
          <w:spacing w:val="-7"/>
          <w:sz w:val="17"/>
        </w:rPr>
        <w:t xml:space="preserve"> </w:t>
      </w:r>
      <w:r>
        <w:rPr>
          <w:spacing w:val="-2"/>
          <w:sz w:val="17"/>
        </w:rPr>
        <w:t>or</w:t>
      </w:r>
      <w:r>
        <w:rPr>
          <w:spacing w:val="-6"/>
          <w:sz w:val="17"/>
        </w:rPr>
        <w:t xml:space="preserve"> </w:t>
      </w:r>
      <w:r>
        <w:rPr>
          <w:spacing w:val="-2"/>
          <w:sz w:val="17"/>
        </w:rPr>
        <w:t>equivalent</w:t>
      </w:r>
      <w:r>
        <w:rPr>
          <w:spacing w:val="-7"/>
          <w:sz w:val="17"/>
        </w:rPr>
        <w:t xml:space="preserve"> </w:t>
      </w:r>
      <w:r>
        <w:rPr>
          <w:spacing w:val="-2"/>
          <w:sz w:val="17"/>
        </w:rPr>
        <w:t>employees</w:t>
      </w:r>
      <w:r>
        <w:rPr>
          <w:spacing w:val="-7"/>
          <w:sz w:val="17"/>
        </w:rPr>
        <w:t xml:space="preserve"> </w:t>
      </w:r>
      <w:r>
        <w:rPr>
          <w:spacing w:val="-2"/>
          <w:sz w:val="17"/>
        </w:rPr>
        <w:t>during</w:t>
      </w:r>
      <w:r>
        <w:rPr>
          <w:spacing w:val="-6"/>
          <w:sz w:val="17"/>
        </w:rPr>
        <w:t xml:space="preserve"> </w:t>
      </w:r>
      <w:r>
        <w:rPr>
          <w:spacing w:val="-2"/>
          <w:sz w:val="17"/>
        </w:rPr>
        <w:t>2025–</w:t>
      </w:r>
      <w:r>
        <w:rPr>
          <w:spacing w:val="-5"/>
          <w:sz w:val="17"/>
        </w:rPr>
        <w:t>26.</w:t>
      </w:r>
    </w:p>
    <w:p w14:paraId="3CF68001" w14:textId="77777777" w:rsidR="00400729" w:rsidRDefault="00400729" w:rsidP="00400729">
      <w:pPr>
        <w:tabs>
          <w:tab w:val="left" w:pos="368"/>
        </w:tabs>
        <w:spacing w:before="44"/>
        <w:rPr>
          <w:sz w:val="17"/>
        </w:rPr>
      </w:pPr>
    </w:p>
    <w:p w14:paraId="442313A9" w14:textId="030B2209" w:rsidR="009D54AF" w:rsidRDefault="00400729">
      <w:pPr>
        <w:spacing w:before="70"/>
        <w:ind w:left="142"/>
        <w:rPr>
          <w:sz w:val="19"/>
        </w:rPr>
      </w:pPr>
      <w:r>
        <w:rPr>
          <w:b/>
          <w:sz w:val="19"/>
        </w:rPr>
        <w:t>T</w:t>
      </w:r>
      <w:r w:rsidR="00000000">
        <w:rPr>
          <w:b/>
          <w:sz w:val="19"/>
        </w:rPr>
        <w:t>able</w:t>
      </w:r>
      <w:r w:rsidR="00000000">
        <w:rPr>
          <w:b/>
          <w:spacing w:val="1"/>
          <w:sz w:val="19"/>
        </w:rPr>
        <w:t xml:space="preserve"> </w:t>
      </w:r>
      <w:r w:rsidR="00000000">
        <w:rPr>
          <w:b/>
          <w:sz w:val="19"/>
        </w:rPr>
        <w:t>6</w:t>
      </w:r>
      <w:r w:rsidR="00000000">
        <w:rPr>
          <w:b/>
          <w:spacing w:val="19"/>
          <w:sz w:val="19"/>
        </w:rPr>
        <w:t xml:space="preserve"> </w:t>
      </w:r>
      <w:r w:rsidR="00000000">
        <w:rPr>
          <w:sz w:val="19"/>
        </w:rPr>
        <w:t>Remuneration</w:t>
      </w:r>
      <w:r w:rsidR="00000000">
        <w:rPr>
          <w:spacing w:val="2"/>
          <w:sz w:val="19"/>
        </w:rPr>
        <w:t xml:space="preserve"> </w:t>
      </w:r>
      <w:r w:rsidR="00000000">
        <w:rPr>
          <w:sz w:val="19"/>
        </w:rPr>
        <w:t>paid</w:t>
      </w:r>
      <w:r w:rsidR="00000000">
        <w:rPr>
          <w:spacing w:val="2"/>
          <w:sz w:val="19"/>
        </w:rPr>
        <w:t xml:space="preserve"> </w:t>
      </w:r>
      <w:r w:rsidR="00000000">
        <w:rPr>
          <w:sz w:val="19"/>
        </w:rPr>
        <w:t>to</w:t>
      </w:r>
      <w:r w:rsidR="00000000">
        <w:rPr>
          <w:spacing w:val="2"/>
          <w:sz w:val="19"/>
        </w:rPr>
        <w:t xml:space="preserve"> </w:t>
      </w:r>
      <w:r w:rsidR="00000000">
        <w:rPr>
          <w:sz w:val="19"/>
        </w:rPr>
        <w:t>other</w:t>
      </w:r>
      <w:r w:rsidR="00000000">
        <w:rPr>
          <w:spacing w:val="1"/>
          <w:sz w:val="19"/>
        </w:rPr>
        <w:t xml:space="preserve"> </w:t>
      </w:r>
      <w:r w:rsidR="00000000">
        <w:rPr>
          <w:sz w:val="19"/>
        </w:rPr>
        <w:t>highly</w:t>
      </w:r>
      <w:r w:rsidR="00000000">
        <w:rPr>
          <w:spacing w:val="2"/>
          <w:sz w:val="19"/>
        </w:rPr>
        <w:t xml:space="preserve"> </w:t>
      </w:r>
      <w:r w:rsidR="00000000">
        <w:rPr>
          <w:sz w:val="19"/>
        </w:rPr>
        <w:t>paid</w:t>
      </w:r>
      <w:r w:rsidR="00000000">
        <w:rPr>
          <w:spacing w:val="2"/>
          <w:sz w:val="19"/>
        </w:rPr>
        <w:t xml:space="preserve"> </w:t>
      </w:r>
      <w:r w:rsidR="00000000">
        <w:rPr>
          <w:sz w:val="19"/>
        </w:rPr>
        <w:t>staff,</w:t>
      </w:r>
      <w:r w:rsidR="00000000">
        <w:rPr>
          <w:spacing w:val="2"/>
          <w:sz w:val="19"/>
        </w:rPr>
        <w:t xml:space="preserve"> </w:t>
      </w:r>
      <w:r w:rsidR="00000000">
        <w:rPr>
          <w:sz w:val="19"/>
        </w:rPr>
        <w:t>2025–</w:t>
      </w:r>
      <w:r w:rsidR="00000000">
        <w:rPr>
          <w:spacing w:val="-5"/>
          <w:sz w:val="19"/>
        </w:rPr>
        <w:t>26</w:t>
      </w:r>
    </w:p>
    <w:p w14:paraId="10B61CA1" w14:textId="77777777" w:rsidR="009D54AF" w:rsidRDefault="009D54AF">
      <w:pPr>
        <w:pStyle w:val="BodyText"/>
        <w:spacing w:before="2"/>
        <w:rPr>
          <w:sz w:val="8"/>
        </w:rPr>
      </w:pPr>
    </w:p>
    <w:tbl>
      <w:tblPr>
        <w:tblW w:w="0" w:type="auto"/>
        <w:tblInd w:w="149"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CellMar>
          <w:left w:w="0" w:type="dxa"/>
          <w:right w:w="0" w:type="dxa"/>
        </w:tblCellMar>
        <w:tblLook w:val="01E0" w:firstRow="1" w:lastRow="1" w:firstColumn="1" w:lastColumn="1" w:noHBand="0" w:noVBand="0"/>
      </w:tblPr>
      <w:tblGrid>
        <w:gridCol w:w="1417"/>
        <w:gridCol w:w="850"/>
        <w:gridCol w:w="963"/>
        <w:gridCol w:w="963"/>
        <w:gridCol w:w="963"/>
        <w:gridCol w:w="1076"/>
        <w:gridCol w:w="963"/>
        <w:gridCol w:w="963"/>
        <w:gridCol w:w="963"/>
        <w:gridCol w:w="1076"/>
      </w:tblGrid>
      <w:tr w:rsidR="009D54AF" w14:paraId="451100E5" w14:textId="77777777">
        <w:trPr>
          <w:trHeight w:val="858"/>
        </w:trPr>
        <w:tc>
          <w:tcPr>
            <w:tcW w:w="1417" w:type="dxa"/>
            <w:vMerge w:val="restart"/>
            <w:tcBorders>
              <w:top w:val="nil"/>
              <w:left w:val="nil"/>
              <w:bottom w:val="nil"/>
            </w:tcBorders>
            <w:shd w:val="clear" w:color="auto" w:fill="000000"/>
          </w:tcPr>
          <w:p w14:paraId="357504FC" w14:textId="77777777" w:rsidR="009D54AF" w:rsidRDefault="009D54AF">
            <w:pPr>
              <w:pStyle w:val="TableParagraph"/>
              <w:rPr>
                <w:sz w:val="14"/>
              </w:rPr>
            </w:pPr>
          </w:p>
          <w:p w14:paraId="654D0FBC" w14:textId="77777777" w:rsidR="009D54AF" w:rsidRDefault="009D54AF">
            <w:pPr>
              <w:pStyle w:val="TableParagraph"/>
              <w:rPr>
                <w:sz w:val="14"/>
              </w:rPr>
            </w:pPr>
          </w:p>
          <w:p w14:paraId="5861977B" w14:textId="77777777" w:rsidR="009D54AF" w:rsidRDefault="009D54AF">
            <w:pPr>
              <w:pStyle w:val="TableParagraph"/>
              <w:rPr>
                <w:sz w:val="14"/>
              </w:rPr>
            </w:pPr>
          </w:p>
          <w:p w14:paraId="32FD3103" w14:textId="77777777" w:rsidR="009D54AF" w:rsidRDefault="009D54AF">
            <w:pPr>
              <w:pStyle w:val="TableParagraph"/>
              <w:rPr>
                <w:sz w:val="14"/>
              </w:rPr>
            </w:pPr>
          </w:p>
          <w:p w14:paraId="364E0613" w14:textId="77777777" w:rsidR="009D54AF" w:rsidRDefault="009D54AF">
            <w:pPr>
              <w:pStyle w:val="TableParagraph"/>
              <w:spacing w:before="112"/>
              <w:rPr>
                <w:sz w:val="14"/>
              </w:rPr>
            </w:pPr>
          </w:p>
          <w:p w14:paraId="6A4BD367" w14:textId="77777777" w:rsidR="009D54AF" w:rsidRDefault="00000000">
            <w:pPr>
              <w:pStyle w:val="TableParagraph"/>
              <w:ind w:left="85" w:right="309"/>
              <w:rPr>
                <w:b/>
                <w:sz w:val="14"/>
              </w:rPr>
            </w:pPr>
            <w:r>
              <w:rPr>
                <w:b/>
                <w:color w:val="FFFFFF"/>
                <w:spacing w:val="-2"/>
                <w:sz w:val="14"/>
              </w:rPr>
              <w:t>Total</w:t>
            </w:r>
            <w:r>
              <w:rPr>
                <w:b/>
                <w:color w:val="FFFFFF"/>
                <w:spacing w:val="40"/>
                <w:sz w:val="14"/>
              </w:rPr>
              <w:t xml:space="preserve"> </w:t>
            </w:r>
            <w:proofErr w:type="spellStart"/>
            <w:r>
              <w:rPr>
                <w:b/>
                <w:color w:val="FFFFFF"/>
                <w:sz w:val="14"/>
              </w:rPr>
              <w:t>remunera</w:t>
            </w:r>
            <w:proofErr w:type="spellEnd"/>
            <w:r>
              <w:rPr>
                <w:b/>
                <w:color w:val="FFFFFF"/>
                <w:sz w:val="14"/>
              </w:rPr>
              <w:t>-</w:t>
            </w:r>
            <w:r>
              <w:rPr>
                <w:b/>
                <w:color w:val="FFFFFF"/>
                <w:spacing w:val="-3"/>
                <w:sz w:val="14"/>
              </w:rPr>
              <w:t xml:space="preserve"> </w:t>
            </w:r>
            <w:proofErr w:type="spellStart"/>
            <w:r>
              <w:rPr>
                <w:b/>
                <w:color w:val="FFFFFF"/>
                <w:sz w:val="14"/>
              </w:rPr>
              <w:t>tion</w:t>
            </w:r>
            <w:proofErr w:type="spellEnd"/>
            <w:r>
              <w:rPr>
                <w:b/>
                <w:color w:val="FFFFFF"/>
                <w:spacing w:val="40"/>
                <w:sz w:val="14"/>
              </w:rPr>
              <w:t xml:space="preserve"> </w:t>
            </w:r>
            <w:r>
              <w:rPr>
                <w:b/>
                <w:color w:val="FFFFFF"/>
                <w:spacing w:val="-2"/>
                <w:sz w:val="14"/>
              </w:rPr>
              <w:t>bands</w:t>
            </w:r>
          </w:p>
          <w:p w14:paraId="79FA01B6" w14:textId="77777777" w:rsidR="009D54AF" w:rsidRDefault="00000000">
            <w:pPr>
              <w:pStyle w:val="TableParagraph"/>
              <w:spacing w:before="111"/>
              <w:ind w:left="85"/>
              <w:rPr>
                <w:b/>
                <w:sz w:val="14"/>
              </w:rPr>
            </w:pPr>
            <w:r>
              <w:rPr>
                <w:b/>
                <w:color w:val="FFFFFF"/>
                <w:spacing w:val="-5"/>
                <w:sz w:val="14"/>
              </w:rPr>
              <w:t>($)</w:t>
            </w:r>
          </w:p>
        </w:tc>
        <w:tc>
          <w:tcPr>
            <w:tcW w:w="850" w:type="dxa"/>
            <w:vMerge w:val="restart"/>
            <w:tcBorders>
              <w:top w:val="nil"/>
              <w:bottom w:val="nil"/>
            </w:tcBorders>
            <w:shd w:val="clear" w:color="auto" w:fill="000000"/>
          </w:tcPr>
          <w:p w14:paraId="0720A785" w14:textId="77777777" w:rsidR="009D54AF" w:rsidRDefault="009D54AF">
            <w:pPr>
              <w:pStyle w:val="TableParagraph"/>
              <w:rPr>
                <w:sz w:val="14"/>
              </w:rPr>
            </w:pPr>
          </w:p>
          <w:p w14:paraId="0AC74B4C" w14:textId="77777777" w:rsidR="009D54AF" w:rsidRDefault="009D54AF">
            <w:pPr>
              <w:pStyle w:val="TableParagraph"/>
              <w:rPr>
                <w:sz w:val="14"/>
              </w:rPr>
            </w:pPr>
          </w:p>
          <w:p w14:paraId="1AA05C02" w14:textId="77777777" w:rsidR="009D54AF" w:rsidRDefault="009D54AF">
            <w:pPr>
              <w:pStyle w:val="TableParagraph"/>
              <w:rPr>
                <w:sz w:val="14"/>
              </w:rPr>
            </w:pPr>
          </w:p>
          <w:p w14:paraId="14F67173" w14:textId="77777777" w:rsidR="009D54AF" w:rsidRDefault="009D54AF">
            <w:pPr>
              <w:pStyle w:val="TableParagraph"/>
              <w:rPr>
                <w:sz w:val="14"/>
              </w:rPr>
            </w:pPr>
          </w:p>
          <w:p w14:paraId="4D6B0F82" w14:textId="77777777" w:rsidR="009D54AF" w:rsidRDefault="009D54AF">
            <w:pPr>
              <w:pStyle w:val="TableParagraph"/>
              <w:rPr>
                <w:sz w:val="14"/>
              </w:rPr>
            </w:pPr>
          </w:p>
          <w:p w14:paraId="1F3EDA0D" w14:textId="77777777" w:rsidR="009D54AF" w:rsidRDefault="009D54AF">
            <w:pPr>
              <w:pStyle w:val="TableParagraph"/>
              <w:rPr>
                <w:sz w:val="14"/>
              </w:rPr>
            </w:pPr>
          </w:p>
          <w:p w14:paraId="493FE6CF" w14:textId="77777777" w:rsidR="009D54AF" w:rsidRDefault="009D54AF">
            <w:pPr>
              <w:pStyle w:val="TableParagraph"/>
              <w:spacing w:before="64"/>
              <w:rPr>
                <w:sz w:val="14"/>
              </w:rPr>
            </w:pPr>
          </w:p>
          <w:p w14:paraId="338674FB" w14:textId="77777777" w:rsidR="009D54AF" w:rsidRDefault="00000000">
            <w:pPr>
              <w:pStyle w:val="TableParagraph"/>
              <w:ind w:left="6" w:right="3" w:hanging="1"/>
              <w:jc w:val="center"/>
              <w:rPr>
                <w:b/>
                <w:position w:val="5"/>
                <w:sz w:val="8"/>
              </w:rPr>
            </w:pPr>
            <w:r>
              <w:rPr>
                <w:b/>
                <w:color w:val="FFFFFF"/>
                <w:sz w:val="14"/>
              </w:rPr>
              <w:t>Number</w:t>
            </w:r>
            <w:r>
              <w:rPr>
                <w:b/>
                <w:color w:val="FFFFFF"/>
                <w:spacing w:val="-2"/>
                <w:sz w:val="14"/>
              </w:rPr>
              <w:t xml:space="preserve"> </w:t>
            </w:r>
            <w:r>
              <w:rPr>
                <w:b/>
                <w:color w:val="FFFFFF"/>
                <w:sz w:val="14"/>
              </w:rPr>
              <w:t>of</w:t>
            </w:r>
            <w:r>
              <w:rPr>
                <w:b/>
                <w:color w:val="FFFFFF"/>
                <w:spacing w:val="40"/>
                <w:sz w:val="14"/>
              </w:rPr>
              <w:t xml:space="preserve"> </w:t>
            </w:r>
            <w:r>
              <w:rPr>
                <w:b/>
                <w:color w:val="FFFFFF"/>
                <w:sz w:val="14"/>
              </w:rPr>
              <w:t>other</w:t>
            </w:r>
            <w:r>
              <w:rPr>
                <w:b/>
                <w:color w:val="FFFFFF"/>
                <w:spacing w:val="-10"/>
                <w:sz w:val="14"/>
              </w:rPr>
              <w:t xml:space="preserve"> </w:t>
            </w:r>
            <w:r>
              <w:rPr>
                <w:b/>
                <w:color w:val="FFFFFF"/>
                <w:sz w:val="14"/>
              </w:rPr>
              <w:t>highly</w:t>
            </w:r>
            <w:r>
              <w:rPr>
                <w:b/>
                <w:color w:val="FFFFFF"/>
                <w:spacing w:val="40"/>
                <w:sz w:val="14"/>
              </w:rPr>
              <w:t xml:space="preserve"> </w:t>
            </w:r>
            <w:r>
              <w:rPr>
                <w:b/>
                <w:color w:val="FFFFFF"/>
                <w:sz w:val="14"/>
              </w:rPr>
              <w:t xml:space="preserve">paid staff </w:t>
            </w:r>
            <w:r>
              <w:rPr>
                <w:b/>
                <w:color w:val="FFFFFF"/>
                <w:position w:val="5"/>
                <w:sz w:val="8"/>
              </w:rPr>
              <w:t>1</w:t>
            </w:r>
          </w:p>
        </w:tc>
        <w:tc>
          <w:tcPr>
            <w:tcW w:w="2889" w:type="dxa"/>
            <w:gridSpan w:val="3"/>
            <w:tcBorders>
              <w:top w:val="nil"/>
            </w:tcBorders>
            <w:shd w:val="clear" w:color="auto" w:fill="000000"/>
          </w:tcPr>
          <w:p w14:paraId="48429C99" w14:textId="77777777" w:rsidR="009D54AF" w:rsidRDefault="009D54AF">
            <w:pPr>
              <w:pStyle w:val="TableParagraph"/>
              <w:spacing w:before="103"/>
              <w:rPr>
                <w:sz w:val="14"/>
              </w:rPr>
            </w:pPr>
          </w:p>
          <w:p w14:paraId="3E7E6423" w14:textId="77777777" w:rsidR="009D54AF" w:rsidRDefault="00000000">
            <w:pPr>
              <w:pStyle w:val="TableParagraph"/>
              <w:spacing w:before="1" w:line="270" w:lineRule="atLeast"/>
              <w:ind w:left="1355" w:right="686" w:hanging="591"/>
              <w:rPr>
                <w:b/>
                <w:sz w:val="14"/>
              </w:rPr>
            </w:pPr>
            <w:r>
              <w:rPr>
                <w:b/>
                <w:color w:val="FFFFFF"/>
                <w:sz w:val="14"/>
              </w:rPr>
              <w:t>Short-term</w:t>
            </w:r>
            <w:r>
              <w:rPr>
                <w:b/>
                <w:color w:val="FFFFFF"/>
                <w:spacing w:val="-2"/>
                <w:sz w:val="14"/>
              </w:rPr>
              <w:t xml:space="preserve"> </w:t>
            </w:r>
            <w:r>
              <w:rPr>
                <w:b/>
                <w:color w:val="FFFFFF"/>
                <w:sz w:val="14"/>
              </w:rPr>
              <w:t>benefits</w:t>
            </w:r>
            <w:r>
              <w:rPr>
                <w:b/>
                <w:color w:val="FFFFFF"/>
                <w:spacing w:val="40"/>
                <w:sz w:val="14"/>
              </w:rPr>
              <w:t xml:space="preserve"> </w:t>
            </w:r>
            <w:r>
              <w:rPr>
                <w:b/>
                <w:color w:val="FFFFFF"/>
                <w:spacing w:val="-4"/>
                <w:sz w:val="14"/>
              </w:rPr>
              <w:t>($)</w:t>
            </w:r>
          </w:p>
        </w:tc>
        <w:tc>
          <w:tcPr>
            <w:tcW w:w="1076" w:type="dxa"/>
            <w:tcBorders>
              <w:top w:val="nil"/>
            </w:tcBorders>
            <w:shd w:val="clear" w:color="auto" w:fill="000000"/>
          </w:tcPr>
          <w:p w14:paraId="11D4624B" w14:textId="77777777" w:rsidR="009D54AF" w:rsidRDefault="00000000">
            <w:pPr>
              <w:pStyle w:val="TableParagraph"/>
              <w:spacing w:before="54"/>
              <w:ind w:left="111" w:right="102"/>
              <w:jc w:val="center"/>
              <w:rPr>
                <w:b/>
                <w:sz w:val="14"/>
              </w:rPr>
            </w:pPr>
            <w:r>
              <w:rPr>
                <w:b/>
                <w:color w:val="FFFFFF"/>
                <w:spacing w:val="-2"/>
                <w:sz w:val="14"/>
              </w:rPr>
              <w:t>Post-employment</w:t>
            </w:r>
            <w:r>
              <w:rPr>
                <w:b/>
                <w:color w:val="FFFFFF"/>
                <w:spacing w:val="40"/>
                <w:sz w:val="14"/>
              </w:rPr>
              <w:t xml:space="preserve"> </w:t>
            </w:r>
            <w:r>
              <w:rPr>
                <w:b/>
                <w:color w:val="FFFFFF"/>
                <w:spacing w:val="-2"/>
                <w:sz w:val="14"/>
              </w:rPr>
              <w:t>benefits</w:t>
            </w:r>
          </w:p>
          <w:p w14:paraId="1BCB86FA" w14:textId="77777777" w:rsidR="009D54AF" w:rsidRDefault="00000000">
            <w:pPr>
              <w:pStyle w:val="TableParagraph"/>
              <w:spacing w:before="110"/>
              <w:ind w:left="6"/>
              <w:jc w:val="center"/>
              <w:rPr>
                <w:b/>
                <w:sz w:val="14"/>
              </w:rPr>
            </w:pPr>
            <w:r>
              <w:rPr>
                <w:b/>
                <w:color w:val="FFFFFF"/>
                <w:spacing w:val="-5"/>
                <w:sz w:val="14"/>
              </w:rPr>
              <w:t>($)</w:t>
            </w:r>
          </w:p>
        </w:tc>
        <w:tc>
          <w:tcPr>
            <w:tcW w:w="1926" w:type="dxa"/>
            <w:gridSpan w:val="2"/>
            <w:tcBorders>
              <w:top w:val="nil"/>
            </w:tcBorders>
            <w:shd w:val="clear" w:color="auto" w:fill="000000"/>
          </w:tcPr>
          <w:p w14:paraId="6A05F358" w14:textId="77777777" w:rsidR="009D54AF" w:rsidRDefault="009D54AF">
            <w:pPr>
              <w:pStyle w:val="TableParagraph"/>
              <w:spacing w:before="103"/>
              <w:rPr>
                <w:sz w:val="14"/>
              </w:rPr>
            </w:pPr>
          </w:p>
          <w:p w14:paraId="01555E99" w14:textId="77777777" w:rsidR="009D54AF" w:rsidRDefault="00000000">
            <w:pPr>
              <w:pStyle w:val="TableParagraph"/>
              <w:spacing w:before="1" w:line="270" w:lineRule="atLeast"/>
              <w:ind w:left="877" w:right="211" w:hanging="577"/>
              <w:rPr>
                <w:b/>
                <w:sz w:val="14"/>
              </w:rPr>
            </w:pPr>
            <w:r>
              <w:rPr>
                <w:b/>
                <w:color w:val="FFFFFF"/>
                <w:sz w:val="14"/>
              </w:rPr>
              <w:t>Long-term</w:t>
            </w:r>
            <w:r>
              <w:rPr>
                <w:b/>
                <w:color w:val="FFFFFF"/>
                <w:spacing w:val="-2"/>
                <w:sz w:val="14"/>
              </w:rPr>
              <w:t xml:space="preserve"> </w:t>
            </w:r>
            <w:r>
              <w:rPr>
                <w:b/>
                <w:color w:val="FFFFFF"/>
                <w:sz w:val="14"/>
              </w:rPr>
              <w:t>benefits</w:t>
            </w:r>
            <w:r>
              <w:rPr>
                <w:b/>
                <w:color w:val="FFFFFF"/>
                <w:spacing w:val="40"/>
                <w:sz w:val="14"/>
              </w:rPr>
              <w:t xml:space="preserve"> </w:t>
            </w:r>
            <w:r>
              <w:rPr>
                <w:b/>
                <w:color w:val="FFFFFF"/>
                <w:spacing w:val="-4"/>
                <w:sz w:val="14"/>
              </w:rPr>
              <w:t>($)</w:t>
            </w:r>
          </w:p>
        </w:tc>
        <w:tc>
          <w:tcPr>
            <w:tcW w:w="963" w:type="dxa"/>
            <w:tcBorders>
              <w:top w:val="nil"/>
            </w:tcBorders>
            <w:shd w:val="clear" w:color="auto" w:fill="000000"/>
          </w:tcPr>
          <w:p w14:paraId="431ACF13" w14:textId="77777777" w:rsidR="009D54AF" w:rsidRDefault="009D54AF">
            <w:pPr>
              <w:pStyle w:val="TableParagraph"/>
              <w:spacing w:before="52"/>
              <w:rPr>
                <w:sz w:val="14"/>
              </w:rPr>
            </w:pPr>
          </w:p>
          <w:p w14:paraId="7686EE48" w14:textId="77777777" w:rsidR="009D54AF" w:rsidRDefault="00000000">
            <w:pPr>
              <w:pStyle w:val="TableParagraph"/>
              <w:spacing w:before="1"/>
              <w:ind w:left="71" w:right="56"/>
              <w:jc w:val="center"/>
              <w:rPr>
                <w:b/>
                <w:sz w:val="14"/>
              </w:rPr>
            </w:pPr>
            <w:r>
              <w:rPr>
                <w:b/>
                <w:color w:val="FFFFFF"/>
                <w:spacing w:val="-2"/>
                <w:sz w:val="14"/>
              </w:rPr>
              <w:t>Termination</w:t>
            </w:r>
            <w:r>
              <w:rPr>
                <w:b/>
                <w:color w:val="FFFFFF"/>
                <w:spacing w:val="40"/>
                <w:sz w:val="14"/>
              </w:rPr>
              <w:t xml:space="preserve"> </w:t>
            </w:r>
            <w:r>
              <w:rPr>
                <w:b/>
                <w:color w:val="FFFFFF"/>
                <w:spacing w:val="-2"/>
                <w:sz w:val="14"/>
              </w:rPr>
              <w:t>benefits</w:t>
            </w:r>
          </w:p>
          <w:p w14:paraId="3170386B" w14:textId="77777777" w:rsidR="009D54AF" w:rsidRDefault="00000000">
            <w:pPr>
              <w:pStyle w:val="TableParagraph"/>
              <w:spacing w:before="111"/>
              <w:ind w:left="11"/>
              <w:jc w:val="center"/>
              <w:rPr>
                <w:b/>
                <w:sz w:val="14"/>
              </w:rPr>
            </w:pPr>
            <w:r>
              <w:rPr>
                <w:b/>
                <w:color w:val="FFFFFF"/>
                <w:spacing w:val="-5"/>
                <w:sz w:val="14"/>
              </w:rPr>
              <w:t>($)</w:t>
            </w:r>
          </w:p>
        </w:tc>
        <w:tc>
          <w:tcPr>
            <w:tcW w:w="1076" w:type="dxa"/>
            <w:tcBorders>
              <w:top w:val="nil"/>
              <w:right w:val="nil"/>
            </w:tcBorders>
            <w:shd w:val="clear" w:color="auto" w:fill="000000"/>
          </w:tcPr>
          <w:p w14:paraId="393128E1" w14:textId="77777777" w:rsidR="009D54AF" w:rsidRDefault="009D54AF">
            <w:pPr>
              <w:pStyle w:val="TableParagraph"/>
              <w:spacing w:before="52"/>
              <w:rPr>
                <w:sz w:val="14"/>
              </w:rPr>
            </w:pPr>
          </w:p>
          <w:p w14:paraId="2DFA0892" w14:textId="77777777" w:rsidR="009D54AF" w:rsidRDefault="00000000">
            <w:pPr>
              <w:pStyle w:val="TableParagraph"/>
              <w:spacing w:before="1"/>
              <w:ind w:left="78" w:right="61" w:hanging="1"/>
              <w:jc w:val="center"/>
              <w:rPr>
                <w:b/>
                <w:sz w:val="14"/>
              </w:rPr>
            </w:pPr>
            <w:r>
              <w:rPr>
                <w:b/>
                <w:color w:val="FFFFFF"/>
                <w:spacing w:val="-2"/>
                <w:sz w:val="14"/>
              </w:rPr>
              <w:t>Total</w:t>
            </w:r>
            <w:r>
              <w:rPr>
                <w:b/>
                <w:color w:val="FFFFFF"/>
                <w:spacing w:val="40"/>
                <w:sz w:val="14"/>
              </w:rPr>
              <w:t xml:space="preserve"> </w:t>
            </w:r>
            <w:r>
              <w:rPr>
                <w:b/>
                <w:color w:val="FFFFFF"/>
                <w:spacing w:val="-2"/>
                <w:sz w:val="14"/>
              </w:rPr>
              <w:t>remuneration</w:t>
            </w:r>
          </w:p>
          <w:p w14:paraId="6C2791CB" w14:textId="77777777" w:rsidR="009D54AF" w:rsidRDefault="00000000">
            <w:pPr>
              <w:pStyle w:val="TableParagraph"/>
              <w:spacing w:before="111"/>
              <w:ind w:left="13"/>
              <w:jc w:val="center"/>
              <w:rPr>
                <w:b/>
                <w:sz w:val="14"/>
              </w:rPr>
            </w:pPr>
            <w:r>
              <w:rPr>
                <w:b/>
                <w:color w:val="FFFFFF"/>
                <w:spacing w:val="-5"/>
                <w:sz w:val="14"/>
              </w:rPr>
              <w:t>($)</w:t>
            </w:r>
          </w:p>
        </w:tc>
      </w:tr>
      <w:tr w:rsidR="009D54AF" w14:paraId="0F05F06D" w14:textId="77777777">
        <w:trPr>
          <w:trHeight w:val="858"/>
        </w:trPr>
        <w:tc>
          <w:tcPr>
            <w:tcW w:w="1417" w:type="dxa"/>
            <w:vMerge/>
            <w:tcBorders>
              <w:top w:val="nil"/>
              <w:left w:val="nil"/>
              <w:bottom w:val="nil"/>
            </w:tcBorders>
            <w:shd w:val="clear" w:color="auto" w:fill="000000"/>
          </w:tcPr>
          <w:p w14:paraId="385C3D9D" w14:textId="77777777" w:rsidR="009D54AF" w:rsidRDefault="009D54AF">
            <w:pPr>
              <w:rPr>
                <w:sz w:val="2"/>
                <w:szCs w:val="2"/>
              </w:rPr>
            </w:pPr>
          </w:p>
        </w:tc>
        <w:tc>
          <w:tcPr>
            <w:tcW w:w="850" w:type="dxa"/>
            <w:vMerge/>
            <w:tcBorders>
              <w:top w:val="nil"/>
              <w:bottom w:val="nil"/>
            </w:tcBorders>
            <w:shd w:val="clear" w:color="auto" w:fill="000000"/>
          </w:tcPr>
          <w:p w14:paraId="45B48381" w14:textId="77777777" w:rsidR="009D54AF" w:rsidRDefault="009D54AF">
            <w:pPr>
              <w:rPr>
                <w:sz w:val="2"/>
                <w:szCs w:val="2"/>
              </w:rPr>
            </w:pPr>
          </w:p>
        </w:tc>
        <w:tc>
          <w:tcPr>
            <w:tcW w:w="963" w:type="dxa"/>
            <w:tcBorders>
              <w:bottom w:val="nil"/>
            </w:tcBorders>
            <w:shd w:val="clear" w:color="auto" w:fill="000000"/>
          </w:tcPr>
          <w:p w14:paraId="3925D30A" w14:textId="77777777" w:rsidR="009D54AF" w:rsidRDefault="009D54AF">
            <w:pPr>
              <w:pStyle w:val="TableParagraph"/>
              <w:rPr>
                <w:sz w:val="14"/>
              </w:rPr>
            </w:pPr>
          </w:p>
          <w:p w14:paraId="7B1E050A" w14:textId="77777777" w:rsidR="009D54AF" w:rsidRDefault="009D54AF">
            <w:pPr>
              <w:pStyle w:val="TableParagraph"/>
              <w:spacing w:before="160"/>
              <w:rPr>
                <w:sz w:val="14"/>
              </w:rPr>
            </w:pPr>
          </w:p>
          <w:p w14:paraId="49B44BBD" w14:textId="77777777" w:rsidR="009D54AF" w:rsidRDefault="00000000">
            <w:pPr>
              <w:pStyle w:val="TableParagraph"/>
              <w:ind w:left="265" w:hanging="254"/>
              <w:rPr>
                <w:b/>
                <w:sz w:val="14"/>
              </w:rPr>
            </w:pPr>
            <w:r>
              <w:rPr>
                <w:b/>
                <w:color w:val="FFFFFF"/>
                <w:sz w:val="14"/>
              </w:rPr>
              <w:t>Average</w:t>
            </w:r>
            <w:r>
              <w:rPr>
                <w:b/>
                <w:color w:val="FFFFFF"/>
                <w:spacing w:val="-10"/>
                <w:sz w:val="14"/>
              </w:rPr>
              <w:t xml:space="preserve"> </w:t>
            </w:r>
            <w:r>
              <w:rPr>
                <w:b/>
                <w:color w:val="FFFFFF"/>
                <w:sz w:val="14"/>
              </w:rPr>
              <w:t>base</w:t>
            </w:r>
            <w:r>
              <w:rPr>
                <w:b/>
                <w:color w:val="FFFFFF"/>
                <w:spacing w:val="40"/>
                <w:sz w:val="14"/>
              </w:rPr>
              <w:t xml:space="preserve"> </w:t>
            </w:r>
            <w:r>
              <w:rPr>
                <w:b/>
                <w:color w:val="FFFFFF"/>
                <w:spacing w:val="-2"/>
                <w:sz w:val="14"/>
              </w:rPr>
              <w:t>salary</w:t>
            </w:r>
          </w:p>
        </w:tc>
        <w:tc>
          <w:tcPr>
            <w:tcW w:w="963" w:type="dxa"/>
            <w:tcBorders>
              <w:bottom w:val="nil"/>
            </w:tcBorders>
            <w:shd w:val="clear" w:color="auto" w:fill="000000"/>
          </w:tcPr>
          <w:p w14:paraId="24CA7C49" w14:textId="77777777" w:rsidR="009D54AF" w:rsidRDefault="009D54AF">
            <w:pPr>
              <w:pStyle w:val="TableParagraph"/>
              <w:rPr>
                <w:sz w:val="14"/>
              </w:rPr>
            </w:pPr>
          </w:p>
          <w:p w14:paraId="070EC235" w14:textId="77777777" w:rsidR="009D54AF" w:rsidRDefault="009D54AF">
            <w:pPr>
              <w:pStyle w:val="TableParagraph"/>
              <w:spacing w:before="160"/>
              <w:rPr>
                <w:sz w:val="14"/>
              </w:rPr>
            </w:pPr>
          </w:p>
          <w:p w14:paraId="5C3D1BE2" w14:textId="77777777" w:rsidR="009D54AF" w:rsidRDefault="00000000">
            <w:pPr>
              <w:pStyle w:val="TableParagraph"/>
              <w:ind w:left="181" w:firstLine="14"/>
              <w:rPr>
                <w:b/>
                <w:sz w:val="14"/>
              </w:rPr>
            </w:pPr>
            <w:r>
              <w:rPr>
                <w:b/>
                <w:color w:val="FFFFFF"/>
                <w:spacing w:val="-2"/>
                <w:sz w:val="14"/>
              </w:rPr>
              <w:t>Average</w:t>
            </w:r>
            <w:r>
              <w:rPr>
                <w:b/>
                <w:color w:val="FFFFFF"/>
                <w:spacing w:val="40"/>
                <w:sz w:val="14"/>
              </w:rPr>
              <w:t xml:space="preserve"> </w:t>
            </w:r>
            <w:r>
              <w:rPr>
                <w:b/>
                <w:color w:val="FFFFFF"/>
                <w:spacing w:val="-2"/>
                <w:sz w:val="14"/>
              </w:rPr>
              <w:t>bonuses</w:t>
            </w:r>
          </w:p>
        </w:tc>
        <w:tc>
          <w:tcPr>
            <w:tcW w:w="963" w:type="dxa"/>
            <w:tcBorders>
              <w:bottom w:val="nil"/>
            </w:tcBorders>
            <w:shd w:val="clear" w:color="auto" w:fill="000000"/>
          </w:tcPr>
          <w:p w14:paraId="2F638285" w14:textId="77777777" w:rsidR="009D54AF" w:rsidRDefault="009D54AF">
            <w:pPr>
              <w:pStyle w:val="TableParagraph"/>
              <w:spacing w:before="1"/>
              <w:rPr>
                <w:sz w:val="14"/>
              </w:rPr>
            </w:pPr>
          </w:p>
          <w:p w14:paraId="179304DB" w14:textId="77777777" w:rsidR="009D54AF" w:rsidRDefault="00000000">
            <w:pPr>
              <w:pStyle w:val="TableParagraph"/>
              <w:ind w:left="50" w:right="43" w:hanging="1"/>
              <w:jc w:val="center"/>
              <w:rPr>
                <w:b/>
                <w:sz w:val="14"/>
              </w:rPr>
            </w:pPr>
            <w:r>
              <w:rPr>
                <w:b/>
                <w:color w:val="FFFFFF"/>
                <w:spacing w:val="-2"/>
                <w:sz w:val="14"/>
              </w:rPr>
              <w:t>Average</w:t>
            </w:r>
            <w:r>
              <w:rPr>
                <w:b/>
                <w:color w:val="FFFFFF"/>
                <w:spacing w:val="40"/>
                <w:sz w:val="14"/>
              </w:rPr>
              <w:t xml:space="preserve"> </w:t>
            </w:r>
            <w:r>
              <w:rPr>
                <w:b/>
                <w:color w:val="FFFFFF"/>
                <w:spacing w:val="-2"/>
                <w:sz w:val="14"/>
              </w:rPr>
              <w:t>other</w:t>
            </w:r>
            <w:r>
              <w:rPr>
                <w:b/>
                <w:color w:val="FFFFFF"/>
                <w:spacing w:val="40"/>
                <w:sz w:val="14"/>
              </w:rPr>
              <w:t xml:space="preserve"> </w:t>
            </w:r>
            <w:r>
              <w:rPr>
                <w:b/>
                <w:color w:val="FFFFFF"/>
                <w:sz w:val="14"/>
              </w:rPr>
              <w:t>benefits</w:t>
            </w:r>
            <w:r>
              <w:rPr>
                <w:b/>
                <w:color w:val="FFFFFF"/>
                <w:spacing w:val="-5"/>
                <w:sz w:val="14"/>
              </w:rPr>
              <w:t xml:space="preserve"> </w:t>
            </w:r>
            <w:r>
              <w:rPr>
                <w:b/>
                <w:color w:val="FFFFFF"/>
                <w:sz w:val="14"/>
              </w:rPr>
              <w:t>and</w:t>
            </w:r>
            <w:r>
              <w:rPr>
                <w:b/>
                <w:color w:val="FFFFFF"/>
                <w:spacing w:val="40"/>
                <w:sz w:val="14"/>
              </w:rPr>
              <w:t xml:space="preserve"> </w:t>
            </w:r>
            <w:r>
              <w:rPr>
                <w:b/>
                <w:color w:val="FFFFFF"/>
                <w:spacing w:val="-2"/>
                <w:sz w:val="14"/>
              </w:rPr>
              <w:t>allowances</w:t>
            </w:r>
          </w:p>
        </w:tc>
        <w:tc>
          <w:tcPr>
            <w:tcW w:w="1076" w:type="dxa"/>
            <w:tcBorders>
              <w:bottom w:val="nil"/>
            </w:tcBorders>
            <w:shd w:val="clear" w:color="auto" w:fill="000000"/>
          </w:tcPr>
          <w:p w14:paraId="7E2E058B" w14:textId="77777777" w:rsidR="009D54AF" w:rsidRDefault="009D54AF">
            <w:pPr>
              <w:pStyle w:val="TableParagraph"/>
              <w:rPr>
                <w:sz w:val="14"/>
              </w:rPr>
            </w:pPr>
          </w:p>
          <w:p w14:paraId="4697AA58" w14:textId="77777777" w:rsidR="009D54AF" w:rsidRDefault="009D54AF">
            <w:pPr>
              <w:pStyle w:val="TableParagraph"/>
              <w:rPr>
                <w:sz w:val="14"/>
              </w:rPr>
            </w:pPr>
          </w:p>
          <w:p w14:paraId="436ECDC2" w14:textId="77777777" w:rsidR="009D54AF" w:rsidRDefault="00000000">
            <w:pPr>
              <w:pStyle w:val="TableParagraph"/>
              <w:ind w:left="14" w:right="4"/>
              <w:jc w:val="center"/>
              <w:rPr>
                <w:b/>
                <w:sz w:val="14"/>
              </w:rPr>
            </w:pPr>
            <w:r>
              <w:rPr>
                <w:b/>
                <w:color w:val="FFFFFF"/>
                <w:sz w:val="14"/>
              </w:rPr>
              <w:t>Average</w:t>
            </w:r>
            <w:r>
              <w:rPr>
                <w:b/>
                <w:color w:val="FFFFFF"/>
                <w:spacing w:val="-10"/>
                <w:sz w:val="14"/>
              </w:rPr>
              <w:t xml:space="preserve"> </w:t>
            </w:r>
            <w:r>
              <w:rPr>
                <w:b/>
                <w:color w:val="FFFFFF"/>
                <w:sz w:val="14"/>
              </w:rPr>
              <w:t>super-</w:t>
            </w:r>
            <w:r>
              <w:rPr>
                <w:b/>
                <w:color w:val="FFFFFF"/>
                <w:spacing w:val="-2"/>
                <w:sz w:val="14"/>
              </w:rPr>
              <w:t>annuation</w:t>
            </w:r>
            <w:r>
              <w:rPr>
                <w:b/>
                <w:color w:val="FFFFFF"/>
                <w:spacing w:val="40"/>
                <w:sz w:val="14"/>
              </w:rPr>
              <w:t xml:space="preserve"> </w:t>
            </w:r>
            <w:proofErr w:type="spellStart"/>
            <w:r>
              <w:rPr>
                <w:b/>
                <w:color w:val="FFFFFF"/>
                <w:sz w:val="14"/>
              </w:rPr>
              <w:t>contribu</w:t>
            </w:r>
            <w:proofErr w:type="spellEnd"/>
            <w:r>
              <w:rPr>
                <w:b/>
                <w:color w:val="FFFFFF"/>
                <w:sz w:val="14"/>
              </w:rPr>
              <w:t>-</w:t>
            </w:r>
            <w:r>
              <w:rPr>
                <w:b/>
                <w:color w:val="FFFFFF"/>
                <w:spacing w:val="-2"/>
                <w:sz w:val="14"/>
              </w:rPr>
              <w:t xml:space="preserve"> </w:t>
            </w:r>
            <w:proofErr w:type="spellStart"/>
            <w:r>
              <w:rPr>
                <w:b/>
                <w:color w:val="FFFFFF"/>
                <w:sz w:val="14"/>
              </w:rPr>
              <w:t>tions</w:t>
            </w:r>
            <w:proofErr w:type="spellEnd"/>
          </w:p>
        </w:tc>
        <w:tc>
          <w:tcPr>
            <w:tcW w:w="963" w:type="dxa"/>
            <w:tcBorders>
              <w:bottom w:val="nil"/>
            </w:tcBorders>
            <w:shd w:val="clear" w:color="auto" w:fill="000000"/>
          </w:tcPr>
          <w:p w14:paraId="0CD85283" w14:textId="77777777" w:rsidR="009D54AF" w:rsidRDefault="009D54AF">
            <w:pPr>
              <w:pStyle w:val="TableParagraph"/>
              <w:rPr>
                <w:sz w:val="14"/>
              </w:rPr>
            </w:pPr>
          </w:p>
          <w:p w14:paraId="61E2268F" w14:textId="77777777" w:rsidR="009D54AF" w:rsidRDefault="009D54AF">
            <w:pPr>
              <w:pStyle w:val="TableParagraph"/>
              <w:rPr>
                <w:sz w:val="14"/>
              </w:rPr>
            </w:pPr>
          </w:p>
          <w:p w14:paraId="3BEE13EA" w14:textId="77777777" w:rsidR="009D54AF" w:rsidRDefault="00000000">
            <w:pPr>
              <w:pStyle w:val="TableParagraph"/>
              <w:ind w:left="228" w:hanging="202"/>
              <w:rPr>
                <w:b/>
                <w:position w:val="5"/>
                <w:sz w:val="8"/>
              </w:rPr>
            </w:pPr>
            <w:r>
              <w:rPr>
                <w:b/>
                <w:color w:val="FFFFFF"/>
                <w:sz w:val="14"/>
              </w:rPr>
              <w:t>Average</w:t>
            </w:r>
            <w:r>
              <w:rPr>
                <w:b/>
                <w:color w:val="FFFFFF"/>
                <w:spacing w:val="-10"/>
                <w:sz w:val="14"/>
              </w:rPr>
              <w:t xml:space="preserve"> </w:t>
            </w:r>
            <w:r>
              <w:rPr>
                <w:b/>
                <w:color w:val="FFFFFF"/>
                <w:sz w:val="14"/>
              </w:rPr>
              <w:t>long</w:t>
            </w:r>
            <w:r>
              <w:rPr>
                <w:b/>
                <w:color w:val="FFFFFF"/>
                <w:spacing w:val="40"/>
                <w:sz w:val="14"/>
              </w:rPr>
              <w:t xml:space="preserve"> </w:t>
            </w:r>
            <w:r>
              <w:rPr>
                <w:b/>
                <w:color w:val="FFFFFF"/>
                <w:spacing w:val="-2"/>
                <w:sz w:val="14"/>
              </w:rPr>
              <w:t>service</w:t>
            </w:r>
            <w:r>
              <w:rPr>
                <w:b/>
                <w:color w:val="FFFFFF"/>
                <w:spacing w:val="40"/>
                <w:sz w:val="14"/>
              </w:rPr>
              <w:t xml:space="preserve"> </w:t>
            </w:r>
            <w:r>
              <w:rPr>
                <w:b/>
                <w:color w:val="FFFFFF"/>
                <w:sz w:val="14"/>
              </w:rPr>
              <w:t>leave</w:t>
            </w:r>
            <w:r>
              <w:rPr>
                <w:b/>
                <w:color w:val="FFFFFF"/>
                <w:spacing w:val="-17"/>
                <w:sz w:val="14"/>
              </w:rPr>
              <w:t xml:space="preserve"> </w:t>
            </w:r>
            <w:r>
              <w:rPr>
                <w:b/>
                <w:color w:val="FFFFFF"/>
                <w:position w:val="5"/>
                <w:sz w:val="8"/>
              </w:rPr>
              <w:t>2</w:t>
            </w:r>
          </w:p>
        </w:tc>
        <w:tc>
          <w:tcPr>
            <w:tcW w:w="963" w:type="dxa"/>
            <w:tcBorders>
              <w:bottom w:val="nil"/>
            </w:tcBorders>
            <w:shd w:val="clear" w:color="auto" w:fill="000000"/>
          </w:tcPr>
          <w:p w14:paraId="377EDB4A" w14:textId="77777777" w:rsidR="009D54AF" w:rsidRDefault="009D54AF">
            <w:pPr>
              <w:pStyle w:val="TableParagraph"/>
              <w:spacing w:before="1"/>
              <w:rPr>
                <w:sz w:val="14"/>
              </w:rPr>
            </w:pPr>
          </w:p>
          <w:p w14:paraId="18AF7336" w14:textId="77777777" w:rsidR="009D54AF" w:rsidRDefault="00000000">
            <w:pPr>
              <w:pStyle w:val="TableParagraph"/>
              <w:ind w:left="143" w:right="131"/>
              <w:jc w:val="center"/>
              <w:rPr>
                <w:b/>
                <w:sz w:val="14"/>
              </w:rPr>
            </w:pPr>
            <w:r>
              <w:rPr>
                <w:b/>
                <w:color w:val="FFFFFF"/>
                <w:spacing w:val="-2"/>
                <w:sz w:val="14"/>
              </w:rPr>
              <w:t>Average</w:t>
            </w:r>
            <w:r>
              <w:rPr>
                <w:b/>
                <w:color w:val="FFFFFF"/>
                <w:spacing w:val="40"/>
                <w:sz w:val="14"/>
              </w:rPr>
              <w:t xml:space="preserve"> </w:t>
            </w:r>
            <w:r>
              <w:rPr>
                <w:b/>
                <w:color w:val="FFFFFF"/>
                <w:spacing w:val="-2"/>
                <w:sz w:val="14"/>
              </w:rPr>
              <w:t>other</w:t>
            </w:r>
            <w:r>
              <w:rPr>
                <w:b/>
                <w:color w:val="FFFFFF"/>
                <w:spacing w:val="40"/>
                <w:sz w:val="14"/>
              </w:rPr>
              <w:t xml:space="preserve"> </w:t>
            </w:r>
            <w:r>
              <w:rPr>
                <w:b/>
                <w:color w:val="FFFFFF"/>
                <w:spacing w:val="-2"/>
                <w:sz w:val="14"/>
              </w:rPr>
              <w:t>long-term</w:t>
            </w:r>
            <w:r>
              <w:rPr>
                <w:b/>
                <w:color w:val="FFFFFF"/>
                <w:spacing w:val="40"/>
                <w:sz w:val="14"/>
              </w:rPr>
              <w:t xml:space="preserve"> </w:t>
            </w:r>
            <w:r>
              <w:rPr>
                <w:b/>
                <w:color w:val="FFFFFF"/>
                <w:spacing w:val="-2"/>
                <w:sz w:val="14"/>
              </w:rPr>
              <w:t>benefits</w:t>
            </w:r>
          </w:p>
        </w:tc>
        <w:tc>
          <w:tcPr>
            <w:tcW w:w="963" w:type="dxa"/>
            <w:tcBorders>
              <w:bottom w:val="nil"/>
            </w:tcBorders>
            <w:shd w:val="clear" w:color="auto" w:fill="000000"/>
          </w:tcPr>
          <w:p w14:paraId="1DE3A37B" w14:textId="77777777" w:rsidR="009D54AF" w:rsidRDefault="009D54AF">
            <w:pPr>
              <w:pStyle w:val="TableParagraph"/>
              <w:rPr>
                <w:sz w:val="14"/>
              </w:rPr>
            </w:pPr>
          </w:p>
          <w:p w14:paraId="41035663" w14:textId="77777777" w:rsidR="009D54AF" w:rsidRDefault="009D54AF">
            <w:pPr>
              <w:pStyle w:val="TableParagraph"/>
              <w:rPr>
                <w:sz w:val="14"/>
              </w:rPr>
            </w:pPr>
          </w:p>
          <w:p w14:paraId="3815F05A" w14:textId="77777777" w:rsidR="009D54AF" w:rsidRDefault="00000000">
            <w:pPr>
              <w:pStyle w:val="TableParagraph"/>
              <w:ind w:left="85" w:right="70" w:hanging="1"/>
              <w:jc w:val="center"/>
              <w:rPr>
                <w:b/>
                <w:sz w:val="14"/>
              </w:rPr>
            </w:pPr>
            <w:r>
              <w:rPr>
                <w:b/>
                <w:color w:val="FFFFFF"/>
                <w:spacing w:val="-2"/>
                <w:sz w:val="14"/>
              </w:rPr>
              <w:t>Average</w:t>
            </w:r>
            <w:r>
              <w:rPr>
                <w:b/>
                <w:color w:val="FFFFFF"/>
                <w:spacing w:val="40"/>
                <w:sz w:val="14"/>
              </w:rPr>
              <w:t xml:space="preserve"> </w:t>
            </w:r>
            <w:r>
              <w:rPr>
                <w:b/>
                <w:color w:val="FFFFFF"/>
                <w:spacing w:val="-2"/>
                <w:sz w:val="14"/>
              </w:rPr>
              <w:t>termination</w:t>
            </w:r>
            <w:r>
              <w:rPr>
                <w:b/>
                <w:color w:val="FFFFFF"/>
                <w:spacing w:val="40"/>
                <w:sz w:val="14"/>
              </w:rPr>
              <w:t xml:space="preserve"> </w:t>
            </w:r>
            <w:r>
              <w:rPr>
                <w:b/>
                <w:color w:val="FFFFFF"/>
                <w:spacing w:val="-2"/>
                <w:sz w:val="14"/>
              </w:rPr>
              <w:t>benefits</w:t>
            </w:r>
          </w:p>
        </w:tc>
        <w:tc>
          <w:tcPr>
            <w:tcW w:w="1076" w:type="dxa"/>
            <w:tcBorders>
              <w:bottom w:val="nil"/>
              <w:right w:val="nil"/>
            </w:tcBorders>
            <w:shd w:val="clear" w:color="auto" w:fill="000000"/>
          </w:tcPr>
          <w:p w14:paraId="3CB2851C" w14:textId="77777777" w:rsidR="009D54AF" w:rsidRDefault="009D54AF">
            <w:pPr>
              <w:pStyle w:val="TableParagraph"/>
              <w:rPr>
                <w:sz w:val="14"/>
              </w:rPr>
            </w:pPr>
          </w:p>
          <w:p w14:paraId="27A969E6" w14:textId="77777777" w:rsidR="009D54AF" w:rsidRDefault="009D54AF">
            <w:pPr>
              <w:pStyle w:val="TableParagraph"/>
              <w:spacing w:before="160"/>
              <w:rPr>
                <w:sz w:val="14"/>
              </w:rPr>
            </w:pPr>
          </w:p>
          <w:p w14:paraId="29507785" w14:textId="77777777" w:rsidR="009D54AF" w:rsidRDefault="00000000">
            <w:pPr>
              <w:pStyle w:val="TableParagraph"/>
              <w:ind w:left="78" w:firstLine="8"/>
              <w:rPr>
                <w:b/>
                <w:sz w:val="14"/>
              </w:rPr>
            </w:pPr>
            <w:r>
              <w:rPr>
                <w:b/>
                <w:color w:val="FFFFFF"/>
                <w:sz w:val="14"/>
              </w:rPr>
              <w:t>Average</w:t>
            </w:r>
            <w:r>
              <w:rPr>
                <w:b/>
                <w:color w:val="FFFFFF"/>
                <w:spacing w:val="-4"/>
                <w:sz w:val="14"/>
              </w:rPr>
              <w:t xml:space="preserve"> </w:t>
            </w:r>
            <w:r>
              <w:rPr>
                <w:b/>
                <w:color w:val="FFFFFF"/>
                <w:sz w:val="14"/>
              </w:rPr>
              <w:t>total</w:t>
            </w:r>
            <w:r>
              <w:rPr>
                <w:b/>
                <w:color w:val="FFFFFF"/>
                <w:spacing w:val="40"/>
                <w:sz w:val="14"/>
              </w:rPr>
              <w:t xml:space="preserve"> </w:t>
            </w:r>
            <w:r>
              <w:rPr>
                <w:b/>
                <w:color w:val="FFFFFF"/>
                <w:spacing w:val="-2"/>
                <w:sz w:val="14"/>
              </w:rPr>
              <w:t>remuneration</w:t>
            </w:r>
          </w:p>
        </w:tc>
      </w:tr>
      <w:tr w:rsidR="009D54AF" w14:paraId="472FBC9D" w14:textId="77777777">
        <w:trPr>
          <w:trHeight w:val="479"/>
        </w:trPr>
        <w:tc>
          <w:tcPr>
            <w:tcW w:w="1417" w:type="dxa"/>
            <w:tcBorders>
              <w:top w:val="nil"/>
              <w:left w:val="nil"/>
              <w:bottom w:val="single" w:sz="2" w:space="0" w:color="000000"/>
              <w:right w:val="single" w:sz="2" w:space="0" w:color="000000"/>
            </w:tcBorders>
          </w:tcPr>
          <w:p w14:paraId="71E54788" w14:textId="77777777" w:rsidR="009D54AF" w:rsidRDefault="00000000">
            <w:pPr>
              <w:pStyle w:val="TableParagraph"/>
              <w:spacing w:before="54"/>
              <w:ind w:left="85"/>
              <w:rPr>
                <w:sz w:val="14"/>
              </w:rPr>
            </w:pPr>
            <w:r>
              <w:rPr>
                <w:sz w:val="14"/>
              </w:rPr>
              <w:t>265,000-</w:t>
            </w:r>
            <w:r>
              <w:rPr>
                <w:spacing w:val="-2"/>
                <w:sz w:val="14"/>
              </w:rPr>
              <w:t>270,000</w:t>
            </w:r>
          </w:p>
        </w:tc>
        <w:tc>
          <w:tcPr>
            <w:tcW w:w="850" w:type="dxa"/>
            <w:tcBorders>
              <w:top w:val="nil"/>
              <w:left w:val="single" w:sz="2" w:space="0" w:color="000000"/>
              <w:bottom w:val="single" w:sz="2" w:space="0" w:color="000000"/>
              <w:right w:val="single" w:sz="2" w:space="0" w:color="000000"/>
            </w:tcBorders>
          </w:tcPr>
          <w:p w14:paraId="03F6269E" w14:textId="77777777" w:rsidR="009D54AF" w:rsidRDefault="00000000">
            <w:pPr>
              <w:pStyle w:val="TableParagraph"/>
              <w:spacing w:before="54"/>
              <w:ind w:right="79"/>
              <w:jc w:val="right"/>
              <w:rPr>
                <w:sz w:val="14"/>
              </w:rPr>
            </w:pPr>
            <w:r>
              <w:rPr>
                <w:spacing w:val="-10"/>
                <w:sz w:val="14"/>
              </w:rPr>
              <w:t>–</w:t>
            </w:r>
          </w:p>
        </w:tc>
        <w:tc>
          <w:tcPr>
            <w:tcW w:w="963" w:type="dxa"/>
            <w:tcBorders>
              <w:top w:val="nil"/>
              <w:left w:val="single" w:sz="2" w:space="0" w:color="000000"/>
              <w:bottom w:val="single" w:sz="2" w:space="0" w:color="000000"/>
              <w:right w:val="single" w:sz="2" w:space="0" w:color="000000"/>
            </w:tcBorders>
          </w:tcPr>
          <w:p w14:paraId="153438C5" w14:textId="77777777" w:rsidR="009D54AF" w:rsidRDefault="00000000">
            <w:pPr>
              <w:pStyle w:val="TableParagraph"/>
              <w:spacing w:before="54"/>
              <w:ind w:right="79"/>
              <w:jc w:val="right"/>
              <w:rPr>
                <w:sz w:val="14"/>
              </w:rPr>
            </w:pPr>
            <w:r>
              <w:rPr>
                <w:spacing w:val="-10"/>
                <w:sz w:val="14"/>
              </w:rPr>
              <w:t>–</w:t>
            </w:r>
          </w:p>
        </w:tc>
        <w:tc>
          <w:tcPr>
            <w:tcW w:w="963" w:type="dxa"/>
            <w:tcBorders>
              <w:top w:val="nil"/>
              <w:left w:val="single" w:sz="2" w:space="0" w:color="000000"/>
              <w:bottom w:val="single" w:sz="2" w:space="0" w:color="000000"/>
              <w:right w:val="single" w:sz="2" w:space="0" w:color="000000"/>
            </w:tcBorders>
          </w:tcPr>
          <w:p w14:paraId="0F7287FB" w14:textId="77777777" w:rsidR="009D54AF" w:rsidRDefault="00000000">
            <w:pPr>
              <w:pStyle w:val="TableParagraph"/>
              <w:spacing w:before="54"/>
              <w:ind w:right="78"/>
              <w:jc w:val="right"/>
              <w:rPr>
                <w:sz w:val="14"/>
              </w:rPr>
            </w:pPr>
            <w:r>
              <w:rPr>
                <w:spacing w:val="-10"/>
                <w:sz w:val="14"/>
              </w:rPr>
              <w:t>–</w:t>
            </w:r>
          </w:p>
        </w:tc>
        <w:tc>
          <w:tcPr>
            <w:tcW w:w="963" w:type="dxa"/>
            <w:tcBorders>
              <w:top w:val="nil"/>
              <w:left w:val="single" w:sz="2" w:space="0" w:color="000000"/>
              <w:bottom w:val="single" w:sz="2" w:space="0" w:color="000000"/>
              <w:right w:val="single" w:sz="2" w:space="0" w:color="000000"/>
            </w:tcBorders>
          </w:tcPr>
          <w:p w14:paraId="37D75451" w14:textId="77777777" w:rsidR="009D54AF" w:rsidRDefault="00000000">
            <w:pPr>
              <w:pStyle w:val="TableParagraph"/>
              <w:spacing w:before="54"/>
              <w:ind w:right="77"/>
              <w:jc w:val="right"/>
              <w:rPr>
                <w:sz w:val="14"/>
              </w:rPr>
            </w:pPr>
            <w:r>
              <w:rPr>
                <w:spacing w:val="-10"/>
                <w:sz w:val="14"/>
              </w:rPr>
              <w:t>–</w:t>
            </w:r>
          </w:p>
        </w:tc>
        <w:tc>
          <w:tcPr>
            <w:tcW w:w="1076" w:type="dxa"/>
            <w:tcBorders>
              <w:top w:val="nil"/>
              <w:left w:val="single" w:sz="2" w:space="0" w:color="000000"/>
              <w:bottom w:val="single" w:sz="2" w:space="0" w:color="000000"/>
              <w:right w:val="single" w:sz="2" w:space="0" w:color="000000"/>
            </w:tcBorders>
          </w:tcPr>
          <w:p w14:paraId="5ACA80BD" w14:textId="77777777" w:rsidR="009D54AF" w:rsidRDefault="00000000">
            <w:pPr>
              <w:pStyle w:val="TableParagraph"/>
              <w:spacing w:before="54"/>
              <w:ind w:right="76"/>
              <w:jc w:val="right"/>
              <w:rPr>
                <w:sz w:val="14"/>
              </w:rPr>
            </w:pPr>
            <w:r>
              <w:rPr>
                <w:spacing w:val="-10"/>
                <w:sz w:val="14"/>
              </w:rPr>
              <w:t>–</w:t>
            </w:r>
          </w:p>
        </w:tc>
        <w:tc>
          <w:tcPr>
            <w:tcW w:w="963" w:type="dxa"/>
            <w:tcBorders>
              <w:top w:val="nil"/>
              <w:left w:val="single" w:sz="2" w:space="0" w:color="000000"/>
              <w:bottom w:val="single" w:sz="2" w:space="0" w:color="000000"/>
              <w:right w:val="single" w:sz="2" w:space="0" w:color="000000"/>
            </w:tcBorders>
          </w:tcPr>
          <w:p w14:paraId="25B9C048" w14:textId="77777777" w:rsidR="009D54AF" w:rsidRDefault="00000000">
            <w:pPr>
              <w:pStyle w:val="TableParagraph"/>
              <w:spacing w:before="54"/>
              <w:ind w:right="75"/>
              <w:jc w:val="right"/>
              <w:rPr>
                <w:sz w:val="14"/>
              </w:rPr>
            </w:pPr>
            <w:r>
              <w:rPr>
                <w:spacing w:val="-10"/>
                <w:sz w:val="14"/>
              </w:rPr>
              <w:t>–</w:t>
            </w:r>
          </w:p>
        </w:tc>
        <w:tc>
          <w:tcPr>
            <w:tcW w:w="963" w:type="dxa"/>
            <w:tcBorders>
              <w:top w:val="nil"/>
              <w:left w:val="single" w:sz="2" w:space="0" w:color="000000"/>
              <w:bottom w:val="single" w:sz="2" w:space="0" w:color="000000"/>
              <w:right w:val="single" w:sz="2" w:space="0" w:color="000000"/>
            </w:tcBorders>
          </w:tcPr>
          <w:p w14:paraId="62125A07" w14:textId="77777777" w:rsidR="009D54AF" w:rsidRDefault="00000000">
            <w:pPr>
              <w:pStyle w:val="TableParagraph"/>
              <w:spacing w:before="54"/>
              <w:ind w:right="74"/>
              <w:jc w:val="right"/>
              <w:rPr>
                <w:sz w:val="14"/>
              </w:rPr>
            </w:pPr>
            <w:r>
              <w:rPr>
                <w:spacing w:val="-10"/>
                <w:sz w:val="14"/>
              </w:rPr>
              <w:t>–</w:t>
            </w:r>
          </w:p>
        </w:tc>
        <w:tc>
          <w:tcPr>
            <w:tcW w:w="963" w:type="dxa"/>
            <w:tcBorders>
              <w:top w:val="nil"/>
              <w:left w:val="single" w:sz="2" w:space="0" w:color="000000"/>
              <w:bottom w:val="single" w:sz="2" w:space="0" w:color="000000"/>
              <w:right w:val="single" w:sz="2" w:space="0" w:color="000000"/>
            </w:tcBorders>
          </w:tcPr>
          <w:p w14:paraId="7514B082" w14:textId="77777777" w:rsidR="009D54AF" w:rsidRDefault="00000000">
            <w:pPr>
              <w:pStyle w:val="TableParagraph"/>
              <w:spacing w:before="54"/>
              <w:ind w:right="73"/>
              <w:jc w:val="right"/>
              <w:rPr>
                <w:sz w:val="14"/>
              </w:rPr>
            </w:pPr>
            <w:r>
              <w:rPr>
                <w:spacing w:val="-10"/>
                <w:sz w:val="14"/>
              </w:rPr>
              <w:t>–</w:t>
            </w:r>
          </w:p>
        </w:tc>
        <w:tc>
          <w:tcPr>
            <w:tcW w:w="1076" w:type="dxa"/>
            <w:tcBorders>
              <w:top w:val="nil"/>
              <w:left w:val="single" w:sz="2" w:space="0" w:color="000000"/>
              <w:bottom w:val="single" w:sz="2" w:space="0" w:color="000000"/>
              <w:right w:val="nil"/>
            </w:tcBorders>
          </w:tcPr>
          <w:p w14:paraId="35C44FA2" w14:textId="77777777" w:rsidR="009D54AF" w:rsidRDefault="00000000">
            <w:pPr>
              <w:pStyle w:val="TableParagraph"/>
              <w:spacing w:before="54"/>
              <w:ind w:right="75"/>
              <w:jc w:val="right"/>
              <w:rPr>
                <w:sz w:val="14"/>
              </w:rPr>
            </w:pPr>
            <w:r>
              <w:rPr>
                <w:spacing w:val="-10"/>
                <w:sz w:val="14"/>
              </w:rPr>
              <w:t>–</w:t>
            </w:r>
          </w:p>
        </w:tc>
      </w:tr>
      <w:tr w:rsidR="009D54AF" w14:paraId="555EA94A" w14:textId="77777777">
        <w:trPr>
          <w:trHeight w:val="476"/>
        </w:trPr>
        <w:tc>
          <w:tcPr>
            <w:tcW w:w="1417" w:type="dxa"/>
            <w:tcBorders>
              <w:top w:val="single" w:sz="2" w:space="0" w:color="000000"/>
              <w:left w:val="nil"/>
              <w:bottom w:val="single" w:sz="2" w:space="0" w:color="000000"/>
              <w:right w:val="single" w:sz="2" w:space="0" w:color="000000"/>
            </w:tcBorders>
          </w:tcPr>
          <w:p w14:paraId="0D63A6CF" w14:textId="77777777" w:rsidR="009D54AF" w:rsidRDefault="00000000">
            <w:pPr>
              <w:pStyle w:val="TableParagraph"/>
              <w:spacing w:before="51"/>
              <w:ind w:left="85"/>
              <w:rPr>
                <w:sz w:val="14"/>
              </w:rPr>
            </w:pPr>
            <w:r>
              <w:rPr>
                <w:sz w:val="14"/>
              </w:rPr>
              <w:t>270,001-</w:t>
            </w:r>
            <w:r>
              <w:rPr>
                <w:spacing w:val="-2"/>
                <w:sz w:val="14"/>
              </w:rPr>
              <w:t>295,000</w:t>
            </w:r>
          </w:p>
        </w:tc>
        <w:tc>
          <w:tcPr>
            <w:tcW w:w="850" w:type="dxa"/>
            <w:tcBorders>
              <w:top w:val="single" w:sz="2" w:space="0" w:color="000000"/>
              <w:left w:val="single" w:sz="2" w:space="0" w:color="000000"/>
              <w:bottom w:val="single" w:sz="2" w:space="0" w:color="000000"/>
              <w:right w:val="single" w:sz="2" w:space="0" w:color="000000"/>
            </w:tcBorders>
          </w:tcPr>
          <w:p w14:paraId="43030986" w14:textId="77777777" w:rsidR="009D54AF" w:rsidRDefault="00000000">
            <w:pPr>
              <w:pStyle w:val="TableParagraph"/>
              <w:spacing w:before="51"/>
              <w:ind w:right="79"/>
              <w:jc w:val="right"/>
              <w:rPr>
                <w:sz w:val="14"/>
              </w:rPr>
            </w:pPr>
            <w:r>
              <w:rPr>
                <w:spacing w:val="-10"/>
                <w:sz w:val="14"/>
              </w:rPr>
              <w:t>–</w:t>
            </w:r>
          </w:p>
        </w:tc>
        <w:tc>
          <w:tcPr>
            <w:tcW w:w="963" w:type="dxa"/>
            <w:tcBorders>
              <w:top w:val="single" w:sz="2" w:space="0" w:color="000000"/>
              <w:left w:val="single" w:sz="2" w:space="0" w:color="000000"/>
              <w:bottom w:val="single" w:sz="2" w:space="0" w:color="000000"/>
              <w:right w:val="single" w:sz="2" w:space="0" w:color="000000"/>
            </w:tcBorders>
          </w:tcPr>
          <w:p w14:paraId="6691279A" w14:textId="77777777" w:rsidR="009D54AF" w:rsidRDefault="00000000">
            <w:pPr>
              <w:pStyle w:val="TableParagraph"/>
              <w:spacing w:before="51"/>
              <w:ind w:right="79"/>
              <w:jc w:val="right"/>
              <w:rPr>
                <w:sz w:val="14"/>
              </w:rPr>
            </w:pPr>
            <w:r>
              <w:rPr>
                <w:spacing w:val="-10"/>
                <w:sz w:val="14"/>
              </w:rPr>
              <w:t>–</w:t>
            </w:r>
          </w:p>
        </w:tc>
        <w:tc>
          <w:tcPr>
            <w:tcW w:w="963" w:type="dxa"/>
            <w:tcBorders>
              <w:top w:val="single" w:sz="2" w:space="0" w:color="000000"/>
              <w:left w:val="single" w:sz="2" w:space="0" w:color="000000"/>
              <w:bottom w:val="single" w:sz="2" w:space="0" w:color="000000"/>
              <w:right w:val="single" w:sz="2" w:space="0" w:color="000000"/>
            </w:tcBorders>
          </w:tcPr>
          <w:p w14:paraId="69A93B8D" w14:textId="77777777" w:rsidR="009D54AF" w:rsidRDefault="00000000">
            <w:pPr>
              <w:pStyle w:val="TableParagraph"/>
              <w:spacing w:before="51"/>
              <w:ind w:right="78"/>
              <w:jc w:val="right"/>
              <w:rPr>
                <w:sz w:val="14"/>
              </w:rPr>
            </w:pPr>
            <w:r>
              <w:rPr>
                <w:spacing w:val="-10"/>
                <w:sz w:val="14"/>
              </w:rPr>
              <w:t>–</w:t>
            </w:r>
          </w:p>
        </w:tc>
        <w:tc>
          <w:tcPr>
            <w:tcW w:w="963" w:type="dxa"/>
            <w:tcBorders>
              <w:top w:val="single" w:sz="2" w:space="0" w:color="000000"/>
              <w:left w:val="single" w:sz="2" w:space="0" w:color="000000"/>
              <w:bottom w:val="single" w:sz="2" w:space="0" w:color="000000"/>
              <w:right w:val="single" w:sz="2" w:space="0" w:color="000000"/>
            </w:tcBorders>
          </w:tcPr>
          <w:p w14:paraId="1C5E6CB0" w14:textId="77777777" w:rsidR="009D54AF" w:rsidRDefault="00000000">
            <w:pPr>
              <w:pStyle w:val="TableParagraph"/>
              <w:spacing w:before="51"/>
              <w:ind w:right="77"/>
              <w:jc w:val="right"/>
              <w:rPr>
                <w:sz w:val="14"/>
              </w:rPr>
            </w:pPr>
            <w:r>
              <w:rPr>
                <w:spacing w:val="-10"/>
                <w:sz w:val="14"/>
              </w:rPr>
              <w:t>–</w:t>
            </w:r>
          </w:p>
        </w:tc>
        <w:tc>
          <w:tcPr>
            <w:tcW w:w="1076" w:type="dxa"/>
            <w:tcBorders>
              <w:top w:val="single" w:sz="2" w:space="0" w:color="000000"/>
              <w:left w:val="single" w:sz="2" w:space="0" w:color="000000"/>
              <w:bottom w:val="single" w:sz="2" w:space="0" w:color="000000"/>
              <w:right w:val="single" w:sz="2" w:space="0" w:color="000000"/>
            </w:tcBorders>
          </w:tcPr>
          <w:p w14:paraId="6D7C54F5" w14:textId="77777777" w:rsidR="009D54AF" w:rsidRDefault="00000000">
            <w:pPr>
              <w:pStyle w:val="TableParagraph"/>
              <w:spacing w:before="51"/>
              <w:ind w:right="76"/>
              <w:jc w:val="right"/>
              <w:rPr>
                <w:sz w:val="14"/>
              </w:rPr>
            </w:pPr>
            <w:r>
              <w:rPr>
                <w:spacing w:val="-10"/>
                <w:sz w:val="14"/>
              </w:rPr>
              <w:t>–</w:t>
            </w:r>
          </w:p>
        </w:tc>
        <w:tc>
          <w:tcPr>
            <w:tcW w:w="963" w:type="dxa"/>
            <w:tcBorders>
              <w:top w:val="single" w:sz="2" w:space="0" w:color="000000"/>
              <w:left w:val="single" w:sz="2" w:space="0" w:color="000000"/>
              <w:bottom w:val="single" w:sz="2" w:space="0" w:color="000000"/>
              <w:right w:val="single" w:sz="2" w:space="0" w:color="000000"/>
            </w:tcBorders>
          </w:tcPr>
          <w:p w14:paraId="55D41D9C" w14:textId="77777777" w:rsidR="009D54AF" w:rsidRDefault="00000000">
            <w:pPr>
              <w:pStyle w:val="TableParagraph"/>
              <w:spacing w:before="51"/>
              <w:ind w:right="75"/>
              <w:jc w:val="right"/>
              <w:rPr>
                <w:sz w:val="14"/>
              </w:rPr>
            </w:pPr>
            <w:r>
              <w:rPr>
                <w:spacing w:val="-10"/>
                <w:sz w:val="14"/>
              </w:rPr>
              <w:t>–</w:t>
            </w:r>
          </w:p>
        </w:tc>
        <w:tc>
          <w:tcPr>
            <w:tcW w:w="963" w:type="dxa"/>
            <w:tcBorders>
              <w:top w:val="single" w:sz="2" w:space="0" w:color="000000"/>
              <w:left w:val="single" w:sz="2" w:space="0" w:color="000000"/>
              <w:bottom w:val="single" w:sz="2" w:space="0" w:color="000000"/>
              <w:right w:val="single" w:sz="2" w:space="0" w:color="000000"/>
            </w:tcBorders>
          </w:tcPr>
          <w:p w14:paraId="4580C502" w14:textId="77777777" w:rsidR="009D54AF" w:rsidRDefault="00000000">
            <w:pPr>
              <w:pStyle w:val="TableParagraph"/>
              <w:spacing w:before="51"/>
              <w:ind w:right="74"/>
              <w:jc w:val="right"/>
              <w:rPr>
                <w:sz w:val="14"/>
              </w:rPr>
            </w:pPr>
            <w:r>
              <w:rPr>
                <w:spacing w:val="-10"/>
                <w:sz w:val="14"/>
              </w:rPr>
              <w:t>–</w:t>
            </w:r>
          </w:p>
        </w:tc>
        <w:tc>
          <w:tcPr>
            <w:tcW w:w="963" w:type="dxa"/>
            <w:tcBorders>
              <w:top w:val="single" w:sz="2" w:space="0" w:color="000000"/>
              <w:left w:val="single" w:sz="2" w:space="0" w:color="000000"/>
              <w:bottom w:val="single" w:sz="2" w:space="0" w:color="000000"/>
              <w:right w:val="single" w:sz="2" w:space="0" w:color="000000"/>
            </w:tcBorders>
          </w:tcPr>
          <w:p w14:paraId="7812C7AC" w14:textId="77777777" w:rsidR="009D54AF" w:rsidRDefault="00000000">
            <w:pPr>
              <w:pStyle w:val="TableParagraph"/>
              <w:spacing w:before="51"/>
              <w:ind w:right="73"/>
              <w:jc w:val="right"/>
              <w:rPr>
                <w:sz w:val="14"/>
              </w:rPr>
            </w:pPr>
            <w:r>
              <w:rPr>
                <w:spacing w:val="-10"/>
                <w:sz w:val="14"/>
              </w:rPr>
              <w:t>–</w:t>
            </w:r>
          </w:p>
        </w:tc>
        <w:tc>
          <w:tcPr>
            <w:tcW w:w="1076" w:type="dxa"/>
            <w:tcBorders>
              <w:top w:val="single" w:sz="2" w:space="0" w:color="000000"/>
              <w:left w:val="single" w:sz="2" w:space="0" w:color="000000"/>
              <w:bottom w:val="single" w:sz="2" w:space="0" w:color="000000"/>
              <w:right w:val="nil"/>
            </w:tcBorders>
          </w:tcPr>
          <w:p w14:paraId="03830B8C" w14:textId="77777777" w:rsidR="009D54AF" w:rsidRDefault="00000000">
            <w:pPr>
              <w:pStyle w:val="TableParagraph"/>
              <w:spacing w:before="51"/>
              <w:ind w:right="75"/>
              <w:jc w:val="right"/>
              <w:rPr>
                <w:sz w:val="14"/>
              </w:rPr>
            </w:pPr>
            <w:r>
              <w:rPr>
                <w:spacing w:val="-10"/>
                <w:sz w:val="14"/>
              </w:rPr>
              <w:t>–</w:t>
            </w:r>
          </w:p>
        </w:tc>
      </w:tr>
      <w:tr w:rsidR="009D54AF" w14:paraId="4DFF51E7" w14:textId="77777777">
        <w:trPr>
          <w:trHeight w:val="476"/>
        </w:trPr>
        <w:tc>
          <w:tcPr>
            <w:tcW w:w="1417" w:type="dxa"/>
            <w:tcBorders>
              <w:top w:val="single" w:sz="2" w:space="0" w:color="000000"/>
              <w:left w:val="nil"/>
              <w:bottom w:val="single" w:sz="2" w:space="0" w:color="000000"/>
              <w:right w:val="single" w:sz="2" w:space="0" w:color="000000"/>
            </w:tcBorders>
          </w:tcPr>
          <w:p w14:paraId="2B9154E6" w14:textId="77777777" w:rsidR="009D54AF" w:rsidRDefault="00000000">
            <w:pPr>
              <w:pStyle w:val="TableParagraph"/>
              <w:spacing w:before="51"/>
              <w:ind w:left="85"/>
              <w:rPr>
                <w:sz w:val="14"/>
              </w:rPr>
            </w:pPr>
            <w:r>
              <w:rPr>
                <w:sz w:val="14"/>
              </w:rPr>
              <w:t>295,001-</w:t>
            </w:r>
            <w:r>
              <w:rPr>
                <w:spacing w:val="-2"/>
                <w:sz w:val="14"/>
              </w:rPr>
              <w:t>320,000</w:t>
            </w:r>
          </w:p>
        </w:tc>
        <w:tc>
          <w:tcPr>
            <w:tcW w:w="850" w:type="dxa"/>
            <w:tcBorders>
              <w:top w:val="single" w:sz="2" w:space="0" w:color="000000"/>
              <w:left w:val="single" w:sz="2" w:space="0" w:color="000000"/>
              <w:bottom w:val="single" w:sz="2" w:space="0" w:color="000000"/>
              <w:right w:val="single" w:sz="2" w:space="0" w:color="000000"/>
            </w:tcBorders>
          </w:tcPr>
          <w:p w14:paraId="0172CD4E" w14:textId="77777777" w:rsidR="009D54AF" w:rsidRDefault="00000000">
            <w:pPr>
              <w:pStyle w:val="TableParagraph"/>
              <w:spacing w:before="51"/>
              <w:ind w:right="79"/>
              <w:jc w:val="right"/>
              <w:rPr>
                <w:sz w:val="14"/>
              </w:rPr>
            </w:pPr>
            <w:r>
              <w:rPr>
                <w:spacing w:val="-10"/>
                <w:sz w:val="14"/>
              </w:rPr>
              <w:t>1</w:t>
            </w:r>
          </w:p>
        </w:tc>
        <w:tc>
          <w:tcPr>
            <w:tcW w:w="963" w:type="dxa"/>
            <w:tcBorders>
              <w:top w:val="single" w:sz="2" w:space="0" w:color="000000"/>
              <w:left w:val="single" w:sz="2" w:space="0" w:color="000000"/>
              <w:bottom w:val="single" w:sz="2" w:space="0" w:color="000000"/>
              <w:right w:val="single" w:sz="2" w:space="0" w:color="000000"/>
            </w:tcBorders>
          </w:tcPr>
          <w:p w14:paraId="2C3AE355" w14:textId="77777777" w:rsidR="009D54AF" w:rsidRDefault="00000000">
            <w:pPr>
              <w:pStyle w:val="TableParagraph"/>
              <w:spacing w:before="51"/>
              <w:ind w:right="79"/>
              <w:jc w:val="right"/>
              <w:rPr>
                <w:sz w:val="14"/>
              </w:rPr>
            </w:pPr>
            <w:r>
              <w:rPr>
                <w:spacing w:val="-2"/>
                <w:sz w:val="14"/>
              </w:rPr>
              <w:t>244,072</w:t>
            </w:r>
          </w:p>
        </w:tc>
        <w:tc>
          <w:tcPr>
            <w:tcW w:w="963" w:type="dxa"/>
            <w:tcBorders>
              <w:top w:val="single" w:sz="2" w:space="0" w:color="000000"/>
              <w:left w:val="single" w:sz="2" w:space="0" w:color="000000"/>
              <w:bottom w:val="single" w:sz="2" w:space="0" w:color="000000"/>
              <w:right w:val="single" w:sz="2" w:space="0" w:color="000000"/>
            </w:tcBorders>
          </w:tcPr>
          <w:p w14:paraId="6A2FFDFB" w14:textId="77777777" w:rsidR="009D54AF" w:rsidRDefault="00000000">
            <w:pPr>
              <w:pStyle w:val="TableParagraph"/>
              <w:spacing w:before="51"/>
              <w:ind w:right="78"/>
              <w:jc w:val="right"/>
              <w:rPr>
                <w:sz w:val="14"/>
              </w:rPr>
            </w:pPr>
            <w:r>
              <w:rPr>
                <w:spacing w:val="-10"/>
                <w:sz w:val="14"/>
              </w:rPr>
              <w:t>–</w:t>
            </w:r>
          </w:p>
        </w:tc>
        <w:tc>
          <w:tcPr>
            <w:tcW w:w="963" w:type="dxa"/>
            <w:tcBorders>
              <w:top w:val="single" w:sz="2" w:space="0" w:color="000000"/>
              <w:left w:val="single" w:sz="2" w:space="0" w:color="000000"/>
              <w:bottom w:val="single" w:sz="2" w:space="0" w:color="000000"/>
              <w:right w:val="single" w:sz="2" w:space="0" w:color="000000"/>
            </w:tcBorders>
          </w:tcPr>
          <w:p w14:paraId="4E2F842D" w14:textId="77777777" w:rsidR="009D54AF" w:rsidRDefault="00000000">
            <w:pPr>
              <w:pStyle w:val="TableParagraph"/>
              <w:spacing w:before="51"/>
              <w:ind w:right="77"/>
              <w:jc w:val="right"/>
              <w:rPr>
                <w:sz w:val="14"/>
              </w:rPr>
            </w:pPr>
            <w:r>
              <w:rPr>
                <w:spacing w:val="-2"/>
                <w:sz w:val="14"/>
              </w:rPr>
              <w:t>17,774</w:t>
            </w:r>
          </w:p>
        </w:tc>
        <w:tc>
          <w:tcPr>
            <w:tcW w:w="1076" w:type="dxa"/>
            <w:tcBorders>
              <w:top w:val="single" w:sz="2" w:space="0" w:color="000000"/>
              <w:left w:val="single" w:sz="2" w:space="0" w:color="000000"/>
              <w:bottom w:val="single" w:sz="2" w:space="0" w:color="000000"/>
              <w:right w:val="single" w:sz="2" w:space="0" w:color="000000"/>
            </w:tcBorders>
          </w:tcPr>
          <w:p w14:paraId="0FEE896B" w14:textId="77777777" w:rsidR="009D54AF" w:rsidRDefault="00000000">
            <w:pPr>
              <w:pStyle w:val="TableParagraph"/>
              <w:spacing w:before="51"/>
              <w:ind w:right="76"/>
              <w:jc w:val="right"/>
              <w:rPr>
                <w:sz w:val="14"/>
              </w:rPr>
            </w:pPr>
            <w:r>
              <w:rPr>
                <w:spacing w:val="-2"/>
                <w:sz w:val="14"/>
              </w:rPr>
              <w:t>36,879</w:t>
            </w:r>
          </w:p>
        </w:tc>
        <w:tc>
          <w:tcPr>
            <w:tcW w:w="963" w:type="dxa"/>
            <w:tcBorders>
              <w:top w:val="single" w:sz="2" w:space="0" w:color="000000"/>
              <w:left w:val="single" w:sz="2" w:space="0" w:color="000000"/>
              <w:bottom w:val="single" w:sz="2" w:space="0" w:color="000000"/>
              <w:right w:val="single" w:sz="2" w:space="0" w:color="000000"/>
            </w:tcBorders>
          </w:tcPr>
          <w:p w14:paraId="4D1A83E5" w14:textId="77777777" w:rsidR="009D54AF" w:rsidRDefault="00000000">
            <w:pPr>
              <w:pStyle w:val="TableParagraph"/>
              <w:spacing w:before="51"/>
              <w:ind w:right="74"/>
              <w:jc w:val="right"/>
              <w:rPr>
                <w:sz w:val="14"/>
              </w:rPr>
            </w:pPr>
            <w:r>
              <w:rPr>
                <w:spacing w:val="-2"/>
                <w:sz w:val="14"/>
              </w:rPr>
              <w:t>8,578</w:t>
            </w:r>
          </w:p>
        </w:tc>
        <w:tc>
          <w:tcPr>
            <w:tcW w:w="963" w:type="dxa"/>
            <w:tcBorders>
              <w:top w:val="single" w:sz="2" w:space="0" w:color="000000"/>
              <w:left w:val="single" w:sz="2" w:space="0" w:color="000000"/>
              <w:bottom w:val="single" w:sz="2" w:space="0" w:color="000000"/>
              <w:right w:val="single" w:sz="2" w:space="0" w:color="000000"/>
            </w:tcBorders>
          </w:tcPr>
          <w:p w14:paraId="0D42C09C" w14:textId="77777777" w:rsidR="009D54AF" w:rsidRDefault="00000000">
            <w:pPr>
              <w:pStyle w:val="TableParagraph"/>
              <w:spacing w:before="51"/>
              <w:ind w:right="74"/>
              <w:jc w:val="right"/>
              <w:rPr>
                <w:sz w:val="14"/>
              </w:rPr>
            </w:pPr>
            <w:r>
              <w:rPr>
                <w:spacing w:val="-10"/>
                <w:sz w:val="14"/>
              </w:rPr>
              <w:t>–</w:t>
            </w:r>
          </w:p>
        </w:tc>
        <w:tc>
          <w:tcPr>
            <w:tcW w:w="963" w:type="dxa"/>
            <w:tcBorders>
              <w:top w:val="single" w:sz="2" w:space="0" w:color="000000"/>
              <w:left w:val="single" w:sz="2" w:space="0" w:color="000000"/>
              <w:bottom w:val="single" w:sz="2" w:space="0" w:color="000000"/>
              <w:right w:val="single" w:sz="2" w:space="0" w:color="000000"/>
            </w:tcBorders>
          </w:tcPr>
          <w:p w14:paraId="54E3E109" w14:textId="77777777" w:rsidR="009D54AF" w:rsidRDefault="00000000">
            <w:pPr>
              <w:pStyle w:val="TableParagraph"/>
              <w:spacing w:before="51"/>
              <w:ind w:right="73"/>
              <w:jc w:val="right"/>
              <w:rPr>
                <w:sz w:val="14"/>
              </w:rPr>
            </w:pPr>
            <w:r>
              <w:rPr>
                <w:spacing w:val="-10"/>
                <w:sz w:val="14"/>
              </w:rPr>
              <w:t>–</w:t>
            </w:r>
          </w:p>
        </w:tc>
        <w:tc>
          <w:tcPr>
            <w:tcW w:w="1076" w:type="dxa"/>
            <w:tcBorders>
              <w:top w:val="single" w:sz="2" w:space="0" w:color="000000"/>
              <w:left w:val="single" w:sz="2" w:space="0" w:color="000000"/>
              <w:bottom w:val="single" w:sz="2" w:space="0" w:color="000000"/>
              <w:right w:val="nil"/>
            </w:tcBorders>
          </w:tcPr>
          <w:p w14:paraId="453CF13C" w14:textId="77777777" w:rsidR="009D54AF" w:rsidRDefault="00000000">
            <w:pPr>
              <w:pStyle w:val="TableParagraph"/>
              <w:spacing w:before="51"/>
              <w:ind w:right="75"/>
              <w:jc w:val="right"/>
              <w:rPr>
                <w:sz w:val="14"/>
              </w:rPr>
            </w:pPr>
            <w:r>
              <w:rPr>
                <w:spacing w:val="-2"/>
                <w:sz w:val="14"/>
              </w:rPr>
              <w:t>307,304</w:t>
            </w:r>
          </w:p>
        </w:tc>
      </w:tr>
      <w:tr w:rsidR="009D54AF" w14:paraId="7E885EAA" w14:textId="77777777">
        <w:trPr>
          <w:trHeight w:val="476"/>
        </w:trPr>
        <w:tc>
          <w:tcPr>
            <w:tcW w:w="1417" w:type="dxa"/>
            <w:tcBorders>
              <w:top w:val="single" w:sz="2" w:space="0" w:color="000000"/>
              <w:left w:val="nil"/>
              <w:bottom w:val="single" w:sz="2" w:space="0" w:color="000000"/>
              <w:right w:val="single" w:sz="2" w:space="0" w:color="000000"/>
            </w:tcBorders>
          </w:tcPr>
          <w:p w14:paraId="56F5F338" w14:textId="77777777" w:rsidR="009D54AF" w:rsidRDefault="00000000">
            <w:pPr>
              <w:pStyle w:val="TableParagraph"/>
              <w:spacing w:before="51"/>
              <w:ind w:left="85"/>
              <w:rPr>
                <w:sz w:val="14"/>
              </w:rPr>
            </w:pPr>
            <w:r>
              <w:rPr>
                <w:sz w:val="14"/>
              </w:rPr>
              <w:t>320,001-</w:t>
            </w:r>
            <w:r>
              <w:rPr>
                <w:spacing w:val="-2"/>
                <w:sz w:val="14"/>
              </w:rPr>
              <w:t>345,000</w:t>
            </w:r>
          </w:p>
        </w:tc>
        <w:tc>
          <w:tcPr>
            <w:tcW w:w="850" w:type="dxa"/>
            <w:tcBorders>
              <w:top w:val="single" w:sz="2" w:space="0" w:color="000000"/>
              <w:left w:val="single" w:sz="2" w:space="0" w:color="000000"/>
              <w:bottom w:val="single" w:sz="2" w:space="0" w:color="000000"/>
              <w:right w:val="single" w:sz="2" w:space="0" w:color="000000"/>
            </w:tcBorders>
          </w:tcPr>
          <w:p w14:paraId="34807F31" w14:textId="77777777" w:rsidR="009D54AF" w:rsidRDefault="00000000">
            <w:pPr>
              <w:pStyle w:val="TableParagraph"/>
              <w:spacing w:before="51"/>
              <w:ind w:right="79"/>
              <w:jc w:val="right"/>
              <w:rPr>
                <w:sz w:val="14"/>
              </w:rPr>
            </w:pPr>
            <w:r>
              <w:rPr>
                <w:spacing w:val="-10"/>
                <w:sz w:val="14"/>
              </w:rPr>
              <w:t>1</w:t>
            </w:r>
          </w:p>
        </w:tc>
        <w:tc>
          <w:tcPr>
            <w:tcW w:w="963" w:type="dxa"/>
            <w:tcBorders>
              <w:top w:val="single" w:sz="2" w:space="0" w:color="000000"/>
              <w:left w:val="single" w:sz="2" w:space="0" w:color="000000"/>
              <w:bottom w:val="single" w:sz="2" w:space="0" w:color="000000"/>
              <w:right w:val="single" w:sz="2" w:space="0" w:color="000000"/>
            </w:tcBorders>
          </w:tcPr>
          <w:p w14:paraId="409C3818" w14:textId="77777777" w:rsidR="009D54AF" w:rsidRDefault="00000000">
            <w:pPr>
              <w:pStyle w:val="TableParagraph"/>
              <w:spacing w:before="51"/>
              <w:ind w:right="78"/>
              <w:jc w:val="right"/>
              <w:rPr>
                <w:sz w:val="14"/>
              </w:rPr>
            </w:pPr>
            <w:r>
              <w:rPr>
                <w:spacing w:val="-2"/>
                <w:sz w:val="14"/>
              </w:rPr>
              <w:t>282,814</w:t>
            </w:r>
          </w:p>
        </w:tc>
        <w:tc>
          <w:tcPr>
            <w:tcW w:w="963" w:type="dxa"/>
            <w:tcBorders>
              <w:top w:val="single" w:sz="2" w:space="0" w:color="000000"/>
              <w:left w:val="single" w:sz="2" w:space="0" w:color="000000"/>
              <w:bottom w:val="single" w:sz="2" w:space="0" w:color="000000"/>
              <w:right w:val="single" w:sz="2" w:space="0" w:color="000000"/>
            </w:tcBorders>
          </w:tcPr>
          <w:p w14:paraId="4420BA86" w14:textId="77777777" w:rsidR="009D54AF" w:rsidRDefault="00000000">
            <w:pPr>
              <w:pStyle w:val="TableParagraph"/>
              <w:spacing w:before="51"/>
              <w:ind w:right="78"/>
              <w:jc w:val="right"/>
              <w:rPr>
                <w:sz w:val="14"/>
              </w:rPr>
            </w:pPr>
            <w:r>
              <w:rPr>
                <w:spacing w:val="-10"/>
                <w:sz w:val="14"/>
              </w:rPr>
              <w:t>–</w:t>
            </w:r>
          </w:p>
        </w:tc>
        <w:tc>
          <w:tcPr>
            <w:tcW w:w="963" w:type="dxa"/>
            <w:tcBorders>
              <w:top w:val="single" w:sz="2" w:space="0" w:color="000000"/>
              <w:left w:val="single" w:sz="2" w:space="0" w:color="000000"/>
              <w:bottom w:val="single" w:sz="2" w:space="0" w:color="000000"/>
              <w:right w:val="single" w:sz="2" w:space="0" w:color="000000"/>
            </w:tcBorders>
          </w:tcPr>
          <w:p w14:paraId="36A07D4C" w14:textId="77777777" w:rsidR="009D54AF" w:rsidRDefault="00000000">
            <w:pPr>
              <w:pStyle w:val="TableParagraph"/>
              <w:spacing w:before="51"/>
              <w:ind w:right="77"/>
              <w:jc w:val="right"/>
              <w:rPr>
                <w:sz w:val="14"/>
              </w:rPr>
            </w:pPr>
            <w:r>
              <w:rPr>
                <w:spacing w:val="-10"/>
                <w:sz w:val="14"/>
              </w:rPr>
              <w:t>–</w:t>
            </w:r>
          </w:p>
        </w:tc>
        <w:tc>
          <w:tcPr>
            <w:tcW w:w="1076" w:type="dxa"/>
            <w:tcBorders>
              <w:top w:val="single" w:sz="2" w:space="0" w:color="000000"/>
              <w:left w:val="single" w:sz="2" w:space="0" w:color="000000"/>
              <w:bottom w:val="single" w:sz="2" w:space="0" w:color="000000"/>
              <w:right w:val="single" w:sz="2" w:space="0" w:color="000000"/>
            </w:tcBorders>
          </w:tcPr>
          <w:p w14:paraId="45F3A58D" w14:textId="77777777" w:rsidR="009D54AF" w:rsidRDefault="00000000">
            <w:pPr>
              <w:pStyle w:val="TableParagraph"/>
              <w:spacing w:before="51"/>
              <w:ind w:right="76"/>
              <w:jc w:val="right"/>
              <w:rPr>
                <w:sz w:val="14"/>
              </w:rPr>
            </w:pPr>
            <w:r>
              <w:rPr>
                <w:spacing w:val="-2"/>
                <w:sz w:val="14"/>
              </w:rPr>
              <w:t>43,594</w:t>
            </w:r>
          </w:p>
        </w:tc>
        <w:tc>
          <w:tcPr>
            <w:tcW w:w="963" w:type="dxa"/>
            <w:tcBorders>
              <w:top w:val="single" w:sz="2" w:space="0" w:color="000000"/>
              <w:left w:val="single" w:sz="2" w:space="0" w:color="000000"/>
              <w:bottom w:val="single" w:sz="2" w:space="0" w:color="000000"/>
              <w:right w:val="single" w:sz="2" w:space="0" w:color="000000"/>
            </w:tcBorders>
          </w:tcPr>
          <w:p w14:paraId="2F22DD01" w14:textId="77777777" w:rsidR="009D54AF" w:rsidRDefault="00000000">
            <w:pPr>
              <w:pStyle w:val="TableParagraph"/>
              <w:spacing w:before="51"/>
              <w:ind w:right="75"/>
              <w:jc w:val="right"/>
              <w:rPr>
                <w:sz w:val="14"/>
              </w:rPr>
            </w:pPr>
            <w:r>
              <w:rPr>
                <w:spacing w:val="-2"/>
                <w:sz w:val="14"/>
              </w:rPr>
              <w:t>10,283</w:t>
            </w:r>
          </w:p>
        </w:tc>
        <w:tc>
          <w:tcPr>
            <w:tcW w:w="963" w:type="dxa"/>
            <w:tcBorders>
              <w:top w:val="single" w:sz="2" w:space="0" w:color="000000"/>
              <w:left w:val="single" w:sz="2" w:space="0" w:color="000000"/>
              <w:bottom w:val="single" w:sz="2" w:space="0" w:color="000000"/>
              <w:right w:val="single" w:sz="2" w:space="0" w:color="000000"/>
            </w:tcBorders>
          </w:tcPr>
          <w:p w14:paraId="67852D7A" w14:textId="77777777" w:rsidR="009D54AF" w:rsidRDefault="00000000">
            <w:pPr>
              <w:pStyle w:val="TableParagraph"/>
              <w:spacing w:before="51"/>
              <w:ind w:right="74"/>
              <w:jc w:val="right"/>
              <w:rPr>
                <w:sz w:val="14"/>
              </w:rPr>
            </w:pPr>
            <w:r>
              <w:rPr>
                <w:spacing w:val="-10"/>
                <w:sz w:val="14"/>
              </w:rPr>
              <w:t>–</w:t>
            </w:r>
          </w:p>
        </w:tc>
        <w:tc>
          <w:tcPr>
            <w:tcW w:w="963" w:type="dxa"/>
            <w:tcBorders>
              <w:top w:val="single" w:sz="2" w:space="0" w:color="000000"/>
              <w:left w:val="single" w:sz="2" w:space="0" w:color="000000"/>
              <w:bottom w:val="single" w:sz="2" w:space="0" w:color="000000"/>
              <w:right w:val="single" w:sz="2" w:space="0" w:color="000000"/>
            </w:tcBorders>
          </w:tcPr>
          <w:p w14:paraId="7B2E9169" w14:textId="77777777" w:rsidR="009D54AF" w:rsidRDefault="00000000">
            <w:pPr>
              <w:pStyle w:val="TableParagraph"/>
              <w:spacing w:before="51"/>
              <w:ind w:right="73"/>
              <w:jc w:val="right"/>
              <w:rPr>
                <w:sz w:val="14"/>
              </w:rPr>
            </w:pPr>
            <w:r>
              <w:rPr>
                <w:spacing w:val="-10"/>
                <w:sz w:val="14"/>
              </w:rPr>
              <w:t>–</w:t>
            </w:r>
          </w:p>
        </w:tc>
        <w:tc>
          <w:tcPr>
            <w:tcW w:w="1076" w:type="dxa"/>
            <w:tcBorders>
              <w:top w:val="single" w:sz="2" w:space="0" w:color="000000"/>
              <w:left w:val="single" w:sz="2" w:space="0" w:color="000000"/>
              <w:bottom w:val="single" w:sz="2" w:space="0" w:color="000000"/>
              <w:right w:val="nil"/>
            </w:tcBorders>
          </w:tcPr>
          <w:p w14:paraId="448D5F28" w14:textId="77777777" w:rsidR="009D54AF" w:rsidRDefault="00000000">
            <w:pPr>
              <w:pStyle w:val="TableParagraph"/>
              <w:spacing w:before="51"/>
              <w:ind w:right="75"/>
              <w:jc w:val="right"/>
              <w:rPr>
                <w:sz w:val="14"/>
              </w:rPr>
            </w:pPr>
            <w:r>
              <w:rPr>
                <w:spacing w:val="-2"/>
                <w:sz w:val="14"/>
              </w:rPr>
              <w:t>336,690</w:t>
            </w:r>
          </w:p>
        </w:tc>
      </w:tr>
      <w:tr w:rsidR="009D54AF" w14:paraId="021CB7FF" w14:textId="77777777">
        <w:trPr>
          <w:trHeight w:val="476"/>
        </w:trPr>
        <w:tc>
          <w:tcPr>
            <w:tcW w:w="1417" w:type="dxa"/>
            <w:tcBorders>
              <w:top w:val="single" w:sz="2" w:space="0" w:color="000000"/>
              <w:left w:val="nil"/>
              <w:bottom w:val="single" w:sz="2" w:space="0" w:color="000000"/>
              <w:right w:val="single" w:sz="2" w:space="0" w:color="000000"/>
            </w:tcBorders>
          </w:tcPr>
          <w:p w14:paraId="50A4977E" w14:textId="77777777" w:rsidR="009D54AF" w:rsidRDefault="00000000">
            <w:pPr>
              <w:pStyle w:val="TableParagraph"/>
              <w:spacing w:before="51"/>
              <w:ind w:left="85"/>
              <w:rPr>
                <w:sz w:val="14"/>
              </w:rPr>
            </w:pPr>
            <w:r>
              <w:rPr>
                <w:sz w:val="14"/>
              </w:rPr>
              <w:t>345,001-</w:t>
            </w:r>
            <w:r>
              <w:rPr>
                <w:spacing w:val="-2"/>
                <w:sz w:val="14"/>
              </w:rPr>
              <w:t>370,000</w:t>
            </w:r>
          </w:p>
        </w:tc>
        <w:tc>
          <w:tcPr>
            <w:tcW w:w="850" w:type="dxa"/>
            <w:tcBorders>
              <w:top w:val="single" w:sz="2" w:space="0" w:color="000000"/>
              <w:left w:val="single" w:sz="2" w:space="0" w:color="000000"/>
              <w:bottom w:val="single" w:sz="2" w:space="0" w:color="000000"/>
              <w:right w:val="single" w:sz="2" w:space="0" w:color="000000"/>
            </w:tcBorders>
          </w:tcPr>
          <w:p w14:paraId="5554A0CD" w14:textId="77777777" w:rsidR="009D54AF" w:rsidRDefault="00000000">
            <w:pPr>
              <w:pStyle w:val="TableParagraph"/>
              <w:spacing w:before="51"/>
              <w:ind w:right="79"/>
              <w:jc w:val="right"/>
              <w:rPr>
                <w:sz w:val="14"/>
              </w:rPr>
            </w:pPr>
            <w:r>
              <w:rPr>
                <w:spacing w:val="-10"/>
                <w:sz w:val="14"/>
              </w:rPr>
              <w:t>1</w:t>
            </w:r>
          </w:p>
        </w:tc>
        <w:tc>
          <w:tcPr>
            <w:tcW w:w="963" w:type="dxa"/>
            <w:tcBorders>
              <w:top w:val="single" w:sz="2" w:space="0" w:color="000000"/>
              <w:left w:val="single" w:sz="2" w:space="0" w:color="000000"/>
              <w:bottom w:val="single" w:sz="2" w:space="0" w:color="000000"/>
              <w:right w:val="single" w:sz="2" w:space="0" w:color="000000"/>
            </w:tcBorders>
          </w:tcPr>
          <w:p w14:paraId="2AA9C51F" w14:textId="77777777" w:rsidR="009D54AF" w:rsidRDefault="00000000">
            <w:pPr>
              <w:pStyle w:val="TableParagraph"/>
              <w:spacing w:before="51"/>
              <w:ind w:right="79"/>
              <w:jc w:val="right"/>
              <w:rPr>
                <w:sz w:val="14"/>
              </w:rPr>
            </w:pPr>
            <w:r>
              <w:rPr>
                <w:spacing w:val="-2"/>
                <w:sz w:val="14"/>
              </w:rPr>
              <w:t>284,877</w:t>
            </w:r>
          </w:p>
        </w:tc>
        <w:tc>
          <w:tcPr>
            <w:tcW w:w="963" w:type="dxa"/>
            <w:tcBorders>
              <w:top w:val="single" w:sz="2" w:space="0" w:color="000000"/>
              <w:left w:val="single" w:sz="2" w:space="0" w:color="000000"/>
              <w:bottom w:val="single" w:sz="2" w:space="0" w:color="000000"/>
              <w:right w:val="single" w:sz="2" w:space="0" w:color="000000"/>
            </w:tcBorders>
          </w:tcPr>
          <w:p w14:paraId="4DFBF846" w14:textId="77777777" w:rsidR="009D54AF" w:rsidRDefault="00000000">
            <w:pPr>
              <w:pStyle w:val="TableParagraph"/>
              <w:spacing w:before="51"/>
              <w:ind w:right="78"/>
              <w:jc w:val="right"/>
              <w:rPr>
                <w:sz w:val="14"/>
              </w:rPr>
            </w:pPr>
            <w:r>
              <w:rPr>
                <w:spacing w:val="-10"/>
                <w:sz w:val="14"/>
              </w:rPr>
              <w:t>–</w:t>
            </w:r>
          </w:p>
        </w:tc>
        <w:tc>
          <w:tcPr>
            <w:tcW w:w="963" w:type="dxa"/>
            <w:tcBorders>
              <w:top w:val="single" w:sz="2" w:space="0" w:color="000000"/>
              <w:left w:val="single" w:sz="2" w:space="0" w:color="000000"/>
              <w:bottom w:val="single" w:sz="2" w:space="0" w:color="000000"/>
              <w:right w:val="single" w:sz="2" w:space="0" w:color="000000"/>
            </w:tcBorders>
          </w:tcPr>
          <w:p w14:paraId="5670703E" w14:textId="77777777" w:rsidR="009D54AF" w:rsidRDefault="00000000">
            <w:pPr>
              <w:pStyle w:val="TableParagraph"/>
              <w:spacing w:before="51"/>
              <w:ind w:right="77"/>
              <w:jc w:val="right"/>
              <w:rPr>
                <w:sz w:val="14"/>
              </w:rPr>
            </w:pPr>
            <w:r>
              <w:rPr>
                <w:spacing w:val="-10"/>
                <w:sz w:val="14"/>
              </w:rPr>
              <w:t>–</w:t>
            </w:r>
          </w:p>
        </w:tc>
        <w:tc>
          <w:tcPr>
            <w:tcW w:w="1076" w:type="dxa"/>
            <w:tcBorders>
              <w:top w:val="single" w:sz="2" w:space="0" w:color="000000"/>
              <w:left w:val="single" w:sz="2" w:space="0" w:color="000000"/>
              <w:bottom w:val="single" w:sz="2" w:space="0" w:color="000000"/>
              <w:right w:val="single" w:sz="2" w:space="0" w:color="000000"/>
            </w:tcBorders>
          </w:tcPr>
          <w:p w14:paraId="328EDA0F" w14:textId="77777777" w:rsidR="009D54AF" w:rsidRDefault="00000000">
            <w:pPr>
              <w:pStyle w:val="TableParagraph"/>
              <w:spacing w:before="51"/>
              <w:ind w:right="78"/>
              <w:jc w:val="right"/>
              <w:rPr>
                <w:sz w:val="14"/>
              </w:rPr>
            </w:pPr>
            <w:r>
              <w:rPr>
                <w:spacing w:val="-2"/>
                <w:sz w:val="14"/>
              </w:rPr>
              <w:t>56,618</w:t>
            </w:r>
          </w:p>
        </w:tc>
        <w:tc>
          <w:tcPr>
            <w:tcW w:w="963" w:type="dxa"/>
            <w:tcBorders>
              <w:top w:val="single" w:sz="2" w:space="0" w:color="000000"/>
              <w:left w:val="single" w:sz="2" w:space="0" w:color="000000"/>
              <w:bottom w:val="single" w:sz="2" w:space="0" w:color="000000"/>
              <w:right w:val="single" w:sz="2" w:space="0" w:color="000000"/>
            </w:tcBorders>
          </w:tcPr>
          <w:p w14:paraId="2D503BA1" w14:textId="77777777" w:rsidR="009D54AF" w:rsidRDefault="00000000">
            <w:pPr>
              <w:pStyle w:val="TableParagraph"/>
              <w:spacing w:before="51"/>
              <w:ind w:right="75"/>
              <w:jc w:val="right"/>
              <w:rPr>
                <w:sz w:val="14"/>
              </w:rPr>
            </w:pPr>
            <w:r>
              <w:rPr>
                <w:spacing w:val="-2"/>
                <w:sz w:val="14"/>
              </w:rPr>
              <w:t>9,772</w:t>
            </w:r>
          </w:p>
        </w:tc>
        <w:tc>
          <w:tcPr>
            <w:tcW w:w="963" w:type="dxa"/>
            <w:tcBorders>
              <w:top w:val="single" w:sz="2" w:space="0" w:color="000000"/>
              <w:left w:val="single" w:sz="2" w:space="0" w:color="000000"/>
              <w:bottom w:val="single" w:sz="2" w:space="0" w:color="000000"/>
              <w:right w:val="single" w:sz="2" w:space="0" w:color="000000"/>
            </w:tcBorders>
          </w:tcPr>
          <w:p w14:paraId="7A0C6295" w14:textId="77777777" w:rsidR="009D54AF" w:rsidRDefault="00000000">
            <w:pPr>
              <w:pStyle w:val="TableParagraph"/>
              <w:spacing w:before="51"/>
              <w:ind w:right="74"/>
              <w:jc w:val="right"/>
              <w:rPr>
                <w:sz w:val="14"/>
              </w:rPr>
            </w:pPr>
            <w:r>
              <w:rPr>
                <w:spacing w:val="-10"/>
                <w:sz w:val="14"/>
              </w:rPr>
              <w:t>–</w:t>
            </w:r>
          </w:p>
        </w:tc>
        <w:tc>
          <w:tcPr>
            <w:tcW w:w="963" w:type="dxa"/>
            <w:tcBorders>
              <w:top w:val="single" w:sz="2" w:space="0" w:color="000000"/>
              <w:left w:val="single" w:sz="2" w:space="0" w:color="000000"/>
              <w:bottom w:val="single" w:sz="2" w:space="0" w:color="000000"/>
              <w:right w:val="single" w:sz="2" w:space="0" w:color="000000"/>
            </w:tcBorders>
          </w:tcPr>
          <w:p w14:paraId="482ED8D4" w14:textId="77777777" w:rsidR="009D54AF" w:rsidRDefault="00000000">
            <w:pPr>
              <w:pStyle w:val="TableParagraph"/>
              <w:spacing w:before="51"/>
              <w:ind w:right="73"/>
              <w:jc w:val="right"/>
              <w:rPr>
                <w:sz w:val="14"/>
              </w:rPr>
            </w:pPr>
            <w:r>
              <w:rPr>
                <w:spacing w:val="-10"/>
                <w:sz w:val="14"/>
              </w:rPr>
              <w:t>–</w:t>
            </w:r>
          </w:p>
        </w:tc>
        <w:tc>
          <w:tcPr>
            <w:tcW w:w="1076" w:type="dxa"/>
            <w:tcBorders>
              <w:top w:val="single" w:sz="2" w:space="0" w:color="000000"/>
              <w:left w:val="single" w:sz="2" w:space="0" w:color="000000"/>
              <w:bottom w:val="single" w:sz="2" w:space="0" w:color="000000"/>
              <w:right w:val="nil"/>
            </w:tcBorders>
          </w:tcPr>
          <w:p w14:paraId="484109AB" w14:textId="77777777" w:rsidR="009D54AF" w:rsidRDefault="00000000">
            <w:pPr>
              <w:pStyle w:val="TableParagraph"/>
              <w:spacing w:before="51"/>
              <w:ind w:right="70"/>
              <w:jc w:val="right"/>
              <w:rPr>
                <w:sz w:val="14"/>
              </w:rPr>
            </w:pPr>
            <w:r>
              <w:rPr>
                <w:spacing w:val="-2"/>
                <w:sz w:val="14"/>
              </w:rPr>
              <w:t>351,266</w:t>
            </w:r>
          </w:p>
        </w:tc>
      </w:tr>
      <w:tr w:rsidR="009D54AF" w14:paraId="7F0761E1" w14:textId="77777777">
        <w:trPr>
          <w:trHeight w:val="476"/>
        </w:trPr>
        <w:tc>
          <w:tcPr>
            <w:tcW w:w="1417" w:type="dxa"/>
            <w:tcBorders>
              <w:top w:val="single" w:sz="2" w:space="0" w:color="000000"/>
              <w:left w:val="nil"/>
              <w:bottom w:val="single" w:sz="2" w:space="0" w:color="000000"/>
              <w:right w:val="single" w:sz="2" w:space="0" w:color="000000"/>
            </w:tcBorders>
          </w:tcPr>
          <w:p w14:paraId="22CB6112" w14:textId="77777777" w:rsidR="009D54AF" w:rsidRDefault="00000000">
            <w:pPr>
              <w:pStyle w:val="TableParagraph"/>
              <w:spacing w:before="51"/>
              <w:ind w:left="85"/>
              <w:rPr>
                <w:sz w:val="14"/>
              </w:rPr>
            </w:pPr>
            <w:r>
              <w:rPr>
                <w:sz w:val="14"/>
              </w:rPr>
              <w:t>370,001-</w:t>
            </w:r>
            <w:r>
              <w:rPr>
                <w:spacing w:val="-2"/>
                <w:sz w:val="14"/>
              </w:rPr>
              <w:t>395,000</w:t>
            </w:r>
          </w:p>
        </w:tc>
        <w:tc>
          <w:tcPr>
            <w:tcW w:w="850" w:type="dxa"/>
            <w:tcBorders>
              <w:top w:val="single" w:sz="2" w:space="0" w:color="000000"/>
              <w:left w:val="single" w:sz="2" w:space="0" w:color="000000"/>
              <w:bottom w:val="single" w:sz="2" w:space="0" w:color="000000"/>
              <w:right w:val="single" w:sz="2" w:space="0" w:color="000000"/>
            </w:tcBorders>
          </w:tcPr>
          <w:p w14:paraId="6F57A231" w14:textId="77777777" w:rsidR="009D54AF" w:rsidRDefault="00000000">
            <w:pPr>
              <w:pStyle w:val="TableParagraph"/>
              <w:spacing w:before="51"/>
              <w:ind w:right="79"/>
              <w:jc w:val="right"/>
              <w:rPr>
                <w:sz w:val="14"/>
              </w:rPr>
            </w:pPr>
            <w:r>
              <w:rPr>
                <w:spacing w:val="-10"/>
                <w:sz w:val="14"/>
              </w:rPr>
              <w:t>–</w:t>
            </w:r>
          </w:p>
        </w:tc>
        <w:tc>
          <w:tcPr>
            <w:tcW w:w="963" w:type="dxa"/>
            <w:tcBorders>
              <w:top w:val="single" w:sz="2" w:space="0" w:color="000000"/>
              <w:left w:val="single" w:sz="2" w:space="0" w:color="000000"/>
              <w:bottom w:val="single" w:sz="2" w:space="0" w:color="000000"/>
              <w:right w:val="single" w:sz="2" w:space="0" w:color="000000"/>
            </w:tcBorders>
          </w:tcPr>
          <w:p w14:paraId="0FF61A8E" w14:textId="77777777" w:rsidR="009D54AF" w:rsidRDefault="00000000">
            <w:pPr>
              <w:pStyle w:val="TableParagraph"/>
              <w:spacing w:before="51"/>
              <w:ind w:right="79"/>
              <w:jc w:val="right"/>
              <w:rPr>
                <w:sz w:val="14"/>
              </w:rPr>
            </w:pPr>
            <w:r>
              <w:rPr>
                <w:spacing w:val="-10"/>
                <w:sz w:val="14"/>
              </w:rPr>
              <w:t>–</w:t>
            </w:r>
          </w:p>
        </w:tc>
        <w:tc>
          <w:tcPr>
            <w:tcW w:w="963" w:type="dxa"/>
            <w:tcBorders>
              <w:top w:val="single" w:sz="2" w:space="0" w:color="000000"/>
              <w:left w:val="single" w:sz="2" w:space="0" w:color="000000"/>
              <w:bottom w:val="single" w:sz="2" w:space="0" w:color="000000"/>
              <w:right w:val="single" w:sz="2" w:space="0" w:color="000000"/>
            </w:tcBorders>
          </w:tcPr>
          <w:p w14:paraId="6F656AA9" w14:textId="77777777" w:rsidR="009D54AF" w:rsidRDefault="00000000">
            <w:pPr>
              <w:pStyle w:val="TableParagraph"/>
              <w:spacing w:before="51"/>
              <w:ind w:right="78"/>
              <w:jc w:val="right"/>
              <w:rPr>
                <w:sz w:val="14"/>
              </w:rPr>
            </w:pPr>
            <w:r>
              <w:rPr>
                <w:spacing w:val="-10"/>
                <w:sz w:val="14"/>
              </w:rPr>
              <w:t>–</w:t>
            </w:r>
          </w:p>
        </w:tc>
        <w:tc>
          <w:tcPr>
            <w:tcW w:w="963" w:type="dxa"/>
            <w:tcBorders>
              <w:top w:val="single" w:sz="2" w:space="0" w:color="000000"/>
              <w:left w:val="single" w:sz="2" w:space="0" w:color="000000"/>
              <w:bottom w:val="single" w:sz="2" w:space="0" w:color="000000"/>
              <w:right w:val="single" w:sz="2" w:space="0" w:color="000000"/>
            </w:tcBorders>
          </w:tcPr>
          <w:p w14:paraId="20B9D4A0" w14:textId="77777777" w:rsidR="009D54AF" w:rsidRDefault="00000000">
            <w:pPr>
              <w:pStyle w:val="TableParagraph"/>
              <w:spacing w:before="51"/>
              <w:ind w:right="77"/>
              <w:jc w:val="right"/>
              <w:rPr>
                <w:sz w:val="14"/>
              </w:rPr>
            </w:pPr>
            <w:r>
              <w:rPr>
                <w:spacing w:val="-10"/>
                <w:sz w:val="14"/>
              </w:rPr>
              <w:t>–</w:t>
            </w:r>
          </w:p>
        </w:tc>
        <w:tc>
          <w:tcPr>
            <w:tcW w:w="1076" w:type="dxa"/>
            <w:tcBorders>
              <w:top w:val="single" w:sz="2" w:space="0" w:color="000000"/>
              <w:left w:val="single" w:sz="2" w:space="0" w:color="000000"/>
              <w:bottom w:val="single" w:sz="2" w:space="0" w:color="000000"/>
              <w:right w:val="single" w:sz="2" w:space="0" w:color="000000"/>
            </w:tcBorders>
          </w:tcPr>
          <w:p w14:paraId="141EC217" w14:textId="77777777" w:rsidR="009D54AF" w:rsidRDefault="00000000">
            <w:pPr>
              <w:pStyle w:val="TableParagraph"/>
              <w:spacing w:before="51"/>
              <w:ind w:right="76"/>
              <w:jc w:val="right"/>
              <w:rPr>
                <w:sz w:val="14"/>
              </w:rPr>
            </w:pPr>
            <w:r>
              <w:rPr>
                <w:spacing w:val="-10"/>
                <w:sz w:val="14"/>
              </w:rPr>
              <w:t>–</w:t>
            </w:r>
          </w:p>
        </w:tc>
        <w:tc>
          <w:tcPr>
            <w:tcW w:w="963" w:type="dxa"/>
            <w:tcBorders>
              <w:top w:val="single" w:sz="2" w:space="0" w:color="000000"/>
              <w:left w:val="single" w:sz="2" w:space="0" w:color="000000"/>
              <w:bottom w:val="single" w:sz="2" w:space="0" w:color="000000"/>
              <w:right w:val="single" w:sz="2" w:space="0" w:color="000000"/>
            </w:tcBorders>
          </w:tcPr>
          <w:p w14:paraId="7B08962A" w14:textId="77777777" w:rsidR="009D54AF" w:rsidRDefault="00000000">
            <w:pPr>
              <w:pStyle w:val="TableParagraph"/>
              <w:spacing w:before="51"/>
              <w:ind w:right="75"/>
              <w:jc w:val="right"/>
              <w:rPr>
                <w:sz w:val="14"/>
              </w:rPr>
            </w:pPr>
            <w:r>
              <w:rPr>
                <w:spacing w:val="-10"/>
                <w:sz w:val="14"/>
              </w:rPr>
              <w:t>–</w:t>
            </w:r>
          </w:p>
        </w:tc>
        <w:tc>
          <w:tcPr>
            <w:tcW w:w="963" w:type="dxa"/>
            <w:tcBorders>
              <w:top w:val="single" w:sz="2" w:space="0" w:color="000000"/>
              <w:left w:val="single" w:sz="2" w:space="0" w:color="000000"/>
              <w:bottom w:val="single" w:sz="2" w:space="0" w:color="000000"/>
              <w:right w:val="single" w:sz="2" w:space="0" w:color="000000"/>
            </w:tcBorders>
          </w:tcPr>
          <w:p w14:paraId="1375B0BD" w14:textId="77777777" w:rsidR="009D54AF" w:rsidRDefault="00000000">
            <w:pPr>
              <w:pStyle w:val="TableParagraph"/>
              <w:spacing w:before="51"/>
              <w:ind w:right="74"/>
              <w:jc w:val="right"/>
              <w:rPr>
                <w:sz w:val="14"/>
              </w:rPr>
            </w:pPr>
            <w:r>
              <w:rPr>
                <w:spacing w:val="-10"/>
                <w:sz w:val="14"/>
              </w:rPr>
              <w:t>–</w:t>
            </w:r>
          </w:p>
        </w:tc>
        <w:tc>
          <w:tcPr>
            <w:tcW w:w="963" w:type="dxa"/>
            <w:tcBorders>
              <w:top w:val="single" w:sz="2" w:space="0" w:color="000000"/>
              <w:left w:val="single" w:sz="2" w:space="0" w:color="000000"/>
              <w:bottom w:val="single" w:sz="2" w:space="0" w:color="000000"/>
              <w:right w:val="single" w:sz="2" w:space="0" w:color="000000"/>
            </w:tcBorders>
          </w:tcPr>
          <w:p w14:paraId="2509F04B" w14:textId="77777777" w:rsidR="009D54AF" w:rsidRDefault="00000000">
            <w:pPr>
              <w:pStyle w:val="TableParagraph"/>
              <w:spacing w:before="51"/>
              <w:ind w:right="73"/>
              <w:jc w:val="right"/>
              <w:rPr>
                <w:sz w:val="14"/>
              </w:rPr>
            </w:pPr>
            <w:r>
              <w:rPr>
                <w:spacing w:val="-10"/>
                <w:sz w:val="14"/>
              </w:rPr>
              <w:t>–</w:t>
            </w:r>
          </w:p>
        </w:tc>
        <w:tc>
          <w:tcPr>
            <w:tcW w:w="1076" w:type="dxa"/>
            <w:tcBorders>
              <w:top w:val="single" w:sz="2" w:space="0" w:color="000000"/>
              <w:left w:val="single" w:sz="2" w:space="0" w:color="000000"/>
              <w:bottom w:val="single" w:sz="2" w:space="0" w:color="000000"/>
              <w:right w:val="nil"/>
            </w:tcBorders>
          </w:tcPr>
          <w:p w14:paraId="0954387A" w14:textId="77777777" w:rsidR="009D54AF" w:rsidRDefault="00000000">
            <w:pPr>
              <w:pStyle w:val="TableParagraph"/>
              <w:spacing w:before="51"/>
              <w:ind w:right="75"/>
              <w:jc w:val="right"/>
              <w:rPr>
                <w:sz w:val="14"/>
              </w:rPr>
            </w:pPr>
            <w:r>
              <w:rPr>
                <w:spacing w:val="-10"/>
                <w:sz w:val="14"/>
              </w:rPr>
              <w:t>–</w:t>
            </w:r>
          </w:p>
        </w:tc>
      </w:tr>
      <w:tr w:rsidR="009D54AF" w14:paraId="041994C4" w14:textId="77777777">
        <w:trPr>
          <w:trHeight w:val="476"/>
        </w:trPr>
        <w:tc>
          <w:tcPr>
            <w:tcW w:w="1417" w:type="dxa"/>
            <w:tcBorders>
              <w:top w:val="single" w:sz="2" w:space="0" w:color="000000"/>
              <w:left w:val="nil"/>
              <w:bottom w:val="single" w:sz="2" w:space="0" w:color="000000"/>
              <w:right w:val="single" w:sz="2" w:space="0" w:color="000000"/>
            </w:tcBorders>
          </w:tcPr>
          <w:p w14:paraId="5942F277" w14:textId="77777777" w:rsidR="009D54AF" w:rsidRDefault="00000000">
            <w:pPr>
              <w:pStyle w:val="TableParagraph"/>
              <w:spacing w:before="51"/>
              <w:ind w:left="85"/>
              <w:rPr>
                <w:sz w:val="14"/>
              </w:rPr>
            </w:pPr>
            <w:r>
              <w:rPr>
                <w:sz w:val="14"/>
              </w:rPr>
              <w:t>395,001-</w:t>
            </w:r>
            <w:r>
              <w:rPr>
                <w:spacing w:val="-2"/>
                <w:sz w:val="14"/>
              </w:rPr>
              <w:t>420,000</w:t>
            </w:r>
          </w:p>
        </w:tc>
        <w:tc>
          <w:tcPr>
            <w:tcW w:w="850" w:type="dxa"/>
            <w:tcBorders>
              <w:top w:val="single" w:sz="2" w:space="0" w:color="000000"/>
              <w:left w:val="single" w:sz="2" w:space="0" w:color="000000"/>
              <w:bottom w:val="single" w:sz="2" w:space="0" w:color="000000"/>
              <w:right w:val="single" w:sz="2" w:space="0" w:color="000000"/>
            </w:tcBorders>
          </w:tcPr>
          <w:p w14:paraId="785CB7A3" w14:textId="77777777" w:rsidR="009D54AF" w:rsidRDefault="00000000">
            <w:pPr>
              <w:pStyle w:val="TableParagraph"/>
              <w:spacing w:before="51"/>
              <w:ind w:right="79"/>
              <w:jc w:val="right"/>
              <w:rPr>
                <w:sz w:val="14"/>
              </w:rPr>
            </w:pPr>
            <w:r>
              <w:rPr>
                <w:spacing w:val="-10"/>
                <w:sz w:val="14"/>
              </w:rPr>
              <w:t>–</w:t>
            </w:r>
          </w:p>
        </w:tc>
        <w:tc>
          <w:tcPr>
            <w:tcW w:w="963" w:type="dxa"/>
            <w:tcBorders>
              <w:top w:val="single" w:sz="2" w:space="0" w:color="000000"/>
              <w:left w:val="single" w:sz="2" w:space="0" w:color="000000"/>
              <w:bottom w:val="single" w:sz="2" w:space="0" w:color="000000"/>
              <w:right w:val="single" w:sz="2" w:space="0" w:color="000000"/>
            </w:tcBorders>
          </w:tcPr>
          <w:p w14:paraId="17FDE473" w14:textId="77777777" w:rsidR="009D54AF" w:rsidRDefault="00000000">
            <w:pPr>
              <w:pStyle w:val="TableParagraph"/>
              <w:spacing w:before="51"/>
              <w:ind w:right="79"/>
              <w:jc w:val="right"/>
              <w:rPr>
                <w:sz w:val="14"/>
              </w:rPr>
            </w:pPr>
            <w:r>
              <w:rPr>
                <w:spacing w:val="-10"/>
                <w:sz w:val="14"/>
              </w:rPr>
              <w:t>–</w:t>
            </w:r>
          </w:p>
        </w:tc>
        <w:tc>
          <w:tcPr>
            <w:tcW w:w="963" w:type="dxa"/>
            <w:tcBorders>
              <w:top w:val="single" w:sz="2" w:space="0" w:color="000000"/>
              <w:left w:val="single" w:sz="2" w:space="0" w:color="000000"/>
              <w:bottom w:val="single" w:sz="2" w:space="0" w:color="000000"/>
              <w:right w:val="single" w:sz="2" w:space="0" w:color="000000"/>
            </w:tcBorders>
          </w:tcPr>
          <w:p w14:paraId="0231C98D" w14:textId="77777777" w:rsidR="009D54AF" w:rsidRDefault="00000000">
            <w:pPr>
              <w:pStyle w:val="TableParagraph"/>
              <w:spacing w:before="51"/>
              <w:ind w:right="78"/>
              <w:jc w:val="right"/>
              <w:rPr>
                <w:sz w:val="14"/>
              </w:rPr>
            </w:pPr>
            <w:r>
              <w:rPr>
                <w:spacing w:val="-10"/>
                <w:sz w:val="14"/>
              </w:rPr>
              <w:t>–</w:t>
            </w:r>
          </w:p>
        </w:tc>
        <w:tc>
          <w:tcPr>
            <w:tcW w:w="963" w:type="dxa"/>
            <w:tcBorders>
              <w:top w:val="single" w:sz="2" w:space="0" w:color="000000"/>
              <w:left w:val="single" w:sz="2" w:space="0" w:color="000000"/>
              <w:bottom w:val="single" w:sz="2" w:space="0" w:color="000000"/>
              <w:right w:val="single" w:sz="2" w:space="0" w:color="000000"/>
            </w:tcBorders>
          </w:tcPr>
          <w:p w14:paraId="4B0DDB6C" w14:textId="77777777" w:rsidR="009D54AF" w:rsidRDefault="00000000">
            <w:pPr>
              <w:pStyle w:val="TableParagraph"/>
              <w:spacing w:before="51"/>
              <w:ind w:right="77"/>
              <w:jc w:val="right"/>
              <w:rPr>
                <w:sz w:val="14"/>
              </w:rPr>
            </w:pPr>
            <w:r>
              <w:rPr>
                <w:spacing w:val="-10"/>
                <w:sz w:val="14"/>
              </w:rPr>
              <w:t>–</w:t>
            </w:r>
          </w:p>
        </w:tc>
        <w:tc>
          <w:tcPr>
            <w:tcW w:w="1076" w:type="dxa"/>
            <w:tcBorders>
              <w:top w:val="single" w:sz="2" w:space="0" w:color="000000"/>
              <w:left w:val="single" w:sz="2" w:space="0" w:color="000000"/>
              <w:bottom w:val="single" w:sz="2" w:space="0" w:color="000000"/>
              <w:right w:val="single" w:sz="2" w:space="0" w:color="000000"/>
            </w:tcBorders>
          </w:tcPr>
          <w:p w14:paraId="6DA796B9" w14:textId="77777777" w:rsidR="009D54AF" w:rsidRDefault="00000000">
            <w:pPr>
              <w:pStyle w:val="TableParagraph"/>
              <w:spacing w:before="51"/>
              <w:ind w:right="76"/>
              <w:jc w:val="right"/>
              <w:rPr>
                <w:sz w:val="14"/>
              </w:rPr>
            </w:pPr>
            <w:r>
              <w:rPr>
                <w:spacing w:val="-10"/>
                <w:sz w:val="14"/>
              </w:rPr>
              <w:t>–</w:t>
            </w:r>
          </w:p>
        </w:tc>
        <w:tc>
          <w:tcPr>
            <w:tcW w:w="963" w:type="dxa"/>
            <w:tcBorders>
              <w:top w:val="single" w:sz="2" w:space="0" w:color="000000"/>
              <w:left w:val="single" w:sz="2" w:space="0" w:color="000000"/>
              <w:bottom w:val="single" w:sz="2" w:space="0" w:color="000000"/>
              <w:right w:val="single" w:sz="2" w:space="0" w:color="000000"/>
            </w:tcBorders>
          </w:tcPr>
          <w:p w14:paraId="514E3BE8" w14:textId="77777777" w:rsidR="009D54AF" w:rsidRDefault="00000000">
            <w:pPr>
              <w:pStyle w:val="TableParagraph"/>
              <w:spacing w:before="51"/>
              <w:ind w:right="75"/>
              <w:jc w:val="right"/>
              <w:rPr>
                <w:sz w:val="14"/>
              </w:rPr>
            </w:pPr>
            <w:r>
              <w:rPr>
                <w:spacing w:val="-10"/>
                <w:sz w:val="14"/>
              </w:rPr>
              <w:t>–</w:t>
            </w:r>
          </w:p>
        </w:tc>
        <w:tc>
          <w:tcPr>
            <w:tcW w:w="963" w:type="dxa"/>
            <w:tcBorders>
              <w:top w:val="single" w:sz="2" w:space="0" w:color="000000"/>
              <w:left w:val="single" w:sz="2" w:space="0" w:color="000000"/>
              <w:bottom w:val="single" w:sz="2" w:space="0" w:color="000000"/>
              <w:right w:val="single" w:sz="2" w:space="0" w:color="000000"/>
            </w:tcBorders>
          </w:tcPr>
          <w:p w14:paraId="415D0122" w14:textId="77777777" w:rsidR="009D54AF" w:rsidRDefault="00000000">
            <w:pPr>
              <w:pStyle w:val="TableParagraph"/>
              <w:spacing w:before="51"/>
              <w:ind w:right="74"/>
              <w:jc w:val="right"/>
              <w:rPr>
                <w:sz w:val="14"/>
              </w:rPr>
            </w:pPr>
            <w:r>
              <w:rPr>
                <w:spacing w:val="-10"/>
                <w:sz w:val="14"/>
              </w:rPr>
              <w:t>–</w:t>
            </w:r>
          </w:p>
        </w:tc>
        <w:tc>
          <w:tcPr>
            <w:tcW w:w="963" w:type="dxa"/>
            <w:tcBorders>
              <w:top w:val="single" w:sz="2" w:space="0" w:color="000000"/>
              <w:left w:val="single" w:sz="2" w:space="0" w:color="000000"/>
              <w:bottom w:val="single" w:sz="2" w:space="0" w:color="000000"/>
              <w:right w:val="single" w:sz="2" w:space="0" w:color="000000"/>
            </w:tcBorders>
          </w:tcPr>
          <w:p w14:paraId="280144A1" w14:textId="77777777" w:rsidR="009D54AF" w:rsidRDefault="00000000">
            <w:pPr>
              <w:pStyle w:val="TableParagraph"/>
              <w:spacing w:before="51"/>
              <w:ind w:right="73"/>
              <w:jc w:val="right"/>
              <w:rPr>
                <w:sz w:val="14"/>
              </w:rPr>
            </w:pPr>
            <w:r>
              <w:rPr>
                <w:spacing w:val="-10"/>
                <w:sz w:val="14"/>
              </w:rPr>
              <w:t>–</w:t>
            </w:r>
          </w:p>
        </w:tc>
        <w:tc>
          <w:tcPr>
            <w:tcW w:w="1076" w:type="dxa"/>
            <w:tcBorders>
              <w:top w:val="single" w:sz="2" w:space="0" w:color="000000"/>
              <w:left w:val="single" w:sz="2" w:space="0" w:color="000000"/>
              <w:bottom w:val="single" w:sz="2" w:space="0" w:color="000000"/>
              <w:right w:val="nil"/>
            </w:tcBorders>
          </w:tcPr>
          <w:p w14:paraId="53B28EB5" w14:textId="77777777" w:rsidR="009D54AF" w:rsidRDefault="00000000">
            <w:pPr>
              <w:pStyle w:val="TableParagraph"/>
              <w:spacing w:before="51"/>
              <w:ind w:right="75"/>
              <w:jc w:val="right"/>
              <w:rPr>
                <w:sz w:val="14"/>
              </w:rPr>
            </w:pPr>
            <w:r>
              <w:rPr>
                <w:spacing w:val="-10"/>
                <w:sz w:val="14"/>
              </w:rPr>
              <w:t>–</w:t>
            </w:r>
          </w:p>
        </w:tc>
      </w:tr>
    </w:tbl>
    <w:p w14:paraId="646CE2F7" w14:textId="77777777" w:rsidR="009D54AF" w:rsidRDefault="00000000">
      <w:pPr>
        <w:spacing w:before="67"/>
        <w:ind w:left="142"/>
        <w:rPr>
          <w:b/>
          <w:sz w:val="17"/>
        </w:rPr>
      </w:pPr>
      <w:r>
        <w:rPr>
          <w:b/>
          <w:spacing w:val="-2"/>
          <w:sz w:val="17"/>
        </w:rPr>
        <w:t>Notes:</w:t>
      </w:r>
    </w:p>
    <w:p w14:paraId="404C0DAC" w14:textId="77777777" w:rsidR="009D54AF" w:rsidRDefault="00000000">
      <w:pPr>
        <w:pStyle w:val="ListParagraph"/>
        <w:numPr>
          <w:ilvl w:val="0"/>
          <w:numId w:val="16"/>
        </w:numPr>
        <w:tabs>
          <w:tab w:val="left" w:pos="367"/>
        </w:tabs>
        <w:spacing w:before="44"/>
        <w:ind w:left="367" w:hanging="225"/>
        <w:rPr>
          <w:sz w:val="17"/>
        </w:rPr>
      </w:pPr>
      <w:r>
        <w:rPr>
          <w:sz w:val="17"/>
        </w:rPr>
        <w:t>Excludes</w:t>
      </w:r>
      <w:r>
        <w:rPr>
          <w:spacing w:val="5"/>
          <w:sz w:val="17"/>
        </w:rPr>
        <w:t xml:space="preserve"> </w:t>
      </w:r>
      <w:r>
        <w:rPr>
          <w:sz w:val="17"/>
        </w:rPr>
        <w:t>bond</w:t>
      </w:r>
      <w:r>
        <w:rPr>
          <w:spacing w:val="6"/>
          <w:sz w:val="17"/>
        </w:rPr>
        <w:t xml:space="preserve"> </w:t>
      </w:r>
      <w:r>
        <w:rPr>
          <w:sz w:val="17"/>
        </w:rPr>
        <w:t>rate</w:t>
      </w:r>
      <w:r>
        <w:rPr>
          <w:spacing w:val="5"/>
          <w:sz w:val="17"/>
        </w:rPr>
        <w:t xml:space="preserve"> </w:t>
      </w:r>
      <w:r>
        <w:rPr>
          <w:sz w:val="17"/>
        </w:rPr>
        <w:t>impact</w:t>
      </w:r>
      <w:r>
        <w:rPr>
          <w:spacing w:val="6"/>
          <w:sz w:val="17"/>
        </w:rPr>
        <w:t xml:space="preserve"> </w:t>
      </w:r>
      <w:r>
        <w:rPr>
          <w:sz w:val="17"/>
        </w:rPr>
        <w:t>on</w:t>
      </w:r>
      <w:r>
        <w:rPr>
          <w:spacing w:val="5"/>
          <w:sz w:val="17"/>
        </w:rPr>
        <w:t xml:space="preserve"> </w:t>
      </w:r>
      <w:r>
        <w:rPr>
          <w:sz w:val="17"/>
        </w:rPr>
        <w:t>long</w:t>
      </w:r>
      <w:r>
        <w:rPr>
          <w:spacing w:val="6"/>
          <w:sz w:val="17"/>
        </w:rPr>
        <w:t xml:space="preserve"> </w:t>
      </w:r>
      <w:r>
        <w:rPr>
          <w:sz w:val="17"/>
        </w:rPr>
        <w:t>service</w:t>
      </w:r>
      <w:r>
        <w:rPr>
          <w:spacing w:val="6"/>
          <w:sz w:val="17"/>
        </w:rPr>
        <w:t xml:space="preserve"> </w:t>
      </w:r>
      <w:r>
        <w:rPr>
          <w:spacing w:val="-2"/>
          <w:sz w:val="17"/>
        </w:rPr>
        <w:t>leave.</w:t>
      </w:r>
    </w:p>
    <w:p w14:paraId="40B5678F" w14:textId="77777777" w:rsidR="009D54AF" w:rsidRDefault="00000000">
      <w:pPr>
        <w:pStyle w:val="ListParagraph"/>
        <w:numPr>
          <w:ilvl w:val="0"/>
          <w:numId w:val="16"/>
        </w:numPr>
        <w:tabs>
          <w:tab w:val="left" w:pos="367"/>
        </w:tabs>
        <w:spacing w:before="45"/>
        <w:ind w:left="367" w:hanging="225"/>
        <w:rPr>
          <w:sz w:val="17"/>
        </w:rPr>
      </w:pPr>
      <w:r>
        <w:rPr>
          <w:sz w:val="17"/>
        </w:rPr>
        <w:t>No</w:t>
      </w:r>
      <w:r>
        <w:rPr>
          <w:spacing w:val="6"/>
          <w:sz w:val="17"/>
        </w:rPr>
        <w:t xml:space="preserve"> </w:t>
      </w:r>
      <w:r>
        <w:rPr>
          <w:sz w:val="17"/>
        </w:rPr>
        <w:t>termination</w:t>
      </w:r>
      <w:r>
        <w:rPr>
          <w:spacing w:val="6"/>
          <w:sz w:val="17"/>
        </w:rPr>
        <w:t xml:space="preserve"> </w:t>
      </w:r>
      <w:r>
        <w:rPr>
          <w:sz w:val="17"/>
        </w:rPr>
        <w:t>payments</w:t>
      </w:r>
      <w:r>
        <w:rPr>
          <w:spacing w:val="6"/>
          <w:sz w:val="17"/>
        </w:rPr>
        <w:t xml:space="preserve"> </w:t>
      </w:r>
      <w:r>
        <w:rPr>
          <w:sz w:val="17"/>
        </w:rPr>
        <w:t>were</w:t>
      </w:r>
      <w:r>
        <w:rPr>
          <w:spacing w:val="6"/>
          <w:sz w:val="17"/>
        </w:rPr>
        <w:t xml:space="preserve"> </w:t>
      </w:r>
      <w:r>
        <w:rPr>
          <w:sz w:val="17"/>
        </w:rPr>
        <w:t>paid</w:t>
      </w:r>
      <w:r>
        <w:rPr>
          <w:spacing w:val="6"/>
          <w:sz w:val="17"/>
        </w:rPr>
        <w:t xml:space="preserve"> </w:t>
      </w:r>
      <w:r>
        <w:rPr>
          <w:sz w:val="17"/>
        </w:rPr>
        <w:t>to</w:t>
      </w:r>
      <w:r>
        <w:rPr>
          <w:spacing w:val="6"/>
          <w:sz w:val="17"/>
        </w:rPr>
        <w:t xml:space="preserve"> </w:t>
      </w:r>
      <w:r>
        <w:rPr>
          <w:sz w:val="17"/>
        </w:rPr>
        <w:t>employees</w:t>
      </w:r>
      <w:r>
        <w:rPr>
          <w:spacing w:val="6"/>
          <w:sz w:val="17"/>
        </w:rPr>
        <w:t xml:space="preserve"> </w:t>
      </w:r>
      <w:r>
        <w:rPr>
          <w:sz w:val="17"/>
        </w:rPr>
        <w:t>who</w:t>
      </w:r>
      <w:r>
        <w:rPr>
          <w:spacing w:val="6"/>
          <w:sz w:val="17"/>
        </w:rPr>
        <w:t xml:space="preserve"> </w:t>
      </w:r>
      <w:r>
        <w:rPr>
          <w:sz w:val="17"/>
        </w:rPr>
        <w:t>terminated</w:t>
      </w:r>
      <w:r>
        <w:rPr>
          <w:spacing w:val="6"/>
          <w:sz w:val="17"/>
        </w:rPr>
        <w:t xml:space="preserve"> </w:t>
      </w:r>
      <w:r>
        <w:rPr>
          <w:sz w:val="17"/>
        </w:rPr>
        <w:t>during</w:t>
      </w:r>
      <w:r>
        <w:rPr>
          <w:spacing w:val="6"/>
          <w:sz w:val="17"/>
        </w:rPr>
        <w:t xml:space="preserve"> </w:t>
      </w:r>
      <w:r>
        <w:rPr>
          <w:sz w:val="17"/>
        </w:rPr>
        <w:t>2025–</w:t>
      </w:r>
      <w:r>
        <w:rPr>
          <w:spacing w:val="-5"/>
          <w:sz w:val="17"/>
        </w:rPr>
        <w:t>26.</w:t>
      </w:r>
    </w:p>
    <w:p w14:paraId="0A52BE42" w14:textId="77777777" w:rsidR="009D54AF" w:rsidRDefault="009D54AF">
      <w:pPr>
        <w:pStyle w:val="BodyText"/>
        <w:spacing w:before="17"/>
        <w:rPr>
          <w:sz w:val="17"/>
        </w:rPr>
      </w:pPr>
    </w:p>
    <w:p w14:paraId="23598D45" w14:textId="77777777" w:rsidR="009D54AF" w:rsidRDefault="00000000">
      <w:pPr>
        <w:pStyle w:val="Heading5"/>
      </w:pPr>
      <w:r>
        <w:t>Developments</w:t>
      </w:r>
      <w:r>
        <w:rPr>
          <w:spacing w:val="-8"/>
        </w:rPr>
        <w:t xml:space="preserve"> </w:t>
      </w:r>
      <w:r>
        <w:t>and</w:t>
      </w:r>
      <w:r>
        <w:rPr>
          <w:spacing w:val="-7"/>
        </w:rPr>
        <w:t xml:space="preserve"> </w:t>
      </w:r>
      <w:r>
        <w:t>significant</w:t>
      </w:r>
      <w:r>
        <w:rPr>
          <w:spacing w:val="-7"/>
        </w:rPr>
        <w:t xml:space="preserve"> </w:t>
      </w:r>
      <w:r>
        <w:rPr>
          <w:spacing w:val="-2"/>
        </w:rPr>
        <w:t>events</w:t>
      </w:r>
    </w:p>
    <w:p w14:paraId="3D8D58BF" w14:textId="77777777" w:rsidR="009D54AF" w:rsidRDefault="00000000">
      <w:pPr>
        <w:pStyle w:val="BodyText"/>
        <w:spacing w:before="133" w:line="278" w:lineRule="auto"/>
        <w:ind w:left="142" w:right="285"/>
      </w:pPr>
      <w:r>
        <w:t>The</w:t>
      </w:r>
      <w:r>
        <w:rPr>
          <w:spacing w:val="-3"/>
        </w:rPr>
        <w:t xml:space="preserve"> </w:t>
      </w:r>
      <w:r>
        <w:t>Commission</w:t>
      </w:r>
      <w:r>
        <w:rPr>
          <w:spacing w:val="-3"/>
        </w:rPr>
        <w:t xml:space="preserve"> </w:t>
      </w:r>
      <w:r>
        <w:t>is</w:t>
      </w:r>
      <w:r>
        <w:rPr>
          <w:spacing w:val="-3"/>
        </w:rPr>
        <w:t xml:space="preserve"> </w:t>
      </w:r>
      <w:r>
        <w:t>required</w:t>
      </w:r>
      <w:r>
        <w:rPr>
          <w:spacing w:val="-3"/>
        </w:rPr>
        <w:t xml:space="preserve"> </w:t>
      </w:r>
      <w:r>
        <w:t>under</w:t>
      </w:r>
      <w:r>
        <w:rPr>
          <w:spacing w:val="-3"/>
        </w:rPr>
        <w:t xml:space="preserve"> </w:t>
      </w:r>
      <w:r>
        <w:t>section</w:t>
      </w:r>
      <w:r>
        <w:rPr>
          <w:spacing w:val="-3"/>
        </w:rPr>
        <w:t xml:space="preserve"> </w:t>
      </w:r>
      <w:r>
        <w:t>19(1)</w:t>
      </w:r>
      <w:r>
        <w:rPr>
          <w:spacing w:val="-3"/>
        </w:rPr>
        <w:t xml:space="preserve"> </w:t>
      </w:r>
      <w:r>
        <w:t>of</w:t>
      </w:r>
      <w:r>
        <w:rPr>
          <w:spacing w:val="-3"/>
        </w:rPr>
        <w:t xml:space="preserve"> </w:t>
      </w:r>
      <w:r>
        <w:t>the</w:t>
      </w:r>
      <w:r>
        <w:rPr>
          <w:spacing w:val="-4"/>
        </w:rPr>
        <w:t xml:space="preserve"> </w:t>
      </w:r>
      <w:r>
        <w:rPr>
          <w:i/>
        </w:rPr>
        <w:t>Public</w:t>
      </w:r>
      <w:r>
        <w:rPr>
          <w:i/>
          <w:spacing w:val="-3"/>
        </w:rPr>
        <w:t xml:space="preserve"> </w:t>
      </w:r>
      <w:r>
        <w:rPr>
          <w:i/>
        </w:rPr>
        <w:t>Governance,</w:t>
      </w:r>
      <w:r>
        <w:rPr>
          <w:i/>
          <w:spacing w:val="-3"/>
        </w:rPr>
        <w:t xml:space="preserve"> </w:t>
      </w:r>
      <w:r>
        <w:rPr>
          <w:i/>
        </w:rPr>
        <w:t>Performance</w:t>
      </w:r>
      <w:r>
        <w:rPr>
          <w:i/>
          <w:spacing w:val="-3"/>
        </w:rPr>
        <w:t xml:space="preserve"> </w:t>
      </w:r>
      <w:r>
        <w:rPr>
          <w:i/>
        </w:rPr>
        <w:t>and</w:t>
      </w:r>
      <w:r>
        <w:rPr>
          <w:i/>
          <w:spacing w:val="-3"/>
        </w:rPr>
        <w:t xml:space="preserve"> </w:t>
      </w:r>
      <w:r>
        <w:rPr>
          <w:i/>
        </w:rPr>
        <w:t>Accountability Act</w:t>
      </w:r>
      <w:r>
        <w:rPr>
          <w:i/>
          <w:spacing w:val="-2"/>
        </w:rPr>
        <w:t xml:space="preserve"> </w:t>
      </w:r>
      <w:r>
        <w:rPr>
          <w:i/>
        </w:rPr>
        <w:t>2013</w:t>
      </w:r>
      <w:r>
        <w:rPr>
          <w:i/>
          <w:spacing w:val="-2"/>
        </w:rPr>
        <w:t xml:space="preserve"> </w:t>
      </w:r>
      <w:r>
        <w:t>to</w:t>
      </w:r>
      <w:r>
        <w:rPr>
          <w:spacing w:val="-2"/>
        </w:rPr>
        <w:t xml:space="preserve"> </w:t>
      </w:r>
      <w:r>
        <w:t>keep</w:t>
      </w:r>
      <w:r>
        <w:rPr>
          <w:spacing w:val="-2"/>
        </w:rPr>
        <w:t xml:space="preserve"> </w:t>
      </w:r>
      <w:r>
        <w:t>the</w:t>
      </w:r>
      <w:r>
        <w:rPr>
          <w:spacing w:val="-2"/>
        </w:rPr>
        <w:t xml:space="preserve"> </w:t>
      </w:r>
      <w:r>
        <w:t>Minister</w:t>
      </w:r>
      <w:r>
        <w:rPr>
          <w:spacing w:val="-2"/>
        </w:rPr>
        <w:t xml:space="preserve"> </w:t>
      </w:r>
      <w:r>
        <w:t>for</w:t>
      </w:r>
      <w:r>
        <w:rPr>
          <w:spacing w:val="-2"/>
        </w:rPr>
        <w:t xml:space="preserve"> </w:t>
      </w:r>
      <w:r>
        <w:t>Health</w:t>
      </w:r>
      <w:r>
        <w:rPr>
          <w:spacing w:val="-2"/>
        </w:rPr>
        <w:t xml:space="preserve"> </w:t>
      </w:r>
      <w:r>
        <w:t>and</w:t>
      </w:r>
      <w:r>
        <w:rPr>
          <w:spacing w:val="-2"/>
        </w:rPr>
        <w:t xml:space="preserve"> </w:t>
      </w:r>
      <w:r>
        <w:t>Ageing</w:t>
      </w:r>
      <w:r>
        <w:rPr>
          <w:spacing w:val="-2"/>
        </w:rPr>
        <w:t xml:space="preserve"> </w:t>
      </w:r>
      <w:r>
        <w:t>and</w:t>
      </w:r>
      <w:r>
        <w:rPr>
          <w:spacing w:val="-2"/>
        </w:rPr>
        <w:t xml:space="preserve"> </w:t>
      </w:r>
      <w:r>
        <w:t>the</w:t>
      </w:r>
      <w:r>
        <w:rPr>
          <w:spacing w:val="-2"/>
        </w:rPr>
        <w:t xml:space="preserve"> </w:t>
      </w:r>
      <w:r>
        <w:t>Minister</w:t>
      </w:r>
      <w:r>
        <w:rPr>
          <w:spacing w:val="-2"/>
        </w:rPr>
        <w:t xml:space="preserve"> </w:t>
      </w:r>
      <w:r>
        <w:t>for</w:t>
      </w:r>
      <w:r>
        <w:rPr>
          <w:spacing w:val="-2"/>
        </w:rPr>
        <w:t xml:space="preserve"> </w:t>
      </w:r>
      <w:r>
        <w:t>Finance</w:t>
      </w:r>
      <w:r>
        <w:rPr>
          <w:spacing w:val="-2"/>
        </w:rPr>
        <w:t xml:space="preserve"> </w:t>
      </w:r>
      <w:r>
        <w:t>informed</w:t>
      </w:r>
      <w:r>
        <w:rPr>
          <w:spacing w:val="-2"/>
        </w:rPr>
        <w:t xml:space="preserve"> </w:t>
      </w:r>
      <w:r>
        <w:t>of</w:t>
      </w:r>
      <w:r>
        <w:rPr>
          <w:spacing w:val="-2"/>
        </w:rPr>
        <w:t xml:space="preserve"> </w:t>
      </w:r>
      <w:r>
        <w:t>any</w:t>
      </w:r>
      <w:r>
        <w:rPr>
          <w:spacing w:val="-2"/>
        </w:rPr>
        <w:t xml:space="preserve"> </w:t>
      </w:r>
      <w:r>
        <w:t>significant decisions or issues that have affected, or may affect, its operations. In 2025–26, there were no such decisions or issues.</w:t>
      </w:r>
    </w:p>
    <w:p w14:paraId="72927891" w14:textId="5D255F40" w:rsidR="00400729" w:rsidRDefault="00400729">
      <w:pPr>
        <w:rPr>
          <w:sz w:val="21"/>
          <w:szCs w:val="21"/>
        </w:rPr>
      </w:pPr>
      <w:r>
        <w:br w:type="page"/>
      </w:r>
    </w:p>
    <w:p w14:paraId="78284311" w14:textId="77777777" w:rsidR="009D54AF" w:rsidRDefault="00000000">
      <w:pPr>
        <w:pStyle w:val="Heading5"/>
      </w:pPr>
      <w:r>
        <w:lastRenderedPageBreak/>
        <w:t>Environmental</w:t>
      </w:r>
      <w:r>
        <w:rPr>
          <w:spacing w:val="-7"/>
        </w:rPr>
        <w:t xml:space="preserve"> </w:t>
      </w:r>
      <w:r>
        <w:t>performance</w:t>
      </w:r>
      <w:r>
        <w:rPr>
          <w:spacing w:val="-4"/>
        </w:rPr>
        <w:t xml:space="preserve"> </w:t>
      </w:r>
      <w:r>
        <w:t>and</w:t>
      </w:r>
      <w:r>
        <w:rPr>
          <w:spacing w:val="-4"/>
        </w:rPr>
        <w:t xml:space="preserve"> </w:t>
      </w:r>
      <w:r>
        <w:t>ecologically</w:t>
      </w:r>
      <w:r>
        <w:rPr>
          <w:spacing w:val="-4"/>
        </w:rPr>
        <w:t xml:space="preserve"> </w:t>
      </w:r>
      <w:r>
        <w:t>sustainable</w:t>
      </w:r>
      <w:r>
        <w:rPr>
          <w:spacing w:val="-4"/>
        </w:rPr>
        <w:t xml:space="preserve"> </w:t>
      </w:r>
      <w:r>
        <w:rPr>
          <w:spacing w:val="-2"/>
        </w:rPr>
        <w:t>development</w:t>
      </w:r>
    </w:p>
    <w:p w14:paraId="3BA1CEB3" w14:textId="77777777" w:rsidR="009D54AF" w:rsidRDefault="00000000">
      <w:pPr>
        <w:pStyle w:val="BodyText"/>
        <w:spacing w:before="133" w:line="278" w:lineRule="auto"/>
        <w:ind w:left="142" w:right="214"/>
      </w:pPr>
      <w:r>
        <w:t xml:space="preserve">Section 516A of the </w:t>
      </w:r>
      <w:r>
        <w:rPr>
          <w:i/>
        </w:rPr>
        <w:t xml:space="preserve">Environment Protection and Biodiversity Conservation Act 1999 </w:t>
      </w:r>
      <w:r>
        <w:t xml:space="preserve">requires Australian Government </w:t>
      </w:r>
      <w:proofErr w:type="spellStart"/>
      <w:r>
        <w:t>organisations</w:t>
      </w:r>
      <w:proofErr w:type="spellEnd"/>
      <w:r>
        <w:t xml:space="preserve"> and authorities to include information in their annual reports about their environmental performance and their contribution to ecologically sustainable development. The Commission is</w:t>
      </w:r>
      <w:r>
        <w:rPr>
          <w:spacing w:val="-2"/>
        </w:rPr>
        <w:t xml:space="preserve"> </w:t>
      </w:r>
      <w:r>
        <w:t>committed</w:t>
      </w:r>
      <w:r>
        <w:rPr>
          <w:spacing w:val="-2"/>
        </w:rPr>
        <w:t xml:space="preserve"> </w:t>
      </w:r>
      <w:r>
        <w:t>to</w:t>
      </w:r>
      <w:r>
        <w:rPr>
          <w:spacing w:val="-2"/>
        </w:rPr>
        <w:t xml:space="preserve"> </w:t>
      </w:r>
      <w:r>
        <w:t>making</w:t>
      </w:r>
      <w:r>
        <w:rPr>
          <w:spacing w:val="-2"/>
        </w:rPr>
        <w:t xml:space="preserve"> </w:t>
      </w:r>
      <w:r>
        <w:t>a</w:t>
      </w:r>
      <w:r>
        <w:rPr>
          <w:spacing w:val="-2"/>
        </w:rPr>
        <w:t xml:space="preserve"> </w:t>
      </w:r>
      <w:r>
        <w:t>positive</w:t>
      </w:r>
      <w:r>
        <w:rPr>
          <w:spacing w:val="-2"/>
        </w:rPr>
        <w:t xml:space="preserve"> </w:t>
      </w:r>
      <w:r>
        <w:t>contribution</w:t>
      </w:r>
      <w:r>
        <w:rPr>
          <w:spacing w:val="-2"/>
        </w:rPr>
        <w:t xml:space="preserve"> </w:t>
      </w:r>
      <w:r>
        <w:t>to</w:t>
      </w:r>
      <w:r>
        <w:rPr>
          <w:spacing w:val="-2"/>
        </w:rPr>
        <w:t xml:space="preserve"> </w:t>
      </w:r>
      <w:r>
        <w:t>ecological</w:t>
      </w:r>
      <w:r>
        <w:rPr>
          <w:spacing w:val="-2"/>
        </w:rPr>
        <w:t xml:space="preserve"> </w:t>
      </w:r>
      <w:r>
        <w:t>sustainability.</w:t>
      </w:r>
      <w:r>
        <w:rPr>
          <w:spacing w:val="-2"/>
        </w:rPr>
        <w:t xml:space="preserve"> </w:t>
      </w:r>
      <w:r>
        <w:t>The</w:t>
      </w:r>
      <w:r>
        <w:rPr>
          <w:spacing w:val="-2"/>
        </w:rPr>
        <w:t xml:space="preserve"> </w:t>
      </w:r>
      <w:r>
        <w:t>Commission’s</w:t>
      </w:r>
      <w:r>
        <w:rPr>
          <w:spacing w:val="-2"/>
        </w:rPr>
        <w:t xml:space="preserve"> </w:t>
      </w:r>
      <w:r>
        <w:t>compliance</w:t>
      </w:r>
      <w:r>
        <w:rPr>
          <w:spacing w:val="-2"/>
        </w:rPr>
        <w:t xml:space="preserve"> </w:t>
      </w:r>
      <w:r>
        <w:t>with ecologically sustainable development is detailed in Appendix C.</w:t>
      </w:r>
    </w:p>
    <w:p w14:paraId="498375AE" w14:textId="77777777" w:rsidR="009D54AF" w:rsidRDefault="009D54AF">
      <w:pPr>
        <w:pStyle w:val="BodyText"/>
        <w:spacing w:before="65"/>
      </w:pPr>
    </w:p>
    <w:p w14:paraId="53466715" w14:textId="77777777" w:rsidR="009D54AF" w:rsidRDefault="00000000">
      <w:pPr>
        <w:pStyle w:val="Heading5"/>
      </w:pPr>
      <w:r>
        <w:t>Advertising</w:t>
      </w:r>
      <w:r>
        <w:rPr>
          <w:spacing w:val="-5"/>
        </w:rPr>
        <w:t xml:space="preserve"> </w:t>
      </w:r>
      <w:r>
        <w:t>and</w:t>
      </w:r>
      <w:r>
        <w:rPr>
          <w:spacing w:val="-4"/>
        </w:rPr>
        <w:t xml:space="preserve"> </w:t>
      </w:r>
      <w:r>
        <w:t>market</w:t>
      </w:r>
      <w:r>
        <w:rPr>
          <w:spacing w:val="-4"/>
        </w:rPr>
        <w:t xml:space="preserve"> </w:t>
      </w:r>
      <w:r>
        <w:rPr>
          <w:spacing w:val="-2"/>
        </w:rPr>
        <w:t>research</w:t>
      </w:r>
    </w:p>
    <w:p w14:paraId="4EED666C" w14:textId="77777777" w:rsidR="009D54AF" w:rsidRDefault="00000000">
      <w:pPr>
        <w:pStyle w:val="BodyText"/>
        <w:spacing w:before="133" w:line="278" w:lineRule="auto"/>
        <w:ind w:left="142"/>
      </w:pPr>
      <w:r>
        <w:t xml:space="preserve">Section 311A of the </w:t>
      </w:r>
      <w:r>
        <w:rPr>
          <w:i/>
        </w:rPr>
        <w:t xml:space="preserve">Commonwealth Electoral Act 1918 </w:t>
      </w:r>
      <w:r>
        <w:t>requires Australian Government departments and agencies to include particulars in their annual reports of amounts over $13,200 that were paid to advertising agencies,</w:t>
      </w:r>
      <w:r>
        <w:rPr>
          <w:spacing w:val="-2"/>
        </w:rPr>
        <w:t xml:space="preserve"> </w:t>
      </w:r>
      <w:r>
        <w:t>market</w:t>
      </w:r>
      <w:r>
        <w:rPr>
          <w:spacing w:val="-2"/>
        </w:rPr>
        <w:t xml:space="preserve"> </w:t>
      </w:r>
      <w:r>
        <w:t>research</w:t>
      </w:r>
      <w:r>
        <w:rPr>
          <w:spacing w:val="-2"/>
        </w:rPr>
        <w:t xml:space="preserve"> </w:t>
      </w:r>
      <w:proofErr w:type="spellStart"/>
      <w:r>
        <w:t>organisations</w:t>
      </w:r>
      <w:proofErr w:type="spellEnd"/>
      <w:r>
        <w:t>,</w:t>
      </w:r>
      <w:r>
        <w:rPr>
          <w:spacing w:val="-2"/>
        </w:rPr>
        <w:t xml:space="preserve"> </w:t>
      </w:r>
      <w:r>
        <w:t>polling</w:t>
      </w:r>
      <w:r>
        <w:rPr>
          <w:spacing w:val="-2"/>
        </w:rPr>
        <w:t xml:space="preserve"> </w:t>
      </w:r>
      <w:proofErr w:type="spellStart"/>
      <w:r>
        <w:t>organisations</w:t>
      </w:r>
      <w:proofErr w:type="spellEnd"/>
      <w:r>
        <w:t>,</w:t>
      </w:r>
      <w:r>
        <w:rPr>
          <w:spacing w:val="-2"/>
        </w:rPr>
        <w:t xml:space="preserve"> </w:t>
      </w:r>
      <w:r>
        <w:t>direct</w:t>
      </w:r>
      <w:r>
        <w:rPr>
          <w:spacing w:val="-2"/>
        </w:rPr>
        <w:t xml:space="preserve"> </w:t>
      </w:r>
      <w:r>
        <w:t>mail</w:t>
      </w:r>
      <w:r>
        <w:rPr>
          <w:spacing w:val="-2"/>
        </w:rPr>
        <w:t xml:space="preserve"> </w:t>
      </w:r>
      <w:proofErr w:type="spellStart"/>
      <w:r>
        <w:t>organisations</w:t>
      </w:r>
      <w:proofErr w:type="spellEnd"/>
      <w:r>
        <w:rPr>
          <w:spacing w:val="-2"/>
        </w:rPr>
        <w:t xml:space="preserve"> </w:t>
      </w:r>
      <w:r>
        <w:t>or</w:t>
      </w:r>
      <w:r>
        <w:rPr>
          <w:spacing w:val="-2"/>
        </w:rPr>
        <w:t xml:space="preserve"> </w:t>
      </w:r>
      <w:r>
        <w:t>media</w:t>
      </w:r>
      <w:r>
        <w:rPr>
          <w:spacing w:val="-2"/>
        </w:rPr>
        <w:t xml:space="preserve"> </w:t>
      </w:r>
      <w:r>
        <w:t xml:space="preserve">advertising </w:t>
      </w:r>
      <w:proofErr w:type="spellStart"/>
      <w:r>
        <w:t>organisations</w:t>
      </w:r>
      <w:proofErr w:type="spellEnd"/>
      <w:r>
        <w:t xml:space="preserve">. In 2025–26, the Commission did not make any payments over $13,200 to these types of </w:t>
      </w:r>
      <w:proofErr w:type="spellStart"/>
      <w:r>
        <w:rPr>
          <w:spacing w:val="-2"/>
        </w:rPr>
        <w:t>organisations</w:t>
      </w:r>
      <w:proofErr w:type="spellEnd"/>
      <w:r>
        <w:rPr>
          <w:spacing w:val="-2"/>
        </w:rPr>
        <w:t>.</w:t>
      </w:r>
    </w:p>
    <w:p w14:paraId="047F1641" w14:textId="77777777" w:rsidR="009D54AF" w:rsidRDefault="009D54AF">
      <w:pPr>
        <w:pStyle w:val="BodyText"/>
        <w:spacing w:before="65"/>
      </w:pPr>
    </w:p>
    <w:p w14:paraId="1A856700" w14:textId="77777777" w:rsidR="009D54AF" w:rsidRDefault="00000000">
      <w:pPr>
        <w:ind w:left="142"/>
        <w:rPr>
          <w:b/>
          <w:sz w:val="30"/>
        </w:rPr>
      </w:pPr>
      <w:r>
        <w:rPr>
          <w:b/>
          <w:i/>
          <w:sz w:val="30"/>
        </w:rPr>
        <w:t>National</w:t>
      </w:r>
      <w:r>
        <w:rPr>
          <w:b/>
          <w:i/>
          <w:spacing w:val="-13"/>
          <w:sz w:val="30"/>
        </w:rPr>
        <w:t xml:space="preserve"> </w:t>
      </w:r>
      <w:r>
        <w:rPr>
          <w:b/>
          <w:i/>
          <w:sz w:val="30"/>
        </w:rPr>
        <w:t>Health</w:t>
      </w:r>
      <w:r>
        <w:rPr>
          <w:b/>
          <w:i/>
          <w:spacing w:val="-10"/>
          <w:sz w:val="30"/>
        </w:rPr>
        <w:t xml:space="preserve"> </w:t>
      </w:r>
      <w:r>
        <w:rPr>
          <w:b/>
          <w:i/>
          <w:sz w:val="30"/>
        </w:rPr>
        <w:t>Reform</w:t>
      </w:r>
      <w:r>
        <w:rPr>
          <w:b/>
          <w:i/>
          <w:spacing w:val="-10"/>
          <w:sz w:val="30"/>
        </w:rPr>
        <w:t xml:space="preserve"> </w:t>
      </w:r>
      <w:r>
        <w:rPr>
          <w:b/>
          <w:i/>
          <w:sz w:val="30"/>
        </w:rPr>
        <w:t>Act</w:t>
      </w:r>
      <w:r>
        <w:rPr>
          <w:b/>
          <w:i/>
          <w:spacing w:val="-10"/>
          <w:sz w:val="30"/>
        </w:rPr>
        <w:t xml:space="preserve"> </w:t>
      </w:r>
      <w:r>
        <w:rPr>
          <w:b/>
          <w:i/>
          <w:sz w:val="30"/>
        </w:rPr>
        <w:t>2011</w:t>
      </w:r>
      <w:r>
        <w:rPr>
          <w:b/>
          <w:i/>
          <w:spacing w:val="-10"/>
          <w:sz w:val="30"/>
        </w:rPr>
        <w:t xml:space="preserve"> </w:t>
      </w:r>
      <w:r>
        <w:rPr>
          <w:b/>
          <w:spacing w:val="-2"/>
          <w:sz w:val="30"/>
        </w:rPr>
        <w:t>amendments</w:t>
      </w:r>
    </w:p>
    <w:p w14:paraId="0ACD2500" w14:textId="77777777" w:rsidR="009D54AF" w:rsidRDefault="00000000">
      <w:pPr>
        <w:spacing w:before="133"/>
        <w:ind w:left="142"/>
        <w:rPr>
          <w:sz w:val="21"/>
        </w:rPr>
      </w:pPr>
      <w:r>
        <w:rPr>
          <w:sz w:val="21"/>
        </w:rPr>
        <w:t>No</w:t>
      </w:r>
      <w:r>
        <w:rPr>
          <w:spacing w:val="-4"/>
          <w:sz w:val="21"/>
        </w:rPr>
        <w:t xml:space="preserve"> </w:t>
      </w:r>
      <w:r>
        <w:rPr>
          <w:sz w:val="21"/>
        </w:rPr>
        <w:t>amendments</w:t>
      </w:r>
      <w:r>
        <w:rPr>
          <w:spacing w:val="-2"/>
          <w:sz w:val="21"/>
        </w:rPr>
        <w:t xml:space="preserve"> </w:t>
      </w:r>
      <w:r>
        <w:rPr>
          <w:sz w:val="21"/>
        </w:rPr>
        <w:t>to</w:t>
      </w:r>
      <w:r>
        <w:rPr>
          <w:spacing w:val="-2"/>
          <w:sz w:val="21"/>
        </w:rPr>
        <w:t xml:space="preserve"> </w:t>
      </w:r>
      <w:r>
        <w:rPr>
          <w:sz w:val="21"/>
        </w:rPr>
        <w:t>the</w:t>
      </w:r>
      <w:r>
        <w:rPr>
          <w:spacing w:val="-2"/>
          <w:sz w:val="21"/>
        </w:rPr>
        <w:t xml:space="preserve"> </w:t>
      </w:r>
      <w:r>
        <w:rPr>
          <w:i/>
          <w:sz w:val="21"/>
        </w:rPr>
        <w:t>National</w:t>
      </w:r>
      <w:r>
        <w:rPr>
          <w:i/>
          <w:spacing w:val="-2"/>
          <w:sz w:val="21"/>
        </w:rPr>
        <w:t xml:space="preserve"> </w:t>
      </w:r>
      <w:r>
        <w:rPr>
          <w:i/>
          <w:sz w:val="21"/>
        </w:rPr>
        <w:t>Health</w:t>
      </w:r>
      <w:r>
        <w:rPr>
          <w:i/>
          <w:spacing w:val="-2"/>
          <w:sz w:val="21"/>
        </w:rPr>
        <w:t xml:space="preserve"> </w:t>
      </w:r>
      <w:r>
        <w:rPr>
          <w:i/>
          <w:sz w:val="21"/>
        </w:rPr>
        <w:t>Reform</w:t>
      </w:r>
      <w:r>
        <w:rPr>
          <w:i/>
          <w:spacing w:val="-2"/>
          <w:sz w:val="21"/>
        </w:rPr>
        <w:t xml:space="preserve"> </w:t>
      </w:r>
      <w:r>
        <w:rPr>
          <w:i/>
          <w:sz w:val="21"/>
        </w:rPr>
        <w:t>Act</w:t>
      </w:r>
      <w:r>
        <w:rPr>
          <w:i/>
          <w:spacing w:val="-2"/>
          <w:sz w:val="21"/>
        </w:rPr>
        <w:t xml:space="preserve"> </w:t>
      </w:r>
      <w:r>
        <w:rPr>
          <w:i/>
          <w:sz w:val="21"/>
        </w:rPr>
        <w:t>2011</w:t>
      </w:r>
      <w:r>
        <w:rPr>
          <w:i/>
          <w:spacing w:val="-3"/>
          <w:sz w:val="21"/>
        </w:rPr>
        <w:t xml:space="preserve"> </w:t>
      </w:r>
      <w:r>
        <w:rPr>
          <w:sz w:val="21"/>
        </w:rPr>
        <w:t>were</w:t>
      </w:r>
      <w:r>
        <w:rPr>
          <w:spacing w:val="-2"/>
          <w:sz w:val="21"/>
        </w:rPr>
        <w:t xml:space="preserve"> </w:t>
      </w:r>
      <w:r>
        <w:rPr>
          <w:sz w:val="21"/>
        </w:rPr>
        <w:t>made</w:t>
      </w:r>
      <w:r>
        <w:rPr>
          <w:spacing w:val="-2"/>
          <w:sz w:val="21"/>
        </w:rPr>
        <w:t xml:space="preserve"> </w:t>
      </w:r>
      <w:r>
        <w:rPr>
          <w:sz w:val="21"/>
        </w:rPr>
        <w:t>during</w:t>
      </w:r>
      <w:r>
        <w:rPr>
          <w:spacing w:val="-1"/>
          <w:sz w:val="21"/>
        </w:rPr>
        <w:t xml:space="preserve"> </w:t>
      </w:r>
      <w:r>
        <w:rPr>
          <w:sz w:val="21"/>
        </w:rPr>
        <w:t>2025–</w:t>
      </w:r>
      <w:r>
        <w:rPr>
          <w:spacing w:val="-5"/>
          <w:sz w:val="21"/>
        </w:rPr>
        <w:t>26.</w:t>
      </w:r>
    </w:p>
    <w:p w14:paraId="7B1114BD" w14:textId="77777777" w:rsidR="009D54AF" w:rsidRDefault="009D54AF">
      <w:pPr>
        <w:pStyle w:val="BodyText"/>
        <w:spacing w:before="104"/>
      </w:pPr>
    </w:p>
    <w:p w14:paraId="59558926" w14:textId="77777777" w:rsidR="009D54AF" w:rsidRDefault="00000000">
      <w:pPr>
        <w:pStyle w:val="Heading5"/>
        <w:spacing w:before="1"/>
      </w:pPr>
      <w:r>
        <w:t>Government</w:t>
      </w:r>
      <w:r>
        <w:rPr>
          <w:spacing w:val="-11"/>
        </w:rPr>
        <w:t xml:space="preserve"> </w:t>
      </w:r>
      <w:r>
        <w:t>policy</w:t>
      </w:r>
      <w:r>
        <w:rPr>
          <w:spacing w:val="-10"/>
        </w:rPr>
        <w:t xml:space="preserve"> </w:t>
      </w:r>
      <w:r>
        <w:rPr>
          <w:spacing w:val="-2"/>
        </w:rPr>
        <w:t>orders</w:t>
      </w:r>
    </w:p>
    <w:p w14:paraId="417B65A0" w14:textId="77777777" w:rsidR="009D54AF" w:rsidRDefault="00000000">
      <w:pPr>
        <w:pStyle w:val="BodyText"/>
        <w:spacing w:before="132"/>
        <w:ind w:left="142"/>
      </w:pPr>
      <w:r>
        <w:t>No</w:t>
      </w:r>
      <w:r>
        <w:rPr>
          <w:spacing w:val="-1"/>
        </w:rPr>
        <w:t xml:space="preserve"> </w:t>
      </w:r>
      <w:r>
        <w:t>new government</w:t>
      </w:r>
      <w:r>
        <w:rPr>
          <w:spacing w:val="-1"/>
        </w:rPr>
        <w:t xml:space="preserve"> </w:t>
      </w:r>
      <w:r>
        <w:t>policy orders</w:t>
      </w:r>
      <w:r>
        <w:rPr>
          <w:spacing w:val="-1"/>
        </w:rPr>
        <w:t xml:space="preserve"> </w:t>
      </w:r>
      <w:r>
        <w:t>applicable to the</w:t>
      </w:r>
      <w:r>
        <w:rPr>
          <w:spacing w:val="-1"/>
        </w:rPr>
        <w:t xml:space="preserve"> </w:t>
      </w:r>
      <w:r>
        <w:t>Commission were</w:t>
      </w:r>
      <w:r>
        <w:rPr>
          <w:spacing w:val="-1"/>
        </w:rPr>
        <w:t xml:space="preserve"> </w:t>
      </w:r>
      <w:r>
        <w:t>issued in 2025–</w:t>
      </w:r>
      <w:r>
        <w:rPr>
          <w:spacing w:val="-5"/>
        </w:rPr>
        <w:t>26.</w:t>
      </w:r>
    </w:p>
    <w:p w14:paraId="35F67767" w14:textId="77777777" w:rsidR="009D54AF" w:rsidRDefault="009D54AF">
      <w:pPr>
        <w:pStyle w:val="BodyText"/>
        <w:sectPr w:rsidR="009D54AF">
          <w:pgSz w:w="11910" w:h="16840"/>
          <w:pgMar w:top="720" w:right="708" w:bottom="280" w:left="708" w:header="720" w:footer="720" w:gutter="0"/>
          <w:cols w:space="720"/>
        </w:sectPr>
      </w:pPr>
    </w:p>
    <w:p w14:paraId="4B4F80CF" w14:textId="77777777" w:rsidR="009D54AF" w:rsidRDefault="00000000">
      <w:pPr>
        <w:pStyle w:val="ListParagraph"/>
        <w:numPr>
          <w:ilvl w:val="0"/>
          <w:numId w:val="38"/>
        </w:numPr>
        <w:tabs>
          <w:tab w:val="left" w:pos="707"/>
        </w:tabs>
        <w:spacing w:before="57"/>
        <w:ind w:left="707" w:hanging="565"/>
        <w:rPr>
          <w:sz w:val="52"/>
        </w:rPr>
      </w:pPr>
      <w:r>
        <w:rPr>
          <w:sz w:val="52"/>
        </w:rPr>
        <w:lastRenderedPageBreak/>
        <w:t>Our</w:t>
      </w:r>
      <w:r>
        <w:rPr>
          <w:spacing w:val="-8"/>
          <w:sz w:val="52"/>
        </w:rPr>
        <w:t xml:space="preserve"> </w:t>
      </w:r>
      <w:proofErr w:type="spellStart"/>
      <w:r>
        <w:rPr>
          <w:spacing w:val="-2"/>
          <w:sz w:val="52"/>
        </w:rPr>
        <w:t>organisation</w:t>
      </w:r>
      <w:proofErr w:type="spellEnd"/>
    </w:p>
    <w:p w14:paraId="440D6F99" w14:textId="77777777" w:rsidR="009D54AF" w:rsidRDefault="00000000">
      <w:pPr>
        <w:pStyle w:val="Heading9"/>
        <w:spacing w:before="315" w:line="268" w:lineRule="auto"/>
        <w:ind w:right="223"/>
        <w:jc w:val="both"/>
      </w:pPr>
      <w:r>
        <w:t>The</w:t>
      </w:r>
      <w:r>
        <w:rPr>
          <w:spacing w:val="-7"/>
        </w:rPr>
        <w:t xml:space="preserve"> </w:t>
      </w:r>
      <w:r>
        <w:t>Commission</w:t>
      </w:r>
      <w:r>
        <w:rPr>
          <w:spacing w:val="-7"/>
        </w:rPr>
        <w:t xml:space="preserve"> </w:t>
      </w:r>
      <w:r>
        <w:t>employs</w:t>
      </w:r>
      <w:r>
        <w:rPr>
          <w:spacing w:val="-7"/>
        </w:rPr>
        <w:t xml:space="preserve"> </w:t>
      </w:r>
      <w:r>
        <w:t>a</w:t>
      </w:r>
      <w:r>
        <w:rPr>
          <w:spacing w:val="-7"/>
        </w:rPr>
        <w:t xml:space="preserve"> </w:t>
      </w:r>
      <w:r>
        <w:t>diverse</w:t>
      </w:r>
      <w:r>
        <w:rPr>
          <w:spacing w:val="-7"/>
        </w:rPr>
        <w:t xml:space="preserve"> </w:t>
      </w:r>
      <w:r>
        <w:t>range</w:t>
      </w:r>
      <w:r>
        <w:rPr>
          <w:spacing w:val="-7"/>
        </w:rPr>
        <w:t xml:space="preserve"> </w:t>
      </w:r>
      <w:r>
        <w:t>of</w:t>
      </w:r>
      <w:r>
        <w:rPr>
          <w:spacing w:val="-7"/>
        </w:rPr>
        <w:t xml:space="preserve"> </w:t>
      </w:r>
      <w:r>
        <w:t>highly</w:t>
      </w:r>
      <w:r>
        <w:rPr>
          <w:spacing w:val="-7"/>
        </w:rPr>
        <w:t xml:space="preserve"> </w:t>
      </w:r>
      <w:r>
        <w:t>skilled</w:t>
      </w:r>
      <w:r>
        <w:rPr>
          <w:spacing w:val="-7"/>
        </w:rPr>
        <w:t xml:space="preserve"> </w:t>
      </w:r>
      <w:r>
        <w:t>professionals</w:t>
      </w:r>
      <w:r>
        <w:rPr>
          <w:spacing w:val="-7"/>
        </w:rPr>
        <w:t xml:space="preserve"> </w:t>
      </w:r>
      <w:r>
        <w:t>with</w:t>
      </w:r>
      <w:r>
        <w:rPr>
          <w:spacing w:val="-7"/>
        </w:rPr>
        <w:t xml:space="preserve"> </w:t>
      </w:r>
      <w:r>
        <w:t>experience</w:t>
      </w:r>
      <w:r>
        <w:rPr>
          <w:spacing w:val="-7"/>
        </w:rPr>
        <w:t xml:space="preserve"> </w:t>
      </w:r>
      <w:r>
        <w:t>across the</w:t>
      </w:r>
      <w:r>
        <w:rPr>
          <w:spacing w:val="-8"/>
        </w:rPr>
        <w:t xml:space="preserve"> </w:t>
      </w:r>
      <w:r>
        <w:t>healthcare</w:t>
      </w:r>
      <w:r>
        <w:rPr>
          <w:spacing w:val="-8"/>
        </w:rPr>
        <w:t xml:space="preserve"> </w:t>
      </w:r>
      <w:r>
        <w:t>industry.</w:t>
      </w:r>
      <w:r>
        <w:rPr>
          <w:spacing w:val="-8"/>
        </w:rPr>
        <w:t xml:space="preserve"> </w:t>
      </w:r>
      <w:r>
        <w:t>Because</w:t>
      </w:r>
      <w:r>
        <w:rPr>
          <w:spacing w:val="-8"/>
        </w:rPr>
        <w:t xml:space="preserve"> </w:t>
      </w:r>
      <w:r>
        <w:t>of</w:t>
      </w:r>
      <w:r>
        <w:rPr>
          <w:spacing w:val="-8"/>
        </w:rPr>
        <w:t xml:space="preserve"> </w:t>
      </w:r>
      <w:r>
        <w:t>the</w:t>
      </w:r>
      <w:r>
        <w:rPr>
          <w:spacing w:val="-8"/>
        </w:rPr>
        <w:t xml:space="preserve"> </w:t>
      </w:r>
      <w:r>
        <w:t>nature</w:t>
      </w:r>
      <w:r>
        <w:rPr>
          <w:spacing w:val="-8"/>
        </w:rPr>
        <w:t xml:space="preserve"> </w:t>
      </w:r>
      <w:r>
        <w:t>of</w:t>
      </w:r>
      <w:r>
        <w:rPr>
          <w:spacing w:val="-8"/>
        </w:rPr>
        <w:t xml:space="preserve"> </w:t>
      </w:r>
      <w:r>
        <w:t>its</w:t>
      </w:r>
      <w:r>
        <w:rPr>
          <w:spacing w:val="-8"/>
        </w:rPr>
        <w:t xml:space="preserve"> </w:t>
      </w:r>
      <w:r>
        <w:t>work,</w:t>
      </w:r>
      <w:r>
        <w:rPr>
          <w:spacing w:val="-8"/>
        </w:rPr>
        <w:t xml:space="preserve"> </w:t>
      </w:r>
      <w:r>
        <w:t>the</w:t>
      </w:r>
      <w:r>
        <w:rPr>
          <w:spacing w:val="-8"/>
        </w:rPr>
        <w:t xml:space="preserve"> </w:t>
      </w:r>
      <w:r>
        <w:t>Commission</w:t>
      </w:r>
      <w:r>
        <w:rPr>
          <w:spacing w:val="-8"/>
        </w:rPr>
        <w:t xml:space="preserve"> </w:t>
      </w:r>
      <w:r>
        <w:t>has</w:t>
      </w:r>
      <w:r>
        <w:rPr>
          <w:spacing w:val="-8"/>
        </w:rPr>
        <w:t xml:space="preserve"> </w:t>
      </w:r>
      <w:r>
        <w:t>a</w:t>
      </w:r>
      <w:r>
        <w:rPr>
          <w:spacing w:val="-8"/>
        </w:rPr>
        <w:t xml:space="preserve"> </w:t>
      </w:r>
      <w:r>
        <w:t>strong</w:t>
      </w:r>
      <w:r>
        <w:rPr>
          <w:spacing w:val="-8"/>
        </w:rPr>
        <w:t xml:space="preserve"> </w:t>
      </w:r>
      <w:r>
        <w:t>national presence in safety and quality in both the public and private sectors.</w:t>
      </w:r>
    </w:p>
    <w:p w14:paraId="527F17B9" w14:textId="77777777" w:rsidR="009D54AF" w:rsidRDefault="009D54AF">
      <w:pPr>
        <w:pStyle w:val="BodyText"/>
        <w:spacing w:before="10"/>
        <w:rPr>
          <w:sz w:val="24"/>
        </w:rPr>
      </w:pPr>
    </w:p>
    <w:p w14:paraId="70BDF78F" w14:textId="77777777" w:rsidR="009D54AF" w:rsidRDefault="00000000">
      <w:pPr>
        <w:pStyle w:val="Heading9"/>
        <w:spacing w:before="0" w:line="268" w:lineRule="auto"/>
      </w:pPr>
      <w:r>
        <w:t>The</w:t>
      </w:r>
      <w:r>
        <w:rPr>
          <w:spacing w:val="-9"/>
        </w:rPr>
        <w:t xml:space="preserve"> </w:t>
      </w:r>
      <w:r>
        <w:t>Commission</w:t>
      </w:r>
      <w:r>
        <w:rPr>
          <w:spacing w:val="-9"/>
        </w:rPr>
        <w:t xml:space="preserve"> </w:t>
      </w:r>
      <w:r>
        <w:t>is</w:t>
      </w:r>
      <w:r>
        <w:rPr>
          <w:spacing w:val="-9"/>
        </w:rPr>
        <w:t xml:space="preserve"> </w:t>
      </w:r>
      <w:r>
        <w:t>committed</w:t>
      </w:r>
      <w:r>
        <w:rPr>
          <w:spacing w:val="-9"/>
        </w:rPr>
        <w:t xml:space="preserve"> </w:t>
      </w:r>
      <w:r>
        <w:t>to</w:t>
      </w:r>
      <w:r>
        <w:rPr>
          <w:spacing w:val="-9"/>
        </w:rPr>
        <w:t xml:space="preserve"> </w:t>
      </w:r>
      <w:r>
        <w:t>managing</w:t>
      </w:r>
      <w:r>
        <w:rPr>
          <w:spacing w:val="-9"/>
        </w:rPr>
        <w:t xml:space="preserve"> </w:t>
      </w:r>
      <w:r>
        <w:t>and</w:t>
      </w:r>
      <w:r>
        <w:rPr>
          <w:spacing w:val="-9"/>
        </w:rPr>
        <w:t xml:space="preserve"> </w:t>
      </w:r>
      <w:r>
        <w:t>developing</w:t>
      </w:r>
      <w:r>
        <w:rPr>
          <w:spacing w:val="-9"/>
        </w:rPr>
        <w:t xml:space="preserve"> </w:t>
      </w:r>
      <w:r>
        <w:t>its</w:t>
      </w:r>
      <w:r>
        <w:rPr>
          <w:spacing w:val="-9"/>
        </w:rPr>
        <w:t xml:space="preserve"> </w:t>
      </w:r>
      <w:r>
        <w:t>staff</w:t>
      </w:r>
      <w:r>
        <w:rPr>
          <w:spacing w:val="-9"/>
        </w:rPr>
        <w:t xml:space="preserve"> </w:t>
      </w:r>
      <w:r>
        <w:t>members</w:t>
      </w:r>
      <w:r>
        <w:rPr>
          <w:spacing w:val="-9"/>
        </w:rPr>
        <w:t xml:space="preserve"> </w:t>
      </w:r>
      <w:r>
        <w:t>to</w:t>
      </w:r>
      <w:r>
        <w:rPr>
          <w:spacing w:val="-9"/>
        </w:rPr>
        <w:t xml:space="preserve"> </w:t>
      </w:r>
      <w:r>
        <w:t>achieve</w:t>
      </w:r>
      <w:r>
        <w:rPr>
          <w:spacing w:val="-9"/>
        </w:rPr>
        <w:t xml:space="preserve"> </w:t>
      </w:r>
      <w:r>
        <w:t>the objectives and outcomes in its work plan.</w:t>
      </w:r>
    </w:p>
    <w:p w14:paraId="42CF239B" w14:textId="0005D5F7" w:rsidR="009D54AF" w:rsidRDefault="00000000">
      <w:pPr>
        <w:tabs>
          <w:tab w:val="right" w:pos="5528"/>
        </w:tabs>
        <w:spacing w:before="293"/>
        <w:ind w:left="142"/>
        <w:rPr>
          <w:sz w:val="20"/>
        </w:rPr>
      </w:pPr>
      <w:hyperlink w:anchor="_Organisational_structure" w:history="1">
        <w:proofErr w:type="spellStart"/>
        <w:r w:rsidR="003E17E6">
          <w:rPr>
            <w:spacing w:val="-5"/>
            <w:sz w:val="20"/>
          </w:rPr>
          <w:t>Organisational</w:t>
        </w:r>
        <w:proofErr w:type="spellEnd"/>
        <w:r w:rsidR="003E17E6">
          <w:rPr>
            <w:spacing w:val="-5"/>
            <w:sz w:val="20"/>
          </w:rPr>
          <w:t xml:space="preserve"> structure</w:t>
        </w:r>
      </w:hyperlink>
    </w:p>
    <w:p w14:paraId="1F95D87D" w14:textId="756E7B09" w:rsidR="009D54AF" w:rsidRDefault="00000000">
      <w:pPr>
        <w:tabs>
          <w:tab w:val="right" w:pos="5528"/>
        </w:tabs>
        <w:spacing w:before="220"/>
        <w:ind w:left="142"/>
        <w:rPr>
          <w:sz w:val="20"/>
        </w:rPr>
      </w:pPr>
      <w:hyperlink w:anchor="_People_management" w:history="1">
        <w:r w:rsidR="003E17E6">
          <w:rPr>
            <w:spacing w:val="-5"/>
            <w:sz w:val="20"/>
          </w:rPr>
          <w:t>People management</w:t>
        </w:r>
      </w:hyperlink>
    </w:p>
    <w:p w14:paraId="529EEB75" w14:textId="3B0DD4FC" w:rsidR="009D54AF" w:rsidRDefault="00000000">
      <w:pPr>
        <w:tabs>
          <w:tab w:val="right" w:pos="5528"/>
        </w:tabs>
        <w:spacing w:before="220"/>
        <w:ind w:left="142"/>
        <w:rPr>
          <w:sz w:val="20"/>
        </w:rPr>
      </w:pPr>
      <w:hyperlink w:anchor="_Staff_profile" w:history="1">
        <w:r w:rsidR="003E17E6">
          <w:rPr>
            <w:spacing w:val="-5"/>
            <w:sz w:val="20"/>
          </w:rPr>
          <w:t>Staff profile</w:t>
        </w:r>
      </w:hyperlink>
    </w:p>
    <w:p w14:paraId="35BBBC40" w14:textId="4649BFC8" w:rsidR="009D54AF" w:rsidRDefault="00000000">
      <w:pPr>
        <w:tabs>
          <w:tab w:val="right" w:pos="5528"/>
        </w:tabs>
        <w:spacing w:before="220"/>
        <w:ind w:left="142"/>
        <w:rPr>
          <w:sz w:val="20"/>
        </w:rPr>
      </w:pPr>
      <w:hyperlink w:anchor="_Work_health_and" w:history="1">
        <w:r w:rsidR="003E17E6">
          <w:rPr>
            <w:spacing w:val="-5"/>
            <w:sz w:val="20"/>
          </w:rPr>
          <w:t>Work health and safety</w:t>
        </w:r>
      </w:hyperlink>
    </w:p>
    <w:p w14:paraId="7E31A76E" w14:textId="2B943AC6" w:rsidR="009D54AF" w:rsidRDefault="00000000">
      <w:pPr>
        <w:tabs>
          <w:tab w:val="right" w:pos="5528"/>
        </w:tabs>
        <w:spacing w:before="220"/>
        <w:ind w:left="142"/>
        <w:rPr>
          <w:sz w:val="20"/>
        </w:rPr>
      </w:pPr>
      <w:hyperlink w:anchor="_Capability" w:history="1">
        <w:r w:rsidR="003E17E6">
          <w:rPr>
            <w:spacing w:val="-5"/>
            <w:sz w:val="20"/>
          </w:rPr>
          <w:t>Capability</w:t>
        </w:r>
      </w:hyperlink>
    </w:p>
    <w:p w14:paraId="51F13267" w14:textId="36A8BA4C" w:rsidR="009D54AF" w:rsidRDefault="00000000">
      <w:pPr>
        <w:tabs>
          <w:tab w:val="right" w:pos="5528"/>
        </w:tabs>
        <w:spacing w:before="220"/>
        <w:ind w:left="142"/>
        <w:rPr>
          <w:sz w:val="20"/>
        </w:rPr>
      </w:pPr>
      <w:hyperlink w:anchor="_Workplace_diversity" w:history="1">
        <w:r w:rsidR="003E17E6">
          <w:rPr>
            <w:spacing w:val="-5"/>
            <w:sz w:val="20"/>
          </w:rPr>
          <w:t>Workplace diversity</w:t>
        </w:r>
      </w:hyperlink>
    </w:p>
    <w:p w14:paraId="2D27749B" w14:textId="5F65DCF5" w:rsidR="009D54AF" w:rsidRDefault="00000000">
      <w:pPr>
        <w:tabs>
          <w:tab w:val="right" w:pos="5528"/>
        </w:tabs>
        <w:spacing w:before="220"/>
        <w:ind w:left="142"/>
        <w:rPr>
          <w:sz w:val="20"/>
        </w:rPr>
      </w:pPr>
      <w:hyperlink w:anchor="_First_Nations_employment" w:history="1">
        <w:r w:rsidR="003E17E6">
          <w:rPr>
            <w:spacing w:val="-5"/>
            <w:sz w:val="20"/>
          </w:rPr>
          <w:t>First Nations employment</w:t>
        </w:r>
      </w:hyperlink>
    </w:p>
    <w:p w14:paraId="5DB13A52" w14:textId="2E72AE70" w:rsidR="009D54AF" w:rsidRDefault="009D54AF">
      <w:pPr>
        <w:pStyle w:val="BodyText"/>
        <w:spacing w:before="6"/>
        <w:rPr>
          <w:sz w:val="4"/>
        </w:rPr>
      </w:pPr>
    </w:p>
    <w:p w14:paraId="731737B9" w14:textId="77777777" w:rsidR="009D54AF" w:rsidRDefault="009D54AF">
      <w:pPr>
        <w:pStyle w:val="BodyText"/>
        <w:rPr>
          <w:sz w:val="4"/>
        </w:rPr>
        <w:sectPr w:rsidR="009D54AF">
          <w:pgSz w:w="11910" w:h="16840"/>
          <w:pgMar w:top="660" w:right="708" w:bottom="280" w:left="708" w:header="720" w:footer="720" w:gutter="0"/>
          <w:cols w:space="720"/>
        </w:sectPr>
      </w:pPr>
    </w:p>
    <w:p w14:paraId="5CC1AF8A" w14:textId="77777777" w:rsidR="009D54AF" w:rsidRDefault="00000000">
      <w:pPr>
        <w:pStyle w:val="Heading1"/>
        <w:spacing w:before="63"/>
        <w:jc w:val="both"/>
      </w:pPr>
      <w:bookmarkStart w:id="54" w:name="_TOC_250012"/>
      <w:bookmarkStart w:id="55" w:name="_Organisational_structure"/>
      <w:bookmarkStart w:id="56" w:name="_Toc243037284"/>
      <w:bookmarkEnd w:id="55"/>
      <w:proofErr w:type="spellStart"/>
      <w:r>
        <w:rPr>
          <w:spacing w:val="-2"/>
        </w:rPr>
        <w:lastRenderedPageBreak/>
        <w:t>Organisational</w:t>
      </w:r>
      <w:proofErr w:type="spellEnd"/>
      <w:r>
        <w:rPr>
          <w:spacing w:val="-12"/>
        </w:rPr>
        <w:t xml:space="preserve"> </w:t>
      </w:r>
      <w:bookmarkEnd w:id="54"/>
      <w:r>
        <w:rPr>
          <w:spacing w:val="-2"/>
        </w:rPr>
        <w:t>structure</w:t>
      </w:r>
      <w:bookmarkEnd w:id="56"/>
    </w:p>
    <w:p w14:paraId="0D781A60" w14:textId="77777777" w:rsidR="009D54AF" w:rsidRDefault="00000000">
      <w:pPr>
        <w:spacing w:before="249"/>
        <w:ind w:left="142"/>
        <w:jc w:val="both"/>
        <w:rPr>
          <w:sz w:val="19"/>
        </w:rPr>
      </w:pPr>
      <w:r>
        <w:rPr>
          <w:b/>
          <w:sz w:val="19"/>
        </w:rPr>
        <w:t>Figure</w:t>
      </w:r>
      <w:r>
        <w:rPr>
          <w:b/>
          <w:spacing w:val="3"/>
          <w:sz w:val="19"/>
        </w:rPr>
        <w:t xml:space="preserve"> </w:t>
      </w:r>
      <w:r>
        <w:rPr>
          <w:b/>
          <w:sz w:val="19"/>
        </w:rPr>
        <w:t>2</w:t>
      </w:r>
      <w:r>
        <w:rPr>
          <w:b/>
          <w:spacing w:val="4"/>
          <w:sz w:val="19"/>
        </w:rPr>
        <w:t xml:space="preserve"> </w:t>
      </w:r>
      <w:proofErr w:type="spellStart"/>
      <w:r>
        <w:rPr>
          <w:sz w:val="19"/>
        </w:rPr>
        <w:t>Organisational</w:t>
      </w:r>
      <w:proofErr w:type="spellEnd"/>
      <w:r>
        <w:rPr>
          <w:spacing w:val="4"/>
          <w:sz w:val="19"/>
        </w:rPr>
        <w:t xml:space="preserve"> </w:t>
      </w:r>
      <w:r>
        <w:rPr>
          <w:spacing w:val="-2"/>
          <w:sz w:val="19"/>
        </w:rPr>
        <w:t>structure</w:t>
      </w:r>
    </w:p>
    <w:p w14:paraId="5398952A" w14:textId="77777777" w:rsidR="009D54AF" w:rsidRDefault="009D54AF">
      <w:pPr>
        <w:pStyle w:val="BodyText"/>
        <w:spacing w:before="56"/>
        <w:rPr>
          <w:sz w:val="20"/>
        </w:rPr>
      </w:pPr>
    </w:p>
    <w:tbl>
      <w:tblPr>
        <w:tblW w:w="0" w:type="auto"/>
        <w:tblInd w:w="149" w:type="dxa"/>
        <w:tblLayout w:type="fixed"/>
        <w:tblCellMar>
          <w:left w:w="0" w:type="dxa"/>
          <w:right w:w="0" w:type="dxa"/>
        </w:tblCellMar>
        <w:tblLook w:val="01E0" w:firstRow="1" w:lastRow="1" w:firstColumn="1" w:lastColumn="1" w:noHBand="0" w:noVBand="0"/>
      </w:tblPr>
      <w:tblGrid>
        <w:gridCol w:w="850"/>
        <w:gridCol w:w="244"/>
        <w:gridCol w:w="606"/>
        <w:gridCol w:w="244"/>
        <w:gridCol w:w="246"/>
        <w:gridCol w:w="603"/>
        <w:gridCol w:w="247"/>
        <w:gridCol w:w="244"/>
        <w:gridCol w:w="604"/>
        <w:gridCol w:w="246"/>
        <w:gridCol w:w="245"/>
        <w:gridCol w:w="605"/>
        <w:gridCol w:w="245"/>
        <w:gridCol w:w="247"/>
        <w:gridCol w:w="602"/>
        <w:gridCol w:w="247"/>
        <w:gridCol w:w="243"/>
        <w:gridCol w:w="606"/>
        <w:gridCol w:w="243"/>
        <w:gridCol w:w="850"/>
      </w:tblGrid>
      <w:tr w:rsidR="009D54AF" w14:paraId="5467B246" w14:textId="77777777">
        <w:trPr>
          <w:trHeight w:val="283"/>
        </w:trPr>
        <w:tc>
          <w:tcPr>
            <w:tcW w:w="3284" w:type="dxa"/>
            <w:gridSpan w:val="8"/>
            <w:vMerge w:val="restart"/>
          </w:tcPr>
          <w:p w14:paraId="1F9F4041" w14:textId="77777777" w:rsidR="009D54AF" w:rsidRDefault="009D54AF">
            <w:pPr>
              <w:pStyle w:val="TableParagraph"/>
              <w:rPr>
                <w:rFonts w:ascii="Times New Roman"/>
                <w:sz w:val="20"/>
              </w:rPr>
            </w:pPr>
          </w:p>
        </w:tc>
        <w:tc>
          <w:tcPr>
            <w:tcW w:w="1700" w:type="dxa"/>
            <w:gridSpan w:val="4"/>
            <w:shd w:val="clear" w:color="auto" w:fill="3A74BA"/>
          </w:tcPr>
          <w:p w14:paraId="3B70C8D8" w14:textId="77777777" w:rsidR="009D54AF" w:rsidRDefault="009D54AF">
            <w:pPr>
              <w:pStyle w:val="TableParagraph"/>
              <w:rPr>
                <w:rFonts w:ascii="Times New Roman"/>
                <w:sz w:val="20"/>
              </w:rPr>
            </w:pPr>
          </w:p>
        </w:tc>
        <w:tc>
          <w:tcPr>
            <w:tcW w:w="3283" w:type="dxa"/>
            <w:gridSpan w:val="8"/>
            <w:vMerge w:val="restart"/>
          </w:tcPr>
          <w:p w14:paraId="70D5C807" w14:textId="77777777" w:rsidR="009D54AF" w:rsidRDefault="009D54AF">
            <w:pPr>
              <w:pStyle w:val="TableParagraph"/>
              <w:rPr>
                <w:rFonts w:ascii="Times New Roman"/>
                <w:sz w:val="20"/>
              </w:rPr>
            </w:pPr>
          </w:p>
        </w:tc>
      </w:tr>
      <w:tr w:rsidR="009D54AF" w14:paraId="4DF494DC" w14:textId="77777777">
        <w:trPr>
          <w:trHeight w:val="283"/>
        </w:trPr>
        <w:tc>
          <w:tcPr>
            <w:tcW w:w="3284" w:type="dxa"/>
            <w:gridSpan w:val="8"/>
            <w:vMerge/>
            <w:tcBorders>
              <w:top w:val="nil"/>
            </w:tcBorders>
          </w:tcPr>
          <w:p w14:paraId="292EF97A" w14:textId="77777777" w:rsidR="009D54AF" w:rsidRDefault="009D54AF">
            <w:pPr>
              <w:rPr>
                <w:sz w:val="2"/>
                <w:szCs w:val="2"/>
              </w:rPr>
            </w:pPr>
          </w:p>
        </w:tc>
        <w:tc>
          <w:tcPr>
            <w:tcW w:w="1700" w:type="dxa"/>
            <w:gridSpan w:val="4"/>
            <w:shd w:val="clear" w:color="auto" w:fill="75A7D9"/>
          </w:tcPr>
          <w:p w14:paraId="0A259331" w14:textId="77777777" w:rsidR="009D54AF" w:rsidRDefault="009D54AF">
            <w:pPr>
              <w:pStyle w:val="TableParagraph"/>
              <w:rPr>
                <w:rFonts w:ascii="Times New Roman"/>
                <w:sz w:val="20"/>
              </w:rPr>
            </w:pPr>
          </w:p>
        </w:tc>
        <w:tc>
          <w:tcPr>
            <w:tcW w:w="3283" w:type="dxa"/>
            <w:gridSpan w:val="8"/>
            <w:vMerge/>
            <w:tcBorders>
              <w:top w:val="nil"/>
            </w:tcBorders>
          </w:tcPr>
          <w:p w14:paraId="5E8C786B" w14:textId="77777777" w:rsidR="009D54AF" w:rsidRDefault="009D54AF">
            <w:pPr>
              <w:rPr>
                <w:sz w:val="2"/>
                <w:szCs w:val="2"/>
              </w:rPr>
            </w:pPr>
          </w:p>
        </w:tc>
      </w:tr>
      <w:tr w:rsidR="009D54AF" w14:paraId="6E8543D0" w14:textId="77777777">
        <w:trPr>
          <w:trHeight w:val="1417"/>
        </w:trPr>
        <w:tc>
          <w:tcPr>
            <w:tcW w:w="3284" w:type="dxa"/>
            <w:gridSpan w:val="8"/>
            <w:vMerge/>
            <w:tcBorders>
              <w:top w:val="nil"/>
            </w:tcBorders>
          </w:tcPr>
          <w:p w14:paraId="3AFF9CA8" w14:textId="77777777" w:rsidR="009D54AF" w:rsidRDefault="009D54AF">
            <w:pPr>
              <w:rPr>
                <w:sz w:val="2"/>
                <w:szCs w:val="2"/>
              </w:rPr>
            </w:pPr>
          </w:p>
        </w:tc>
        <w:tc>
          <w:tcPr>
            <w:tcW w:w="1700" w:type="dxa"/>
            <w:gridSpan w:val="4"/>
            <w:shd w:val="clear" w:color="auto" w:fill="BFD7F0"/>
          </w:tcPr>
          <w:p w14:paraId="7B299F9C" w14:textId="77777777" w:rsidR="009D54AF" w:rsidRDefault="009D54AF">
            <w:pPr>
              <w:pStyle w:val="TableParagraph"/>
              <w:rPr>
                <w:sz w:val="17"/>
              </w:rPr>
            </w:pPr>
          </w:p>
          <w:p w14:paraId="06DD27ED" w14:textId="77777777" w:rsidR="009D54AF" w:rsidRDefault="009D54AF">
            <w:pPr>
              <w:pStyle w:val="TableParagraph"/>
              <w:spacing w:before="20"/>
              <w:rPr>
                <w:sz w:val="17"/>
              </w:rPr>
            </w:pPr>
          </w:p>
          <w:p w14:paraId="6D515323" w14:textId="77777777" w:rsidR="009D54AF" w:rsidRDefault="00000000">
            <w:pPr>
              <w:pStyle w:val="TableParagraph"/>
              <w:spacing w:line="256" w:lineRule="auto"/>
              <w:ind w:left="582" w:right="238" w:hanging="330"/>
              <w:rPr>
                <w:sz w:val="17"/>
              </w:rPr>
            </w:pPr>
            <w:r>
              <w:rPr>
                <w:spacing w:val="-6"/>
                <w:w w:val="110"/>
                <w:sz w:val="17"/>
              </w:rPr>
              <w:t>Chief</w:t>
            </w:r>
            <w:r>
              <w:rPr>
                <w:spacing w:val="-26"/>
                <w:w w:val="110"/>
                <w:sz w:val="17"/>
              </w:rPr>
              <w:t xml:space="preserve"> </w:t>
            </w:r>
            <w:r>
              <w:rPr>
                <w:spacing w:val="-6"/>
                <w:w w:val="110"/>
                <w:sz w:val="17"/>
              </w:rPr>
              <w:t xml:space="preserve">Executive </w:t>
            </w:r>
            <w:r>
              <w:rPr>
                <w:spacing w:val="-2"/>
                <w:w w:val="110"/>
                <w:sz w:val="17"/>
              </w:rPr>
              <w:t>Officer</w:t>
            </w:r>
          </w:p>
        </w:tc>
        <w:tc>
          <w:tcPr>
            <w:tcW w:w="3283" w:type="dxa"/>
            <w:gridSpan w:val="8"/>
            <w:vMerge/>
            <w:tcBorders>
              <w:top w:val="nil"/>
            </w:tcBorders>
          </w:tcPr>
          <w:p w14:paraId="63EF4DB7" w14:textId="77777777" w:rsidR="009D54AF" w:rsidRDefault="009D54AF">
            <w:pPr>
              <w:rPr>
                <w:sz w:val="2"/>
                <w:szCs w:val="2"/>
              </w:rPr>
            </w:pPr>
          </w:p>
        </w:tc>
      </w:tr>
      <w:tr w:rsidR="009D54AF" w14:paraId="66BE141B" w14:textId="77777777">
        <w:trPr>
          <w:trHeight w:val="481"/>
        </w:trPr>
        <w:tc>
          <w:tcPr>
            <w:tcW w:w="4134" w:type="dxa"/>
            <w:gridSpan w:val="10"/>
            <w:tcBorders>
              <w:right w:val="single" w:sz="8" w:space="0" w:color="265EAC"/>
            </w:tcBorders>
          </w:tcPr>
          <w:p w14:paraId="098776B4" w14:textId="77777777" w:rsidR="009D54AF" w:rsidRDefault="009D54AF">
            <w:pPr>
              <w:pStyle w:val="TableParagraph"/>
              <w:rPr>
                <w:rFonts w:ascii="Times New Roman"/>
                <w:sz w:val="20"/>
              </w:rPr>
            </w:pPr>
          </w:p>
        </w:tc>
        <w:tc>
          <w:tcPr>
            <w:tcW w:w="4133" w:type="dxa"/>
            <w:gridSpan w:val="10"/>
            <w:tcBorders>
              <w:left w:val="single" w:sz="8" w:space="0" w:color="265EAC"/>
            </w:tcBorders>
          </w:tcPr>
          <w:p w14:paraId="2CE19FD9" w14:textId="77777777" w:rsidR="009D54AF" w:rsidRDefault="009D54AF">
            <w:pPr>
              <w:pStyle w:val="TableParagraph"/>
              <w:rPr>
                <w:rFonts w:ascii="Times New Roman"/>
                <w:sz w:val="20"/>
              </w:rPr>
            </w:pPr>
          </w:p>
        </w:tc>
      </w:tr>
      <w:tr w:rsidR="009D54AF" w14:paraId="53820DB4" w14:textId="77777777">
        <w:trPr>
          <w:trHeight w:val="475"/>
        </w:trPr>
        <w:tc>
          <w:tcPr>
            <w:tcW w:w="850" w:type="dxa"/>
            <w:vMerge w:val="restart"/>
            <w:tcBorders>
              <w:right w:val="single" w:sz="8" w:space="0" w:color="265EAC"/>
            </w:tcBorders>
          </w:tcPr>
          <w:p w14:paraId="25164C91" w14:textId="77777777" w:rsidR="009D54AF" w:rsidRDefault="009D54AF">
            <w:pPr>
              <w:pStyle w:val="TableParagraph"/>
              <w:rPr>
                <w:rFonts w:ascii="Times New Roman"/>
                <w:sz w:val="20"/>
              </w:rPr>
            </w:pPr>
          </w:p>
        </w:tc>
        <w:tc>
          <w:tcPr>
            <w:tcW w:w="1094" w:type="dxa"/>
            <w:gridSpan w:val="3"/>
            <w:tcBorders>
              <w:top w:val="single" w:sz="8" w:space="0" w:color="265EAC"/>
              <w:left w:val="single" w:sz="8" w:space="0" w:color="265EAC"/>
              <w:right w:val="single" w:sz="8" w:space="0" w:color="265EAC"/>
            </w:tcBorders>
          </w:tcPr>
          <w:p w14:paraId="63841AB5" w14:textId="77777777" w:rsidR="009D54AF" w:rsidRDefault="009D54AF">
            <w:pPr>
              <w:pStyle w:val="TableParagraph"/>
              <w:rPr>
                <w:rFonts w:ascii="Times New Roman"/>
                <w:sz w:val="20"/>
              </w:rPr>
            </w:pPr>
          </w:p>
        </w:tc>
        <w:tc>
          <w:tcPr>
            <w:tcW w:w="1096" w:type="dxa"/>
            <w:gridSpan w:val="3"/>
            <w:tcBorders>
              <w:top w:val="single" w:sz="8" w:space="0" w:color="265EAC"/>
              <w:left w:val="single" w:sz="8" w:space="0" w:color="265EAC"/>
              <w:right w:val="single" w:sz="8" w:space="0" w:color="265EAC"/>
            </w:tcBorders>
          </w:tcPr>
          <w:p w14:paraId="5E018F42" w14:textId="77777777" w:rsidR="009D54AF" w:rsidRDefault="009D54AF">
            <w:pPr>
              <w:pStyle w:val="TableParagraph"/>
              <w:rPr>
                <w:rFonts w:ascii="Times New Roman"/>
                <w:sz w:val="20"/>
              </w:rPr>
            </w:pPr>
          </w:p>
        </w:tc>
        <w:tc>
          <w:tcPr>
            <w:tcW w:w="1094" w:type="dxa"/>
            <w:gridSpan w:val="3"/>
            <w:tcBorders>
              <w:top w:val="single" w:sz="8" w:space="0" w:color="265EAC"/>
              <w:left w:val="single" w:sz="8" w:space="0" w:color="265EAC"/>
              <w:right w:val="single" w:sz="8" w:space="0" w:color="265EAC"/>
            </w:tcBorders>
          </w:tcPr>
          <w:p w14:paraId="7CE1BA54" w14:textId="77777777" w:rsidR="009D54AF" w:rsidRDefault="009D54AF">
            <w:pPr>
              <w:pStyle w:val="TableParagraph"/>
              <w:rPr>
                <w:rFonts w:ascii="Times New Roman"/>
                <w:sz w:val="20"/>
              </w:rPr>
            </w:pPr>
          </w:p>
        </w:tc>
        <w:tc>
          <w:tcPr>
            <w:tcW w:w="1095" w:type="dxa"/>
            <w:gridSpan w:val="3"/>
            <w:tcBorders>
              <w:top w:val="single" w:sz="8" w:space="0" w:color="265EAC"/>
              <w:left w:val="single" w:sz="8" w:space="0" w:color="265EAC"/>
              <w:right w:val="single" w:sz="8" w:space="0" w:color="265EAC"/>
            </w:tcBorders>
          </w:tcPr>
          <w:p w14:paraId="7AB6232C" w14:textId="77777777" w:rsidR="009D54AF" w:rsidRDefault="009D54AF">
            <w:pPr>
              <w:pStyle w:val="TableParagraph"/>
              <w:rPr>
                <w:rFonts w:ascii="Times New Roman"/>
                <w:sz w:val="20"/>
              </w:rPr>
            </w:pPr>
          </w:p>
        </w:tc>
        <w:tc>
          <w:tcPr>
            <w:tcW w:w="1096" w:type="dxa"/>
            <w:gridSpan w:val="3"/>
            <w:tcBorders>
              <w:top w:val="single" w:sz="8" w:space="0" w:color="265EAC"/>
              <w:left w:val="single" w:sz="8" w:space="0" w:color="265EAC"/>
              <w:right w:val="single" w:sz="8" w:space="0" w:color="265EAC"/>
            </w:tcBorders>
          </w:tcPr>
          <w:p w14:paraId="38703629" w14:textId="77777777" w:rsidR="009D54AF" w:rsidRDefault="009D54AF">
            <w:pPr>
              <w:pStyle w:val="TableParagraph"/>
              <w:rPr>
                <w:rFonts w:ascii="Times New Roman"/>
                <w:sz w:val="20"/>
              </w:rPr>
            </w:pPr>
          </w:p>
        </w:tc>
        <w:tc>
          <w:tcPr>
            <w:tcW w:w="1092" w:type="dxa"/>
            <w:gridSpan w:val="3"/>
            <w:tcBorders>
              <w:top w:val="single" w:sz="8" w:space="0" w:color="265EAC"/>
              <w:left w:val="single" w:sz="8" w:space="0" w:color="265EAC"/>
              <w:right w:val="single" w:sz="8" w:space="0" w:color="265EAC"/>
            </w:tcBorders>
          </w:tcPr>
          <w:p w14:paraId="43DAA161" w14:textId="77777777" w:rsidR="009D54AF" w:rsidRDefault="009D54AF">
            <w:pPr>
              <w:pStyle w:val="TableParagraph"/>
              <w:rPr>
                <w:rFonts w:ascii="Times New Roman"/>
                <w:sz w:val="20"/>
              </w:rPr>
            </w:pPr>
          </w:p>
        </w:tc>
        <w:tc>
          <w:tcPr>
            <w:tcW w:w="850" w:type="dxa"/>
            <w:vMerge w:val="restart"/>
            <w:tcBorders>
              <w:left w:val="single" w:sz="8" w:space="0" w:color="265EAC"/>
            </w:tcBorders>
          </w:tcPr>
          <w:p w14:paraId="356DE1F4" w14:textId="77777777" w:rsidR="009D54AF" w:rsidRDefault="009D54AF">
            <w:pPr>
              <w:pStyle w:val="TableParagraph"/>
              <w:rPr>
                <w:rFonts w:ascii="Times New Roman"/>
                <w:sz w:val="20"/>
              </w:rPr>
            </w:pPr>
          </w:p>
        </w:tc>
      </w:tr>
      <w:tr w:rsidR="009D54AF" w14:paraId="5E6D0DDD" w14:textId="77777777">
        <w:trPr>
          <w:trHeight w:val="283"/>
        </w:trPr>
        <w:tc>
          <w:tcPr>
            <w:tcW w:w="850" w:type="dxa"/>
            <w:vMerge/>
            <w:tcBorders>
              <w:top w:val="nil"/>
              <w:right w:val="single" w:sz="8" w:space="0" w:color="265EAC"/>
            </w:tcBorders>
          </w:tcPr>
          <w:p w14:paraId="3F5497D8" w14:textId="77777777" w:rsidR="009D54AF" w:rsidRDefault="009D54AF">
            <w:pPr>
              <w:rPr>
                <w:sz w:val="2"/>
                <w:szCs w:val="2"/>
              </w:rPr>
            </w:pPr>
          </w:p>
        </w:tc>
        <w:tc>
          <w:tcPr>
            <w:tcW w:w="244" w:type="dxa"/>
            <w:vMerge w:val="restart"/>
            <w:tcBorders>
              <w:left w:val="single" w:sz="8" w:space="0" w:color="265EAC"/>
            </w:tcBorders>
          </w:tcPr>
          <w:p w14:paraId="2B521110" w14:textId="77777777" w:rsidR="009D54AF" w:rsidRDefault="009D54AF">
            <w:pPr>
              <w:pStyle w:val="TableParagraph"/>
              <w:rPr>
                <w:rFonts w:ascii="Times New Roman"/>
                <w:sz w:val="20"/>
              </w:rPr>
            </w:pPr>
          </w:p>
        </w:tc>
        <w:tc>
          <w:tcPr>
            <w:tcW w:w="1699" w:type="dxa"/>
            <w:gridSpan w:val="4"/>
            <w:shd w:val="clear" w:color="auto" w:fill="3A74BA"/>
          </w:tcPr>
          <w:p w14:paraId="06655341" w14:textId="77777777" w:rsidR="009D54AF" w:rsidRDefault="009D54AF">
            <w:pPr>
              <w:pStyle w:val="TableParagraph"/>
              <w:rPr>
                <w:rFonts w:ascii="Times New Roman"/>
                <w:sz w:val="20"/>
              </w:rPr>
            </w:pPr>
          </w:p>
        </w:tc>
        <w:tc>
          <w:tcPr>
            <w:tcW w:w="247" w:type="dxa"/>
            <w:vMerge w:val="restart"/>
            <w:tcBorders>
              <w:right w:val="single" w:sz="8" w:space="0" w:color="265EAC"/>
            </w:tcBorders>
          </w:tcPr>
          <w:p w14:paraId="7837A02E" w14:textId="77777777" w:rsidR="009D54AF" w:rsidRDefault="009D54AF">
            <w:pPr>
              <w:pStyle w:val="TableParagraph"/>
              <w:rPr>
                <w:rFonts w:ascii="Times New Roman"/>
                <w:sz w:val="20"/>
              </w:rPr>
            </w:pPr>
          </w:p>
        </w:tc>
        <w:tc>
          <w:tcPr>
            <w:tcW w:w="244" w:type="dxa"/>
            <w:vMerge w:val="restart"/>
            <w:tcBorders>
              <w:left w:val="single" w:sz="8" w:space="0" w:color="265EAC"/>
            </w:tcBorders>
          </w:tcPr>
          <w:p w14:paraId="0908EE10" w14:textId="77777777" w:rsidR="009D54AF" w:rsidRDefault="009D54AF">
            <w:pPr>
              <w:pStyle w:val="TableParagraph"/>
              <w:rPr>
                <w:rFonts w:ascii="Times New Roman"/>
                <w:sz w:val="20"/>
              </w:rPr>
            </w:pPr>
          </w:p>
        </w:tc>
        <w:tc>
          <w:tcPr>
            <w:tcW w:w="1700" w:type="dxa"/>
            <w:gridSpan w:val="4"/>
            <w:shd w:val="clear" w:color="auto" w:fill="3A74BA"/>
          </w:tcPr>
          <w:p w14:paraId="36A19E46" w14:textId="77777777" w:rsidR="009D54AF" w:rsidRDefault="009D54AF">
            <w:pPr>
              <w:pStyle w:val="TableParagraph"/>
              <w:rPr>
                <w:rFonts w:ascii="Times New Roman"/>
                <w:sz w:val="20"/>
              </w:rPr>
            </w:pPr>
          </w:p>
        </w:tc>
        <w:tc>
          <w:tcPr>
            <w:tcW w:w="245" w:type="dxa"/>
            <w:vMerge w:val="restart"/>
            <w:tcBorders>
              <w:right w:val="single" w:sz="8" w:space="0" w:color="265EAC"/>
            </w:tcBorders>
          </w:tcPr>
          <w:p w14:paraId="7141C1B0" w14:textId="77777777" w:rsidR="009D54AF" w:rsidRDefault="009D54AF">
            <w:pPr>
              <w:pStyle w:val="TableParagraph"/>
              <w:rPr>
                <w:rFonts w:ascii="Times New Roman"/>
                <w:sz w:val="20"/>
              </w:rPr>
            </w:pPr>
          </w:p>
        </w:tc>
        <w:tc>
          <w:tcPr>
            <w:tcW w:w="247" w:type="dxa"/>
            <w:vMerge w:val="restart"/>
            <w:tcBorders>
              <w:left w:val="single" w:sz="8" w:space="0" w:color="265EAC"/>
            </w:tcBorders>
          </w:tcPr>
          <w:p w14:paraId="02B06A1D" w14:textId="77777777" w:rsidR="009D54AF" w:rsidRDefault="009D54AF">
            <w:pPr>
              <w:pStyle w:val="TableParagraph"/>
              <w:rPr>
                <w:rFonts w:ascii="Times New Roman"/>
                <w:sz w:val="20"/>
              </w:rPr>
            </w:pPr>
          </w:p>
        </w:tc>
        <w:tc>
          <w:tcPr>
            <w:tcW w:w="1698" w:type="dxa"/>
            <w:gridSpan w:val="4"/>
            <w:shd w:val="clear" w:color="auto" w:fill="3A74BA"/>
          </w:tcPr>
          <w:p w14:paraId="44E380AC" w14:textId="77777777" w:rsidR="009D54AF" w:rsidRDefault="009D54AF">
            <w:pPr>
              <w:pStyle w:val="TableParagraph"/>
              <w:rPr>
                <w:rFonts w:ascii="Times New Roman"/>
                <w:sz w:val="20"/>
              </w:rPr>
            </w:pPr>
          </w:p>
        </w:tc>
        <w:tc>
          <w:tcPr>
            <w:tcW w:w="243" w:type="dxa"/>
            <w:vMerge w:val="restart"/>
            <w:tcBorders>
              <w:right w:val="single" w:sz="8" w:space="0" w:color="265EAC"/>
            </w:tcBorders>
          </w:tcPr>
          <w:p w14:paraId="66CC31C8" w14:textId="77777777" w:rsidR="009D54AF" w:rsidRDefault="009D54AF">
            <w:pPr>
              <w:pStyle w:val="TableParagraph"/>
              <w:rPr>
                <w:rFonts w:ascii="Times New Roman"/>
                <w:sz w:val="20"/>
              </w:rPr>
            </w:pPr>
          </w:p>
        </w:tc>
        <w:tc>
          <w:tcPr>
            <w:tcW w:w="850" w:type="dxa"/>
            <w:vMerge/>
            <w:tcBorders>
              <w:top w:val="nil"/>
              <w:left w:val="single" w:sz="8" w:space="0" w:color="265EAC"/>
            </w:tcBorders>
          </w:tcPr>
          <w:p w14:paraId="429EBAB2" w14:textId="77777777" w:rsidR="009D54AF" w:rsidRDefault="009D54AF">
            <w:pPr>
              <w:rPr>
                <w:sz w:val="2"/>
                <w:szCs w:val="2"/>
              </w:rPr>
            </w:pPr>
          </w:p>
        </w:tc>
      </w:tr>
      <w:tr w:rsidR="009D54AF" w14:paraId="110C1907" w14:textId="77777777">
        <w:trPr>
          <w:trHeight w:val="283"/>
        </w:trPr>
        <w:tc>
          <w:tcPr>
            <w:tcW w:w="850" w:type="dxa"/>
            <w:vMerge/>
            <w:tcBorders>
              <w:top w:val="nil"/>
              <w:right w:val="single" w:sz="8" w:space="0" w:color="265EAC"/>
            </w:tcBorders>
          </w:tcPr>
          <w:p w14:paraId="18B9B0E7" w14:textId="77777777" w:rsidR="009D54AF" w:rsidRDefault="009D54AF">
            <w:pPr>
              <w:rPr>
                <w:sz w:val="2"/>
                <w:szCs w:val="2"/>
              </w:rPr>
            </w:pPr>
          </w:p>
        </w:tc>
        <w:tc>
          <w:tcPr>
            <w:tcW w:w="244" w:type="dxa"/>
            <w:vMerge/>
            <w:tcBorders>
              <w:top w:val="nil"/>
              <w:left w:val="single" w:sz="8" w:space="0" w:color="265EAC"/>
            </w:tcBorders>
          </w:tcPr>
          <w:p w14:paraId="26C44AB0" w14:textId="77777777" w:rsidR="009D54AF" w:rsidRDefault="009D54AF">
            <w:pPr>
              <w:rPr>
                <w:sz w:val="2"/>
                <w:szCs w:val="2"/>
              </w:rPr>
            </w:pPr>
          </w:p>
        </w:tc>
        <w:tc>
          <w:tcPr>
            <w:tcW w:w="1699" w:type="dxa"/>
            <w:gridSpan w:val="4"/>
            <w:shd w:val="clear" w:color="auto" w:fill="75A7D9"/>
          </w:tcPr>
          <w:p w14:paraId="53720153" w14:textId="77777777" w:rsidR="009D54AF" w:rsidRDefault="009D54AF">
            <w:pPr>
              <w:pStyle w:val="TableParagraph"/>
              <w:rPr>
                <w:rFonts w:ascii="Times New Roman"/>
                <w:sz w:val="20"/>
              </w:rPr>
            </w:pPr>
          </w:p>
        </w:tc>
        <w:tc>
          <w:tcPr>
            <w:tcW w:w="247" w:type="dxa"/>
            <w:vMerge/>
            <w:tcBorders>
              <w:top w:val="nil"/>
              <w:right w:val="single" w:sz="8" w:space="0" w:color="265EAC"/>
            </w:tcBorders>
          </w:tcPr>
          <w:p w14:paraId="57A9C09E" w14:textId="77777777" w:rsidR="009D54AF" w:rsidRDefault="009D54AF">
            <w:pPr>
              <w:rPr>
                <w:sz w:val="2"/>
                <w:szCs w:val="2"/>
              </w:rPr>
            </w:pPr>
          </w:p>
        </w:tc>
        <w:tc>
          <w:tcPr>
            <w:tcW w:w="244" w:type="dxa"/>
            <w:vMerge/>
            <w:tcBorders>
              <w:top w:val="nil"/>
              <w:left w:val="single" w:sz="8" w:space="0" w:color="265EAC"/>
            </w:tcBorders>
          </w:tcPr>
          <w:p w14:paraId="264F43B8" w14:textId="77777777" w:rsidR="009D54AF" w:rsidRDefault="009D54AF">
            <w:pPr>
              <w:rPr>
                <w:sz w:val="2"/>
                <w:szCs w:val="2"/>
              </w:rPr>
            </w:pPr>
          </w:p>
        </w:tc>
        <w:tc>
          <w:tcPr>
            <w:tcW w:w="1700" w:type="dxa"/>
            <w:gridSpan w:val="4"/>
            <w:shd w:val="clear" w:color="auto" w:fill="75A7D9"/>
          </w:tcPr>
          <w:p w14:paraId="49E5A6E9" w14:textId="77777777" w:rsidR="009D54AF" w:rsidRDefault="009D54AF">
            <w:pPr>
              <w:pStyle w:val="TableParagraph"/>
              <w:rPr>
                <w:rFonts w:ascii="Times New Roman"/>
                <w:sz w:val="20"/>
              </w:rPr>
            </w:pPr>
          </w:p>
        </w:tc>
        <w:tc>
          <w:tcPr>
            <w:tcW w:w="245" w:type="dxa"/>
            <w:vMerge/>
            <w:tcBorders>
              <w:top w:val="nil"/>
              <w:right w:val="single" w:sz="8" w:space="0" w:color="265EAC"/>
            </w:tcBorders>
          </w:tcPr>
          <w:p w14:paraId="0A4113E9" w14:textId="77777777" w:rsidR="009D54AF" w:rsidRDefault="009D54AF">
            <w:pPr>
              <w:rPr>
                <w:sz w:val="2"/>
                <w:szCs w:val="2"/>
              </w:rPr>
            </w:pPr>
          </w:p>
        </w:tc>
        <w:tc>
          <w:tcPr>
            <w:tcW w:w="247" w:type="dxa"/>
            <w:vMerge/>
            <w:tcBorders>
              <w:top w:val="nil"/>
              <w:left w:val="single" w:sz="8" w:space="0" w:color="265EAC"/>
            </w:tcBorders>
          </w:tcPr>
          <w:p w14:paraId="7DA58E42" w14:textId="77777777" w:rsidR="009D54AF" w:rsidRDefault="009D54AF">
            <w:pPr>
              <w:rPr>
                <w:sz w:val="2"/>
                <w:szCs w:val="2"/>
              </w:rPr>
            </w:pPr>
          </w:p>
        </w:tc>
        <w:tc>
          <w:tcPr>
            <w:tcW w:w="1698" w:type="dxa"/>
            <w:gridSpan w:val="4"/>
            <w:shd w:val="clear" w:color="auto" w:fill="75A7D9"/>
          </w:tcPr>
          <w:p w14:paraId="534F7828" w14:textId="77777777" w:rsidR="009D54AF" w:rsidRDefault="009D54AF">
            <w:pPr>
              <w:pStyle w:val="TableParagraph"/>
              <w:rPr>
                <w:rFonts w:ascii="Times New Roman"/>
                <w:sz w:val="20"/>
              </w:rPr>
            </w:pPr>
          </w:p>
        </w:tc>
        <w:tc>
          <w:tcPr>
            <w:tcW w:w="243" w:type="dxa"/>
            <w:vMerge/>
            <w:tcBorders>
              <w:top w:val="nil"/>
              <w:right w:val="single" w:sz="8" w:space="0" w:color="265EAC"/>
            </w:tcBorders>
          </w:tcPr>
          <w:p w14:paraId="2AC16BE0" w14:textId="77777777" w:rsidR="009D54AF" w:rsidRDefault="009D54AF">
            <w:pPr>
              <w:rPr>
                <w:sz w:val="2"/>
                <w:szCs w:val="2"/>
              </w:rPr>
            </w:pPr>
          </w:p>
        </w:tc>
        <w:tc>
          <w:tcPr>
            <w:tcW w:w="850" w:type="dxa"/>
            <w:vMerge/>
            <w:tcBorders>
              <w:top w:val="nil"/>
              <w:left w:val="single" w:sz="8" w:space="0" w:color="265EAC"/>
            </w:tcBorders>
          </w:tcPr>
          <w:p w14:paraId="595445F1" w14:textId="77777777" w:rsidR="009D54AF" w:rsidRDefault="009D54AF">
            <w:pPr>
              <w:rPr>
                <w:sz w:val="2"/>
                <w:szCs w:val="2"/>
              </w:rPr>
            </w:pPr>
          </w:p>
        </w:tc>
      </w:tr>
      <w:tr w:rsidR="009D54AF" w14:paraId="7A49D51A" w14:textId="77777777">
        <w:trPr>
          <w:trHeight w:val="1417"/>
        </w:trPr>
        <w:tc>
          <w:tcPr>
            <w:tcW w:w="850" w:type="dxa"/>
            <w:vMerge/>
            <w:tcBorders>
              <w:top w:val="nil"/>
              <w:right w:val="single" w:sz="8" w:space="0" w:color="265EAC"/>
            </w:tcBorders>
          </w:tcPr>
          <w:p w14:paraId="1828D94B" w14:textId="77777777" w:rsidR="009D54AF" w:rsidRDefault="009D54AF">
            <w:pPr>
              <w:rPr>
                <w:sz w:val="2"/>
                <w:szCs w:val="2"/>
              </w:rPr>
            </w:pPr>
          </w:p>
        </w:tc>
        <w:tc>
          <w:tcPr>
            <w:tcW w:w="244" w:type="dxa"/>
            <w:vMerge/>
            <w:tcBorders>
              <w:top w:val="nil"/>
              <w:left w:val="single" w:sz="8" w:space="0" w:color="265EAC"/>
            </w:tcBorders>
          </w:tcPr>
          <w:p w14:paraId="7224CB1D" w14:textId="77777777" w:rsidR="009D54AF" w:rsidRDefault="009D54AF">
            <w:pPr>
              <w:rPr>
                <w:sz w:val="2"/>
                <w:szCs w:val="2"/>
              </w:rPr>
            </w:pPr>
          </w:p>
        </w:tc>
        <w:tc>
          <w:tcPr>
            <w:tcW w:w="1699" w:type="dxa"/>
            <w:gridSpan w:val="4"/>
            <w:shd w:val="clear" w:color="auto" w:fill="BFD7F0"/>
          </w:tcPr>
          <w:p w14:paraId="08911292" w14:textId="77777777" w:rsidR="009D54AF" w:rsidRDefault="009D54AF">
            <w:pPr>
              <w:pStyle w:val="TableParagraph"/>
              <w:rPr>
                <w:sz w:val="17"/>
              </w:rPr>
            </w:pPr>
          </w:p>
          <w:p w14:paraId="40822868" w14:textId="77777777" w:rsidR="009D54AF" w:rsidRDefault="009D54AF">
            <w:pPr>
              <w:pStyle w:val="TableParagraph"/>
              <w:spacing w:before="36"/>
              <w:rPr>
                <w:sz w:val="17"/>
              </w:rPr>
            </w:pPr>
          </w:p>
          <w:p w14:paraId="5C54EE8D" w14:textId="77777777" w:rsidR="009D54AF" w:rsidRDefault="00000000">
            <w:pPr>
              <w:pStyle w:val="TableParagraph"/>
              <w:spacing w:line="256" w:lineRule="auto"/>
              <w:ind w:left="579" w:hanging="344"/>
              <w:rPr>
                <w:sz w:val="17"/>
              </w:rPr>
            </w:pPr>
            <w:r>
              <w:rPr>
                <w:sz w:val="17"/>
              </w:rPr>
              <w:t>Chief</w:t>
            </w:r>
            <w:r>
              <w:rPr>
                <w:spacing w:val="-23"/>
                <w:sz w:val="17"/>
              </w:rPr>
              <w:t xml:space="preserve"> </w:t>
            </w:r>
            <w:r>
              <w:rPr>
                <w:sz w:val="17"/>
              </w:rPr>
              <w:t xml:space="preserve">Operating </w:t>
            </w:r>
            <w:r>
              <w:rPr>
                <w:spacing w:val="-2"/>
                <w:w w:val="110"/>
                <w:sz w:val="17"/>
              </w:rPr>
              <w:t>Officer</w:t>
            </w:r>
          </w:p>
        </w:tc>
        <w:tc>
          <w:tcPr>
            <w:tcW w:w="247" w:type="dxa"/>
            <w:vMerge/>
            <w:tcBorders>
              <w:top w:val="nil"/>
              <w:right w:val="single" w:sz="8" w:space="0" w:color="265EAC"/>
            </w:tcBorders>
          </w:tcPr>
          <w:p w14:paraId="41509015" w14:textId="77777777" w:rsidR="009D54AF" w:rsidRDefault="009D54AF">
            <w:pPr>
              <w:rPr>
                <w:sz w:val="2"/>
                <w:szCs w:val="2"/>
              </w:rPr>
            </w:pPr>
          </w:p>
        </w:tc>
        <w:tc>
          <w:tcPr>
            <w:tcW w:w="244" w:type="dxa"/>
            <w:vMerge/>
            <w:tcBorders>
              <w:top w:val="nil"/>
              <w:left w:val="single" w:sz="8" w:space="0" w:color="265EAC"/>
            </w:tcBorders>
          </w:tcPr>
          <w:p w14:paraId="4AB44EF1" w14:textId="77777777" w:rsidR="009D54AF" w:rsidRDefault="009D54AF">
            <w:pPr>
              <w:rPr>
                <w:sz w:val="2"/>
                <w:szCs w:val="2"/>
              </w:rPr>
            </w:pPr>
          </w:p>
        </w:tc>
        <w:tc>
          <w:tcPr>
            <w:tcW w:w="1700" w:type="dxa"/>
            <w:gridSpan w:val="4"/>
            <w:shd w:val="clear" w:color="auto" w:fill="BFD7F0"/>
          </w:tcPr>
          <w:p w14:paraId="0245612D" w14:textId="77777777" w:rsidR="009D54AF" w:rsidRDefault="009D54AF">
            <w:pPr>
              <w:pStyle w:val="TableParagraph"/>
              <w:rPr>
                <w:sz w:val="17"/>
              </w:rPr>
            </w:pPr>
          </w:p>
          <w:p w14:paraId="3AADA4DC" w14:textId="77777777" w:rsidR="009D54AF" w:rsidRDefault="009D54AF">
            <w:pPr>
              <w:pStyle w:val="TableParagraph"/>
              <w:spacing w:before="36"/>
              <w:rPr>
                <w:sz w:val="17"/>
              </w:rPr>
            </w:pPr>
          </w:p>
          <w:p w14:paraId="329A5787" w14:textId="77777777" w:rsidR="009D54AF" w:rsidRDefault="00000000">
            <w:pPr>
              <w:pStyle w:val="TableParagraph"/>
              <w:spacing w:line="256" w:lineRule="auto"/>
              <w:ind w:left="583" w:right="238" w:hanging="256"/>
              <w:rPr>
                <w:sz w:val="17"/>
              </w:rPr>
            </w:pPr>
            <w:r>
              <w:rPr>
                <w:sz w:val="17"/>
              </w:rPr>
              <w:t>Chief</w:t>
            </w:r>
            <w:r>
              <w:rPr>
                <w:spacing w:val="-23"/>
                <w:sz w:val="17"/>
              </w:rPr>
              <w:t xml:space="preserve"> </w:t>
            </w:r>
            <w:r>
              <w:rPr>
                <w:sz w:val="17"/>
              </w:rPr>
              <w:t xml:space="preserve">Medical </w:t>
            </w:r>
            <w:r>
              <w:rPr>
                <w:spacing w:val="-2"/>
                <w:w w:val="110"/>
                <w:sz w:val="17"/>
              </w:rPr>
              <w:t>Officer</w:t>
            </w:r>
          </w:p>
        </w:tc>
        <w:tc>
          <w:tcPr>
            <w:tcW w:w="245" w:type="dxa"/>
            <w:vMerge/>
            <w:tcBorders>
              <w:top w:val="nil"/>
              <w:right w:val="single" w:sz="8" w:space="0" w:color="265EAC"/>
            </w:tcBorders>
          </w:tcPr>
          <w:p w14:paraId="661CAB16" w14:textId="77777777" w:rsidR="009D54AF" w:rsidRDefault="009D54AF">
            <w:pPr>
              <w:rPr>
                <w:sz w:val="2"/>
                <w:szCs w:val="2"/>
              </w:rPr>
            </w:pPr>
          </w:p>
        </w:tc>
        <w:tc>
          <w:tcPr>
            <w:tcW w:w="247" w:type="dxa"/>
            <w:vMerge/>
            <w:tcBorders>
              <w:top w:val="nil"/>
              <w:left w:val="single" w:sz="8" w:space="0" w:color="265EAC"/>
            </w:tcBorders>
          </w:tcPr>
          <w:p w14:paraId="74DC4B0C" w14:textId="77777777" w:rsidR="009D54AF" w:rsidRDefault="009D54AF">
            <w:pPr>
              <w:rPr>
                <w:sz w:val="2"/>
                <w:szCs w:val="2"/>
              </w:rPr>
            </w:pPr>
          </w:p>
        </w:tc>
        <w:tc>
          <w:tcPr>
            <w:tcW w:w="1698" w:type="dxa"/>
            <w:gridSpan w:val="4"/>
            <w:shd w:val="clear" w:color="auto" w:fill="BFD7F0"/>
          </w:tcPr>
          <w:p w14:paraId="42380651" w14:textId="77777777" w:rsidR="009D54AF" w:rsidRDefault="009D54AF">
            <w:pPr>
              <w:pStyle w:val="TableParagraph"/>
              <w:rPr>
                <w:sz w:val="17"/>
              </w:rPr>
            </w:pPr>
          </w:p>
          <w:p w14:paraId="7A572E1C" w14:textId="77777777" w:rsidR="009D54AF" w:rsidRDefault="009D54AF">
            <w:pPr>
              <w:pStyle w:val="TableParagraph"/>
              <w:spacing w:before="36"/>
              <w:rPr>
                <w:sz w:val="17"/>
              </w:rPr>
            </w:pPr>
          </w:p>
          <w:p w14:paraId="7D90DC75" w14:textId="77777777" w:rsidR="009D54AF" w:rsidRDefault="00000000">
            <w:pPr>
              <w:pStyle w:val="TableParagraph"/>
              <w:spacing w:line="256" w:lineRule="auto"/>
              <w:ind w:left="584" w:right="314" w:hanging="254"/>
              <w:rPr>
                <w:sz w:val="17"/>
              </w:rPr>
            </w:pPr>
            <w:r>
              <w:rPr>
                <w:sz w:val="17"/>
              </w:rPr>
              <w:t>Chief</w:t>
            </w:r>
            <w:r>
              <w:rPr>
                <w:spacing w:val="-23"/>
                <w:sz w:val="17"/>
              </w:rPr>
              <w:t xml:space="preserve"> </w:t>
            </w:r>
            <w:r>
              <w:rPr>
                <w:sz w:val="17"/>
              </w:rPr>
              <w:t xml:space="preserve">Nursing </w:t>
            </w:r>
            <w:r>
              <w:rPr>
                <w:spacing w:val="-2"/>
                <w:w w:val="110"/>
                <w:sz w:val="17"/>
              </w:rPr>
              <w:t>Officer</w:t>
            </w:r>
          </w:p>
        </w:tc>
        <w:tc>
          <w:tcPr>
            <w:tcW w:w="243" w:type="dxa"/>
            <w:vMerge/>
            <w:tcBorders>
              <w:top w:val="nil"/>
              <w:right w:val="single" w:sz="8" w:space="0" w:color="265EAC"/>
            </w:tcBorders>
          </w:tcPr>
          <w:p w14:paraId="3966711C" w14:textId="77777777" w:rsidR="009D54AF" w:rsidRDefault="009D54AF">
            <w:pPr>
              <w:rPr>
                <w:sz w:val="2"/>
                <w:szCs w:val="2"/>
              </w:rPr>
            </w:pPr>
          </w:p>
        </w:tc>
        <w:tc>
          <w:tcPr>
            <w:tcW w:w="850" w:type="dxa"/>
            <w:vMerge/>
            <w:tcBorders>
              <w:top w:val="nil"/>
              <w:left w:val="single" w:sz="8" w:space="0" w:color="265EAC"/>
            </w:tcBorders>
          </w:tcPr>
          <w:p w14:paraId="2A0E1BB6" w14:textId="77777777" w:rsidR="009D54AF" w:rsidRDefault="009D54AF">
            <w:pPr>
              <w:rPr>
                <w:sz w:val="2"/>
                <w:szCs w:val="2"/>
              </w:rPr>
            </w:pPr>
          </w:p>
        </w:tc>
      </w:tr>
      <w:tr w:rsidR="009D54AF" w14:paraId="3B71A075" w14:textId="77777777">
        <w:trPr>
          <w:trHeight w:val="488"/>
        </w:trPr>
        <w:tc>
          <w:tcPr>
            <w:tcW w:w="850" w:type="dxa"/>
            <w:vMerge/>
            <w:tcBorders>
              <w:top w:val="nil"/>
              <w:right w:val="single" w:sz="8" w:space="0" w:color="265EAC"/>
            </w:tcBorders>
          </w:tcPr>
          <w:p w14:paraId="7D814B4A" w14:textId="77777777" w:rsidR="009D54AF" w:rsidRDefault="009D54AF">
            <w:pPr>
              <w:rPr>
                <w:sz w:val="2"/>
                <w:szCs w:val="2"/>
              </w:rPr>
            </w:pPr>
          </w:p>
        </w:tc>
        <w:tc>
          <w:tcPr>
            <w:tcW w:w="2190" w:type="dxa"/>
            <w:gridSpan w:val="6"/>
            <w:tcBorders>
              <w:left w:val="single" w:sz="8" w:space="0" w:color="265EAC"/>
              <w:right w:val="single" w:sz="8" w:space="0" w:color="265EAC"/>
            </w:tcBorders>
          </w:tcPr>
          <w:p w14:paraId="64325808" w14:textId="77777777" w:rsidR="009D54AF" w:rsidRDefault="009D54AF">
            <w:pPr>
              <w:pStyle w:val="TableParagraph"/>
              <w:rPr>
                <w:rFonts w:ascii="Times New Roman"/>
                <w:sz w:val="20"/>
              </w:rPr>
            </w:pPr>
          </w:p>
        </w:tc>
        <w:tc>
          <w:tcPr>
            <w:tcW w:w="2189" w:type="dxa"/>
            <w:gridSpan w:val="6"/>
            <w:tcBorders>
              <w:left w:val="single" w:sz="8" w:space="0" w:color="265EAC"/>
              <w:right w:val="single" w:sz="8" w:space="0" w:color="265EAC"/>
            </w:tcBorders>
          </w:tcPr>
          <w:p w14:paraId="7A681860" w14:textId="77777777" w:rsidR="009D54AF" w:rsidRDefault="009D54AF">
            <w:pPr>
              <w:pStyle w:val="TableParagraph"/>
              <w:rPr>
                <w:rFonts w:ascii="Times New Roman"/>
                <w:sz w:val="20"/>
              </w:rPr>
            </w:pPr>
          </w:p>
        </w:tc>
        <w:tc>
          <w:tcPr>
            <w:tcW w:w="2188" w:type="dxa"/>
            <w:gridSpan w:val="6"/>
            <w:tcBorders>
              <w:left w:val="single" w:sz="8" w:space="0" w:color="265EAC"/>
              <w:right w:val="single" w:sz="8" w:space="0" w:color="265EAC"/>
            </w:tcBorders>
          </w:tcPr>
          <w:p w14:paraId="067C032E" w14:textId="77777777" w:rsidR="009D54AF" w:rsidRDefault="009D54AF">
            <w:pPr>
              <w:pStyle w:val="TableParagraph"/>
              <w:rPr>
                <w:rFonts w:ascii="Times New Roman"/>
                <w:sz w:val="20"/>
              </w:rPr>
            </w:pPr>
          </w:p>
        </w:tc>
        <w:tc>
          <w:tcPr>
            <w:tcW w:w="850" w:type="dxa"/>
            <w:vMerge/>
            <w:tcBorders>
              <w:top w:val="nil"/>
              <w:left w:val="single" w:sz="8" w:space="0" w:color="265EAC"/>
            </w:tcBorders>
          </w:tcPr>
          <w:p w14:paraId="5E92A931" w14:textId="77777777" w:rsidR="009D54AF" w:rsidRDefault="009D54AF">
            <w:pPr>
              <w:rPr>
                <w:sz w:val="2"/>
                <w:szCs w:val="2"/>
              </w:rPr>
            </w:pPr>
          </w:p>
        </w:tc>
      </w:tr>
      <w:tr w:rsidR="009D54AF" w14:paraId="5A227914" w14:textId="77777777">
        <w:trPr>
          <w:trHeight w:val="283"/>
        </w:trPr>
        <w:tc>
          <w:tcPr>
            <w:tcW w:w="1700" w:type="dxa"/>
            <w:gridSpan w:val="3"/>
            <w:shd w:val="clear" w:color="auto" w:fill="3A74BA"/>
          </w:tcPr>
          <w:p w14:paraId="11257250" w14:textId="77777777" w:rsidR="009D54AF" w:rsidRDefault="009D54AF">
            <w:pPr>
              <w:pStyle w:val="TableParagraph"/>
              <w:rPr>
                <w:rFonts w:ascii="Times New Roman"/>
                <w:sz w:val="20"/>
              </w:rPr>
            </w:pPr>
          </w:p>
        </w:tc>
        <w:tc>
          <w:tcPr>
            <w:tcW w:w="490" w:type="dxa"/>
            <w:gridSpan w:val="2"/>
            <w:vMerge w:val="restart"/>
          </w:tcPr>
          <w:p w14:paraId="649F1750" w14:textId="77777777" w:rsidR="009D54AF" w:rsidRDefault="009D54AF">
            <w:pPr>
              <w:pStyle w:val="TableParagraph"/>
              <w:rPr>
                <w:rFonts w:ascii="Times New Roman"/>
                <w:sz w:val="20"/>
              </w:rPr>
            </w:pPr>
          </w:p>
        </w:tc>
        <w:tc>
          <w:tcPr>
            <w:tcW w:w="1698" w:type="dxa"/>
            <w:gridSpan w:val="4"/>
            <w:shd w:val="clear" w:color="auto" w:fill="3A74BA"/>
          </w:tcPr>
          <w:p w14:paraId="464E575E" w14:textId="77777777" w:rsidR="009D54AF" w:rsidRDefault="009D54AF">
            <w:pPr>
              <w:pStyle w:val="TableParagraph"/>
              <w:rPr>
                <w:rFonts w:ascii="Times New Roman"/>
                <w:sz w:val="20"/>
              </w:rPr>
            </w:pPr>
          </w:p>
        </w:tc>
        <w:tc>
          <w:tcPr>
            <w:tcW w:w="491" w:type="dxa"/>
            <w:gridSpan w:val="2"/>
            <w:vMerge w:val="restart"/>
          </w:tcPr>
          <w:p w14:paraId="467A7BED" w14:textId="77777777" w:rsidR="009D54AF" w:rsidRDefault="009D54AF">
            <w:pPr>
              <w:pStyle w:val="TableParagraph"/>
              <w:rPr>
                <w:rFonts w:ascii="Times New Roman"/>
                <w:sz w:val="20"/>
              </w:rPr>
            </w:pPr>
          </w:p>
        </w:tc>
        <w:tc>
          <w:tcPr>
            <w:tcW w:w="1699" w:type="dxa"/>
            <w:gridSpan w:val="4"/>
            <w:shd w:val="clear" w:color="auto" w:fill="3A74BA"/>
          </w:tcPr>
          <w:p w14:paraId="63F11793" w14:textId="77777777" w:rsidR="009D54AF" w:rsidRDefault="009D54AF">
            <w:pPr>
              <w:pStyle w:val="TableParagraph"/>
              <w:rPr>
                <w:rFonts w:ascii="Times New Roman"/>
                <w:sz w:val="20"/>
              </w:rPr>
            </w:pPr>
          </w:p>
        </w:tc>
        <w:tc>
          <w:tcPr>
            <w:tcW w:w="490" w:type="dxa"/>
            <w:gridSpan w:val="2"/>
            <w:vMerge w:val="restart"/>
          </w:tcPr>
          <w:p w14:paraId="3322527F" w14:textId="77777777" w:rsidR="009D54AF" w:rsidRDefault="009D54AF">
            <w:pPr>
              <w:pStyle w:val="TableParagraph"/>
              <w:rPr>
                <w:rFonts w:ascii="Times New Roman"/>
                <w:sz w:val="20"/>
              </w:rPr>
            </w:pPr>
          </w:p>
        </w:tc>
        <w:tc>
          <w:tcPr>
            <w:tcW w:w="1699" w:type="dxa"/>
            <w:gridSpan w:val="3"/>
            <w:shd w:val="clear" w:color="auto" w:fill="3A74BA"/>
          </w:tcPr>
          <w:p w14:paraId="46C3A1C9" w14:textId="77777777" w:rsidR="009D54AF" w:rsidRDefault="009D54AF">
            <w:pPr>
              <w:pStyle w:val="TableParagraph"/>
              <w:rPr>
                <w:rFonts w:ascii="Times New Roman"/>
                <w:sz w:val="20"/>
              </w:rPr>
            </w:pPr>
          </w:p>
        </w:tc>
      </w:tr>
      <w:tr w:rsidR="009D54AF" w14:paraId="548586FB" w14:textId="77777777">
        <w:trPr>
          <w:trHeight w:val="283"/>
        </w:trPr>
        <w:tc>
          <w:tcPr>
            <w:tcW w:w="1700" w:type="dxa"/>
            <w:gridSpan w:val="3"/>
            <w:shd w:val="clear" w:color="auto" w:fill="75A7D9"/>
          </w:tcPr>
          <w:p w14:paraId="778BE508" w14:textId="77777777" w:rsidR="009D54AF" w:rsidRDefault="009D54AF">
            <w:pPr>
              <w:pStyle w:val="TableParagraph"/>
              <w:rPr>
                <w:rFonts w:ascii="Times New Roman"/>
                <w:sz w:val="20"/>
              </w:rPr>
            </w:pPr>
          </w:p>
        </w:tc>
        <w:tc>
          <w:tcPr>
            <w:tcW w:w="490" w:type="dxa"/>
            <w:gridSpan w:val="2"/>
            <w:vMerge/>
            <w:tcBorders>
              <w:top w:val="nil"/>
            </w:tcBorders>
          </w:tcPr>
          <w:p w14:paraId="4CDE4BE8" w14:textId="77777777" w:rsidR="009D54AF" w:rsidRDefault="009D54AF">
            <w:pPr>
              <w:rPr>
                <w:sz w:val="2"/>
                <w:szCs w:val="2"/>
              </w:rPr>
            </w:pPr>
          </w:p>
        </w:tc>
        <w:tc>
          <w:tcPr>
            <w:tcW w:w="1698" w:type="dxa"/>
            <w:gridSpan w:val="4"/>
            <w:shd w:val="clear" w:color="auto" w:fill="75A7D9"/>
          </w:tcPr>
          <w:p w14:paraId="0712E19F" w14:textId="77777777" w:rsidR="009D54AF" w:rsidRDefault="009D54AF">
            <w:pPr>
              <w:pStyle w:val="TableParagraph"/>
              <w:rPr>
                <w:rFonts w:ascii="Times New Roman"/>
                <w:sz w:val="20"/>
              </w:rPr>
            </w:pPr>
          </w:p>
        </w:tc>
        <w:tc>
          <w:tcPr>
            <w:tcW w:w="491" w:type="dxa"/>
            <w:gridSpan w:val="2"/>
            <w:vMerge/>
            <w:tcBorders>
              <w:top w:val="nil"/>
            </w:tcBorders>
          </w:tcPr>
          <w:p w14:paraId="7A66382C" w14:textId="77777777" w:rsidR="009D54AF" w:rsidRDefault="009D54AF">
            <w:pPr>
              <w:rPr>
                <w:sz w:val="2"/>
                <w:szCs w:val="2"/>
              </w:rPr>
            </w:pPr>
          </w:p>
        </w:tc>
        <w:tc>
          <w:tcPr>
            <w:tcW w:w="1699" w:type="dxa"/>
            <w:gridSpan w:val="4"/>
            <w:shd w:val="clear" w:color="auto" w:fill="75A7D9"/>
          </w:tcPr>
          <w:p w14:paraId="3E85DEA7" w14:textId="77777777" w:rsidR="009D54AF" w:rsidRDefault="009D54AF">
            <w:pPr>
              <w:pStyle w:val="TableParagraph"/>
              <w:rPr>
                <w:rFonts w:ascii="Times New Roman"/>
                <w:sz w:val="20"/>
              </w:rPr>
            </w:pPr>
          </w:p>
        </w:tc>
        <w:tc>
          <w:tcPr>
            <w:tcW w:w="490" w:type="dxa"/>
            <w:gridSpan w:val="2"/>
            <w:vMerge/>
            <w:tcBorders>
              <w:top w:val="nil"/>
            </w:tcBorders>
          </w:tcPr>
          <w:p w14:paraId="30BB9173" w14:textId="77777777" w:rsidR="009D54AF" w:rsidRDefault="009D54AF">
            <w:pPr>
              <w:rPr>
                <w:sz w:val="2"/>
                <w:szCs w:val="2"/>
              </w:rPr>
            </w:pPr>
          </w:p>
        </w:tc>
        <w:tc>
          <w:tcPr>
            <w:tcW w:w="1699" w:type="dxa"/>
            <w:gridSpan w:val="3"/>
            <w:shd w:val="clear" w:color="auto" w:fill="75A7D9"/>
          </w:tcPr>
          <w:p w14:paraId="26C7A805" w14:textId="77777777" w:rsidR="009D54AF" w:rsidRDefault="009D54AF">
            <w:pPr>
              <w:pStyle w:val="TableParagraph"/>
              <w:rPr>
                <w:rFonts w:ascii="Times New Roman"/>
                <w:sz w:val="20"/>
              </w:rPr>
            </w:pPr>
          </w:p>
        </w:tc>
      </w:tr>
      <w:tr w:rsidR="009D54AF" w14:paraId="15C382AB" w14:textId="77777777">
        <w:trPr>
          <w:trHeight w:val="1417"/>
        </w:trPr>
        <w:tc>
          <w:tcPr>
            <w:tcW w:w="1700" w:type="dxa"/>
            <w:gridSpan w:val="3"/>
            <w:shd w:val="clear" w:color="auto" w:fill="BFD7F0"/>
          </w:tcPr>
          <w:p w14:paraId="219829BF" w14:textId="77777777" w:rsidR="009D54AF" w:rsidRDefault="009D54AF">
            <w:pPr>
              <w:pStyle w:val="TableParagraph"/>
              <w:spacing w:before="145"/>
              <w:rPr>
                <w:sz w:val="17"/>
              </w:rPr>
            </w:pPr>
          </w:p>
          <w:p w14:paraId="658640B4" w14:textId="77777777" w:rsidR="009D54AF" w:rsidRDefault="00000000">
            <w:pPr>
              <w:pStyle w:val="TableParagraph"/>
              <w:spacing w:line="256" w:lineRule="auto"/>
              <w:ind w:left="85" w:firstLine="38"/>
              <w:rPr>
                <w:sz w:val="17"/>
              </w:rPr>
            </w:pPr>
            <w:r>
              <w:rPr>
                <w:w w:val="105"/>
                <w:sz w:val="17"/>
              </w:rPr>
              <w:t>Executive</w:t>
            </w:r>
            <w:r>
              <w:rPr>
                <w:spacing w:val="-26"/>
                <w:w w:val="105"/>
                <w:sz w:val="17"/>
              </w:rPr>
              <w:t xml:space="preserve"> </w:t>
            </w:r>
            <w:r>
              <w:rPr>
                <w:w w:val="105"/>
                <w:sz w:val="17"/>
              </w:rPr>
              <w:t xml:space="preserve">Director, </w:t>
            </w:r>
            <w:r>
              <w:rPr>
                <w:spacing w:val="-4"/>
                <w:w w:val="105"/>
                <w:sz w:val="17"/>
              </w:rPr>
              <w:t>Clinical</w:t>
            </w:r>
            <w:r>
              <w:rPr>
                <w:spacing w:val="-13"/>
                <w:w w:val="105"/>
                <w:sz w:val="17"/>
              </w:rPr>
              <w:t xml:space="preserve"> </w:t>
            </w:r>
            <w:r>
              <w:rPr>
                <w:spacing w:val="-5"/>
                <w:w w:val="105"/>
                <w:sz w:val="17"/>
              </w:rPr>
              <w:t>Governance</w:t>
            </w:r>
          </w:p>
        </w:tc>
        <w:tc>
          <w:tcPr>
            <w:tcW w:w="490" w:type="dxa"/>
            <w:gridSpan w:val="2"/>
            <w:vMerge/>
            <w:tcBorders>
              <w:top w:val="nil"/>
            </w:tcBorders>
          </w:tcPr>
          <w:p w14:paraId="6A6D1BB2" w14:textId="77777777" w:rsidR="009D54AF" w:rsidRDefault="009D54AF">
            <w:pPr>
              <w:rPr>
                <w:sz w:val="2"/>
                <w:szCs w:val="2"/>
              </w:rPr>
            </w:pPr>
          </w:p>
        </w:tc>
        <w:tc>
          <w:tcPr>
            <w:tcW w:w="1698" w:type="dxa"/>
            <w:gridSpan w:val="4"/>
            <w:shd w:val="clear" w:color="auto" w:fill="BFD7F0"/>
          </w:tcPr>
          <w:p w14:paraId="76CC617D" w14:textId="77777777" w:rsidR="009D54AF" w:rsidRDefault="009D54AF">
            <w:pPr>
              <w:pStyle w:val="TableParagraph"/>
              <w:spacing w:before="145"/>
              <w:rPr>
                <w:sz w:val="17"/>
              </w:rPr>
            </w:pPr>
          </w:p>
          <w:p w14:paraId="19C4F2D8" w14:textId="77777777" w:rsidR="009D54AF" w:rsidRDefault="00000000">
            <w:pPr>
              <w:pStyle w:val="TableParagraph"/>
              <w:spacing w:line="256" w:lineRule="auto"/>
              <w:ind w:left="126" w:right="118"/>
              <w:jc w:val="center"/>
              <w:rPr>
                <w:sz w:val="17"/>
              </w:rPr>
            </w:pPr>
            <w:r>
              <w:rPr>
                <w:spacing w:val="-2"/>
                <w:w w:val="105"/>
                <w:sz w:val="17"/>
              </w:rPr>
              <w:t>Executive</w:t>
            </w:r>
            <w:r>
              <w:rPr>
                <w:spacing w:val="-26"/>
                <w:w w:val="105"/>
                <w:sz w:val="17"/>
              </w:rPr>
              <w:t xml:space="preserve"> </w:t>
            </w:r>
            <w:r>
              <w:rPr>
                <w:spacing w:val="-2"/>
                <w:w w:val="105"/>
                <w:sz w:val="17"/>
              </w:rPr>
              <w:t xml:space="preserve">Director, </w:t>
            </w:r>
            <w:r>
              <w:rPr>
                <w:w w:val="105"/>
                <w:sz w:val="17"/>
              </w:rPr>
              <w:t>Strategy</w:t>
            </w:r>
            <w:r>
              <w:rPr>
                <w:spacing w:val="-24"/>
                <w:w w:val="105"/>
                <w:sz w:val="17"/>
              </w:rPr>
              <w:t xml:space="preserve"> </w:t>
            </w:r>
            <w:r>
              <w:rPr>
                <w:w w:val="105"/>
                <w:sz w:val="17"/>
              </w:rPr>
              <w:t xml:space="preserve">and </w:t>
            </w:r>
            <w:r>
              <w:rPr>
                <w:spacing w:val="-2"/>
                <w:w w:val="105"/>
                <w:sz w:val="17"/>
              </w:rPr>
              <w:t>Innovation</w:t>
            </w:r>
          </w:p>
        </w:tc>
        <w:tc>
          <w:tcPr>
            <w:tcW w:w="491" w:type="dxa"/>
            <w:gridSpan w:val="2"/>
            <w:vMerge/>
            <w:tcBorders>
              <w:top w:val="nil"/>
            </w:tcBorders>
          </w:tcPr>
          <w:p w14:paraId="33A51AD1" w14:textId="77777777" w:rsidR="009D54AF" w:rsidRDefault="009D54AF">
            <w:pPr>
              <w:rPr>
                <w:sz w:val="2"/>
                <w:szCs w:val="2"/>
              </w:rPr>
            </w:pPr>
          </w:p>
        </w:tc>
        <w:tc>
          <w:tcPr>
            <w:tcW w:w="1699" w:type="dxa"/>
            <w:gridSpan w:val="4"/>
            <w:shd w:val="clear" w:color="auto" w:fill="BFD7F0"/>
          </w:tcPr>
          <w:p w14:paraId="60028F4D" w14:textId="77777777" w:rsidR="009D54AF" w:rsidRDefault="009D54AF">
            <w:pPr>
              <w:pStyle w:val="TableParagraph"/>
              <w:spacing w:before="145"/>
              <w:rPr>
                <w:sz w:val="17"/>
              </w:rPr>
            </w:pPr>
          </w:p>
          <w:p w14:paraId="5D4072D5" w14:textId="77777777" w:rsidR="009D54AF" w:rsidRDefault="00000000">
            <w:pPr>
              <w:pStyle w:val="TableParagraph"/>
              <w:spacing w:line="256" w:lineRule="auto"/>
              <w:ind w:left="13"/>
              <w:jc w:val="center"/>
              <w:rPr>
                <w:sz w:val="17"/>
              </w:rPr>
            </w:pPr>
            <w:r>
              <w:rPr>
                <w:sz w:val="17"/>
              </w:rPr>
              <w:t>Executive</w:t>
            </w:r>
            <w:r>
              <w:rPr>
                <w:spacing w:val="-23"/>
                <w:sz w:val="17"/>
              </w:rPr>
              <w:t xml:space="preserve"> </w:t>
            </w:r>
            <w:r>
              <w:rPr>
                <w:sz w:val="17"/>
              </w:rPr>
              <w:t xml:space="preserve">Director, </w:t>
            </w:r>
            <w:proofErr w:type="spellStart"/>
            <w:r>
              <w:rPr>
                <w:spacing w:val="-2"/>
                <w:w w:val="110"/>
                <w:sz w:val="17"/>
              </w:rPr>
              <w:t>Intergovernment</w:t>
            </w:r>
            <w:proofErr w:type="spellEnd"/>
            <w:r>
              <w:rPr>
                <w:spacing w:val="-2"/>
                <w:w w:val="110"/>
                <w:sz w:val="17"/>
              </w:rPr>
              <w:t xml:space="preserve"> Relations</w:t>
            </w:r>
          </w:p>
        </w:tc>
        <w:tc>
          <w:tcPr>
            <w:tcW w:w="490" w:type="dxa"/>
            <w:gridSpan w:val="2"/>
            <w:vMerge/>
            <w:tcBorders>
              <w:top w:val="nil"/>
            </w:tcBorders>
          </w:tcPr>
          <w:p w14:paraId="0C824ADF" w14:textId="77777777" w:rsidR="009D54AF" w:rsidRDefault="009D54AF">
            <w:pPr>
              <w:rPr>
                <w:sz w:val="2"/>
                <w:szCs w:val="2"/>
              </w:rPr>
            </w:pPr>
          </w:p>
        </w:tc>
        <w:tc>
          <w:tcPr>
            <w:tcW w:w="1699" w:type="dxa"/>
            <w:gridSpan w:val="3"/>
            <w:shd w:val="clear" w:color="auto" w:fill="BFD7F0"/>
          </w:tcPr>
          <w:p w14:paraId="7D7EF94A" w14:textId="77777777" w:rsidR="009D54AF" w:rsidRDefault="009D54AF">
            <w:pPr>
              <w:pStyle w:val="TableParagraph"/>
              <w:spacing w:before="145"/>
              <w:rPr>
                <w:sz w:val="17"/>
              </w:rPr>
            </w:pPr>
          </w:p>
          <w:p w14:paraId="0B2E9980" w14:textId="77777777" w:rsidR="009D54AF" w:rsidRDefault="00000000">
            <w:pPr>
              <w:pStyle w:val="TableParagraph"/>
              <w:spacing w:line="256" w:lineRule="auto"/>
              <w:ind w:left="247" w:right="228" w:firstLine="360"/>
              <w:rPr>
                <w:sz w:val="17"/>
              </w:rPr>
            </w:pPr>
            <w:r>
              <w:rPr>
                <w:spacing w:val="-2"/>
                <w:w w:val="105"/>
                <w:sz w:val="17"/>
              </w:rPr>
              <w:t>Senior Medical</w:t>
            </w:r>
            <w:r>
              <w:rPr>
                <w:spacing w:val="-24"/>
                <w:w w:val="105"/>
                <w:sz w:val="17"/>
              </w:rPr>
              <w:t xml:space="preserve"> </w:t>
            </w:r>
            <w:r>
              <w:rPr>
                <w:spacing w:val="-2"/>
                <w:w w:val="105"/>
                <w:sz w:val="17"/>
              </w:rPr>
              <w:t>Adviser</w:t>
            </w:r>
          </w:p>
        </w:tc>
      </w:tr>
    </w:tbl>
    <w:p w14:paraId="08789252" w14:textId="77777777" w:rsidR="009D54AF" w:rsidRDefault="009D54AF">
      <w:pPr>
        <w:pStyle w:val="BodyText"/>
        <w:rPr>
          <w:sz w:val="19"/>
        </w:rPr>
      </w:pPr>
    </w:p>
    <w:p w14:paraId="1492101C" w14:textId="77777777" w:rsidR="009D54AF" w:rsidRDefault="009D54AF">
      <w:pPr>
        <w:pStyle w:val="BodyText"/>
        <w:rPr>
          <w:sz w:val="19"/>
        </w:rPr>
      </w:pPr>
    </w:p>
    <w:p w14:paraId="4280BE1D" w14:textId="77777777" w:rsidR="009D54AF" w:rsidRDefault="009D54AF">
      <w:pPr>
        <w:pStyle w:val="BodyText"/>
        <w:rPr>
          <w:sz w:val="19"/>
        </w:rPr>
      </w:pPr>
    </w:p>
    <w:p w14:paraId="04ED77DC" w14:textId="77777777" w:rsidR="009D54AF" w:rsidRDefault="00000000">
      <w:pPr>
        <w:pStyle w:val="Heading1"/>
        <w:spacing w:before="1"/>
        <w:jc w:val="both"/>
      </w:pPr>
      <w:bookmarkStart w:id="57" w:name="_TOC_250011"/>
      <w:bookmarkStart w:id="58" w:name="_People_management"/>
      <w:bookmarkStart w:id="59" w:name="_Toc243037285"/>
      <w:bookmarkEnd w:id="58"/>
      <w:r>
        <w:rPr>
          <w:spacing w:val="-2"/>
        </w:rPr>
        <w:t>People</w:t>
      </w:r>
      <w:r>
        <w:rPr>
          <w:spacing w:val="-24"/>
        </w:rPr>
        <w:t xml:space="preserve"> </w:t>
      </w:r>
      <w:bookmarkEnd w:id="57"/>
      <w:r>
        <w:rPr>
          <w:spacing w:val="-2"/>
        </w:rPr>
        <w:t>management</w:t>
      </w:r>
      <w:bookmarkEnd w:id="59"/>
    </w:p>
    <w:p w14:paraId="251BDEC2" w14:textId="77777777" w:rsidR="009D54AF" w:rsidRDefault="00000000">
      <w:pPr>
        <w:pStyle w:val="Heading9"/>
        <w:spacing w:line="268" w:lineRule="auto"/>
        <w:ind w:right="285"/>
      </w:pPr>
      <w:r>
        <w:t>The</w:t>
      </w:r>
      <w:r>
        <w:rPr>
          <w:spacing w:val="-12"/>
        </w:rPr>
        <w:t xml:space="preserve"> </w:t>
      </w:r>
      <w:r>
        <w:t>continuing</w:t>
      </w:r>
      <w:r>
        <w:rPr>
          <w:spacing w:val="-12"/>
        </w:rPr>
        <w:t xml:space="preserve"> </w:t>
      </w:r>
      <w:r>
        <w:t>commitment,</w:t>
      </w:r>
      <w:r>
        <w:rPr>
          <w:spacing w:val="-12"/>
        </w:rPr>
        <w:t xml:space="preserve"> </w:t>
      </w:r>
      <w:r>
        <w:t>adaptability</w:t>
      </w:r>
      <w:r>
        <w:rPr>
          <w:spacing w:val="-12"/>
        </w:rPr>
        <w:t xml:space="preserve"> </w:t>
      </w:r>
      <w:r>
        <w:t>and</w:t>
      </w:r>
      <w:r>
        <w:rPr>
          <w:spacing w:val="-12"/>
        </w:rPr>
        <w:t xml:space="preserve"> </w:t>
      </w:r>
      <w:r>
        <w:t>professionalism</w:t>
      </w:r>
      <w:r>
        <w:rPr>
          <w:spacing w:val="-12"/>
        </w:rPr>
        <w:t xml:space="preserve"> </w:t>
      </w:r>
      <w:r>
        <w:t>of</w:t>
      </w:r>
      <w:r>
        <w:rPr>
          <w:spacing w:val="-12"/>
        </w:rPr>
        <w:t xml:space="preserve"> </w:t>
      </w:r>
      <w:r>
        <w:t>Commission</w:t>
      </w:r>
      <w:r>
        <w:rPr>
          <w:spacing w:val="-12"/>
        </w:rPr>
        <w:t xml:space="preserve"> </w:t>
      </w:r>
      <w:r>
        <w:t>staff</w:t>
      </w:r>
      <w:r>
        <w:rPr>
          <w:spacing w:val="-12"/>
        </w:rPr>
        <w:t xml:space="preserve"> </w:t>
      </w:r>
      <w:r>
        <w:t>has</w:t>
      </w:r>
      <w:r>
        <w:rPr>
          <w:spacing w:val="-12"/>
        </w:rPr>
        <w:t xml:space="preserve"> </w:t>
      </w:r>
      <w:r>
        <w:t>enabled the</w:t>
      </w:r>
      <w:r>
        <w:rPr>
          <w:spacing w:val="-2"/>
        </w:rPr>
        <w:t xml:space="preserve"> </w:t>
      </w:r>
      <w:r>
        <w:t>Commission</w:t>
      </w:r>
      <w:r>
        <w:rPr>
          <w:spacing w:val="-2"/>
        </w:rPr>
        <w:t xml:space="preserve"> </w:t>
      </w:r>
      <w:r>
        <w:t>to</w:t>
      </w:r>
      <w:r>
        <w:rPr>
          <w:spacing w:val="-2"/>
        </w:rPr>
        <w:t xml:space="preserve"> </w:t>
      </w:r>
      <w:r>
        <w:t>continue</w:t>
      </w:r>
      <w:r>
        <w:rPr>
          <w:spacing w:val="-2"/>
        </w:rPr>
        <w:t xml:space="preserve"> </w:t>
      </w:r>
      <w:r>
        <w:t>leading</w:t>
      </w:r>
      <w:r>
        <w:rPr>
          <w:spacing w:val="-2"/>
        </w:rPr>
        <w:t xml:space="preserve"> </w:t>
      </w:r>
      <w:r>
        <w:t>national</w:t>
      </w:r>
      <w:r>
        <w:rPr>
          <w:spacing w:val="-2"/>
        </w:rPr>
        <w:t xml:space="preserve"> </w:t>
      </w:r>
      <w:r>
        <w:t>efforts</w:t>
      </w:r>
      <w:r>
        <w:rPr>
          <w:spacing w:val="-2"/>
        </w:rPr>
        <w:t xml:space="preserve"> </w:t>
      </w:r>
      <w:r>
        <w:t>to</w:t>
      </w:r>
      <w:r>
        <w:rPr>
          <w:spacing w:val="-2"/>
        </w:rPr>
        <w:t xml:space="preserve"> </w:t>
      </w:r>
      <w:r>
        <w:t>improve</w:t>
      </w:r>
      <w:r>
        <w:rPr>
          <w:spacing w:val="-2"/>
        </w:rPr>
        <w:t xml:space="preserve"> </w:t>
      </w:r>
      <w:r>
        <w:t>the</w:t>
      </w:r>
      <w:r>
        <w:rPr>
          <w:spacing w:val="-2"/>
        </w:rPr>
        <w:t xml:space="preserve"> </w:t>
      </w:r>
      <w:r>
        <w:t>quality</w:t>
      </w:r>
      <w:r>
        <w:rPr>
          <w:spacing w:val="-2"/>
        </w:rPr>
        <w:t xml:space="preserve"> </w:t>
      </w:r>
      <w:r>
        <w:t>and</w:t>
      </w:r>
      <w:r>
        <w:rPr>
          <w:spacing w:val="-2"/>
        </w:rPr>
        <w:t xml:space="preserve"> </w:t>
      </w:r>
      <w:r>
        <w:t>safety</w:t>
      </w:r>
      <w:r>
        <w:rPr>
          <w:spacing w:val="-2"/>
        </w:rPr>
        <w:t xml:space="preserve"> </w:t>
      </w:r>
      <w:r>
        <w:t>of</w:t>
      </w:r>
      <w:r>
        <w:rPr>
          <w:spacing w:val="-2"/>
        </w:rPr>
        <w:t xml:space="preserve"> </w:t>
      </w:r>
      <w:r>
        <w:t>health care for Australians.</w:t>
      </w:r>
    </w:p>
    <w:p w14:paraId="393D75EB" w14:textId="77777777" w:rsidR="009D54AF" w:rsidRDefault="009D54AF">
      <w:pPr>
        <w:pStyle w:val="BodyText"/>
        <w:spacing w:before="8"/>
        <w:rPr>
          <w:sz w:val="24"/>
        </w:rPr>
      </w:pPr>
    </w:p>
    <w:p w14:paraId="05E1901E" w14:textId="77777777" w:rsidR="009D54AF" w:rsidRDefault="00000000">
      <w:pPr>
        <w:pStyle w:val="BodyText"/>
        <w:spacing w:line="278" w:lineRule="auto"/>
        <w:ind w:left="142"/>
      </w:pPr>
      <w:r>
        <w:t xml:space="preserve">The Commission continues to support a high-performing workforce through its performance management framework and fostering a clear sense of purpose and direction across the </w:t>
      </w:r>
      <w:proofErr w:type="spellStart"/>
      <w:r>
        <w:t>organisation</w:t>
      </w:r>
      <w:proofErr w:type="spellEnd"/>
      <w:r>
        <w:t>.</w:t>
      </w:r>
    </w:p>
    <w:p w14:paraId="396276E9" w14:textId="77777777" w:rsidR="009D54AF" w:rsidRDefault="00000000">
      <w:pPr>
        <w:pStyle w:val="BodyText"/>
        <w:spacing w:before="142" w:line="278" w:lineRule="auto"/>
        <w:ind w:left="142"/>
      </w:pPr>
      <w:r>
        <w:t>The Commission’s performance development scheme encourages regular and constructive discussions between employees and managers. All employees are supported by an individual performance and development</w:t>
      </w:r>
      <w:r>
        <w:rPr>
          <w:spacing w:val="-3"/>
        </w:rPr>
        <w:t xml:space="preserve"> </w:t>
      </w:r>
      <w:r>
        <w:t>plan,</w:t>
      </w:r>
      <w:r>
        <w:rPr>
          <w:spacing w:val="-3"/>
        </w:rPr>
        <w:t xml:space="preserve"> </w:t>
      </w:r>
      <w:r>
        <w:t>with</w:t>
      </w:r>
      <w:r>
        <w:rPr>
          <w:spacing w:val="-3"/>
        </w:rPr>
        <w:t xml:space="preserve"> </w:t>
      </w:r>
      <w:r>
        <w:t>managers</w:t>
      </w:r>
      <w:r>
        <w:rPr>
          <w:spacing w:val="-3"/>
        </w:rPr>
        <w:t xml:space="preserve"> </w:t>
      </w:r>
      <w:r>
        <w:t>and</w:t>
      </w:r>
      <w:r>
        <w:rPr>
          <w:spacing w:val="-3"/>
        </w:rPr>
        <w:t xml:space="preserve"> </w:t>
      </w:r>
      <w:r>
        <w:t>employees</w:t>
      </w:r>
      <w:r>
        <w:rPr>
          <w:spacing w:val="-3"/>
        </w:rPr>
        <w:t xml:space="preserve"> </w:t>
      </w:r>
      <w:r>
        <w:t>sharing</w:t>
      </w:r>
      <w:r>
        <w:rPr>
          <w:spacing w:val="-3"/>
        </w:rPr>
        <w:t xml:space="preserve"> </w:t>
      </w:r>
      <w:r>
        <w:t>responsibility</w:t>
      </w:r>
      <w:r>
        <w:rPr>
          <w:spacing w:val="-3"/>
        </w:rPr>
        <w:t xml:space="preserve"> </w:t>
      </w:r>
      <w:r>
        <w:t>for</w:t>
      </w:r>
      <w:r>
        <w:rPr>
          <w:spacing w:val="-3"/>
        </w:rPr>
        <w:t xml:space="preserve"> </w:t>
      </w:r>
      <w:r>
        <w:t>capability</w:t>
      </w:r>
      <w:r>
        <w:rPr>
          <w:spacing w:val="-3"/>
        </w:rPr>
        <w:t xml:space="preserve"> </w:t>
      </w:r>
      <w:r>
        <w:t>development</w:t>
      </w:r>
      <w:r>
        <w:rPr>
          <w:spacing w:val="-3"/>
        </w:rPr>
        <w:t xml:space="preserve"> </w:t>
      </w:r>
      <w:r>
        <w:t>and</w:t>
      </w:r>
      <w:r>
        <w:rPr>
          <w:spacing w:val="-3"/>
        </w:rPr>
        <w:t xml:space="preserve"> </w:t>
      </w:r>
      <w:r>
        <w:t xml:space="preserve">career </w:t>
      </w:r>
      <w:r>
        <w:rPr>
          <w:spacing w:val="-2"/>
        </w:rPr>
        <w:t>growth.</w:t>
      </w:r>
    </w:p>
    <w:p w14:paraId="1178A256" w14:textId="77777777" w:rsidR="009D54AF" w:rsidRDefault="00000000">
      <w:pPr>
        <w:pStyle w:val="BodyText"/>
        <w:spacing w:before="141" w:line="278" w:lineRule="auto"/>
        <w:ind w:left="142" w:right="285"/>
      </w:pPr>
      <w:r>
        <w:t>The Commission participates in the Australian Public Service Commission’s APS Induction Pathway program,</w:t>
      </w:r>
      <w:r>
        <w:rPr>
          <w:spacing w:val="-2"/>
        </w:rPr>
        <w:t xml:space="preserve"> </w:t>
      </w:r>
      <w:r>
        <w:t>which</w:t>
      </w:r>
      <w:r>
        <w:rPr>
          <w:spacing w:val="-2"/>
        </w:rPr>
        <w:t xml:space="preserve"> </w:t>
      </w:r>
      <w:r>
        <w:t>helps</w:t>
      </w:r>
      <w:r>
        <w:rPr>
          <w:spacing w:val="-2"/>
        </w:rPr>
        <w:t xml:space="preserve"> </w:t>
      </w:r>
      <w:r>
        <w:t>new</w:t>
      </w:r>
      <w:r>
        <w:rPr>
          <w:spacing w:val="-2"/>
        </w:rPr>
        <w:t xml:space="preserve"> </w:t>
      </w:r>
      <w:r>
        <w:t>employees</w:t>
      </w:r>
      <w:r>
        <w:rPr>
          <w:spacing w:val="-2"/>
        </w:rPr>
        <w:t xml:space="preserve"> </w:t>
      </w:r>
      <w:r>
        <w:t>build</w:t>
      </w:r>
      <w:r>
        <w:rPr>
          <w:spacing w:val="-2"/>
        </w:rPr>
        <w:t xml:space="preserve"> </w:t>
      </w:r>
      <w:r>
        <w:t>an</w:t>
      </w:r>
      <w:r>
        <w:rPr>
          <w:spacing w:val="-2"/>
        </w:rPr>
        <w:t xml:space="preserve"> </w:t>
      </w:r>
      <w:r>
        <w:t>understanding</w:t>
      </w:r>
      <w:r>
        <w:rPr>
          <w:spacing w:val="-2"/>
        </w:rPr>
        <w:t xml:space="preserve"> </w:t>
      </w:r>
      <w:r>
        <w:t>of</w:t>
      </w:r>
      <w:r>
        <w:rPr>
          <w:spacing w:val="-2"/>
        </w:rPr>
        <w:t xml:space="preserve"> </w:t>
      </w:r>
      <w:r>
        <w:t>the</w:t>
      </w:r>
      <w:r>
        <w:rPr>
          <w:spacing w:val="-2"/>
        </w:rPr>
        <w:t xml:space="preserve"> </w:t>
      </w:r>
      <w:r>
        <w:t>Australian</w:t>
      </w:r>
      <w:r>
        <w:rPr>
          <w:spacing w:val="-2"/>
        </w:rPr>
        <w:t xml:space="preserve"> </w:t>
      </w:r>
      <w:r>
        <w:t>Public</w:t>
      </w:r>
      <w:r>
        <w:rPr>
          <w:spacing w:val="-2"/>
        </w:rPr>
        <w:t xml:space="preserve"> </w:t>
      </w:r>
      <w:r>
        <w:t>Service,</w:t>
      </w:r>
      <w:r>
        <w:rPr>
          <w:spacing w:val="-2"/>
        </w:rPr>
        <w:t xml:space="preserve"> </w:t>
      </w:r>
      <w:r>
        <w:t>its</w:t>
      </w:r>
      <w:r>
        <w:rPr>
          <w:spacing w:val="-2"/>
        </w:rPr>
        <w:t xml:space="preserve"> </w:t>
      </w:r>
      <w:r>
        <w:t>operating environment and standards of conduct expected of all staff.</w:t>
      </w:r>
    </w:p>
    <w:p w14:paraId="5BF880FA" w14:textId="77777777" w:rsidR="009D54AF" w:rsidRDefault="00000000">
      <w:pPr>
        <w:pStyle w:val="BodyText"/>
        <w:spacing w:before="141" w:line="278" w:lineRule="auto"/>
        <w:ind w:left="142" w:right="490"/>
        <w:jc w:val="both"/>
      </w:pPr>
      <w:r>
        <w:t>In May 2026, the Commission encouraged all staff members to participate in the Australian Public Service Commission’s employee census survey, helping the Commission better understand staff experiences and identify opportunities to further strengthen its workplace culture.</w:t>
      </w:r>
    </w:p>
    <w:p w14:paraId="6778D873" w14:textId="77777777" w:rsidR="009D54AF" w:rsidRDefault="009D54AF">
      <w:pPr>
        <w:pStyle w:val="BodyText"/>
        <w:spacing w:line="278" w:lineRule="auto"/>
        <w:jc w:val="both"/>
        <w:sectPr w:rsidR="009D54AF">
          <w:pgSz w:w="11910" w:h="16840"/>
          <w:pgMar w:top="680" w:right="708" w:bottom="280" w:left="708" w:header="720" w:footer="720" w:gutter="0"/>
          <w:cols w:space="720"/>
        </w:sectPr>
      </w:pPr>
    </w:p>
    <w:p w14:paraId="2214A79E" w14:textId="77777777" w:rsidR="009D54AF" w:rsidRDefault="00000000">
      <w:pPr>
        <w:pStyle w:val="Heading5"/>
        <w:spacing w:before="66"/>
      </w:pPr>
      <w:r>
        <w:lastRenderedPageBreak/>
        <w:t>The</w:t>
      </w:r>
      <w:r>
        <w:rPr>
          <w:spacing w:val="-8"/>
        </w:rPr>
        <w:t xml:space="preserve"> </w:t>
      </w:r>
      <w:r>
        <w:t>Culture</w:t>
      </w:r>
      <w:r>
        <w:rPr>
          <w:spacing w:val="-7"/>
        </w:rPr>
        <w:t xml:space="preserve"> </w:t>
      </w:r>
      <w:r>
        <w:t>Working</w:t>
      </w:r>
      <w:r>
        <w:rPr>
          <w:spacing w:val="-7"/>
        </w:rPr>
        <w:t xml:space="preserve"> </w:t>
      </w:r>
      <w:r>
        <w:rPr>
          <w:spacing w:val="-4"/>
        </w:rPr>
        <w:t>Group</w:t>
      </w:r>
    </w:p>
    <w:p w14:paraId="0D6F2B33" w14:textId="77777777" w:rsidR="009D54AF" w:rsidRDefault="00000000">
      <w:pPr>
        <w:pStyle w:val="BodyText"/>
        <w:spacing w:before="132" w:line="278" w:lineRule="auto"/>
        <w:ind w:left="142"/>
      </w:pPr>
      <w:r>
        <w:t>The Culture Working Group supports implementation of the Commission’s Employee Census Action Plan by identifying</w:t>
      </w:r>
      <w:r>
        <w:rPr>
          <w:spacing w:val="-2"/>
        </w:rPr>
        <w:t xml:space="preserve"> </w:t>
      </w:r>
      <w:r>
        <w:t>and</w:t>
      </w:r>
      <w:r>
        <w:rPr>
          <w:spacing w:val="-2"/>
        </w:rPr>
        <w:t xml:space="preserve"> </w:t>
      </w:r>
      <w:r>
        <w:t>recommending</w:t>
      </w:r>
      <w:r>
        <w:rPr>
          <w:spacing w:val="-2"/>
        </w:rPr>
        <w:t xml:space="preserve"> </w:t>
      </w:r>
      <w:r>
        <w:t>practical</w:t>
      </w:r>
      <w:r>
        <w:rPr>
          <w:spacing w:val="-2"/>
        </w:rPr>
        <w:t xml:space="preserve"> </w:t>
      </w:r>
      <w:r>
        <w:t>initiatives</w:t>
      </w:r>
      <w:r>
        <w:rPr>
          <w:spacing w:val="-2"/>
        </w:rPr>
        <w:t xml:space="preserve"> </w:t>
      </w:r>
      <w:r>
        <w:t>to</w:t>
      </w:r>
      <w:r>
        <w:rPr>
          <w:spacing w:val="-2"/>
        </w:rPr>
        <w:t xml:space="preserve"> </w:t>
      </w:r>
      <w:r>
        <w:t>strengthen</w:t>
      </w:r>
      <w:r>
        <w:rPr>
          <w:spacing w:val="-2"/>
        </w:rPr>
        <w:t xml:space="preserve"> </w:t>
      </w:r>
      <w:r>
        <w:t>a</w:t>
      </w:r>
      <w:r>
        <w:rPr>
          <w:spacing w:val="-2"/>
        </w:rPr>
        <w:t xml:space="preserve"> </w:t>
      </w:r>
      <w:r>
        <w:t>positive,</w:t>
      </w:r>
      <w:r>
        <w:rPr>
          <w:spacing w:val="-2"/>
        </w:rPr>
        <w:t xml:space="preserve"> </w:t>
      </w:r>
      <w:r>
        <w:t>inclusive</w:t>
      </w:r>
      <w:r>
        <w:rPr>
          <w:spacing w:val="-2"/>
        </w:rPr>
        <w:t xml:space="preserve"> </w:t>
      </w:r>
      <w:r>
        <w:t>and</w:t>
      </w:r>
      <w:r>
        <w:rPr>
          <w:spacing w:val="-2"/>
        </w:rPr>
        <w:t xml:space="preserve"> </w:t>
      </w:r>
      <w:r>
        <w:t>engaging</w:t>
      </w:r>
      <w:r>
        <w:rPr>
          <w:spacing w:val="-2"/>
        </w:rPr>
        <w:t xml:space="preserve"> </w:t>
      </w:r>
      <w:r>
        <w:t xml:space="preserve">workplace culture. It provides staff-informed insights to promote wellbeing, inclusion and respectful </w:t>
      </w:r>
      <w:proofErr w:type="spellStart"/>
      <w:r>
        <w:t>behaviours</w:t>
      </w:r>
      <w:proofErr w:type="spellEnd"/>
      <w:r>
        <w:t>, and contributes to monitoring progress and outcomes of culture initiatives.</w:t>
      </w:r>
    </w:p>
    <w:p w14:paraId="7CD8EBFC" w14:textId="77777777" w:rsidR="009D54AF" w:rsidRDefault="00000000">
      <w:pPr>
        <w:pStyle w:val="Heading1"/>
        <w:spacing w:before="124"/>
      </w:pPr>
      <w:bookmarkStart w:id="60" w:name="_TOC_250010"/>
      <w:bookmarkStart w:id="61" w:name="_Staff_profile"/>
      <w:bookmarkStart w:id="62" w:name="_Toc243037286"/>
      <w:bookmarkEnd w:id="61"/>
      <w:r>
        <w:t>Staff</w:t>
      </w:r>
      <w:r>
        <w:rPr>
          <w:spacing w:val="-16"/>
        </w:rPr>
        <w:t xml:space="preserve"> </w:t>
      </w:r>
      <w:bookmarkEnd w:id="60"/>
      <w:r>
        <w:rPr>
          <w:spacing w:val="-2"/>
        </w:rPr>
        <w:t>profile</w:t>
      </w:r>
      <w:bookmarkEnd w:id="62"/>
    </w:p>
    <w:p w14:paraId="28E2260C" w14:textId="77777777" w:rsidR="009D54AF" w:rsidRDefault="00000000">
      <w:pPr>
        <w:pStyle w:val="BodyText"/>
        <w:spacing w:before="168" w:line="278" w:lineRule="auto"/>
        <w:ind w:left="142" w:right="285"/>
      </w:pPr>
      <w:r>
        <w:t>As of 30 June 2026, the Commission’s headcount was 156 employees. Most employees are located in Sydney.</w:t>
      </w:r>
      <w:r>
        <w:rPr>
          <w:spacing w:val="-7"/>
        </w:rPr>
        <w:t xml:space="preserve"> </w:t>
      </w:r>
      <w:r>
        <w:t>Tables</w:t>
      </w:r>
      <w:r>
        <w:rPr>
          <w:spacing w:val="-7"/>
        </w:rPr>
        <w:t xml:space="preserve"> </w:t>
      </w:r>
      <w:r>
        <w:t>7,</w:t>
      </w:r>
      <w:r>
        <w:rPr>
          <w:spacing w:val="-7"/>
        </w:rPr>
        <w:t xml:space="preserve"> </w:t>
      </w:r>
      <w:r>
        <w:t>8,</w:t>
      </w:r>
      <w:r>
        <w:rPr>
          <w:spacing w:val="-7"/>
        </w:rPr>
        <w:t xml:space="preserve"> </w:t>
      </w:r>
      <w:r>
        <w:t>9</w:t>
      </w:r>
      <w:r>
        <w:rPr>
          <w:spacing w:val="-7"/>
        </w:rPr>
        <w:t xml:space="preserve"> </w:t>
      </w:r>
      <w:r>
        <w:t>and</w:t>
      </w:r>
      <w:r>
        <w:rPr>
          <w:spacing w:val="-7"/>
        </w:rPr>
        <w:t xml:space="preserve"> </w:t>
      </w:r>
      <w:r>
        <w:t>10</w:t>
      </w:r>
      <w:r>
        <w:rPr>
          <w:spacing w:val="-7"/>
        </w:rPr>
        <w:t xml:space="preserve"> </w:t>
      </w:r>
      <w:r>
        <w:t>provide</w:t>
      </w:r>
      <w:r>
        <w:rPr>
          <w:spacing w:val="-7"/>
        </w:rPr>
        <w:t xml:space="preserve"> </w:t>
      </w:r>
      <w:r>
        <w:t>a</w:t>
      </w:r>
      <w:r>
        <w:rPr>
          <w:spacing w:val="-7"/>
        </w:rPr>
        <w:t xml:space="preserve"> </w:t>
      </w:r>
      <w:r>
        <w:t>breakdown</w:t>
      </w:r>
      <w:r>
        <w:rPr>
          <w:spacing w:val="-7"/>
        </w:rPr>
        <w:t xml:space="preserve"> </w:t>
      </w:r>
      <w:r>
        <w:t>of</w:t>
      </w:r>
      <w:r>
        <w:rPr>
          <w:spacing w:val="-7"/>
        </w:rPr>
        <w:t xml:space="preserve"> </w:t>
      </w:r>
      <w:r>
        <w:t>the</w:t>
      </w:r>
      <w:r>
        <w:rPr>
          <w:spacing w:val="-7"/>
        </w:rPr>
        <w:t xml:space="preserve"> </w:t>
      </w:r>
      <w:r>
        <w:t>Commission’s</w:t>
      </w:r>
      <w:r>
        <w:rPr>
          <w:spacing w:val="-7"/>
        </w:rPr>
        <w:t xml:space="preserve"> </w:t>
      </w:r>
      <w:r>
        <w:t>employee</w:t>
      </w:r>
      <w:r>
        <w:rPr>
          <w:spacing w:val="-7"/>
        </w:rPr>
        <w:t xml:space="preserve"> </w:t>
      </w:r>
      <w:r>
        <w:t>profile</w:t>
      </w:r>
      <w:r>
        <w:rPr>
          <w:spacing w:val="-7"/>
        </w:rPr>
        <w:t xml:space="preserve"> </w:t>
      </w:r>
      <w:r>
        <w:t>by</w:t>
      </w:r>
      <w:r>
        <w:rPr>
          <w:spacing w:val="-7"/>
        </w:rPr>
        <w:t xml:space="preserve"> </w:t>
      </w:r>
      <w:r>
        <w:t>classification, gender, state or territory of residence, full-time or part-time status, and ongoing or non-ongoing status.</w:t>
      </w:r>
    </w:p>
    <w:p w14:paraId="06DA6BCF" w14:textId="77777777" w:rsidR="009D54AF" w:rsidRDefault="00000000">
      <w:pPr>
        <w:spacing w:before="221"/>
        <w:ind w:left="142"/>
        <w:rPr>
          <w:sz w:val="19"/>
        </w:rPr>
      </w:pPr>
      <w:r>
        <w:rPr>
          <w:b/>
          <w:sz w:val="19"/>
        </w:rPr>
        <w:t>Table</w:t>
      </w:r>
      <w:r>
        <w:rPr>
          <w:b/>
          <w:spacing w:val="-2"/>
          <w:sz w:val="19"/>
        </w:rPr>
        <w:t xml:space="preserve"> </w:t>
      </w:r>
      <w:r>
        <w:rPr>
          <w:b/>
          <w:sz w:val="19"/>
        </w:rPr>
        <w:t>7</w:t>
      </w:r>
      <w:r>
        <w:rPr>
          <w:b/>
          <w:spacing w:val="16"/>
          <w:sz w:val="19"/>
        </w:rPr>
        <w:t xml:space="preserve"> </w:t>
      </w:r>
      <w:r>
        <w:rPr>
          <w:sz w:val="19"/>
        </w:rPr>
        <w:t>Total</w:t>
      </w:r>
      <w:r>
        <w:rPr>
          <w:spacing w:val="-2"/>
          <w:sz w:val="19"/>
        </w:rPr>
        <w:t xml:space="preserve"> </w:t>
      </w:r>
      <w:r>
        <w:rPr>
          <w:sz w:val="19"/>
        </w:rPr>
        <w:t>employee</w:t>
      </w:r>
      <w:r>
        <w:rPr>
          <w:spacing w:val="-1"/>
          <w:sz w:val="19"/>
        </w:rPr>
        <w:t xml:space="preserve"> </w:t>
      </w:r>
      <w:r>
        <w:rPr>
          <w:sz w:val="19"/>
        </w:rPr>
        <w:t>headcount</w:t>
      </w:r>
      <w:r>
        <w:rPr>
          <w:spacing w:val="-1"/>
          <w:sz w:val="19"/>
        </w:rPr>
        <w:t xml:space="preserve"> </w:t>
      </w:r>
      <w:r>
        <w:rPr>
          <w:sz w:val="19"/>
        </w:rPr>
        <w:t>profile,</w:t>
      </w:r>
      <w:r>
        <w:rPr>
          <w:spacing w:val="-1"/>
          <w:sz w:val="19"/>
        </w:rPr>
        <w:t xml:space="preserve"> </w:t>
      </w:r>
      <w:r>
        <w:rPr>
          <w:sz w:val="19"/>
        </w:rPr>
        <w:t>as</w:t>
      </w:r>
      <w:r>
        <w:rPr>
          <w:spacing w:val="-2"/>
          <w:sz w:val="19"/>
        </w:rPr>
        <w:t xml:space="preserve"> </w:t>
      </w:r>
      <w:r>
        <w:rPr>
          <w:sz w:val="19"/>
        </w:rPr>
        <w:t>at</w:t>
      </w:r>
      <w:r>
        <w:rPr>
          <w:spacing w:val="-1"/>
          <w:sz w:val="19"/>
        </w:rPr>
        <w:t xml:space="preserve"> </w:t>
      </w:r>
      <w:r>
        <w:rPr>
          <w:sz w:val="19"/>
        </w:rPr>
        <w:t>30</w:t>
      </w:r>
      <w:r>
        <w:rPr>
          <w:spacing w:val="-1"/>
          <w:sz w:val="19"/>
        </w:rPr>
        <w:t xml:space="preserve"> </w:t>
      </w:r>
      <w:r>
        <w:rPr>
          <w:sz w:val="19"/>
        </w:rPr>
        <w:t>June</w:t>
      </w:r>
      <w:r>
        <w:rPr>
          <w:spacing w:val="-1"/>
          <w:sz w:val="19"/>
        </w:rPr>
        <w:t xml:space="preserve"> </w:t>
      </w:r>
      <w:r>
        <w:rPr>
          <w:spacing w:val="-4"/>
          <w:sz w:val="19"/>
        </w:rPr>
        <w:t>2026</w:t>
      </w:r>
    </w:p>
    <w:p w14:paraId="0466A8B0" w14:textId="77777777" w:rsidR="009D54AF" w:rsidRDefault="009D54AF">
      <w:pPr>
        <w:pStyle w:val="BodyText"/>
        <w:spacing w:before="2"/>
        <w:rPr>
          <w:sz w:val="8"/>
        </w:rPr>
      </w:pPr>
    </w:p>
    <w:tbl>
      <w:tblPr>
        <w:tblW w:w="0" w:type="auto"/>
        <w:tblInd w:w="14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417"/>
        <w:gridCol w:w="680"/>
        <w:gridCol w:w="680"/>
        <w:gridCol w:w="680"/>
        <w:gridCol w:w="680"/>
        <w:gridCol w:w="680"/>
        <w:gridCol w:w="680"/>
        <w:gridCol w:w="680"/>
        <w:gridCol w:w="623"/>
        <w:gridCol w:w="680"/>
        <w:gridCol w:w="680"/>
        <w:gridCol w:w="680"/>
        <w:gridCol w:w="680"/>
        <w:gridCol w:w="680"/>
      </w:tblGrid>
      <w:tr w:rsidR="00B933DB" w14:paraId="3BCAAFA2" w14:textId="77777777" w:rsidTr="00785A3A">
        <w:trPr>
          <w:trHeight w:val="505"/>
        </w:trPr>
        <w:tc>
          <w:tcPr>
            <w:tcW w:w="1417" w:type="dxa"/>
            <w:tcBorders>
              <w:left w:val="nil"/>
              <w:right w:val="single" w:sz="4" w:space="0" w:color="FFFFFF" w:themeColor="background1"/>
            </w:tcBorders>
            <w:shd w:val="clear" w:color="auto" w:fill="000000" w:themeFill="text1"/>
            <w:vAlign w:val="center"/>
          </w:tcPr>
          <w:p w14:paraId="4D439EBD" w14:textId="77777777" w:rsidR="00B933DB" w:rsidRDefault="00B933DB" w:rsidP="00B933DB">
            <w:pPr>
              <w:pStyle w:val="TableParagraph"/>
              <w:spacing w:before="10"/>
              <w:rPr>
                <w:spacing w:val="-5"/>
                <w:sz w:val="14"/>
              </w:rPr>
            </w:pPr>
          </w:p>
        </w:tc>
        <w:tc>
          <w:tcPr>
            <w:tcW w:w="2720" w:type="dxa"/>
            <w:gridSpan w:val="4"/>
            <w:tcBorders>
              <w:left w:val="single" w:sz="4" w:space="0" w:color="FFFFFF" w:themeColor="background1"/>
              <w:bottom w:val="single" w:sz="4" w:space="0" w:color="FFFFFF" w:themeColor="background1"/>
              <w:right w:val="single" w:sz="4" w:space="0" w:color="FFFFFF" w:themeColor="background1"/>
            </w:tcBorders>
            <w:shd w:val="clear" w:color="auto" w:fill="000000" w:themeFill="text1"/>
            <w:vAlign w:val="center"/>
          </w:tcPr>
          <w:p w14:paraId="3ED9DF70" w14:textId="10BC8A17" w:rsidR="00B933DB" w:rsidRDefault="00B933DB" w:rsidP="00B933DB">
            <w:pPr>
              <w:pStyle w:val="TableParagraph"/>
              <w:spacing w:before="10"/>
              <w:jc w:val="center"/>
              <w:rPr>
                <w:spacing w:val="-10"/>
                <w:sz w:val="14"/>
              </w:rPr>
            </w:pPr>
            <w:r>
              <w:rPr>
                <w:b/>
                <w:color w:val="FFFFFF"/>
                <w:spacing w:val="-2"/>
                <w:sz w:val="14"/>
              </w:rPr>
              <w:t>Female</w:t>
            </w:r>
          </w:p>
        </w:tc>
        <w:tc>
          <w:tcPr>
            <w:tcW w:w="2663" w:type="dxa"/>
            <w:gridSpan w:val="4"/>
            <w:tcBorders>
              <w:left w:val="single" w:sz="4" w:space="0" w:color="FFFFFF" w:themeColor="background1"/>
              <w:bottom w:val="single" w:sz="4" w:space="0" w:color="FFFFFF" w:themeColor="background1"/>
              <w:right w:val="single" w:sz="4" w:space="0" w:color="FFFFFF" w:themeColor="background1"/>
            </w:tcBorders>
            <w:shd w:val="clear" w:color="auto" w:fill="000000" w:themeFill="text1"/>
            <w:vAlign w:val="center"/>
          </w:tcPr>
          <w:p w14:paraId="7DC3BD0F" w14:textId="25F8074E" w:rsidR="00B933DB" w:rsidRDefault="00B933DB" w:rsidP="00B933DB">
            <w:pPr>
              <w:pStyle w:val="TableParagraph"/>
              <w:spacing w:before="10"/>
              <w:jc w:val="center"/>
              <w:rPr>
                <w:spacing w:val="-10"/>
                <w:sz w:val="14"/>
              </w:rPr>
            </w:pPr>
            <w:r>
              <w:rPr>
                <w:b/>
                <w:color w:val="FFFFFF"/>
                <w:spacing w:val="-4"/>
                <w:sz w:val="14"/>
              </w:rPr>
              <w:t>Male</w:t>
            </w:r>
          </w:p>
        </w:tc>
        <w:tc>
          <w:tcPr>
            <w:tcW w:w="2720" w:type="dxa"/>
            <w:gridSpan w:val="4"/>
            <w:tcBorders>
              <w:left w:val="single" w:sz="4" w:space="0" w:color="FFFFFF" w:themeColor="background1"/>
              <w:bottom w:val="single" w:sz="4" w:space="0" w:color="FFFFFF" w:themeColor="background1"/>
              <w:right w:val="single" w:sz="4" w:space="0" w:color="FFFFFF" w:themeColor="background1"/>
            </w:tcBorders>
            <w:shd w:val="clear" w:color="auto" w:fill="000000" w:themeFill="text1"/>
            <w:vAlign w:val="center"/>
          </w:tcPr>
          <w:p w14:paraId="7CDE4AB3" w14:textId="1367966F" w:rsidR="00B933DB" w:rsidRDefault="00B933DB" w:rsidP="00B933DB">
            <w:pPr>
              <w:pStyle w:val="TableParagraph"/>
              <w:spacing w:before="10"/>
              <w:jc w:val="center"/>
              <w:rPr>
                <w:spacing w:val="-10"/>
                <w:sz w:val="14"/>
              </w:rPr>
            </w:pPr>
            <w:r>
              <w:rPr>
                <w:b/>
                <w:color w:val="FFFFFF"/>
                <w:sz w:val="14"/>
              </w:rPr>
              <w:t>Non-</w:t>
            </w:r>
            <w:r>
              <w:rPr>
                <w:b/>
                <w:color w:val="FFFFFF"/>
                <w:spacing w:val="-2"/>
                <w:sz w:val="14"/>
              </w:rPr>
              <w:t>binary</w:t>
            </w:r>
          </w:p>
        </w:tc>
        <w:tc>
          <w:tcPr>
            <w:tcW w:w="680" w:type="dxa"/>
            <w:tcBorders>
              <w:left w:val="single" w:sz="4" w:space="0" w:color="FFFFFF" w:themeColor="background1"/>
              <w:bottom w:val="nil"/>
              <w:right w:val="nil"/>
            </w:tcBorders>
            <w:shd w:val="clear" w:color="auto" w:fill="000000" w:themeFill="text1"/>
            <w:vAlign w:val="center"/>
          </w:tcPr>
          <w:p w14:paraId="76E49F93" w14:textId="77777777" w:rsidR="00B933DB" w:rsidRDefault="00B933DB" w:rsidP="00B933DB">
            <w:pPr>
              <w:pStyle w:val="TableParagraph"/>
              <w:spacing w:before="10"/>
              <w:jc w:val="center"/>
              <w:rPr>
                <w:spacing w:val="-10"/>
                <w:sz w:val="14"/>
              </w:rPr>
            </w:pPr>
          </w:p>
        </w:tc>
      </w:tr>
      <w:tr w:rsidR="00B933DB" w14:paraId="1EB2C85E" w14:textId="77777777" w:rsidTr="00785A3A">
        <w:trPr>
          <w:trHeight w:val="505"/>
        </w:trPr>
        <w:tc>
          <w:tcPr>
            <w:tcW w:w="1417" w:type="dxa"/>
            <w:tcBorders>
              <w:left w:val="nil"/>
              <w:right w:val="single" w:sz="4" w:space="0" w:color="FFFFFF" w:themeColor="background1"/>
            </w:tcBorders>
            <w:shd w:val="clear" w:color="auto" w:fill="000000" w:themeFill="text1"/>
            <w:vAlign w:val="center"/>
          </w:tcPr>
          <w:p w14:paraId="3E88FABF" w14:textId="77777777" w:rsidR="00B933DB" w:rsidRDefault="00B933DB" w:rsidP="00B933DB">
            <w:pPr>
              <w:pStyle w:val="TableParagraph"/>
              <w:spacing w:before="10"/>
              <w:rPr>
                <w:spacing w:val="-5"/>
                <w:sz w:val="14"/>
              </w:rPr>
            </w:pPr>
          </w:p>
        </w:tc>
        <w:tc>
          <w:tcPr>
            <w:tcW w:w="1360" w:type="dxa"/>
            <w:gridSpan w:val="2"/>
            <w:tcBorders>
              <w:left w:val="single" w:sz="4" w:space="0" w:color="FFFFFF" w:themeColor="background1"/>
              <w:bottom w:val="single" w:sz="4" w:space="0" w:color="FFFFFF" w:themeColor="background1"/>
              <w:right w:val="single" w:sz="4" w:space="0" w:color="FFFFFF" w:themeColor="background1"/>
            </w:tcBorders>
            <w:shd w:val="clear" w:color="auto" w:fill="000000" w:themeFill="text1"/>
            <w:vAlign w:val="center"/>
          </w:tcPr>
          <w:p w14:paraId="61FE38F2" w14:textId="1F9F921E" w:rsidR="00B933DB" w:rsidRDefault="00B933DB" w:rsidP="00B933DB">
            <w:pPr>
              <w:pStyle w:val="TableParagraph"/>
              <w:spacing w:before="10"/>
              <w:jc w:val="center"/>
              <w:rPr>
                <w:spacing w:val="-10"/>
                <w:sz w:val="14"/>
              </w:rPr>
            </w:pPr>
            <w:r>
              <w:rPr>
                <w:b/>
                <w:color w:val="FFFFFF"/>
                <w:sz w:val="14"/>
              </w:rPr>
              <w:t>Non-</w:t>
            </w:r>
            <w:r>
              <w:rPr>
                <w:b/>
                <w:color w:val="FFFFFF"/>
                <w:spacing w:val="-2"/>
                <w:sz w:val="14"/>
              </w:rPr>
              <w:t>ongoing</w:t>
            </w:r>
          </w:p>
        </w:tc>
        <w:tc>
          <w:tcPr>
            <w:tcW w:w="1360"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vAlign w:val="center"/>
          </w:tcPr>
          <w:p w14:paraId="322F5186" w14:textId="15F0B443" w:rsidR="00B933DB" w:rsidRDefault="00B933DB" w:rsidP="00B933DB">
            <w:pPr>
              <w:pStyle w:val="TableParagraph"/>
              <w:spacing w:before="10"/>
              <w:jc w:val="center"/>
              <w:rPr>
                <w:spacing w:val="-10"/>
                <w:sz w:val="14"/>
              </w:rPr>
            </w:pPr>
            <w:r>
              <w:rPr>
                <w:b/>
                <w:color w:val="FFFFFF"/>
                <w:spacing w:val="-2"/>
                <w:sz w:val="14"/>
              </w:rPr>
              <w:t>Ongoing</w:t>
            </w:r>
          </w:p>
        </w:tc>
        <w:tc>
          <w:tcPr>
            <w:tcW w:w="1360"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vAlign w:val="center"/>
          </w:tcPr>
          <w:p w14:paraId="1ADDF757" w14:textId="02B5E9B5" w:rsidR="00B933DB" w:rsidRDefault="00B933DB" w:rsidP="00B933DB">
            <w:pPr>
              <w:pStyle w:val="TableParagraph"/>
              <w:spacing w:before="10"/>
              <w:jc w:val="center"/>
              <w:rPr>
                <w:spacing w:val="-10"/>
                <w:sz w:val="14"/>
              </w:rPr>
            </w:pPr>
            <w:r>
              <w:rPr>
                <w:b/>
                <w:color w:val="FFFFFF"/>
                <w:sz w:val="14"/>
              </w:rPr>
              <w:t>Non-</w:t>
            </w:r>
            <w:r>
              <w:rPr>
                <w:b/>
                <w:color w:val="FFFFFF"/>
                <w:spacing w:val="-2"/>
                <w:sz w:val="14"/>
              </w:rPr>
              <w:t>ongoing</w:t>
            </w:r>
          </w:p>
        </w:tc>
        <w:tc>
          <w:tcPr>
            <w:tcW w:w="1303"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vAlign w:val="center"/>
          </w:tcPr>
          <w:p w14:paraId="08FF2DF0" w14:textId="73FC1BF0" w:rsidR="00B933DB" w:rsidRDefault="00B933DB" w:rsidP="00B933DB">
            <w:pPr>
              <w:pStyle w:val="TableParagraph"/>
              <w:spacing w:before="10"/>
              <w:jc w:val="center"/>
              <w:rPr>
                <w:spacing w:val="-10"/>
                <w:sz w:val="14"/>
              </w:rPr>
            </w:pPr>
            <w:r>
              <w:rPr>
                <w:b/>
                <w:color w:val="FFFFFF"/>
                <w:spacing w:val="-2"/>
                <w:sz w:val="14"/>
              </w:rPr>
              <w:t>Ongoing</w:t>
            </w:r>
          </w:p>
        </w:tc>
        <w:tc>
          <w:tcPr>
            <w:tcW w:w="1360"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vAlign w:val="center"/>
          </w:tcPr>
          <w:p w14:paraId="3E35D053" w14:textId="160D11C1" w:rsidR="00B933DB" w:rsidRDefault="00B933DB" w:rsidP="00B933DB">
            <w:pPr>
              <w:pStyle w:val="TableParagraph"/>
              <w:spacing w:before="10"/>
              <w:jc w:val="center"/>
              <w:rPr>
                <w:spacing w:val="-10"/>
                <w:sz w:val="14"/>
              </w:rPr>
            </w:pPr>
            <w:r>
              <w:rPr>
                <w:b/>
                <w:color w:val="FFFFFF"/>
                <w:sz w:val="14"/>
              </w:rPr>
              <w:t>Non-</w:t>
            </w:r>
            <w:r>
              <w:rPr>
                <w:b/>
                <w:color w:val="FFFFFF"/>
                <w:spacing w:val="-2"/>
                <w:sz w:val="14"/>
              </w:rPr>
              <w:t>ongoing</w:t>
            </w:r>
          </w:p>
        </w:tc>
        <w:tc>
          <w:tcPr>
            <w:tcW w:w="1360"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vAlign w:val="center"/>
          </w:tcPr>
          <w:p w14:paraId="76BDFA4E" w14:textId="358B00A5" w:rsidR="00B933DB" w:rsidRDefault="00B933DB" w:rsidP="00B933DB">
            <w:pPr>
              <w:pStyle w:val="TableParagraph"/>
              <w:spacing w:before="10"/>
              <w:jc w:val="center"/>
              <w:rPr>
                <w:spacing w:val="-10"/>
                <w:sz w:val="14"/>
              </w:rPr>
            </w:pPr>
            <w:r>
              <w:rPr>
                <w:b/>
                <w:color w:val="FFFFFF"/>
                <w:spacing w:val="-2"/>
                <w:sz w:val="14"/>
              </w:rPr>
              <w:t>Ongoing</w:t>
            </w:r>
          </w:p>
        </w:tc>
        <w:tc>
          <w:tcPr>
            <w:tcW w:w="680" w:type="dxa"/>
            <w:tcBorders>
              <w:top w:val="nil"/>
              <w:left w:val="single" w:sz="4" w:space="0" w:color="FFFFFF" w:themeColor="background1"/>
              <w:bottom w:val="nil"/>
              <w:right w:val="nil"/>
            </w:tcBorders>
            <w:shd w:val="clear" w:color="auto" w:fill="000000" w:themeFill="text1"/>
            <w:vAlign w:val="center"/>
          </w:tcPr>
          <w:p w14:paraId="71387A25" w14:textId="77777777" w:rsidR="00B933DB" w:rsidRDefault="00B933DB" w:rsidP="00B933DB">
            <w:pPr>
              <w:pStyle w:val="TableParagraph"/>
              <w:spacing w:before="10"/>
              <w:jc w:val="center"/>
              <w:rPr>
                <w:spacing w:val="-10"/>
                <w:sz w:val="14"/>
              </w:rPr>
            </w:pPr>
          </w:p>
        </w:tc>
      </w:tr>
      <w:tr w:rsidR="00B933DB" w14:paraId="0F0A7429" w14:textId="77777777" w:rsidTr="00785A3A">
        <w:trPr>
          <w:trHeight w:val="505"/>
        </w:trPr>
        <w:tc>
          <w:tcPr>
            <w:tcW w:w="1417" w:type="dxa"/>
            <w:tcBorders>
              <w:left w:val="nil"/>
              <w:right w:val="single" w:sz="4" w:space="0" w:color="FFFFFF" w:themeColor="background1"/>
            </w:tcBorders>
            <w:shd w:val="clear" w:color="auto" w:fill="000000" w:themeFill="text1"/>
            <w:vAlign w:val="center"/>
          </w:tcPr>
          <w:p w14:paraId="5C7FD722" w14:textId="77477334" w:rsidR="00B933DB" w:rsidRDefault="00B933DB" w:rsidP="00B933DB">
            <w:pPr>
              <w:pStyle w:val="TableParagraph"/>
              <w:spacing w:before="10"/>
              <w:rPr>
                <w:spacing w:val="-5"/>
                <w:sz w:val="14"/>
              </w:rPr>
            </w:pPr>
            <w:r>
              <w:rPr>
                <w:b/>
                <w:color w:val="FFFFFF"/>
                <w:spacing w:val="-2"/>
                <w:sz w:val="14"/>
              </w:rPr>
              <w:t>Classificatio</w:t>
            </w:r>
            <w:r>
              <w:rPr>
                <w:b/>
                <w:color w:val="FFFFFF"/>
                <w:spacing w:val="-2"/>
                <w:sz w:val="14"/>
              </w:rPr>
              <w:t>n</w:t>
            </w:r>
          </w:p>
        </w:tc>
        <w:tc>
          <w:tcPr>
            <w:tcW w:w="680" w:type="dxa"/>
            <w:tcBorders>
              <w:top w:val="single" w:sz="4" w:space="0" w:color="FFFFFF" w:themeColor="background1"/>
              <w:left w:val="single" w:sz="4" w:space="0" w:color="FFFFFF" w:themeColor="background1"/>
              <w:right w:val="single" w:sz="4" w:space="0" w:color="FFFFFF" w:themeColor="background1"/>
            </w:tcBorders>
            <w:shd w:val="clear" w:color="auto" w:fill="000000" w:themeFill="text1"/>
            <w:vAlign w:val="center"/>
          </w:tcPr>
          <w:p w14:paraId="794AAD6C" w14:textId="77777777" w:rsidR="00B933DB" w:rsidRDefault="00B933DB" w:rsidP="00B933DB">
            <w:pPr>
              <w:pStyle w:val="TableParagraph"/>
              <w:spacing w:before="129"/>
              <w:ind w:left="186" w:right="183" w:firstLine="2"/>
              <w:jc w:val="center"/>
              <w:rPr>
                <w:b/>
                <w:sz w:val="14"/>
              </w:rPr>
            </w:pPr>
            <w:r>
              <w:rPr>
                <w:b/>
                <w:color w:val="FFFFFF"/>
                <w:spacing w:val="-4"/>
                <w:sz w:val="14"/>
              </w:rPr>
              <w:t>Full</w:t>
            </w:r>
            <w:r>
              <w:rPr>
                <w:b/>
                <w:color w:val="FFFFFF"/>
                <w:spacing w:val="40"/>
                <w:sz w:val="14"/>
              </w:rPr>
              <w:t xml:space="preserve"> </w:t>
            </w:r>
            <w:r>
              <w:rPr>
                <w:b/>
                <w:color w:val="FFFFFF"/>
                <w:spacing w:val="-4"/>
                <w:sz w:val="14"/>
              </w:rPr>
              <w:t>time</w:t>
            </w:r>
          </w:p>
          <w:p w14:paraId="2F6D2C96" w14:textId="77777777" w:rsidR="00B933DB" w:rsidRDefault="00B933DB" w:rsidP="00B933DB">
            <w:pPr>
              <w:pStyle w:val="TableParagraph"/>
              <w:spacing w:before="10"/>
              <w:jc w:val="center"/>
              <w:rPr>
                <w:spacing w:val="-10"/>
                <w:sz w:val="14"/>
              </w:rPr>
            </w:pPr>
          </w:p>
        </w:tc>
        <w:tc>
          <w:tcPr>
            <w:tcW w:w="680" w:type="dxa"/>
            <w:tcBorders>
              <w:top w:val="single" w:sz="4" w:space="0" w:color="FFFFFF" w:themeColor="background1"/>
              <w:left w:val="single" w:sz="4" w:space="0" w:color="FFFFFF" w:themeColor="background1"/>
              <w:right w:val="single" w:sz="4" w:space="0" w:color="FFFFFF" w:themeColor="background1"/>
            </w:tcBorders>
            <w:shd w:val="clear" w:color="auto" w:fill="000000" w:themeFill="text1"/>
            <w:vAlign w:val="center"/>
          </w:tcPr>
          <w:p w14:paraId="514586D6" w14:textId="77777777" w:rsidR="00B933DB" w:rsidRDefault="00B933DB" w:rsidP="00B933DB">
            <w:pPr>
              <w:pStyle w:val="TableParagraph"/>
              <w:spacing w:before="129"/>
              <w:ind w:left="95" w:right="91"/>
              <w:jc w:val="center"/>
              <w:rPr>
                <w:b/>
                <w:sz w:val="14"/>
              </w:rPr>
            </w:pPr>
            <w:r>
              <w:rPr>
                <w:b/>
                <w:color w:val="FFFFFF"/>
                <w:spacing w:val="-4"/>
                <w:sz w:val="14"/>
              </w:rPr>
              <w:t>Part</w:t>
            </w:r>
            <w:r>
              <w:rPr>
                <w:b/>
                <w:color w:val="FFFFFF"/>
                <w:spacing w:val="40"/>
                <w:sz w:val="14"/>
              </w:rPr>
              <w:t xml:space="preserve"> </w:t>
            </w:r>
            <w:r>
              <w:rPr>
                <w:b/>
                <w:color w:val="FFFFFF"/>
                <w:spacing w:val="-4"/>
                <w:sz w:val="14"/>
              </w:rPr>
              <w:t>time</w:t>
            </w:r>
          </w:p>
          <w:p w14:paraId="0A544C4A" w14:textId="77777777" w:rsidR="00B933DB" w:rsidRDefault="00B933DB" w:rsidP="00B933DB">
            <w:pPr>
              <w:pStyle w:val="TableParagraph"/>
              <w:spacing w:before="10"/>
              <w:jc w:val="center"/>
              <w:rPr>
                <w:spacing w:val="-10"/>
                <w:sz w:val="14"/>
              </w:rPr>
            </w:pPr>
          </w:p>
        </w:tc>
        <w:tc>
          <w:tcPr>
            <w:tcW w:w="680" w:type="dxa"/>
            <w:tcBorders>
              <w:top w:val="single" w:sz="4" w:space="0" w:color="FFFFFF" w:themeColor="background1"/>
              <w:left w:val="single" w:sz="4" w:space="0" w:color="FFFFFF" w:themeColor="background1"/>
              <w:right w:val="single" w:sz="4" w:space="0" w:color="FFFFFF" w:themeColor="background1"/>
            </w:tcBorders>
            <w:shd w:val="clear" w:color="auto" w:fill="000000" w:themeFill="text1"/>
            <w:vAlign w:val="center"/>
          </w:tcPr>
          <w:p w14:paraId="555CC35B" w14:textId="77777777" w:rsidR="00B933DB" w:rsidRDefault="00B933DB" w:rsidP="00B933DB">
            <w:pPr>
              <w:pStyle w:val="TableParagraph"/>
              <w:spacing w:before="129"/>
              <w:ind w:left="186" w:right="182" w:firstLine="2"/>
              <w:jc w:val="center"/>
              <w:rPr>
                <w:b/>
                <w:sz w:val="14"/>
              </w:rPr>
            </w:pPr>
            <w:r>
              <w:rPr>
                <w:b/>
                <w:color w:val="FFFFFF"/>
                <w:spacing w:val="-4"/>
                <w:sz w:val="14"/>
              </w:rPr>
              <w:t>Full</w:t>
            </w:r>
            <w:r>
              <w:rPr>
                <w:b/>
                <w:color w:val="FFFFFF"/>
                <w:spacing w:val="40"/>
                <w:sz w:val="14"/>
              </w:rPr>
              <w:t xml:space="preserve"> </w:t>
            </w:r>
            <w:r>
              <w:rPr>
                <w:b/>
                <w:color w:val="FFFFFF"/>
                <w:spacing w:val="-4"/>
                <w:sz w:val="14"/>
              </w:rPr>
              <w:t>time</w:t>
            </w:r>
          </w:p>
          <w:p w14:paraId="5EFF6588" w14:textId="77777777" w:rsidR="00B933DB" w:rsidRDefault="00B933DB" w:rsidP="00B933DB">
            <w:pPr>
              <w:pStyle w:val="TableParagraph"/>
              <w:spacing w:before="10"/>
              <w:jc w:val="center"/>
              <w:rPr>
                <w:spacing w:val="-10"/>
                <w:sz w:val="14"/>
              </w:rPr>
            </w:pPr>
          </w:p>
        </w:tc>
        <w:tc>
          <w:tcPr>
            <w:tcW w:w="680" w:type="dxa"/>
            <w:tcBorders>
              <w:top w:val="single" w:sz="4" w:space="0" w:color="FFFFFF" w:themeColor="background1"/>
              <w:left w:val="single" w:sz="4" w:space="0" w:color="FFFFFF" w:themeColor="background1"/>
              <w:right w:val="single" w:sz="4" w:space="0" w:color="FFFFFF" w:themeColor="background1"/>
            </w:tcBorders>
            <w:shd w:val="clear" w:color="auto" w:fill="000000" w:themeFill="text1"/>
            <w:vAlign w:val="center"/>
          </w:tcPr>
          <w:p w14:paraId="6C7507E9" w14:textId="77777777" w:rsidR="00B933DB" w:rsidRDefault="00B933DB" w:rsidP="00B933DB">
            <w:pPr>
              <w:pStyle w:val="TableParagraph"/>
              <w:spacing w:before="129"/>
              <w:ind w:left="95" w:right="90"/>
              <w:jc w:val="center"/>
              <w:rPr>
                <w:b/>
                <w:sz w:val="14"/>
              </w:rPr>
            </w:pPr>
            <w:r>
              <w:rPr>
                <w:b/>
                <w:color w:val="FFFFFF"/>
                <w:spacing w:val="-4"/>
                <w:sz w:val="14"/>
              </w:rPr>
              <w:t>Part</w:t>
            </w:r>
            <w:r>
              <w:rPr>
                <w:b/>
                <w:color w:val="FFFFFF"/>
                <w:spacing w:val="40"/>
                <w:sz w:val="14"/>
              </w:rPr>
              <w:t xml:space="preserve"> </w:t>
            </w:r>
            <w:r>
              <w:rPr>
                <w:b/>
                <w:color w:val="FFFFFF"/>
                <w:spacing w:val="-4"/>
                <w:sz w:val="14"/>
              </w:rPr>
              <w:t>time</w:t>
            </w:r>
          </w:p>
          <w:p w14:paraId="06E70A85" w14:textId="77777777" w:rsidR="00B933DB" w:rsidRDefault="00B933DB" w:rsidP="00B933DB">
            <w:pPr>
              <w:pStyle w:val="TableParagraph"/>
              <w:spacing w:before="10"/>
              <w:jc w:val="center"/>
              <w:rPr>
                <w:spacing w:val="-10"/>
                <w:sz w:val="14"/>
              </w:rPr>
            </w:pPr>
          </w:p>
        </w:tc>
        <w:tc>
          <w:tcPr>
            <w:tcW w:w="680" w:type="dxa"/>
            <w:tcBorders>
              <w:top w:val="single" w:sz="4" w:space="0" w:color="FFFFFF" w:themeColor="background1"/>
              <w:left w:val="single" w:sz="4" w:space="0" w:color="FFFFFF" w:themeColor="background1"/>
              <w:right w:val="single" w:sz="4" w:space="0" w:color="FFFFFF" w:themeColor="background1"/>
            </w:tcBorders>
            <w:shd w:val="clear" w:color="auto" w:fill="000000" w:themeFill="text1"/>
            <w:vAlign w:val="center"/>
          </w:tcPr>
          <w:p w14:paraId="6C8D95ED" w14:textId="77777777" w:rsidR="00B933DB" w:rsidRDefault="00B933DB" w:rsidP="00B933DB">
            <w:pPr>
              <w:pStyle w:val="TableParagraph"/>
              <w:spacing w:before="129"/>
              <w:ind w:left="187" w:right="181" w:firstLine="2"/>
              <w:jc w:val="center"/>
              <w:rPr>
                <w:b/>
                <w:sz w:val="14"/>
              </w:rPr>
            </w:pPr>
            <w:r>
              <w:rPr>
                <w:b/>
                <w:color w:val="FFFFFF"/>
                <w:spacing w:val="-4"/>
                <w:sz w:val="14"/>
              </w:rPr>
              <w:t>Full</w:t>
            </w:r>
            <w:r>
              <w:rPr>
                <w:b/>
                <w:color w:val="FFFFFF"/>
                <w:spacing w:val="40"/>
                <w:sz w:val="14"/>
              </w:rPr>
              <w:t xml:space="preserve"> </w:t>
            </w:r>
            <w:r>
              <w:rPr>
                <w:b/>
                <w:color w:val="FFFFFF"/>
                <w:spacing w:val="-4"/>
                <w:sz w:val="14"/>
              </w:rPr>
              <w:t>time</w:t>
            </w:r>
          </w:p>
          <w:p w14:paraId="688B4A4F" w14:textId="77777777" w:rsidR="00B933DB" w:rsidRDefault="00B933DB" w:rsidP="00B933DB">
            <w:pPr>
              <w:pStyle w:val="TableParagraph"/>
              <w:spacing w:before="10"/>
              <w:jc w:val="center"/>
              <w:rPr>
                <w:spacing w:val="-10"/>
                <w:sz w:val="14"/>
              </w:rPr>
            </w:pPr>
          </w:p>
        </w:tc>
        <w:tc>
          <w:tcPr>
            <w:tcW w:w="680" w:type="dxa"/>
            <w:tcBorders>
              <w:top w:val="single" w:sz="4" w:space="0" w:color="FFFFFF" w:themeColor="background1"/>
              <w:left w:val="single" w:sz="4" w:space="0" w:color="FFFFFF" w:themeColor="background1"/>
              <w:right w:val="single" w:sz="4" w:space="0" w:color="FFFFFF" w:themeColor="background1"/>
            </w:tcBorders>
            <w:shd w:val="clear" w:color="auto" w:fill="000000" w:themeFill="text1"/>
            <w:vAlign w:val="center"/>
          </w:tcPr>
          <w:p w14:paraId="668E251C" w14:textId="77777777" w:rsidR="00B933DB" w:rsidRDefault="00B933DB" w:rsidP="00B933DB">
            <w:pPr>
              <w:pStyle w:val="TableParagraph"/>
              <w:spacing w:before="129"/>
              <w:ind w:left="95" w:right="89"/>
              <w:jc w:val="center"/>
              <w:rPr>
                <w:b/>
                <w:sz w:val="14"/>
              </w:rPr>
            </w:pPr>
            <w:r>
              <w:rPr>
                <w:b/>
                <w:color w:val="FFFFFF"/>
                <w:spacing w:val="-4"/>
                <w:sz w:val="14"/>
              </w:rPr>
              <w:t>Part</w:t>
            </w:r>
            <w:r>
              <w:rPr>
                <w:b/>
                <w:color w:val="FFFFFF"/>
                <w:spacing w:val="40"/>
                <w:sz w:val="14"/>
              </w:rPr>
              <w:t xml:space="preserve"> </w:t>
            </w:r>
            <w:r>
              <w:rPr>
                <w:b/>
                <w:color w:val="FFFFFF"/>
                <w:spacing w:val="-4"/>
                <w:sz w:val="14"/>
              </w:rPr>
              <w:t>time</w:t>
            </w:r>
          </w:p>
          <w:p w14:paraId="42AEA92B" w14:textId="77777777" w:rsidR="00B933DB" w:rsidRDefault="00B933DB" w:rsidP="00B933DB">
            <w:pPr>
              <w:pStyle w:val="TableParagraph"/>
              <w:spacing w:before="10"/>
              <w:jc w:val="center"/>
              <w:rPr>
                <w:spacing w:val="-10"/>
                <w:sz w:val="14"/>
              </w:rPr>
            </w:pPr>
          </w:p>
        </w:tc>
        <w:tc>
          <w:tcPr>
            <w:tcW w:w="680" w:type="dxa"/>
            <w:tcBorders>
              <w:top w:val="single" w:sz="4" w:space="0" w:color="FFFFFF" w:themeColor="background1"/>
              <w:left w:val="single" w:sz="4" w:space="0" w:color="FFFFFF" w:themeColor="background1"/>
              <w:right w:val="single" w:sz="4" w:space="0" w:color="FFFFFF" w:themeColor="background1"/>
            </w:tcBorders>
            <w:shd w:val="clear" w:color="auto" w:fill="000000" w:themeFill="text1"/>
            <w:vAlign w:val="center"/>
          </w:tcPr>
          <w:p w14:paraId="05E3EC6C" w14:textId="77777777" w:rsidR="00B933DB" w:rsidRDefault="00B933DB" w:rsidP="00B933DB">
            <w:pPr>
              <w:pStyle w:val="TableParagraph"/>
              <w:spacing w:before="129"/>
              <w:ind w:left="188" w:right="181" w:firstLine="2"/>
              <w:jc w:val="center"/>
              <w:rPr>
                <w:b/>
                <w:sz w:val="14"/>
              </w:rPr>
            </w:pPr>
            <w:r>
              <w:rPr>
                <w:b/>
                <w:color w:val="FFFFFF"/>
                <w:spacing w:val="-4"/>
                <w:sz w:val="14"/>
              </w:rPr>
              <w:t>Full</w:t>
            </w:r>
            <w:r>
              <w:rPr>
                <w:b/>
                <w:color w:val="FFFFFF"/>
                <w:spacing w:val="40"/>
                <w:sz w:val="14"/>
              </w:rPr>
              <w:t xml:space="preserve"> </w:t>
            </w:r>
            <w:r>
              <w:rPr>
                <w:b/>
                <w:color w:val="FFFFFF"/>
                <w:spacing w:val="-4"/>
                <w:sz w:val="14"/>
              </w:rPr>
              <w:t>time</w:t>
            </w:r>
          </w:p>
          <w:p w14:paraId="419CA2C0" w14:textId="77777777" w:rsidR="00B933DB" w:rsidRDefault="00B933DB" w:rsidP="00B933DB">
            <w:pPr>
              <w:pStyle w:val="TableParagraph"/>
              <w:spacing w:before="10"/>
              <w:jc w:val="center"/>
              <w:rPr>
                <w:spacing w:val="-10"/>
                <w:sz w:val="14"/>
              </w:rPr>
            </w:pPr>
          </w:p>
        </w:tc>
        <w:tc>
          <w:tcPr>
            <w:tcW w:w="623" w:type="dxa"/>
            <w:tcBorders>
              <w:top w:val="single" w:sz="4" w:space="0" w:color="FFFFFF" w:themeColor="background1"/>
              <w:left w:val="single" w:sz="4" w:space="0" w:color="FFFFFF" w:themeColor="background1"/>
              <w:right w:val="single" w:sz="4" w:space="0" w:color="FFFFFF" w:themeColor="background1"/>
            </w:tcBorders>
            <w:shd w:val="clear" w:color="auto" w:fill="000000" w:themeFill="text1"/>
            <w:vAlign w:val="center"/>
          </w:tcPr>
          <w:p w14:paraId="6607D2D9" w14:textId="77777777" w:rsidR="00B933DB" w:rsidRDefault="00B933DB" w:rsidP="00B933DB">
            <w:pPr>
              <w:pStyle w:val="TableParagraph"/>
              <w:spacing w:before="129"/>
              <w:ind w:left="66" w:right="58"/>
              <w:jc w:val="center"/>
              <w:rPr>
                <w:b/>
                <w:sz w:val="14"/>
              </w:rPr>
            </w:pPr>
            <w:r>
              <w:rPr>
                <w:b/>
                <w:color w:val="FFFFFF"/>
                <w:spacing w:val="-4"/>
                <w:sz w:val="14"/>
              </w:rPr>
              <w:t>Part</w:t>
            </w:r>
            <w:r>
              <w:rPr>
                <w:b/>
                <w:color w:val="FFFFFF"/>
                <w:spacing w:val="40"/>
                <w:sz w:val="14"/>
              </w:rPr>
              <w:t xml:space="preserve"> </w:t>
            </w:r>
            <w:r>
              <w:rPr>
                <w:b/>
                <w:color w:val="FFFFFF"/>
                <w:spacing w:val="-4"/>
                <w:sz w:val="14"/>
              </w:rPr>
              <w:t>time</w:t>
            </w:r>
          </w:p>
          <w:p w14:paraId="311C6835" w14:textId="77777777" w:rsidR="00B933DB" w:rsidRDefault="00B933DB" w:rsidP="00B933DB">
            <w:pPr>
              <w:pStyle w:val="TableParagraph"/>
              <w:spacing w:before="10"/>
              <w:jc w:val="center"/>
              <w:rPr>
                <w:spacing w:val="-10"/>
                <w:sz w:val="14"/>
              </w:rPr>
            </w:pPr>
          </w:p>
        </w:tc>
        <w:tc>
          <w:tcPr>
            <w:tcW w:w="680" w:type="dxa"/>
            <w:tcBorders>
              <w:top w:val="single" w:sz="4" w:space="0" w:color="FFFFFF" w:themeColor="background1"/>
              <w:left w:val="single" w:sz="4" w:space="0" w:color="FFFFFF" w:themeColor="background1"/>
              <w:right w:val="single" w:sz="4" w:space="0" w:color="FFFFFF" w:themeColor="background1"/>
            </w:tcBorders>
            <w:shd w:val="clear" w:color="auto" w:fill="000000" w:themeFill="text1"/>
            <w:vAlign w:val="center"/>
          </w:tcPr>
          <w:p w14:paraId="29D120FB" w14:textId="77777777" w:rsidR="00B933DB" w:rsidRDefault="00B933DB" w:rsidP="00B933DB">
            <w:pPr>
              <w:pStyle w:val="TableParagraph"/>
              <w:spacing w:before="129"/>
              <w:ind w:left="188" w:right="180" w:firstLine="2"/>
              <w:jc w:val="center"/>
              <w:rPr>
                <w:b/>
                <w:sz w:val="14"/>
              </w:rPr>
            </w:pPr>
            <w:r>
              <w:rPr>
                <w:b/>
                <w:color w:val="FFFFFF"/>
                <w:spacing w:val="-4"/>
                <w:sz w:val="14"/>
              </w:rPr>
              <w:t>Full</w:t>
            </w:r>
            <w:r>
              <w:rPr>
                <w:b/>
                <w:color w:val="FFFFFF"/>
                <w:spacing w:val="40"/>
                <w:sz w:val="14"/>
              </w:rPr>
              <w:t xml:space="preserve"> </w:t>
            </w:r>
            <w:r>
              <w:rPr>
                <w:b/>
                <w:color w:val="FFFFFF"/>
                <w:spacing w:val="-4"/>
                <w:sz w:val="14"/>
              </w:rPr>
              <w:t>time</w:t>
            </w:r>
          </w:p>
          <w:p w14:paraId="29D68588" w14:textId="77777777" w:rsidR="00B933DB" w:rsidRDefault="00B933DB" w:rsidP="00B933DB">
            <w:pPr>
              <w:pStyle w:val="TableParagraph"/>
              <w:spacing w:before="10"/>
              <w:jc w:val="center"/>
              <w:rPr>
                <w:spacing w:val="-10"/>
                <w:sz w:val="14"/>
              </w:rPr>
            </w:pPr>
          </w:p>
        </w:tc>
        <w:tc>
          <w:tcPr>
            <w:tcW w:w="680" w:type="dxa"/>
            <w:tcBorders>
              <w:top w:val="single" w:sz="4" w:space="0" w:color="FFFFFF" w:themeColor="background1"/>
              <w:left w:val="single" w:sz="4" w:space="0" w:color="FFFFFF" w:themeColor="background1"/>
              <w:right w:val="single" w:sz="4" w:space="0" w:color="FFFFFF" w:themeColor="background1"/>
            </w:tcBorders>
            <w:shd w:val="clear" w:color="auto" w:fill="000000" w:themeFill="text1"/>
            <w:vAlign w:val="center"/>
          </w:tcPr>
          <w:p w14:paraId="58CA32D5" w14:textId="77777777" w:rsidR="00B933DB" w:rsidRDefault="00B933DB" w:rsidP="00B933DB">
            <w:pPr>
              <w:pStyle w:val="TableParagraph"/>
              <w:spacing w:before="129"/>
              <w:ind w:left="97" w:right="88"/>
              <w:jc w:val="center"/>
              <w:rPr>
                <w:b/>
                <w:sz w:val="14"/>
              </w:rPr>
            </w:pPr>
            <w:r>
              <w:rPr>
                <w:b/>
                <w:color w:val="FFFFFF"/>
                <w:spacing w:val="-4"/>
                <w:sz w:val="14"/>
              </w:rPr>
              <w:t>Part</w:t>
            </w:r>
            <w:r>
              <w:rPr>
                <w:b/>
                <w:color w:val="FFFFFF"/>
                <w:spacing w:val="40"/>
                <w:sz w:val="14"/>
              </w:rPr>
              <w:t xml:space="preserve"> </w:t>
            </w:r>
            <w:r>
              <w:rPr>
                <w:b/>
                <w:color w:val="FFFFFF"/>
                <w:spacing w:val="-4"/>
                <w:sz w:val="14"/>
              </w:rPr>
              <w:t>time</w:t>
            </w:r>
          </w:p>
          <w:p w14:paraId="25CD88CD" w14:textId="77777777" w:rsidR="00B933DB" w:rsidRDefault="00B933DB" w:rsidP="00B933DB">
            <w:pPr>
              <w:pStyle w:val="TableParagraph"/>
              <w:spacing w:before="10"/>
              <w:jc w:val="center"/>
              <w:rPr>
                <w:spacing w:val="-10"/>
                <w:sz w:val="14"/>
              </w:rPr>
            </w:pPr>
          </w:p>
        </w:tc>
        <w:tc>
          <w:tcPr>
            <w:tcW w:w="680" w:type="dxa"/>
            <w:tcBorders>
              <w:top w:val="single" w:sz="4" w:space="0" w:color="FFFFFF" w:themeColor="background1"/>
              <w:left w:val="single" w:sz="4" w:space="0" w:color="FFFFFF" w:themeColor="background1"/>
              <w:right w:val="single" w:sz="4" w:space="0" w:color="FFFFFF" w:themeColor="background1"/>
            </w:tcBorders>
            <w:shd w:val="clear" w:color="auto" w:fill="000000" w:themeFill="text1"/>
            <w:vAlign w:val="center"/>
          </w:tcPr>
          <w:p w14:paraId="2CC5947B" w14:textId="77777777" w:rsidR="00B933DB" w:rsidRDefault="00B933DB" w:rsidP="00B933DB">
            <w:pPr>
              <w:pStyle w:val="TableParagraph"/>
              <w:spacing w:before="129"/>
              <w:ind w:left="189" w:right="179" w:firstLine="2"/>
              <w:jc w:val="center"/>
              <w:rPr>
                <w:b/>
                <w:sz w:val="14"/>
              </w:rPr>
            </w:pPr>
            <w:r>
              <w:rPr>
                <w:b/>
                <w:color w:val="FFFFFF"/>
                <w:spacing w:val="-4"/>
                <w:sz w:val="14"/>
              </w:rPr>
              <w:t>Full</w:t>
            </w:r>
            <w:r>
              <w:rPr>
                <w:b/>
                <w:color w:val="FFFFFF"/>
                <w:spacing w:val="40"/>
                <w:sz w:val="14"/>
              </w:rPr>
              <w:t xml:space="preserve"> </w:t>
            </w:r>
            <w:r>
              <w:rPr>
                <w:b/>
                <w:color w:val="FFFFFF"/>
                <w:spacing w:val="-4"/>
                <w:sz w:val="14"/>
              </w:rPr>
              <w:t>time</w:t>
            </w:r>
          </w:p>
          <w:p w14:paraId="5905E482" w14:textId="77777777" w:rsidR="00B933DB" w:rsidRDefault="00B933DB" w:rsidP="00B933DB">
            <w:pPr>
              <w:pStyle w:val="TableParagraph"/>
              <w:spacing w:before="10"/>
              <w:jc w:val="center"/>
              <w:rPr>
                <w:spacing w:val="-10"/>
                <w:sz w:val="14"/>
              </w:rPr>
            </w:pPr>
          </w:p>
        </w:tc>
        <w:tc>
          <w:tcPr>
            <w:tcW w:w="680" w:type="dxa"/>
            <w:tcBorders>
              <w:top w:val="single" w:sz="4" w:space="0" w:color="FFFFFF" w:themeColor="background1"/>
              <w:left w:val="single" w:sz="4" w:space="0" w:color="FFFFFF" w:themeColor="background1"/>
              <w:right w:val="single" w:sz="4" w:space="0" w:color="FFFFFF" w:themeColor="background1"/>
            </w:tcBorders>
            <w:shd w:val="clear" w:color="auto" w:fill="000000" w:themeFill="text1"/>
            <w:vAlign w:val="center"/>
          </w:tcPr>
          <w:p w14:paraId="3F2F2A64" w14:textId="77777777" w:rsidR="00B933DB" w:rsidRDefault="00B933DB" w:rsidP="00B933DB">
            <w:pPr>
              <w:pStyle w:val="TableParagraph"/>
              <w:spacing w:before="129"/>
              <w:ind w:left="98" w:right="88"/>
              <w:jc w:val="center"/>
              <w:rPr>
                <w:b/>
                <w:sz w:val="14"/>
              </w:rPr>
            </w:pPr>
            <w:r>
              <w:rPr>
                <w:b/>
                <w:color w:val="FFFFFF"/>
                <w:spacing w:val="-4"/>
                <w:sz w:val="14"/>
              </w:rPr>
              <w:t>Part</w:t>
            </w:r>
            <w:r>
              <w:rPr>
                <w:b/>
                <w:color w:val="FFFFFF"/>
                <w:spacing w:val="40"/>
                <w:sz w:val="14"/>
              </w:rPr>
              <w:t xml:space="preserve"> </w:t>
            </w:r>
            <w:r>
              <w:rPr>
                <w:b/>
                <w:color w:val="FFFFFF"/>
                <w:spacing w:val="-4"/>
                <w:sz w:val="14"/>
              </w:rPr>
              <w:t>time</w:t>
            </w:r>
          </w:p>
          <w:p w14:paraId="521C265E" w14:textId="77777777" w:rsidR="00B933DB" w:rsidRDefault="00B933DB" w:rsidP="00B933DB">
            <w:pPr>
              <w:pStyle w:val="TableParagraph"/>
              <w:spacing w:before="10"/>
              <w:jc w:val="center"/>
              <w:rPr>
                <w:spacing w:val="-10"/>
                <w:sz w:val="14"/>
              </w:rPr>
            </w:pPr>
          </w:p>
        </w:tc>
        <w:tc>
          <w:tcPr>
            <w:tcW w:w="680" w:type="dxa"/>
            <w:tcBorders>
              <w:top w:val="nil"/>
              <w:left w:val="single" w:sz="4" w:space="0" w:color="FFFFFF" w:themeColor="background1"/>
              <w:bottom w:val="nil"/>
              <w:right w:val="nil"/>
            </w:tcBorders>
            <w:shd w:val="clear" w:color="auto" w:fill="000000" w:themeFill="text1"/>
            <w:vAlign w:val="center"/>
          </w:tcPr>
          <w:p w14:paraId="1CF8C781" w14:textId="0B5D8434" w:rsidR="00B933DB" w:rsidRPr="00B933DB" w:rsidRDefault="00B933DB" w:rsidP="00B933DB">
            <w:pPr>
              <w:pStyle w:val="TableParagraph"/>
              <w:ind w:right="252"/>
              <w:jc w:val="right"/>
              <w:rPr>
                <w:b/>
                <w:sz w:val="14"/>
              </w:rPr>
            </w:pPr>
            <w:r>
              <w:rPr>
                <w:b/>
                <w:color w:val="FFFFFF"/>
                <w:spacing w:val="-2"/>
                <w:sz w:val="14"/>
              </w:rPr>
              <w:t>Total</w:t>
            </w:r>
          </w:p>
        </w:tc>
      </w:tr>
      <w:tr w:rsidR="00B933DB" w14:paraId="7F4A0294" w14:textId="77777777" w:rsidTr="00785A3A">
        <w:trPr>
          <w:trHeight w:val="505"/>
        </w:trPr>
        <w:tc>
          <w:tcPr>
            <w:tcW w:w="1417" w:type="dxa"/>
            <w:tcBorders>
              <w:left w:val="nil"/>
            </w:tcBorders>
            <w:vAlign w:val="center"/>
          </w:tcPr>
          <w:p w14:paraId="0CAA7FF0" w14:textId="5FFF5F1F" w:rsidR="00B933DB" w:rsidRDefault="00B933DB" w:rsidP="00B933DB">
            <w:pPr>
              <w:pStyle w:val="TableParagraph"/>
              <w:spacing w:before="10"/>
              <w:rPr>
                <w:sz w:val="14"/>
              </w:rPr>
            </w:pPr>
            <w:r>
              <w:rPr>
                <w:spacing w:val="-5"/>
                <w:sz w:val="14"/>
              </w:rPr>
              <w:t xml:space="preserve">   </w:t>
            </w:r>
            <w:r>
              <w:rPr>
                <w:spacing w:val="-5"/>
                <w:sz w:val="14"/>
              </w:rPr>
              <w:t>CEO</w:t>
            </w:r>
          </w:p>
        </w:tc>
        <w:tc>
          <w:tcPr>
            <w:tcW w:w="680" w:type="dxa"/>
            <w:vAlign w:val="center"/>
          </w:tcPr>
          <w:p w14:paraId="03FACAD2" w14:textId="6F1DAE9C" w:rsidR="00B933DB" w:rsidRDefault="00B933DB" w:rsidP="00B933DB">
            <w:pPr>
              <w:pStyle w:val="TableParagraph"/>
              <w:spacing w:before="10"/>
              <w:jc w:val="center"/>
              <w:rPr>
                <w:sz w:val="14"/>
              </w:rPr>
            </w:pPr>
            <w:r>
              <w:rPr>
                <w:spacing w:val="-10"/>
                <w:sz w:val="14"/>
              </w:rPr>
              <w:t>1</w:t>
            </w:r>
          </w:p>
        </w:tc>
        <w:tc>
          <w:tcPr>
            <w:tcW w:w="680" w:type="dxa"/>
            <w:vAlign w:val="center"/>
          </w:tcPr>
          <w:p w14:paraId="47438958" w14:textId="0CD5EA6A" w:rsidR="00B933DB" w:rsidRDefault="00B933DB" w:rsidP="00B933DB">
            <w:pPr>
              <w:pStyle w:val="TableParagraph"/>
              <w:spacing w:before="10"/>
              <w:jc w:val="center"/>
              <w:rPr>
                <w:sz w:val="14"/>
              </w:rPr>
            </w:pPr>
            <w:r>
              <w:rPr>
                <w:spacing w:val="-10"/>
                <w:sz w:val="14"/>
              </w:rPr>
              <w:t>0</w:t>
            </w:r>
          </w:p>
        </w:tc>
        <w:tc>
          <w:tcPr>
            <w:tcW w:w="680" w:type="dxa"/>
            <w:vAlign w:val="center"/>
          </w:tcPr>
          <w:p w14:paraId="04F8D182" w14:textId="01FC6550" w:rsidR="00B933DB" w:rsidRDefault="00B933DB" w:rsidP="00B933DB">
            <w:pPr>
              <w:pStyle w:val="TableParagraph"/>
              <w:spacing w:before="10"/>
              <w:jc w:val="center"/>
              <w:rPr>
                <w:sz w:val="14"/>
              </w:rPr>
            </w:pPr>
            <w:r>
              <w:rPr>
                <w:spacing w:val="-10"/>
                <w:sz w:val="14"/>
              </w:rPr>
              <w:t>0</w:t>
            </w:r>
          </w:p>
        </w:tc>
        <w:tc>
          <w:tcPr>
            <w:tcW w:w="680" w:type="dxa"/>
            <w:vAlign w:val="center"/>
          </w:tcPr>
          <w:p w14:paraId="588A2837" w14:textId="7CDC3BD4" w:rsidR="00B933DB" w:rsidRDefault="00B933DB" w:rsidP="00B933DB">
            <w:pPr>
              <w:pStyle w:val="TableParagraph"/>
              <w:spacing w:before="10"/>
              <w:jc w:val="center"/>
              <w:rPr>
                <w:sz w:val="14"/>
              </w:rPr>
            </w:pPr>
            <w:r>
              <w:rPr>
                <w:spacing w:val="-10"/>
                <w:sz w:val="14"/>
              </w:rPr>
              <w:t>0</w:t>
            </w:r>
          </w:p>
        </w:tc>
        <w:tc>
          <w:tcPr>
            <w:tcW w:w="680" w:type="dxa"/>
            <w:vAlign w:val="center"/>
          </w:tcPr>
          <w:p w14:paraId="4735A477" w14:textId="4209D0AB" w:rsidR="00B933DB" w:rsidRDefault="00B933DB" w:rsidP="00B933DB">
            <w:pPr>
              <w:pStyle w:val="TableParagraph"/>
              <w:spacing w:before="10"/>
              <w:jc w:val="center"/>
              <w:rPr>
                <w:sz w:val="14"/>
              </w:rPr>
            </w:pPr>
            <w:r>
              <w:rPr>
                <w:spacing w:val="-10"/>
                <w:sz w:val="14"/>
              </w:rPr>
              <w:t>0</w:t>
            </w:r>
          </w:p>
        </w:tc>
        <w:tc>
          <w:tcPr>
            <w:tcW w:w="680" w:type="dxa"/>
            <w:vAlign w:val="center"/>
          </w:tcPr>
          <w:p w14:paraId="6FF344F1" w14:textId="5A1DBE5B" w:rsidR="00B933DB" w:rsidRDefault="00B933DB" w:rsidP="00B933DB">
            <w:pPr>
              <w:pStyle w:val="TableParagraph"/>
              <w:spacing w:before="10"/>
              <w:jc w:val="center"/>
              <w:rPr>
                <w:sz w:val="14"/>
              </w:rPr>
            </w:pPr>
            <w:r>
              <w:rPr>
                <w:spacing w:val="-10"/>
                <w:sz w:val="14"/>
              </w:rPr>
              <w:t>0</w:t>
            </w:r>
          </w:p>
        </w:tc>
        <w:tc>
          <w:tcPr>
            <w:tcW w:w="680" w:type="dxa"/>
            <w:vAlign w:val="center"/>
          </w:tcPr>
          <w:p w14:paraId="62A8B7FA" w14:textId="5E6CAEC1" w:rsidR="00B933DB" w:rsidRDefault="00B933DB" w:rsidP="00B933DB">
            <w:pPr>
              <w:pStyle w:val="TableParagraph"/>
              <w:spacing w:before="10"/>
              <w:jc w:val="center"/>
              <w:rPr>
                <w:sz w:val="14"/>
              </w:rPr>
            </w:pPr>
            <w:r>
              <w:rPr>
                <w:spacing w:val="-10"/>
                <w:sz w:val="14"/>
              </w:rPr>
              <w:t>0</w:t>
            </w:r>
          </w:p>
        </w:tc>
        <w:tc>
          <w:tcPr>
            <w:tcW w:w="623" w:type="dxa"/>
            <w:vAlign w:val="center"/>
          </w:tcPr>
          <w:p w14:paraId="7DA6D758" w14:textId="1A146D82" w:rsidR="00B933DB" w:rsidRDefault="00B933DB" w:rsidP="00B933DB">
            <w:pPr>
              <w:pStyle w:val="TableParagraph"/>
              <w:spacing w:before="10"/>
              <w:jc w:val="center"/>
              <w:rPr>
                <w:sz w:val="14"/>
              </w:rPr>
            </w:pPr>
            <w:r>
              <w:rPr>
                <w:spacing w:val="-10"/>
                <w:sz w:val="14"/>
              </w:rPr>
              <w:t>0</w:t>
            </w:r>
          </w:p>
        </w:tc>
        <w:tc>
          <w:tcPr>
            <w:tcW w:w="680" w:type="dxa"/>
            <w:vAlign w:val="center"/>
          </w:tcPr>
          <w:p w14:paraId="04A04FE5" w14:textId="62F67EE3" w:rsidR="00B933DB" w:rsidRDefault="00B933DB" w:rsidP="00B933DB">
            <w:pPr>
              <w:pStyle w:val="TableParagraph"/>
              <w:spacing w:before="10"/>
              <w:jc w:val="center"/>
              <w:rPr>
                <w:sz w:val="14"/>
              </w:rPr>
            </w:pPr>
            <w:r>
              <w:rPr>
                <w:spacing w:val="-10"/>
                <w:sz w:val="14"/>
              </w:rPr>
              <w:t>0</w:t>
            </w:r>
          </w:p>
        </w:tc>
        <w:tc>
          <w:tcPr>
            <w:tcW w:w="680" w:type="dxa"/>
            <w:vAlign w:val="center"/>
          </w:tcPr>
          <w:p w14:paraId="1525C0A9" w14:textId="30A9A954" w:rsidR="00B933DB" w:rsidRDefault="00B933DB" w:rsidP="00B933DB">
            <w:pPr>
              <w:pStyle w:val="TableParagraph"/>
              <w:spacing w:before="10"/>
              <w:jc w:val="center"/>
              <w:rPr>
                <w:sz w:val="14"/>
              </w:rPr>
            </w:pPr>
            <w:r>
              <w:rPr>
                <w:spacing w:val="-10"/>
                <w:sz w:val="14"/>
              </w:rPr>
              <w:t>0</w:t>
            </w:r>
          </w:p>
        </w:tc>
        <w:tc>
          <w:tcPr>
            <w:tcW w:w="680" w:type="dxa"/>
            <w:vAlign w:val="center"/>
          </w:tcPr>
          <w:p w14:paraId="645CDD46" w14:textId="415D6F3A" w:rsidR="00B933DB" w:rsidRDefault="00B933DB" w:rsidP="00B933DB">
            <w:pPr>
              <w:pStyle w:val="TableParagraph"/>
              <w:spacing w:before="10"/>
              <w:jc w:val="center"/>
              <w:rPr>
                <w:sz w:val="14"/>
              </w:rPr>
            </w:pPr>
            <w:r>
              <w:rPr>
                <w:spacing w:val="-10"/>
                <w:sz w:val="14"/>
              </w:rPr>
              <w:t>0</w:t>
            </w:r>
          </w:p>
        </w:tc>
        <w:tc>
          <w:tcPr>
            <w:tcW w:w="680" w:type="dxa"/>
            <w:vAlign w:val="center"/>
          </w:tcPr>
          <w:p w14:paraId="59A1A404" w14:textId="1B85AC8B" w:rsidR="00B933DB" w:rsidRDefault="00B933DB" w:rsidP="00B933DB">
            <w:pPr>
              <w:pStyle w:val="TableParagraph"/>
              <w:spacing w:before="10"/>
              <w:jc w:val="center"/>
              <w:rPr>
                <w:sz w:val="14"/>
              </w:rPr>
            </w:pPr>
            <w:r>
              <w:rPr>
                <w:spacing w:val="-10"/>
                <w:sz w:val="14"/>
              </w:rPr>
              <w:t>0</w:t>
            </w:r>
          </w:p>
        </w:tc>
        <w:tc>
          <w:tcPr>
            <w:tcW w:w="680" w:type="dxa"/>
            <w:tcBorders>
              <w:top w:val="nil"/>
              <w:right w:val="nil"/>
            </w:tcBorders>
            <w:vAlign w:val="center"/>
          </w:tcPr>
          <w:p w14:paraId="291E0246" w14:textId="050A6D2F" w:rsidR="00B933DB" w:rsidRDefault="00B933DB" w:rsidP="00B933DB">
            <w:pPr>
              <w:pStyle w:val="TableParagraph"/>
              <w:spacing w:before="10"/>
              <w:jc w:val="center"/>
              <w:rPr>
                <w:sz w:val="14"/>
              </w:rPr>
            </w:pPr>
            <w:r>
              <w:rPr>
                <w:spacing w:val="-10"/>
                <w:sz w:val="14"/>
              </w:rPr>
              <w:t>1</w:t>
            </w:r>
          </w:p>
        </w:tc>
      </w:tr>
      <w:tr w:rsidR="009D54AF" w14:paraId="110CBC92" w14:textId="77777777">
        <w:trPr>
          <w:trHeight w:val="505"/>
        </w:trPr>
        <w:tc>
          <w:tcPr>
            <w:tcW w:w="1417" w:type="dxa"/>
            <w:tcBorders>
              <w:left w:val="nil"/>
            </w:tcBorders>
          </w:tcPr>
          <w:p w14:paraId="40A7B2D7" w14:textId="77777777" w:rsidR="009D54AF" w:rsidRDefault="009D54AF">
            <w:pPr>
              <w:pStyle w:val="TableParagraph"/>
              <w:spacing w:before="10"/>
              <w:rPr>
                <w:sz w:val="14"/>
              </w:rPr>
            </w:pPr>
          </w:p>
          <w:p w14:paraId="7C84AC95" w14:textId="77777777" w:rsidR="009D54AF" w:rsidRDefault="00000000">
            <w:pPr>
              <w:pStyle w:val="TableParagraph"/>
              <w:ind w:left="85"/>
              <w:rPr>
                <w:sz w:val="14"/>
              </w:rPr>
            </w:pPr>
            <w:r>
              <w:rPr>
                <w:spacing w:val="-5"/>
                <w:sz w:val="14"/>
              </w:rPr>
              <w:t>MO6</w:t>
            </w:r>
          </w:p>
        </w:tc>
        <w:tc>
          <w:tcPr>
            <w:tcW w:w="680" w:type="dxa"/>
          </w:tcPr>
          <w:p w14:paraId="08DDBF1A" w14:textId="77777777" w:rsidR="009D54AF" w:rsidRDefault="009D54AF">
            <w:pPr>
              <w:pStyle w:val="TableParagraph"/>
              <w:spacing w:before="10"/>
              <w:rPr>
                <w:sz w:val="14"/>
              </w:rPr>
            </w:pPr>
          </w:p>
          <w:p w14:paraId="3DF8FC5F" w14:textId="77777777" w:rsidR="009D54AF" w:rsidRDefault="00000000">
            <w:pPr>
              <w:pStyle w:val="TableParagraph"/>
              <w:ind w:left="8" w:right="8"/>
              <w:jc w:val="center"/>
              <w:rPr>
                <w:sz w:val="14"/>
              </w:rPr>
            </w:pPr>
            <w:r>
              <w:rPr>
                <w:spacing w:val="-10"/>
                <w:sz w:val="14"/>
              </w:rPr>
              <w:t>0</w:t>
            </w:r>
          </w:p>
        </w:tc>
        <w:tc>
          <w:tcPr>
            <w:tcW w:w="680" w:type="dxa"/>
          </w:tcPr>
          <w:p w14:paraId="13F69DA2" w14:textId="77777777" w:rsidR="009D54AF" w:rsidRDefault="009D54AF">
            <w:pPr>
              <w:pStyle w:val="TableParagraph"/>
              <w:spacing w:before="10"/>
              <w:rPr>
                <w:sz w:val="14"/>
              </w:rPr>
            </w:pPr>
          </w:p>
          <w:p w14:paraId="770A1083" w14:textId="77777777" w:rsidR="009D54AF" w:rsidRDefault="00000000">
            <w:pPr>
              <w:pStyle w:val="TableParagraph"/>
              <w:ind w:left="8" w:right="7"/>
              <w:jc w:val="center"/>
              <w:rPr>
                <w:sz w:val="14"/>
              </w:rPr>
            </w:pPr>
            <w:r>
              <w:rPr>
                <w:spacing w:val="-10"/>
                <w:sz w:val="14"/>
              </w:rPr>
              <w:t>0</w:t>
            </w:r>
          </w:p>
        </w:tc>
        <w:tc>
          <w:tcPr>
            <w:tcW w:w="680" w:type="dxa"/>
          </w:tcPr>
          <w:p w14:paraId="5828686D" w14:textId="77777777" w:rsidR="009D54AF" w:rsidRDefault="009D54AF">
            <w:pPr>
              <w:pStyle w:val="TableParagraph"/>
              <w:spacing w:before="10"/>
              <w:rPr>
                <w:sz w:val="14"/>
              </w:rPr>
            </w:pPr>
          </w:p>
          <w:p w14:paraId="213AFABC" w14:textId="77777777" w:rsidR="009D54AF" w:rsidRDefault="00000000">
            <w:pPr>
              <w:pStyle w:val="TableParagraph"/>
              <w:ind w:left="8" w:right="6"/>
              <w:jc w:val="center"/>
              <w:rPr>
                <w:sz w:val="14"/>
              </w:rPr>
            </w:pPr>
            <w:r>
              <w:rPr>
                <w:spacing w:val="-10"/>
                <w:sz w:val="14"/>
              </w:rPr>
              <w:t>1</w:t>
            </w:r>
          </w:p>
        </w:tc>
        <w:tc>
          <w:tcPr>
            <w:tcW w:w="680" w:type="dxa"/>
          </w:tcPr>
          <w:p w14:paraId="6EB1CFAB" w14:textId="77777777" w:rsidR="009D54AF" w:rsidRDefault="009D54AF">
            <w:pPr>
              <w:pStyle w:val="TableParagraph"/>
              <w:spacing w:before="10"/>
              <w:rPr>
                <w:sz w:val="14"/>
              </w:rPr>
            </w:pPr>
          </w:p>
          <w:p w14:paraId="3678B700" w14:textId="77777777" w:rsidR="009D54AF" w:rsidRDefault="00000000">
            <w:pPr>
              <w:pStyle w:val="TableParagraph"/>
              <w:ind w:left="8" w:right="6"/>
              <w:jc w:val="center"/>
              <w:rPr>
                <w:sz w:val="14"/>
              </w:rPr>
            </w:pPr>
            <w:r>
              <w:rPr>
                <w:spacing w:val="-10"/>
                <w:sz w:val="14"/>
              </w:rPr>
              <w:t>1</w:t>
            </w:r>
          </w:p>
        </w:tc>
        <w:tc>
          <w:tcPr>
            <w:tcW w:w="680" w:type="dxa"/>
          </w:tcPr>
          <w:p w14:paraId="501159C9" w14:textId="77777777" w:rsidR="009D54AF" w:rsidRDefault="009D54AF">
            <w:pPr>
              <w:pStyle w:val="TableParagraph"/>
              <w:spacing w:before="10"/>
              <w:rPr>
                <w:sz w:val="14"/>
              </w:rPr>
            </w:pPr>
          </w:p>
          <w:p w14:paraId="44AE453E" w14:textId="77777777" w:rsidR="009D54AF" w:rsidRDefault="00000000">
            <w:pPr>
              <w:pStyle w:val="TableParagraph"/>
              <w:ind w:left="8" w:right="5"/>
              <w:jc w:val="center"/>
              <w:rPr>
                <w:sz w:val="14"/>
              </w:rPr>
            </w:pPr>
            <w:r>
              <w:rPr>
                <w:spacing w:val="-10"/>
                <w:sz w:val="14"/>
              </w:rPr>
              <w:t>0</w:t>
            </w:r>
          </w:p>
        </w:tc>
        <w:tc>
          <w:tcPr>
            <w:tcW w:w="680" w:type="dxa"/>
          </w:tcPr>
          <w:p w14:paraId="6CA33177" w14:textId="77777777" w:rsidR="009D54AF" w:rsidRDefault="009D54AF">
            <w:pPr>
              <w:pStyle w:val="TableParagraph"/>
              <w:spacing w:before="10"/>
              <w:rPr>
                <w:sz w:val="14"/>
              </w:rPr>
            </w:pPr>
          </w:p>
          <w:p w14:paraId="4BAD892E" w14:textId="77777777" w:rsidR="009D54AF" w:rsidRDefault="00000000">
            <w:pPr>
              <w:pStyle w:val="TableParagraph"/>
              <w:ind w:left="8" w:right="4"/>
              <w:jc w:val="center"/>
              <w:rPr>
                <w:sz w:val="14"/>
              </w:rPr>
            </w:pPr>
            <w:r>
              <w:rPr>
                <w:spacing w:val="-10"/>
                <w:sz w:val="14"/>
              </w:rPr>
              <w:t>0</w:t>
            </w:r>
          </w:p>
        </w:tc>
        <w:tc>
          <w:tcPr>
            <w:tcW w:w="680" w:type="dxa"/>
          </w:tcPr>
          <w:p w14:paraId="5B7499BA" w14:textId="77777777" w:rsidR="009D54AF" w:rsidRDefault="009D54AF">
            <w:pPr>
              <w:pStyle w:val="TableParagraph"/>
              <w:spacing w:before="10"/>
              <w:rPr>
                <w:sz w:val="14"/>
              </w:rPr>
            </w:pPr>
          </w:p>
          <w:p w14:paraId="233A639E" w14:textId="77777777" w:rsidR="009D54AF" w:rsidRDefault="00000000">
            <w:pPr>
              <w:pStyle w:val="TableParagraph"/>
              <w:ind w:left="8" w:right="4"/>
              <w:jc w:val="center"/>
              <w:rPr>
                <w:sz w:val="14"/>
              </w:rPr>
            </w:pPr>
            <w:r>
              <w:rPr>
                <w:spacing w:val="-10"/>
                <w:sz w:val="14"/>
              </w:rPr>
              <w:t>0</w:t>
            </w:r>
          </w:p>
        </w:tc>
        <w:tc>
          <w:tcPr>
            <w:tcW w:w="623" w:type="dxa"/>
          </w:tcPr>
          <w:p w14:paraId="120C5F38" w14:textId="77777777" w:rsidR="009D54AF" w:rsidRDefault="009D54AF">
            <w:pPr>
              <w:pStyle w:val="TableParagraph"/>
              <w:spacing w:before="10"/>
              <w:rPr>
                <w:sz w:val="14"/>
              </w:rPr>
            </w:pPr>
          </w:p>
          <w:p w14:paraId="7FADB15F" w14:textId="77777777" w:rsidR="009D54AF" w:rsidRDefault="00000000">
            <w:pPr>
              <w:pStyle w:val="TableParagraph"/>
              <w:ind w:left="5"/>
              <w:jc w:val="center"/>
              <w:rPr>
                <w:sz w:val="14"/>
              </w:rPr>
            </w:pPr>
            <w:r>
              <w:rPr>
                <w:spacing w:val="-10"/>
                <w:sz w:val="14"/>
              </w:rPr>
              <w:t>0</w:t>
            </w:r>
          </w:p>
        </w:tc>
        <w:tc>
          <w:tcPr>
            <w:tcW w:w="680" w:type="dxa"/>
          </w:tcPr>
          <w:p w14:paraId="457A7509" w14:textId="77777777" w:rsidR="009D54AF" w:rsidRDefault="009D54AF">
            <w:pPr>
              <w:pStyle w:val="TableParagraph"/>
              <w:spacing w:before="10"/>
              <w:rPr>
                <w:sz w:val="14"/>
              </w:rPr>
            </w:pPr>
          </w:p>
          <w:p w14:paraId="05E8A6ED" w14:textId="77777777" w:rsidR="009D54AF" w:rsidRDefault="00000000">
            <w:pPr>
              <w:pStyle w:val="TableParagraph"/>
              <w:ind w:left="8" w:right="2"/>
              <w:jc w:val="center"/>
              <w:rPr>
                <w:sz w:val="14"/>
              </w:rPr>
            </w:pPr>
            <w:r>
              <w:rPr>
                <w:spacing w:val="-10"/>
                <w:sz w:val="14"/>
              </w:rPr>
              <w:t>0</w:t>
            </w:r>
          </w:p>
        </w:tc>
        <w:tc>
          <w:tcPr>
            <w:tcW w:w="680" w:type="dxa"/>
          </w:tcPr>
          <w:p w14:paraId="49587E9B" w14:textId="77777777" w:rsidR="009D54AF" w:rsidRDefault="009D54AF">
            <w:pPr>
              <w:pStyle w:val="TableParagraph"/>
              <w:spacing w:before="10"/>
              <w:rPr>
                <w:sz w:val="14"/>
              </w:rPr>
            </w:pPr>
          </w:p>
          <w:p w14:paraId="62FDD61A" w14:textId="77777777" w:rsidR="009D54AF" w:rsidRDefault="00000000">
            <w:pPr>
              <w:pStyle w:val="TableParagraph"/>
              <w:ind w:left="8" w:right="1"/>
              <w:jc w:val="center"/>
              <w:rPr>
                <w:sz w:val="14"/>
              </w:rPr>
            </w:pPr>
            <w:r>
              <w:rPr>
                <w:spacing w:val="-10"/>
                <w:sz w:val="14"/>
              </w:rPr>
              <w:t>0</w:t>
            </w:r>
          </w:p>
        </w:tc>
        <w:tc>
          <w:tcPr>
            <w:tcW w:w="680" w:type="dxa"/>
          </w:tcPr>
          <w:p w14:paraId="3F0B7C76" w14:textId="77777777" w:rsidR="009D54AF" w:rsidRDefault="009D54AF">
            <w:pPr>
              <w:pStyle w:val="TableParagraph"/>
              <w:spacing w:before="10"/>
              <w:rPr>
                <w:sz w:val="14"/>
              </w:rPr>
            </w:pPr>
          </w:p>
          <w:p w14:paraId="36B28C9D" w14:textId="77777777" w:rsidR="009D54AF" w:rsidRDefault="00000000">
            <w:pPr>
              <w:pStyle w:val="TableParagraph"/>
              <w:ind w:left="8" w:right="1"/>
              <w:jc w:val="center"/>
              <w:rPr>
                <w:sz w:val="14"/>
              </w:rPr>
            </w:pPr>
            <w:r>
              <w:rPr>
                <w:spacing w:val="-10"/>
                <w:sz w:val="14"/>
              </w:rPr>
              <w:t>0</w:t>
            </w:r>
          </w:p>
        </w:tc>
        <w:tc>
          <w:tcPr>
            <w:tcW w:w="680" w:type="dxa"/>
          </w:tcPr>
          <w:p w14:paraId="7AC94364" w14:textId="77777777" w:rsidR="009D54AF" w:rsidRDefault="009D54AF">
            <w:pPr>
              <w:pStyle w:val="TableParagraph"/>
              <w:spacing w:before="10"/>
              <w:rPr>
                <w:sz w:val="14"/>
              </w:rPr>
            </w:pPr>
          </w:p>
          <w:p w14:paraId="162B43CC" w14:textId="77777777" w:rsidR="009D54AF" w:rsidRDefault="00000000">
            <w:pPr>
              <w:pStyle w:val="TableParagraph"/>
              <w:ind w:left="8"/>
              <w:jc w:val="center"/>
              <w:rPr>
                <w:sz w:val="14"/>
              </w:rPr>
            </w:pPr>
            <w:r>
              <w:rPr>
                <w:spacing w:val="-10"/>
                <w:sz w:val="14"/>
              </w:rPr>
              <w:t>0</w:t>
            </w:r>
          </w:p>
        </w:tc>
        <w:tc>
          <w:tcPr>
            <w:tcW w:w="680" w:type="dxa"/>
            <w:tcBorders>
              <w:right w:val="nil"/>
            </w:tcBorders>
          </w:tcPr>
          <w:p w14:paraId="14D4B550" w14:textId="77777777" w:rsidR="009D54AF" w:rsidRDefault="009D54AF">
            <w:pPr>
              <w:pStyle w:val="TableParagraph"/>
              <w:spacing w:before="10"/>
              <w:rPr>
                <w:sz w:val="14"/>
              </w:rPr>
            </w:pPr>
          </w:p>
          <w:p w14:paraId="3F3C8D7D" w14:textId="77777777" w:rsidR="009D54AF" w:rsidRDefault="00000000">
            <w:pPr>
              <w:pStyle w:val="TableParagraph"/>
              <w:ind w:left="10" w:right="4"/>
              <w:jc w:val="center"/>
              <w:rPr>
                <w:sz w:val="14"/>
              </w:rPr>
            </w:pPr>
            <w:r>
              <w:rPr>
                <w:spacing w:val="-10"/>
                <w:sz w:val="14"/>
              </w:rPr>
              <w:t>2</w:t>
            </w:r>
          </w:p>
        </w:tc>
      </w:tr>
      <w:tr w:rsidR="009D54AF" w14:paraId="7154A7B6" w14:textId="77777777">
        <w:trPr>
          <w:trHeight w:val="505"/>
        </w:trPr>
        <w:tc>
          <w:tcPr>
            <w:tcW w:w="1417" w:type="dxa"/>
            <w:tcBorders>
              <w:left w:val="nil"/>
            </w:tcBorders>
          </w:tcPr>
          <w:p w14:paraId="30AADD72" w14:textId="77777777" w:rsidR="009D54AF" w:rsidRDefault="009D54AF">
            <w:pPr>
              <w:pStyle w:val="TableParagraph"/>
              <w:spacing w:before="10"/>
              <w:rPr>
                <w:sz w:val="14"/>
              </w:rPr>
            </w:pPr>
          </w:p>
          <w:p w14:paraId="25FE1EEE" w14:textId="77777777" w:rsidR="009D54AF" w:rsidRDefault="00000000">
            <w:pPr>
              <w:pStyle w:val="TableParagraph"/>
              <w:ind w:left="85"/>
              <w:rPr>
                <w:sz w:val="14"/>
              </w:rPr>
            </w:pPr>
            <w:r>
              <w:rPr>
                <w:spacing w:val="-5"/>
                <w:sz w:val="14"/>
              </w:rPr>
              <w:t>EL2</w:t>
            </w:r>
          </w:p>
        </w:tc>
        <w:tc>
          <w:tcPr>
            <w:tcW w:w="680" w:type="dxa"/>
          </w:tcPr>
          <w:p w14:paraId="20F55300" w14:textId="77777777" w:rsidR="009D54AF" w:rsidRDefault="009D54AF">
            <w:pPr>
              <w:pStyle w:val="TableParagraph"/>
              <w:spacing w:before="10"/>
              <w:rPr>
                <w:sz w:val="14"/>
              </w:rPr>
            </w:pPr>
          </w:p>
          <w:p w14:paraId="7E7DE5DD" w14:textId="77777777" w:rsidR="009D54AF" w:rsidRDefault="00000000">
            <w:pPr>
              <w:pStyle w:val="TableParagraph"/>
              <w:ind w:left="8" w:right="8"/>
              <w:jc w:val="center"/>
              <w:rPr>
                <w:sz w:val="14"/>
              </w:rPr>
            </w:pPr>
            <w:r>
              <w:rPr>
                <w:spacing w:val="-10"/>
                <w:sz w:val="14"/>
              </w:rPr>
              <w:t>5</w:t>
            </w:r>
          </w:p>
        </w:tc>
        <w:tc>
          <w:tcPr>
            <w:tcW w:w="680" w:type="dxa"/>
          </w:tcPr>
          <w:p w14:paraId="3EE83856" w14:textId="77777777" w:rsidR="009D54AF" w:rsidRDefault="009D54AF">
            <w:pPr>
              <w:pStyle w:val="TableParagraph"/>
              <w:spacing w:before="10"/>
              <w:rPr>
                <w:sz w:val="14"/>
              </w:rPr>
            </w:pPr>
          </w:p>
          <w:p w14:paraId="6DC60831" w14:textId="77777777" w:rsidR="009D54AF" w:rsidRDefault="00000000">
            <w:pPr>
              <w:pStyle w:val="TableParagraph"/>
              <w:ind w:left="8" w:right="7"/>
              <w:jc w:val="center"/>
              <w:rPr>
                <w:sz w:val="14"/>
              </w:rPr>
            </w:pPr>
            <w:r>
              <w:rPr>
                <w:spacing w:val="-10"/>
                <w:sz w:val="14"/>
              </w:rPr>
              <w:t>0</w:t>
            </w:r>
          </w:p>
        </w:tc>
        <w:tc>
          <w:tcPr>
            <w:tcW w:w="680" w:type="dxa"/>
          </w:tcPr>
          <w:p w14:paraId="61352E8B" w14:textId="77777777" w:rsidR="009D54AF" w:rsidRDefault="009D54AF">
            <w:pPr>
              <w:pStyle w:val="TableParagraph"/>
              <w:spacing w:before="10"/>
              <w:rPr>
                <w:sz w:val="14"/>
              </w:rPr>
            </w:pPr>
          </w:p>
          <w:p w14:paraId="50477651" w14:textId="77777777" w:rsidR="009D54AF" w:rsidRDefault="00000000">
            <w:pPr>
              <w:pStyle w:val="TableParagraph"/>
              <w:ind w:left="8" w:right="8"/>
              <w:jc w:val="center"/>
              <w:rPr>
                <w:sz w:val="14"/>
              </w:rPr>
            </w:pPr>
            <w:r>
              <w:rPr>
                <w:spacing w:val="-5"/>
                <w:sz w:val="14"/>
              </w:rPr>
              <w:t>15</w:t>
            </w:r>
          </w:p>
        </w:tc>
        <w:tc>
          <w:tcPr>
            <w:tcW w:w="680" w:type="dxa"/>
          </w:tcPr>
          <w:p w14:paraId="6092E9E0" w14:textId="77777777" w:rsidR="009D54AF" w:rsidRDefault="009D54AF">
            <w:pPr>
              <w:pStyle w:val="TableParagraph"/>
              <w:spacing w:before="10"/>
              <w:rPr>
                <w:sz w:val="14"/>
              </w:rPr>
            </w:pPr>
          </w:p>
          <w:p w14:paraId="7F231827" w14:textId="77777777" w:rsidR="009D54AF" w:rsidRDefault="00000000">
            <w:pPr>
              <w:pStyle w:val="TableParagraph"/>
              <w:ind w:left="8" w:right="6"/>
              <w:jc w:val="center"/>
              <w:rPr>
                <w:sz w:val="14"/>
              </w:rPr>
            </w:pPr>
            <w:r>
              <w:rPr>
                <w:spacing w:val="-10"/>
                <w:sz w:val="14"/>
              </w:rPr>
              <w:t>6</w:t>
            </w:r>
          </w:p>
        </w:tc>
        <w:tc>
          <w:tcPr>
            <w:tcW w:w="680" w:type="dxa"/>
          </w:tcPr>
          <w:p w14:paraId="006291F3" w14:textId="77777777" w:rsidR="009D54AF" w:rsidRDefault="009D54AF">
            <w:pPr>
              <w:pStyle w:val="TableParagraph"/>
              <w:spacing w:before="10"/>
              <w:rPr>
                <w:sz w:val="14"/>
              </w:rPr>
            </w:pPr>
          </w:p>
          <w:p w14:paraId="6085BB77" w14:textId="77777777" w:rsidR="009D54AF" w:rsidRDefault="00000000">
            <w:pPr>
              <w:pStyle w:val="TableParagraph"/>
              <w:ind w:left="8" w:right="5"/>
              <w:jc w:val="center"/>
              <w:rPr>
                <w:sz w:val="14"/>
              </w:rPr>
            </w:pPr>
            <w:r>
              <w:rPr>
                <w:spacing w:val="-10"/>
                <w:sz w:val="14"/>
              </w:rPr>
              <w:t>1</w:t>
            </w:r>
          </w:p>
        </w:tc>
        <w:tc>
          <w:tcPr>
            <w:tcW w:w="680" w:type="dxa"/>
          </w:tcPr>
          <w:p w14:paraId="0575BA2C" w14:textId="77777777" w:rsidR="009D54AF" w:rsidRDefault="009D54AF">
            <w:pPr>
              <w:pStyle w:val="TableParagraph"/>
              <w:spacing w:before="10"/>
              <w:rPr>
                <w:sz w:val="14"/>
              </w:rPr>
            </w:pPr>
          </w:p>
          <w:p w14:paraId="1073E81A" w14:textId="77777777" w:rsidR="009D54AF" w:rsidRDefault="00000000">
            <w:pPr>
              <w:pStyle w:val="TableParagraph"/>
              <w:ind w:left="8" w:right="4"/>
              <w:jc w:val="center"/>
              <w:rPr>
                <w:sz w:val="14"/>
              </w:rPr>
            </w:pPr>
            <w:r>
              <w:rPr>
                <w:spacing w:val="-10"/>
                <w:sz w:val="14"/>
              </w:rPr>
              <w:t>0</w:t>
            </w:r>
          </w:p>
        </w:tc>
        <w:tc>
          <w:tcPr>
            <w:tcW w:w="680" w:type="dxa"/>
          </w:tcPr>
          <w:p w14:paraId="499BF72D" w14:textId="77777777" w:rsidR="009D54AF" w:rsidRDefault="009D54AF">
            <w:pPr>
              <w:pStyle w:val="TableParagraph"/>
              <w:spacing w:before="10"/>
              <w:rPr>
                <w:sz w:val="14"/>
              </w:rPr>
            </w:pPr>
          </w:p>
          <w:p w14:paraId="7F6648FE" w14:textId="77777777" w:rsidR="009D54AF" w:rsidRDefault="00000000">
            <w:pPr>
              <w:pStyle w:val="TableParagraph"/>
              <w:ind w:left="8" w:right="4"/>
              <w:jc w:val="center"/>
              <w:rPr>
                <w:sz w:val="14"/>
              </w:rPr>
            </w:pPr>
            <w:r>
              <w:rPr>
                <w:spacing w:val="-10"/>
                <w:sz w:val="14"/>
              </w:rPr>
              <w:t>9</w:t>
            </w:r>
          </w:p>
        </w:tc>
        <w:tc>
          <w:tcPr>
            <w:tcW w:w="623" w:type="dxa"/>
          </w:tcPr>
          <w:p w14:paraId="120B3BB3" w14:textId="77777777" w:rsidR="009D54AF" w:rsidRDefault="009D54AF">
            <w:pPr>
              <w:pStyle w:val="TableParagraph"/>
              <w:spacing w:before="10"/>
              <w:rPr>
                <w:sz w:val="14"/>
              </w:rPr>
            </w:pPr>
          </w:p>
          <w:p w14:paraId="53FE0C95" w14:textId="77777777" w:rsidR="009D54AF" w:rsidRDefault="00000000">
            <w:pPr>
              <w:pStyle w:val="TableParagraph"/>
              <w:ind w:left="5"/>
              <w:jc w:val="center"/>
              <w:rPr>
                <w:sz w:val="14"/>
              </w:rPr>
            </w:pPr>
            <w:r>
              <w:rPr>
                <w:spacing w:val="-10"/>
                <w:sz w:val="14"/>
              </w:rPr>
              <w:t>0</w:t>
            </w:r>
          </w:p>
        </w:tc>
        <w:tc>
          <w:tcPr>
            <w:tcW w:w="680" w:type="dxa"/>
          </w:tcPr>
          <w:p w14:paraId="54357FB4" w14:textId="77777777" w:rsidR="009D54AF" w:rsidRDefault="009D54AF">
            <w:pPr>
              <w:pStyle w:val="TableParagraph"/>
              <w:spacing w:before="10"/>
              <w:rPr>
                <w:sz w:val="14"/>
              </w:rPr>
            </w:pPr>
          </w:p>
          <w:p w14:paraId="2370F27C" w14:textId="77777777" w:rsidR="009D54AF" w:rsidRDefault="00000000">
            <w:pPr>
              <w:pStyle w:val="TableParagraph"/>
              <w:ind w:left="8" w:right="2"/>
              <w:jc w:val="center"/>
              <w:rPr>
                <w:sz w:val="14"/>
              </w:rPr>
            </w:pPr>
            <w:r>
              <w:rPr>
                <w:spacing w:val="-10"/>
                <w:sz w:val="14"/>
              </w:rPr>
              <w:t>0</w:t>
            </w:r>
          </w:p>
        </w:tc>
        <w:tc>
          <w:tcPr>
            <w:tcW w:w="680" w:type="dxa"/>
          </w:tcPr>
          <w:p w14:paraId="3F134D92" w14:textId="77777777" w:rsidR="009D54AF" w:rsidRDefault="009D54AF">
            <w:pPr>
              <w:pStyle w:val="TableParagraph"/>
              <w:spacing w:before="10"/>
              <w:rPr>
                <w:sz w:val="14"/>
              </w:rPr>
            </w:pPr>
          </w:p>
          <w:p w14:paraId="6293C1AA" w14:textId="77777777" w:rsidR="009D54AF" w:rsidRDefault="00000000">
            <w:pPr>
              <w:pStyle w:val="TableParagraph"/>
              <w:ind w:left="8" w:right="1"/>
              <w:jc w:val="center"/>
              <w:rPr>
                <w:sz w:val="14"/>
              </w:rPr>
            </w:pPr>
            <w:r>
              <w:rPr>
                <w:spacing w:val="-10"/>
                <w:sz w:val="14"/>
              </w:rPr>
              <w:t>0</w:t>
            </w:r>
          </w:p>
        </w:tc>
        <w:tc>
          <w:tcPr>
            <w:tcW w:w="680" w:type="dxa"/>
          </w:tcPr>
          <w:p w14:paraId="5979789D" w14:textId="77777777" w:rsidR="009D54AF" w:rsidRDefault="009D54AF">
            <w:pPr>
              <w:pStyle w:val="TableParagraph"/>
              <w:spacing w:before="10"/>
              <w:rPr>
                <w:sz w:val="14"/>
              </w:rPr>
            </w:pPr>
          </w:p>
          <w:p w14:paraId="2415016B" w14:textId="77777777" w:rsidR="009D54AF" w:rsidRDefault="00000000">
            <w:pPr>
              <w:pStyle w:val="TableParagraph"/>
              <w:ind w:left="8" w:right="1"/>
              <w:jc w:val="center"/>
              <w:rPr>
                <w:sz w:val="14"/>
              </w:rPr>
            </w:pPr>
            <w:r>
              <w:rPr>
                <w:spacing w:val="-10"/>
                <w:sz w:val="14"/>
              </w:rPr>
              <w:t>0</w:t>
            </w:r>
          </w:p>
        </w:tc>
        <w:tc>
          <w:tcPr>
            <w:tcW w:w="680" w:type="dxa"/>
          </w:tcPr>
          <w:p w14:paraId="54E42C4E" w14:textId="77777777" w:rsidR="009D54AF" w:rsidRDefault="009D54AF">
            <w:pPr>
              <w:pStyle w:val="TableParagraph"/>
              <w:spacing w:before="10"/>
              <w:rPr>
                <w:sz w:val="14"/>
              </w:rPr>
            </w:pPr>
          </w:p>
          <w:p w14:paraId="50847C49" w14:textId="77777777" w:rsidR="009D54AF" w:rsidRDefault="00000000">
            <w:pPr>
              <w:pStyle w:val="TableParagraph"/>
              <w:ind w:left="8"/>
              <w:jc w:val="center"/>
              <w:rPr>
                <w:sz w:val="14"/>
              </w:rPr>
            </w:pPr>
            <w:r>
              <w:rPr>
                <w:spacing w:val="-10"/>
                <w:sz w:val="14"/>
              </w:rPr>
              <w:t>0</w:t>
            </w:r>
          </w:p>
        </w:tc>
        <w:tc>
          <w:tcPr>
            <w:tcW w:w="680" w:type="dxa"/>
            <w:tcBorders>
              <w:right w:val="nil"/>
            </w:tcBorders>
          </w:tcPr>
          <w:p w14:paraId="05A0CF18" w14:textId="77777777" w:rsidR="009D54AF" w:rsidRDefault="009D54AF">
            <w:pPr>
              <w:pStyle w:val="TableParagraph"/>
              <w:spacing w:before="10"/>
              <w:rPr>
                <w:sz w:val="14"/>
              </w:rPr>
            </w:pPr>
          </w:p>
          <w:p w14:paraId="053585A4" w14:textId="77777777" w:rsidR="009D54AF" w:rsidRDefault="00000000">
            <w:pPr>
              <w:pStyle w:val="TableParagraph"/>
              <w:ind w:left="10"/>
              <w:jc w:val="center"/>
              <w:rPr>
                <w:sz w:val="14"/>
              </w:rPr>
            </w:pPr>
            <w:r>
              <w:rPr>
                <w:spacing w:val="-5"/>
                <w:sz w:val="14"/>
              </w:rPr>
              <w:t>36</w:t>
            </w:r>
          </w:p>
        </w:tc>
      </w:tr>
      <w:tr w:rsidR="009D54AF" w14:paraId="3380B249" w14:textId="77777777">
        <w:trPr>
          <w:trHeight w:val="505"/>
        </w:trPr>
        <w:tc>
          <w:tcPr>
            <w:tcW w:w="1417" w:type="dxa"/>
            <w:tcBorders>
              <w:left w:val="nil"/>
            </w:tcBorders>
          </w:tcPr>
          <w:p w14:paraId="57B2E7BA" w14:textId="77777777" w:rsidR="009D54AF" w:rsidRDefault="009D54AF">
            <w:pPr>
              <w:pStyle w:val="TableParagraph"/>
              <w:spacing w:before="10"/>
              <w:rPr>
                <w:sz w:val="14"/>
              </w:rPr>
            </w:pPr>
          </w:p>
          <w:p w14:paraId="0570B918" w14:textId="77777777" w:rsidR="009D54AF" w:rsidRDefault="00000000">
            <w:pPr>
              <w:pStyle w:val="TableParagraph"/>
              <w:ind w:left="85"/>
              <w:rPr>
                <w:sz w:val="14"/>
              </w:rPr>
            </w:pPr>
            <w:r>
              <w:rPr>
                <w:spacing w:val="-5"/>
                <w:sz w:val="14"/>
              </w:rPr>
              <w:t>EL1</w:t>
            </w:r>
          </w:p>
        </w:tc>
        <w:tc>
          <w:tcPr>
            <w:tcW w:w="680" w:type="dxa"/>
          </w:tcPr>
          <w:p w14:paraId="50797E1F" w14:textId="77777777" w:rsidR="009D54AF" w:rsidRDefault="009D54AF">
            <w:pPr>
              <w:pStyle w:val="TableParagraph"/>
              <w:spacing w:before="10"/>
              <w:rPr>
                <w:sz w:val="14"/>
              </w:rPr>
            </w:pPr>
          </w:p>
          <w:p w14:paraId="5FE85223" w14:textId="77777777" w:rsidR="009D54AF" w:rsidRDefault="00000000">
            <w:pPr>
              <w:pStyle w:val="TableParagraph"/>
              <w:ind w:left="8" w:right="8"/>
              <w:jc w:val="center"/>
              <w:rPr>
                <w:sz w:val="14"/>
              </w:rPr>
            </w:pPr>
            <w:r>
              <w:rPr>
                <w:spacing w:val="-5"/>
                <w:sz w:val="14"/>
              </w:rPr>
              <w:t>13</w:t>
            </w:r>
          </w:p>
        </w:tc>
        <w:tc>
          <w:tcPr>
            <w:tcW w:w="680" w:type="dxa"/>
          </w:tcPr>
          <w:p w14:paraId="6EA3F19D" w14:textId="77777777" w:rsidR="009D54AF" w:rsidRDefault="009D54AF">
            <w:pPr>
              <w:pStyle w:val="TableParagraph"/>
              <w:spacing w:before="10"/>
              <w:rPr>
                <w:sz w:val="14"/>
              </w:rPr>
            </w:pPr>
          </w:p>
          <w:p w14:paraId="2278F944" w14:textId="77777777" w:rsidR="009D54AF" w:rsidRDefault="00000000">
            <w:pPr>
              <w:pStyle w:val="TableParagraph"/>
              <w:ind w:left="8" w:right="7"/>
              <w:jc w:val="center"/>
              <w:rPr>
                <w:sz w:val="14"/>
              </w:rPr>
            </w:pPr>
            <w:r>
              <w:rPr>
                <w:spacing w:val="-10"/>
                <w:sz w:val="14"/>
              </w:rPr>
              <w:t>1</w:t>
            </w:r>
          </w:p>
        </w:tc>
        <w:tc>
          <w:tcPr>
            <w:tcW w:w="680" w:type="dxa"/>
          </w:tcPr>
          <w:p w14:paraId="15FF6878" w14:textId="77777777" w:rsidR="009D54AF" w:rsidRDefault="009D54AF">
            <w:pPr>
              <w:pStyle w:val="TableParagraph"/>
              <w:spacing w:before="10"/>
              <w:rPr>
                <w:sz w:val="14"/>
              </w:rPr>
            </w:pPr>
          </w:p>
          <w:p w14:paraId="02577101" w14:textId="77777777" w:rsidR="009D54AF" w:rsidRDefault="00000000">
            <w:pPr>
              <w:pStyle w:val="TableParagraph"/>
              <w:ind w:left="8" w:right="1"/>
              <w:jc w:val="center"/>
              <w:rPr>
                <w:sz w:val="14"/>
              </w:rPr>
            </w:pPr>
            <w:r>
              <w:rPr>
                <w:spacing w:val="-5"/>
                <w:sz w:val="14"/>
              </w:rPr>
              <w:t>34</w:t>
            </w:r>
          </w:p>
        </w:tc>
        <w:tc>
          <w:tcPr>
            <w:tcW w:w="680" w:type="dxa"/>
          </w:tcPr>
          <w:p w14:paraId="6F96E9AF" w14:textId="77777777" w:rsidR="009D54AF" w:rsidRDefault="009D54AF">
            <w:pPr>
              <w:pStyle w:val="TableParagraph"/>
              <w:spacing w:before="10"/>
              <w:rPr>
                <w:sz w:val="14"/>
              </w:rPr>
            </w:pPr>
          </w:p>
          <w:p w14:paraId="0B8FD2DE" w14:textId="77777777" w:rsidR="009D54AF" w:rsidRDefault="00000000">
            <w:pPr>
              <w:pStyle w:val="TableParagraph"/>
              <w:ind w:left="8" w:right="6"/>
              <w:jc w:val="center"/>
              <w:rPr>
                <w:sz w:val="14"/>
              </w:rPr>
            </w:pPr>
            <w:r>
              <w:rPr>
                <w:spacing w:val="-10"/>
                <w:sz w:val="14"/>
              </w:rPr>
              <w:t>6</w:t>
            </w:r>
          </w:p>
        </w:tc>
        <w:tc>
          <w:tcPr>
            <w:tcW w:w="680" w:type="dxa"/>
          </w:tcPr>
          <w:p w14:paraId="2799559B" w14:textId="77777777" w:rsidR="009D54AF" w:rsidRDefault="009D54AF">
            <w:pPr>
              <w:pStyle w:val="TableParagraph"/>
              <w:spacing w:before="10"/>
              <w:rPr>
                <w:sz w:val="14"/>
              </w:rPr>
            </w:pPr>
          </w:p>
          <w:p w14:paraId="4075F5AC" w14:textId="77777777" w:rsidR="009D54AF" w:rsidRDefault="00000000">
            <w:pPr>
              <w:pStyle w:val="TableParagraph"/>
              <w:ind w:left="8" w:right="5"/>
              <w:jc w:val="center"/>
              <w:rPr>
                <w:sz w:val="14"/>
              </w:rPr>
            </w:pPr>
            <w:r>
              <w:rPr>
                <w:spacing w:val="-10"/>
                <w:sz w:val="14"/>
              </w:rPr>
              <w:t>3</w:t>
            </w:r>
          </w:p>
        </w:tc>
        <w:tc>
          <w:tcPr>
            <w:tcW w:w="680" w:type="dxa"/>
          </w:tcPr>
          <w:p w14:paraId="085EA393" w14:textId="77777777" w:rsidR="009D54AF" w:rsidRDefault="009D54AF">
            <w:pPr>
              <w:pStyle w:val="TableParagraph"/>
              <w:spacing w:before="10"/>
              <w:rPr>
                <w:sz w:val="14"/>
              </w:rPr>
            </w:pPr>
          </w:p>
          <w:p w14:paraId="31B5FAF2" w14:textId="77777777" w:rsidR="009D54AF" w:rsidRDefault="00000000">
            <w:pPr>
              <w:pStyle w:val="TableParagraph"/>
              <w:ind w:left="8" w:right="4"/>
              <w:jc w:val="center"/>
              <w:rPr>
                <w:sz w:val="14"/>
              </w:rPr>
            </w:pPr>
            <w:r>
              <w:rPr>
                <w:spacing w:val="-10"/>
                <w:sz w:val="14"/>
              </w:rPr>
              <w:t>0</w:t>
            </w:r>
          </w:p>
        </w:tc>
        <w:tc>
          <w:tcPr>
            <w:tcW w:w="680" w:type="dxa"/>
          </w:tcPr>
          <w:p w14:paraId="2D68E6C3" w14:textId="77777777" w:rsidR="009D54AF" w:rsidRDefault="009D54AF">
            <w:pPr>
              <w:pStyle w:val="TableParagraph"/>
              <w:spacing w:before="10"/>
              <w:rPr>
                <w:sz w:val="14"/>
              </w:rPr>
            </w:pPr>
          </w:p>
          <w:p w14:paraId="2C69A04E" w14:textId="77777777" w:rsidR="009D54AF" w:rsidRDefault="00000000">
            <w:pPr>
              <w:pStyle w:val="TableParagraph"/>
              <w:ind w:left="8" w:right="5"/>
              <w:jc w:val="center"/>
              <w:rPr>
                <w:sz w:val="14"/>
              </w:rPr>
            </w:pPr>
            <w:r>
              <w:rPr>
                <w:spacing w:val="-5"/>
                <w:sz w:val="14"/>
              </w:rPr>
              <w:t>16</w:t>
            </w:r>
          </w:p>
        </w:tc>
        <w:tc>
          <w:tcPr>
            <w:tcW w:w="623" w:type="dxa"/>
          </w:tcPr>
          <w:p w14:paraId="6B37A587" w14:textId="77777777" w:rsidR="009D54AF" w:rsidRDefault="009D54AF">
            <w:pPr>
              <w:pStyle w:val="TableParagraph"/>
              <w:spacing w:before="10"/>
              <w:rPr>
                <w:sz w:val="14"/>
              </w:rPr>
            </w:pPr>
          </w:p>
          <w:p w14:paraId="50D61A09" w14:textId="77777777" w:rsidR="009D54AF" w:rsidRDefault="00000000">
            <w:pPr>
              <w:pStyle w:val="TableParagraph"/>
              <w:ind w:left="5"/>
              <w:jc w:val="center"/>
              <w:rPr>
                <w:sz w:val="14"/>
              </w:rPr>
            </w:pPr>
            <w:r>
              <w:rPr>
                <w:spacing w:val="-10"/>
                <w:sz w:val="14"/>
              </w:rPr>
              <w:t>0</w:t>
            </w:r>
          </w:p>
        </w:tc>
        <w:tc>
          <w:tcPr>
            <w:tcW w:w="680" w:type="dxa"/>
          </w:tcPr>
          <w:p w14:paraId="40B1BDFC" w14:textId="77777777" w:rsidR="009D54AF" w:rsidRDefault="009D54AF">
            <w:pPr>
              <w:pStyle w:val="TableParagraph"/>
              <w:spacing w:before="10"/>
              <w:rPr>
                <w:sz w:val="14"/>
              </w:rPr>
            </w:pPr>
          </w:p>
          <w:p w14:paraId="7DD249E7" w14:textId="77777777" w:rsidR="009D54AF" w:rsidRDefault="00000000">
            <w:pPr>
              <w:pStyle w:val="TableParagraph"/>
              <w:ind w:left="8" w:right="2"/>
              <w:jc w:val="center"/>
              <w:rPr>
                <w:sz w:val="14"/>
              </w:rPr>
            </w:pPr>
            <w:r>
              <w:rPr>
                <w:spacing w:val="-10"/>
                <w:sz w:val="14"/>
              </w:rPr>
              <w:t>0</w:t>
            </w:r>
          </w:p>
        </w:tc>
        <w:tc>
          <w:tcPr>
            <w:tcW w:w="680" w:type="dxa"/>
          </w:tcPr>
          <w:p w14:paraId="076A2F90" w14:textId="77777777" w:rsidR="009D54AF" w:rsidRDefault="009D54AF">
            <w:pPr>
              <w:pStyle w:val="TableParagraph"/>
              <w:spacing w:before="10"/>
              <w:rPr>
                <w:sz w:val="14"/>
              </w:rPr>
            </w:pPr>
          </w:p>
          <w:p w14:paraId="0FAF588B" w14:textId="77777777" w:rsidR="009D54AF" w:rsidRDefault="00000000">
            <w:pPr>
              <w:pStyle w:val="TableParagraph"/>
              <w:ind w:left="8" w:right="1"/>
              <w:jc w:val="center"/>
              <w:rPr>
                <w:sz w:val="14"/>
              </w:rPr>
            </w:pPr>
            <w:r>
              <w:rPr>
                <w:spacing w:val="-10"/>
                <w:sz w:val="14"/>
              </w:rPr>
              <w:t>0</w:t>
            </w:r>
          </w:p>
        </w:tc>
        <w:tc>
          <w:tcPr>
            <w:tcW w:w="680" w:type="dxa"/>
          </w:tcPr>
          <w:p w14:paraId="54E48CEF" w14:textId="77777777" w:rsidR="009D54AF" w:rsidRDefault="009D54AF">
            <w:pPr>
              <w:pStyle w:val="TableParagraph"/>
              <w:spacing w:before="10"/>
              <w:rPr>
                <w:sz w:val="14"/>
              </w:rPr>
            </w:pPr>
          </w:p>
          <w:p w14:paraId="5EFF8EC1" w14:textId="77777777" w:rsidR="009D54AF" w:rsidRDefault="00000000">
            <w:pPr>
              <w:pStyle w:val="TableParagraph"/>
              <w:ind w:left="8" w:right="1"/>
              <w:jc w:val="center"/>
              <w:rPr>
                <w:sz w:val="14"/>
              </w:rPr>
            </w:pPr>
            <w:r>
              <w:rPr>
                <w:spacing w:val="-10"/>
                <w:sz w:val="14"/>
              </w:rPr>
              <w:t>0</w:t>
            </w:r>
          </w:p>
        </w:tc>
        <w:tc>
          <w:tcPr>
            <w:tcW w:w="680" w:type="dxa"/>
          </w:tcPr>
          <w:p w14:paraId="0D146B77" w14:textId="77777777" w:rsidR="009D54AF" w:rsidRDefault="009D54AF">
            <w:pPr>
              <w:pStyle w:val="TableParagraph"/>
              <w:spacing w:before="10"/>
              <w:rPr>
                <w:sz w:val="14"/>
              </w:rPr>
            </w:pPr>
          </w:p>
          <w:p w14:paraId="636B768A" w14:textId="77777777" w:rsidR="009D54AF" w:rsidRDefault="00000000">
            <w:pPr>
              <w:pStyle w:val="TableParagraph"/>
              <w:ind w:left="8"/>
              <w:jc w:val="center"/>
              <w:rPr>
                <w:sz w:val="14"/>
              </w:rPr>
            </w:pPr>
            <w:r>
              <w:rPr>
                <w:spacing w:val="-10"/>
                <w:sz w:val="14"/>
              </w:rPr>
              <w:t>0</w:t>
            </w:r>
          </w:p>
        </w:tc>
        <w:tc>
          <w:tcPr>
            <w:tcW w:w="680" w:type="dxa"/>
            <w:tcBorders>
              <w:right w:val="nil"/>
            </w:tcBorders>
          </w:tcPr>
          <w:p w14:paraId="2CAF82D2" w14:textId="77777777" w:rsidR="009D54AF" w:rsidRDefault="009D54AF">
            <w:pPr>
              <w:pStyle w:val="TableParagraph"/>
              <w:spacing w:before="10"/>
              <w:rPr>
                <w:sz w:val="14"/>
              </w:rPr>
            </w:pPr>
          </w:p>
          <w:p w14:paraId="643A8156" w14:textId="77777777" w:rsidR="009D54AF" w:rsidRDefault="00000000">
            <w:pPr>
              <w:pStyle w:val="TableParagraph"/>
              <w:ind w:left="10" w:right="3"/>
              <w:jc w:val="center"/>
              <w:rPr>
                <w:sz w:val="14"/>
              </w:rPr>
            </w:pPr>
            <w:r>
              <w:rPr>
                <w:spacing w:val="-5"/>
                <w:sz w:val="14"/>
              </w:rPr>
              <w:t>73</w:t>
            </w:r>
          </w:p>
        </w:tc>
      </w:tr>
      <w:tr w:rsidR="009D54AF" w14:paraId="089822C5" w14:textId="77777777">
        <w:trPr>
          <w:trHeight w:val="505"/>
        </w:trPr>
        <w:tc>
          <w:tcPr>
            <w:tcW w:w="1417" w:type="dxa"/>
            <w:tcBorders>
              <w:left w:val="nil"/>
            </w:tcBorders>
          </w:tcPr>
          <w:p w14:paraId="6B445F87" w14:textId="77777777" w:rsidR="009D54AF" w:rsidRDefault="009D54AF">
            <w:pPr>
              <w:pStyle w:val="TableParagraph"/>
              <w:spacing w:before="10"/>
              <w:rPr>
                <w:sz w:val="14"/>
              </w:rPr>
            </w:pPr>
          </w:p>
          <w:p w14:paraId="3911A30C" w14:textId="77777777" w:rsidR="009D54AF" w:rsidRDefault="00000000">
            <w:pPr>
              <w:pStyle w:val="TableParagraph"/>
              <w:ind w:left="85"/>
              <w:rPr>
                <w:sz w:val="14"/>
              </w:rPr>
            </w:pPr>
            <w:r>
              <w:rPr>
                <w:spacing w:val="-4"/>
                <w:sz w:val="14"/>
              </w:rPr>
              <w:t>APS6</w:t>
            </w:r>
          </w:p>
        </w:tc>
        <w:tc>
          <w:tcPr>
            <w:tcW w:w="680" w:type="dxa"/>
          </w:tcPr>
          <w:p w14:paraId="74A8D780" w14:textId="77777777" w:rsidR="009D54AF" w:rsidRDefault="009D54AF">
            <w:pPr>
              <w:pStyle w:val="TableParagraph"/>
              <w:spacing w:before="10"/>
              <w:rPr>
                <w:sz w:val="14"/>
              </w:rPr>
            </w:pPr>
          </w:p>
          <w:p w14:paraId="0C604908" w14:textId="77777777" w:rsidR="009D54AF" w:rsidRDefault="00000000">
            <w:pPr>
              <w:pStyle w:val="TableParagraph"/>
              <w:ind w:left="8" w:right="8"/>
              <w:jc w:val="center"/>
              <w:rPr>
                <w:sz w:val="14"/>
              </w:rPr>
            </w:pPr>
            <w:r>
              <w:rPr>
                <w:spacing w:val="-10"/>
                <w:sz w:val="14"/>
              </w:rPr>
              <w:t>9</w:t>
            </w:r>
          </w:p>
        </w:tc>
        <w:tc>
          <w:tcPr>
            <w:tcW w:w="680" w:type="dxa"/>
          </w:tcPr>
          <w:p w14:paraId="64DE7160" w14:textId="77777777" w:rsidR="009D54AF" w:rsidRDefault="009D54AF">
            <w:pPr>
              <w:pStyle w:val="TableParagraph"/>
              <w:spacing w:before="10"/>
              <w:rPr>
                <w:sz w:val="14"/>
              </w:rPr>
            </w:pPr>
          </w:p>
          <w:p w14:paraId="44B055ED" w14:textId="77777777" w:rsidR="009D54AF" w:rsidRDefault="00000000">
            <w:pPr>
              <w:pStyle w:val="TableParagraph"/>
              <w:ind w:left="8" w:right="7"/>
              <w:jc w:val="center"/>
              <w:rPr>
                <w:sz w:val="14"/>
              </w:rPr>
            </w:pPr>
            <w:r>
              <w:rPr>
                <w:spacing w:val="-10"/>
                <w:sz w:val="14"/>
              </w:rPr>
              <w:t>2</w:t>
            </w:r>
          </w:p>
        </w:tc>
        <w:tc>
          <w:tcPr>
            <w:tcW w:w="680" w:type="dxa"/>
          </w:tcPr>
          <w:p w14:paraId="3BDD4E13" w14:textId="77777777" w:rsidR="009D54AF" w:rsidRDefault="009D54AF">
            <w:pPr>
              <w:pStyle w:val="TableParagraph"/>
              <w:spacing w:before="10"/>
              <w:rPr>
                <w:sz w:val="14"/>
              </w:rPr>
            </w:pPr>
          </w:p>
          <w:p w14:paraId="3408F4BD" w14:textId="77777777" w:rsidR="009D54AF" w:rsidRDefault="00000000">
            <w:pPr>
              <w:pStyle w:val="TableParagraph"/>
              <w:ind w:left="8" w:right="8"/>
              <w:jc w:val="center"/>
              <w:rPr>
                <w:sz w:val="14"/>
              </w:rPr>
            </w:pPr>
            <w:r>
              <w:rPr>
                <w:spacing w:val="-5"/>
                <w:sz w:val="14"/>
              </w:rPr>
              <w:t>19</w:t>
            </w:r>
          </w:p>
        </w:tc>
        <w:tc>
          <w:tcPr>
            <w:tcW w:w="680" w:type="dxa"/>
          </w:tcPr>
          <w:p w14:paraId="56A1B539" w14:textId="77777777" w:rsidR="009D54AF" w:rsidRDefault="009D54AF">
            <w:pPr>
              <w:pStyle w:val="TableParagraph"/>
              <w:spacing w:before="10"/>
              <w:rPr>
                <w:sz w:val="14"/>
              </w:rPr>
            </w:pPr>
          </w:p>
          <w:p w14:paraId="14B23F40" w14:textId="77777777" w:rsidR="009D54AF" w:rsidRDefault="00000000">
            <w:pPr>
              <w:pStyle w:val="TableParagraph"/>
              <w:ind w:left="8" w:right="6"/>
              <w:jc w:val="center"/>
              <w:rPr>
                <w:sz w:val="14"/>
              </w:rPr>
            </w:pPr>
            <w:r>
              <w:rPr>
                <w:spacing w:val="-10"/>
                <w:sz w:val="14"/>
              </w:rPr>
              <w:t>1</w:t>
            </w:r>
          </w:p>
        </w:tc>
        <w:tc>
          <w:tcPr>
            <w:tcW w:w="680" w:type="dxa"/>
          </w:tcPr>
          <w:p w14:paraId="1531312D" w14:textId="77777777" w:rsidR="009D54AF" w:rsidRDefault="009D54AF">
            <w:pPr>
              <w:pStyle w:val="TableParagraph"/>
              <w:spacing w:before="10"/>
              <w:rPr>
                <w:sz w:val="14"/>
              </w:rPr>
            </w:pPr>
          </w:p>
          <w:p w14:paraId="1B38444C" w14:textId="77777777" w:rsidR="009D54AF" w:rsidRDefault="00000000">
            <w:pPr>
              <w:pStyle w:val="TableParagraph"/>
              <w:ind w:left="8" w:right="5"/>
              <w:jc w:val="center"/>
              <w:rPr>
                <w:sz w:val="14"/>
              </w:rPr>
            </w:pPr>
            <w:r>
              <w:rPr>
                <w:spacing w:val="-10"/>
                <w:sz w:val="14"/>
              </w:rPr>
              <w:t>2</w:t>
            </w:r>
          </w:p>
        </w:tc>
        <w:tc>
          <w:tcPr>
            <w:tcW w:w="680" w:type="dxa"/>
          </w:tcPr>
          <w:p w14:paraId="58A0CCE2" w14:textId="77777777" w:rsidR="009D54AF" w:rsidRDefault="009D54AF">
            <w:pPr>
              <w:pStyle w:val="TableParagraph"/>
              <w:spacing w:before="10"/>
              <w:rPr>
                <w:sz w:val="14"/>
              </w:rPr>
            </w:pPr>
          </w:p>
          <w:p w14:paraId="2BE0D990" w14:textId="77777777" w:rsidR="009D54AF" w:rsidRDefault="00000000">
            <w:pPr>
              <w:pStyle w:val="TableParagraph"/>
              <w:ind w:left="8" w:right="4"/>
              <w:jc w:val="center"/>
              <w:rPr>
                <w:sz w:val="14"/>
              </w:rPr>
            </w:pPr>
            <w:r>
              <w:rPr>
                <w:spacing w:val="-10"/>
                <w:sz w:val="14"/>
              </w:rPr>
              <w:t>0</w:t>
            </w:r>
          </w:p>
        </w:tc>
        <w:tc>
          <w:tcPr>
            <w:tcW w:w="680" w:type="dxa"/>
          </w:tcPr>
          <w:p w14:paraId="6C072C85" w14:textId="77777777" w:rsidR="009D54AF" w:rsidRDefault="009D54AF">
            <w:pPr>
              <w:pStyle w:val="TableParagraph"/>
              <w:spacing w:before="10"/>
              <w:rPr>
                <w:sz w:val="14"/>
              </w:rPr>
            </w:pPr>
          </w:p>
          <w:p w14:paraId="6A43E7E5" w14:textId="77777777" w:rsidR="009D54AF" w:rsidRDefault="00000000">
            <w:pPr>
              <w:pStyle w:val="TableParagraph"/>
              <w:ind w:left="8" w:right="4"/>
              <w:jc w:val="center"/>
              <w:rPr>
                <w:sz w:val="14"/>
              </w:rPr>
            </w:pPr>
            <w:r>
              <w:rPr>
                <w:spacing w:val="-10"/>
                <w:sz w:val="14"/>
              </w:rPr>
              <w:t>6</w:t>
            </w:r>
          </w:p>
        </w:tc>
        <w:tc>
          <w:tcPr>
            <w:tcW w:w="623" w:type="dxa"/>
          </w:tcPr>
          <w:p w14:paraId="4A242684" w14:textId="77777777" w:rsidR="009D54AF" w:rsidRDefault="009D54AF">
            <w:pPr>
              <w:pStyle w:val="TableParagraph"/>
              <w:spacing w:before="10"/>
              <w:rPr>
                <w:sz w:val="14"/>
              </w:rPr>
            </w:pPr>
          </w:p>
          <w:p w14:paraId="67E66620" w14:textId="77777777" w:rsidR="009D54AF" w:rsidRDefault="00000000">
            <w:pPr>
              <w:pStyle w:val="TableParagraph"/>
              <w:ind w:left="5"/>
              <w:jc w:val="center"/>
              <w:rPr>
                <w:sz w:val="14"/>
              </w:rPr>
            </w:pPr>
            <w:r>
              <w:rPr>
                <w:spacing w:val="-10"/>
                <w:sz w:val="14"/>
              </w:rPr>
              <w:t>0</w:t>
            </w:r>
          </w:p>
        </w:tc>
        <w:tc>
          <w:tcPr>
            <w:tcW w:w="680" w:type="dxa"/>
          </w:tcPr>
          <w:p w14:paraId="0CE8C11B" w14:textId="77777777" w:rsidR="009D54AF" w:rsidRDefault="009D54AF">
            <w:pPr>
              <w:pStyle w:val="TableParagraph"/>
              <w:spacing w:before="10"/>
              <w:rPr>
                <w:sz w:val="14"/>
              </w:rPr>
            </w:pPr>
          </w:p>
          <w:p w14:paraId="5844D65D" w14:textId="77777777" w:rsidR="009D54AF" w:rsidRDefault="00000000">
            <w:pPr>
              <w:pStyle w:val="TableParagraph"/>
              <w:ind w:left="8" w:right="2"/>
              <w:jc w:val="center"/>
              <w:rPr>
                <w:sz w:val="14"/>
              </w:rPr>
            </w:pPr>
            <w:r>
              <w:rPr>
                <w:spacing w:val="-10"/>
                <w:sz w:val="14"/>
              </w:rPr>
              <w:t>0</w:t>
            </w:r>
          </w:p>
        </w:tc>
        <w:tc>
          <w:tcPr>
            <w:tcW w:w="680" w:type="dxa"/>
          </w:tcPr>
          <w:p w14:paraId="63E09868" w14:textId="77777777" w:rsidR="009D54AF" w:rsidRDefault="009D54AF">
            <w:pPr>
              <w:pStyle w:val="TableParagraph"/>
              <w:spacing w:before="10"/>
              <w:rPr>
                <w:sz w:val="14"/>
              </w:rPr>
            </w:pPr>
          </w:p>
          <w:p w14:paraId="3A43B9D4" w14:textId="77777777" w:rsidR="009D54AF" w:rsidRDefault="00000000">
            <w:pPr>
              <w:pStyle w:val="TableParagraph"/>
              <w:ind w:left="8" w:right="1"/>
              <w:jc w:val="center"/>
              <w:rPr>
                <w:sz w:val="14"/>
              </w:rPr>
            </w:pPr>
            <w:r>
              <w:rPr>
                <w:spacing w:val="-10"/>
                <w:sz w:val="14"/>
              </w:rPr>
              <w:t>0</w:t>
            </w:r>
          </w:p>
        </w:tc>
        <w:tc>
          <w:tcPr>
            <w:tcW w:w="680" w:type="dxa"/>
          </w:tcPr>
          <w:p w14:paraId="533CD102" w14:textId="77777777" w:rsidR="009D54AF" w:rsidRDefault="009D54AF">
            <w:pPr>
              <w:pStyle w:val="TableParagraph"/>
              <w:spacing w:before="10"/>
              <w:rPr>
                <w:sz w:val="14"/>
              </w:rPr>
            </w:pPr>
          </w:p>
          <w:p w14:paraId="5F2B0F25" w14:textId="77777777" w:rsidR="009D54AF" w:rsidRDefault="00000000">
            <w:pPr>
              <w:pStyle w:val="TableParagraph"/>
              <w:ind w:left="8" w:right="1"/>
              <w:jc w:val="center"/>
              <w:rPr>
                <w:sz w:val="14"/>
              </w:rPr>
            </w:pPr>
            <w:r>
              <w:rPr>
                <w:spacing w:val="-10"/>
                <w:sz w:val="14"/>
              </w:rPr>
              <w:t>0</w:t>
            </w:r>
          </w:p>
        </w:tc>
        <w:tc>
          <w:tcPr>
            <w:tcW w:w="680" w:type="dxa"/>
          </w:tcPr>
          <w:p w14:paraId="11F0DAFB" w14:textId="77777777" w:rsidR="009D54AF" w:rsidRDefault="009D54AF">
            <w:pPr>
              <w:pStyle w:val="TableParagraph"/>
              <w:spacing w:before="10"/>
              <w:rPr>
                <w:sz w:val="14"/>
              </w:rPr>
            </w:pPr>
          </w:p>
          <w:p w14:paraId="600D8F2C" w14:textId="77777777" w:rsidR="009D54AF" w:rsidRDefault="00000000">
            <w:pPr>
              <w:pStyle w:val="TableParagraph"/>
              <w:ind w:left="8"/>
              <w:jc w:val="center"/>
              <w:rPr>
                <w:sz w:val="14"/>
              </w:rPr>
            </w:pPr>
            <w:r>
              <w:rPr>
                <w:spacing w:val="-10"/>
                <w:sz w:val="14"/>
              </w:rPr>
              <w:t>0</w:t>
            </w:r>
          </w:p>
        </w:tc>
        <w:tc>
          <w:tcPr>
            <w:tcW w:w="680" w:type="dxa"/>
            <w:tcBorders>
              <w:right w:val="nil"/>
            </w:tcBorders>
          </w:tcPr>
          <w:p w14:paraId="033A6979" w14:textId="77777777" w:rsidR="009D54AF" w:rsidRDefault="009D54AF">
            <w:pPr>
              <w:pStyle w:val="TableParagraph"/>
              <w:spacing w:before="10"/>
              <w:rPr>
                <w:sz w:val="14"/>
              </w:rPr>
            </w:pPr>
          </w:p>
          <w:p w14:paraId="72ECFC4E" w14:textId="77777777" w:rsidR="009D54AF" w:rsidRDefault="00000000">
            <w:pPr>
              <w:pStyle w:val="TableParagraph"/>
              <w:ind w:left="10"/>
              <w:jc w:val="center"/>
              <w:rPr>
                <w:sz w:val="14"/>
              </w:rPr>
            </w:pPr>
            <w:r>
              <w:rPr>
                <w:spacing w:val="-5"/>
                <w:sz w:val="14"/>
              </w:rPr>
              <w:t>39</w:t>
            </w:r>
          </w:p>
        </w:tc>
      </w:tr>
      <w:tr w:rsidR="009D54AF" w14:paraId="5AF64F91" w14:textId="77777777">
        <w:trPr>
          <w:trHeight w:val="505"/>
        </w:trPr>
        <w:tc>
          <w:tcPr>
            <w:tcW w:w="1417" w:type="dxa"/>
            <w:tcBorders>
              <w:left w:val="nil"/>
            </w:tcBorders>
          </w:tcPr>
          <w:p w14:paraId="4F7A8F4C" w14:textId="77777777" w:rsidR="009D54AF" w:rsidRDefault="009D54AF">
            <w:pPr>
              <w:pStyle w:val="TableParagraph"/>
              <w:spacing w:before="10"/>
              <w:rPr>
                <w:sz w:val="14"/>
              </w:rPr>
            </w:pPr>
          </w:p>
          <w:p w14:paraId="2BD82523" w14:textId="77777777" w:rsidR="009D54AF" w:rsidRDefault="00000000">
            <w:pPr>
              <w:pStyle w:val="TableParagraph"/>
              <w:ind w:left="85"/>
              <w:rPr>
                <w:sz w:val="14"/>
              </w:rPr>
            </w:pPr>
            <w:r>
              <w:rPr>
                <w:spacing w:val="-4"/>
                <w:sz w:val="14"/>
              </w:rPr>
              <w:t>APS5</w:t>
            </w:r>
          </w:p>
        </w:tc>
        <w:tc>
          <w:tcPr>
            <w:tcW w:w="680" w:type="dxa"/>
          </w:tcPr>
          <w:p w14:paraId="1E1570FB" w14:textId="77777777" w:rsidR="009D54AF" w:rsidRDefault="009D54AF">
            <w:pPr>
              <w:pStyle w:val="TableParagraph"/>
              <w:spacing w:before="10"/>
              <w:rPr>
                <w:sz w:val="14"/>
              </w:rPr>
            </w:pPr>
          </w:p>
          <w:p w14:paraId="379C08AD" w14:textId="77777777" w:rsidR="009D54AF" w:rsidRDefault="00000000">
            <w:pPr>
              <w:pStyle w:val="TableParagraph"/>
              <w:ind w:left="8" w:right="8"/>
              <w:jc w:val="center"/>
              <w:rPr>
                <w:sz w:val="14"/>
              </w:rPr>
            </w:pPr>
            <w:r>
              <w:rPr>
                <w:spacing w:val="-10"/>
                <w:sz w:val="14"/>
              </w:rPr>
              <w:t>1</w:t>
            </w:r>
          </w:p>
        </w:tc>
        <w:tc>
          <w:tcPr>
            <w:tcW w:w="680" w:type="dxa"/>
          </w:tcPr>
          <w:p w14:paraId="7805B73A" w14:textId="77777777" w:rsidR="009D54AF" w:rsidRDefault="009D54AF">
            <w:pPr>
              <w:pStyle w:val="TableParagraph"/>
              <w:spacing w:before="10"/>
              <w:rPr>
                <w:sz w:val="14"/>
              </w:rPr>
            </w:pPr>
          </w:p>
          <w:p w14:paraId="0E5318DF" w14:textId="77777777" w:rsidR="009D54AF" w:rsidRDefault="00000000">
            <w:pPr>
              <w:pStyle w:val="TableParagraph"/>
              <w:ind w:left="8" w:right="7"/>
              <w:jc w:val="center"/>
              <w:rPr>
                <w:sz w:val="14"/>
              </w:rPr>
            </w:pPr>
            <w:r>
              <w:rPr>
                <w:spacing w:val="-10"/>
                <w:sz w:val="14"/>
              </w:rPr>
              <w:t>0</w:t>
            </w:r>
          </w:p>
        </w:tc>
        <w:tc>
          <w:tcPr>
            <w:tcW w:w="680" w:type="dxa"/>
          </w:tcPr>
          <w:p w14:paraId="24EDCC99" w14:textId="77777777" w:rsidR="009D54AF" w:rsidRDefault="009D54AF">
            <w:pPr>
              <w:pStyle w:val="TableParagraph"/>
              <w:spacing w:before="10"/>
              <w:rPr>
                <w:sz w:val="14"/>
              </w:rPr>
            </w:pPr>
          </w:p>
          <w:p w14:paraId="51CEDC27" w14:textId="77777777" w:rsidR="009D54AF" w:rsidRDefault="00000000">
            <w:pPr>
              <w:pStyle w:val="TableParagraph"/>
              <w:ind w:left="8" w:right="6"/>
              <w:jc w:val="center"/>
              <w:rPr>
                <w:sz w:val="14"/>
              </w:rPr>
            </w:pPr>
            <w:r>
              <w:rPr>
                <w:spacing w:val="-10"/>
                <w:sz w:val="14"/>
              </w:rPr>
              <w:t>1</w:t>
            </w:r>
          </w:p>
        </w:tc>
        <w:tc>
          <w:tcPr>
            <w:tcW w:w="680" w:type="dxa"/>
          </w:tcPr>
          <w:p w14:paraId="07E0A474" w14:textId="77777777" w:rsidR="009D54AF" w:rsidRDefault="009D54AF">
            <w:pPr>
              <w:pStyle w:val="TableParagraph"/>
              <w:spacing w:before="10"/>
              <w:rPr>
                <w:sz w:val="14"/>
              </w:rPr>
            </w:pPr>
          </w:p>
          <w:p w14:paraId="5011B947" w14:textId="77777777" w:rsidR="009D54AF" w:rsidRDefault="00000000">
            <w:pPr>
              <w:pStyle w:val="TableParagraph"/>
              <w:ind w:left="8" w:right="6"/>
              <w:jc w:val="center"/>
              <w:rPr>
                <w:sz w:val="14"/>
              </w:rPr>
            </w:pPr>
            <w:r>
              <w:rPr>
                <w:spacing w:val="-10"/>
                <w:sz w:val="14"/>
              </w:rPr>
              <w:t>0</w:t>
            </w:r>
          </w:p>
        </w:tc>
        <w:tc>
          <w:tcPr>
            <w:tcW w:w="680" w:type="dxa"/>
          </w:tcPr>
          <w:p w14:paraId="52FDA90A" w14:textId="77777777" w:rsidR="009D54AF" w:rsidRDefault="009D54AF">
            <w:pPr>
              <w:pStyle w:val="TableParagraph"/>
              <w:spacing w:before="10"/>
              <w:rPr>
                <w:sz w:val="14"/>
              </w:rPr>
            </w:pPr>
          </w:p>
          <w:p w14:paraId="684AD313" w14:textId="77777777" w:rsidR="009D54AF" w:rsidRDefault="00000000">
            <w:pPr>
              <w:pStyle w:val="TableParagraph"/>
              <w:ind w:left="8" w:right="5"/>
              <w:jc w:val="center"/>
              <w:rPr>
                <w:sz w:val="14"/>
              </w:rPr>
            </w:pPr>
            <w:r>
              <w:rPr>
                <w:spacing w:val="-10"/>
                <w:sz w:val="14"/>
              </w:rPr>
              <w:t>0</w:t>
            </w:r>
          </w:p>
        </w:tc>
        <w:tc>
          <w:tcPr>
            <w:tcW w:w="680" w:type="dxa"/>
          </w:tcPr>
          <w:p w14:paraId="19907611" w14:textId="77777777" w:rsidR="009D54AF" w:rsidRDefault="009D54AF">
            <w:pPr>
              <w:pStyle w:val="TableParagraph"/>
              <w:spacing w:before="10"/>
              <w:rPr>
                <w:sz w:val="14"/>
              </w:rPr>
            </w:pPr>
          </w:p>
          <w:p w14:paraId="560E2ECF" w14:textId="77777777" w:rsidR="009D54AF" w:rsidRDefault="00000000">
            <w:pPr>
              <w:pStyle w:val="TableParagraph"/>
              <w:ind w:left="8" w:right="4"/>
              <w:jc w:val="center"/>
              <w:rPr>
                <w:sz w:val="14"/>
              </w:rPr>
            </w:pPr>
            <w:r>
              <w:rPr>
                <w:spacing w:val="-10"/>
                <w:sz w:val="14"/>
              </w:rPr>
              <w:t>0</w:t>
            </w:r>
          </w:p>
        </w:tc>
        <w:tc>
          <w:tcPr>
            <w:tcW w:w="680" w:type="dxa"/>
          </w:tcPr>
          <w:p w14:paraId="7926A3B9" w14:textId="77777777" w:rsidR="009D54AF" w:rsidRDefault="009D54AF">
            <w:pPr>
              <w:pStyle w:val="TableParagraph"/>
              <w:spacing w:before="10"/>
              <w:rPr>
                <w:sz w:val="14"/>
              </w:rPr>
            </w:pPr>
          </w:p>
          <w:p w14:paraId="5A63D8F5" w14:textId="77777777" w:rsidR="009D54AF" w:rsidRDefault="00000000">
            <w:pPr>
              <w:pStyle w:val="TableParagraph"/>
              <w:ind w:left="8" w:right="4"/>
              <w:jc w:val="center"/>
              <w:rPr>
                <w:sz w:val="14"/>
              </w:rPr>
            </w:pPr>
            <w:r>
              <w:rPr>
                <w:spacing w:val="-10"/>
                <w:sz w:val="14"/>
              </w:rPr>
              <w:t>2</w:t>
            </w:r>
          </w:p>
        </w:tc>
        <w:tc>
          <w:tcPr>
            <w:tcW w:w="623" w:type="dxa"/>
          </w:tcPr>
          <w:p w14:paraId="43870672" w14:textId="77777777" w:rsidR="009D54AF" w:rsidRDefault="009D54AF">
            <w:pPr>
              <w:pStyle w:val="TableParagraph"/>
              <w:spacing w:before="10"/>
              <w:rPr>
                <w:sz w:val="14"/>
              </w:rPr>
            </w:pPr>
          </w:p>
          <w:p w14:paraId="2E0F1C48" w14:textId="77777777" w:rsidR="009D54AF" w:rsidRDefault="00000000">
            <w:pPr>
              <w:pStyle w:val="TableParagraph"/>
              <w:ind w:left="5"/>
              <w:jc w:val="center"/>
              <w:rPr>
                <w:sz w:val="14"/>
              </w:rPr>
            </w:pPr>
            <w:r>
              <w:rPr>
                <w:spacing w:val="-10"/>
                <w:sz w:val="14"/>
              </w:rPr>
              <w:t>0</w:t>
            </w:r>
          </w:p>
        </w:tc>
        <w:tc>
          <w:tcPr>
            <w:tcW w:w="680" w:type="dxa"/>
          </w:tcPr>
          <w:p w14:paraId="14BCB9F8" w14:textId="77777777" w:rsidR="009D54AF" w:rsidRDefault="009D54AF">
            <w:pPr>
              <w:pStyle w:val="TableParagraph"/>
              <w:spacing w:before="10"/>
              <w:rPr>
                <w:sz w:val="14"/>
              </w:rPr>
            </w:pPr>
          </w:p>
          <w:p w14:paraId="27372155" w14:textId="77777777" w:rsidR="009D54AF" w:rsidRDefault="00000000">
            <w:pPr>
              <w:pStyle w:val="TableParagraph"/>
              <w:ind w:left="8" w:right="2"/>
              <w:jc w:val="center"/>
              <w:rPr>
                <w:sz w:val="14"/>
              </w:rPr>
            </w:pPr>
            <w:r>
              <w:rPr>
                <w:spacing w:val="-10"/>
                <w:sz w:val="14"/>
              </w:rPr>
              <w:t>0</w:t>
            </w:r>
          </w:p>
        </w:tc>
        <w:tc>
          <w:tcPr>
            <w:tcW w:w="680" w:type="dxa"/>
          </w:tcPr>
          <w:p w14:paraId="0906833D" w14:textId="77777777" w:rsidR="009D54AF" w:rsidRDefault="009D54AF">
            <w:pPr>
              <w:pStyle w:val="TableParagraph"/>
              <w:spacing w:before="10"/>
              <w:rPr>
                <w:sz w:val="14"/>
              </w:rPr>
            </w:pPr>
          </w:p>
          <w:p w14:paraId="59E567F7" w14:textId="77777777" w:rsidR="009D54AF" w:rsidRDefault="00000000">
            <w:pPr>
              <w:pStyle w:val="TableParagraph"/>
              <w:ind w:left="8" w:right="1"/>
              <w:jc w:val="center"/>
              <w:rPr>
                <w:sz w:val="14"/>
              </w:rPr>
            </w:pPr>
            <w:r>
              <w:rPr>
                <w:spacing w:val="-10"/>
                <w:sz w:val="14"/>
              </w:rPr>
              <w:t>0</w:t>
            </w:r>
          </w:p>
        </w:tc>
        <w:tc>
          <w:tcPr>
            <w:tcW w:w="680" w:type="dxa"/>
          </w:tcPr>
          <w:p w14:paraId="50D26065" w14:textId="77777777" w:rsidR="009D54AF" w:rsidRDefault="009D54AF">
            <w:pPr>
              <w:pStyle w:val="TableParagraph"/>
              <w:spacing w:before="10"/>
              <w:rPr>
                <w:sz w:val="14"/>
              </w:rPr>
            </w:pPr>
          </w:p>
          <w:p w14:paraId="31C8F196" w14:textId="77777777" w:rsidR="009D54AF" w:rsidRDefault="00000000">
            <w:pPr>
              <w:pStyle w:val="TableParagraph"/>
              <w:ind w:left="8" w:right="1"/>
              <w:jc w:val="center"/>
              <w:rPr>
                <w:sz w:val="14"/>
              </w:rPr>
            </w:pPr>
            <w:r>
              <w:rPr>
                <w:spacing w:val="-10"/>
                <w:sz w:val="14"/>
              </w:rPr>
              <w:t>0</w:t>
            </w:r>
          </w:p>
        </w:tc>
        <w:tc>
          <w:tcPr>
            <w:tcW w:w="680" w:type="dxa"/>
          </w:tcPr>
          <w:p w14:paraId="04E8DABE" w14:textId="77777777" w:rsidR="009D54AF" w:rsidRDefault="009D54AF">
            <w:pPr>
              <w:pStyle w:val="TableParagraph"/>
              <w:spacing w:before="10"/>
              <w:rPr>
                <w:sz w:val="14"/>
              </w:rPr>
            </w:pPr>
          </w:p>
          <w:p w14:paraId="741C56EE" w14:textId="77777777" w:rsidR="009D54AF" w:rsidRDefault="00000000">
            <w:pPr>
              <w:pStyle w:val="TableParagraph"/>
              <w:ind w:left="8"/>
              <w:jc w:val="center"/>
              <w:rPr>
                <w:sz w:val="14"/>
              </w:rPr>
            </w:pPr>
            <w:r>
              <w:rPr>
                <w:spacing w:val="-10"/>
                <w:sz w:val="14"/>
              </w:rPr>
              <w:t>0</w:t>
            </w:r>
          </w:p>
        </w:tc>
        <w:tc>
          <w:tcPr>
            <w:tcW w:w="680" w:type="dxa"/>
            <w:tcBorders>
              <w:right w:val="nil"/>
            </w:tcBorders>
          </w:tcPr>
          <w:p w14:paraId="7E3FD33B" w14:textId="77777777" w:rsidR="009D54AF" w:rsidRDefault="009D54AF">
            <w:pPr>
              <w:pStyle w:val="TableParagraph"/>
              <w:spacing w:before="10"/>
              <w:rPr>
                <w:sz w:val="14"/>
              </w:rPr>
            </w:pPr>
          </w:p>
          <w:p w14:paraId="7197787D" w14:textId="77777777" w:rsidR="009D54AF" w:rsidRDefault="00000000">
            <w:pPr>
              <w:pStyle w:val="TableParagraph"/>
              <w:ind w:left="10" w:right="4"/>
              <w:jc w:val="center"/>
              <w:rPr>
                <w:sz w:val="14"/>
              </w:rPr>
            </w:pPr>
            <w:r>
              <w:rPr>
                <w:spacing w:val="-10"/>
                <w:sz w:val="14"/>
              </w:rPr>
              <w:t>4</w:t>
            </w:r>
          </w:p>
        </w:tc>
      </w:tr>
      <w:tr w:rsidR="009D54AF" w14:paraId="740F1A31" w14:textId="77777777">
        <w:trPr>
          <w:trHeight w:val="505"/>
        </w:trPr>
        <w:tc>
          <w:tcPr>
            <w:tcW w:w="1417" w:type="dxa"/>
            <w:tcBorders>
              <w:left w:val="nil"/>
            </w:tcBorders>
          </w:tcPr>
          <w:p w14:paraId="365746C4" w14:textId="77777777" w:rsidR="009D54AF" w:rsidRDefault="009D54AF">
            <w:pPr>
              <w:pStyle w:val="TableParagraph"/>
              <w:spacing w:before="10"/>
              <w:rPr>
                <w:sz w:val="14"/>
              </w:rPr>
            </w:pPr>
          </w:p>
          <w:p w14:paraId="4D42A5EB" w14:textId="77777777" w:rsidR="009D54AF" w:rsidRDefault="00000000">
            <w:pPr>
              <w:pStyle w:val="TableParagraph"/>
              <w:ind w:left="85"/>
              <w:rPr>
                <w:sz w:val="14"/>
              </w:rPr>
            </w:pPr>
            <w:r>
              <w:rPr>
                <w:spacing w:val="-4"/>
                <w:sz w:val="14"/>
              </w:rPr>
              <w:t>APS4</w:t>
            </w:r>
          </w:p>
        </w:tc>
        <w:tc>
          <w:tcPr>
            <w:tcW w:w="680" w:type="dxa"/>
          </w:tcPr>
          <w:p w14:paraId="10E4049C" w14:textId="77777777" w:rsidR="009D54AF" w:rsidRDefault="009D54AF">
            <w:pPr>
              <w:pStyle w:val="TableParagraph"/>
              <w:spacing w:before="10"/>
              <w:rPr>
                <w:sz w:val="14"/>
              </w:rPr>
            </w:pPr>
          </w:p>
          <w:p w14:paraId="16919F27" w14:textId="77777777" w:rsidR="009D54AF" w:rsidRDefault="00000000">
            <w:pPr>
              <w:pStyle w:val="TableParagraph"/>
              <w:ind w:left="8" w:right="8"/>
              <w:jc w:val="center"/>
              <w:rPr>
                <w:sz w:val="14"/>
              </w:rPr>
            </w:pPr>
            <w:r>
              <w:rPr>
                <w:spacing w:val="-10"/>
                <w:sz w:val="14"/>
              </w:rPr>
              <w:t>0</w:t>
            </w:r>
          </w:p>
        </w:tc>
        <w:tc>
          <w:tcPr>
            <w:tcW w:w="680" w:type="dxa"/>
          </w:tcPr>
          <w:p w14:paraId="6B9363C5" w14:textId="77777777" w:rsidR="009D54AF" w:rsidRDefault="009D54AF">
            <w:pPr>
              <w:pStyle w:val="TableParagraph"/>
              <w:spacing w:before="10"/>
              <w:rPr>
                <w:sz w:val="14"/>
              </w:rPr>
            </w:pPr>
          </w:p>
          <w:p w14:paraId="10677D26" w14:textId="77777777" w:rsidR="009D54AF" w:rsidRDefault="00000000">
            <w:pPr>
              <w:pStyle w:val="TableParagraph"/>
              <w:ind w:left="8" w:right="7"/>
              <w:jc w:val="center"/>
              <w:rPr>
                <w:sz w:val="14"/>
              </w:rPr>
            </w:pPr>
            <w:r>
              <w:rPr>
                <w:spacing w:val="-10"/>
                <w:sz w:val="14"/>
              </w:rPr>
              <w:t>0</w:t>
            </w:r>
          </w:p>
        </w:tc>
        <w:tc>
          <w:tcPr>
            <w:tcW w:w="680" w:type="dxa"/>
          </w:tcPr>
          <w:p w14:paraId="6D38C297" w14:textId="77777777" w:rsidR="009D54AF" w:rsidRDefault="009D54AF">
            <w:pPr>
              <w:pStyle w:val="TableParagraph"/>
              <w:spacing w:before="10"/>
              <w:rPr>
                <w:sz w:val="14"/>
              </w:rPr>
            </w:pPr>
          </w:p>
          <w:p w14:paraId="358E0601" w14:textId="77777777" w:rsidR="009D54AF" w:rsidRDefault="00000000">
            <w:pPr>
              <w:pStyle w:val="TableParagraph"/>
              <w:ind w:left="8" w:right="6"/>
              <w:jc w:val="center"/>
              <w:rPr>
                <w:sz w:val="14"/>
              </w:rPr>
            </w:pPr>
            <w:r>
              <w:rPr>
                <w:spacing w:val="-10"/>
                <w:sz w:val="14"/>
              </w:rPr>
              <w:t>0</w:t>
            </w:r>
          </w:p>
        </w:tc>
        <w:tc>
          <w:tcPr>
            <w:tcW w:w="680" w:type="dxa"/>
          </w:tcPr>
          <w:p w14:paraId="2489249D" w14:textId="77777777" w:rsidR="009D54AF" w:rsidRDefault="009D54AF">
            <w:pPr>
              <w:pStyle w:val="TableParagraph"/>
              <w:spacing w:before="10"/>
              <w:rPr>
                <w:sz w:val="14"/>
              </w:rPr>
            </w:pPr>
          </w:p>
          <w:p w14:paraId="3C4E631E" w14:textId="77777777" w:rsidR="009D54AF" w:rsidRDefault="00000000">
            <w:pPr>
              <w:pStyle w:val="TableParagraph"/>
              <w:ind w:left="8" w:right="6"/>
              <w:jc w:val="center"/>
              <w:rPr>
                <w:sz w:val="14"/>
              </w:rPr>
            </w:pPr>
            <w:r>
              <w:rPr>
                <w:spacing w:val="-10"/>
                <w:sz w:val="14"/>
              </w:rPr>
              <w:t>1</w:t>
            </w:r>
          </w:p>
        </w:tc>
        <w:tc>
          <w:tcPr>
            <w:tcW w:w="680" w:type="dxa"/>
          </w:tcPr>
          <w:p w14:paraId="263D45B3" w14:textId="77777777" w:rsidR="009D54AF" w:rsidRDefault="009D54AF">
            <w:pPr>
              <w:pStyle w:val="TableParagraph"/>
              <w:spacing w:before="10"/>
              <w:rPr>
                <w:sz w:val="14"/>
              </w:rPr>
            </w:pPr>
          </w:p>
          <w:p w14:paraId="17A7A8AA" w14:textId="77777777" w:rsidR="009D54AF" w:rsidRDefault="00000000">
            <w:pPr>
              <w:pStyle w:val="TableParagraph"/>
              <w:ind w:left="8" w:right="5"/>
              <w:jc w:val="center"/>
              <w:rPr>
                <w:sz w:val="14"/>
              </w:rPr>
            </w:pPr>
            <w:r>
              <w:rPr>
                <w:spacing w:val="-10"/>
                <w:sz w:val="14"/>
              </w:rPr>
              <w:t>0</w:t>
            </w:r>
          </w:p>
        </w:tc>
        <w:tc>
          <w:tcPr>
            <w:tcW w:w="680" w:type="dxa"/>
          </w:tcPr>
          <w:p w14:paraId="15FE43EC" w14:textId="77777777" w:rsidR="009D54AF" w:rsidRDefault="009D54AF">
            <w:pPr>
              <w:pStyle w:val="TableParagraph"/>
              <w:spacing w:before="10"/>
              <w:rPr>
                <w:sz w:val="14"/>
              </w:rPr>
            </w:pPr>
          </w:p>
          <w:p w14:paraId="5680771F" w14:textId="77777777" w:rsidR="009D54AF" w:rsidRDefault="00000000">
            <w:pPr>
              <w:pStyle w:val="TableParagraph"/>
              <w:ind w:left="8" w:right="4"/>
              <w:jc w:val="center"/>
              <w:rPr>
                <w:sz w:val="14"/>
              </w:rPr>
            </w:pPr>
            <w:r>
              <w:rPr>
                <w:spacing w:val="-10"/>
                <w:sz w:val="14"/>
              </w:rPr>
              <w:t>0</w:t>
            </w:r>
          </w:p>
        </w:tc>
        <w:tc>
          <w:tcPr>
            <w:tcW w:w="680" w:type="dxa"/>
          </w:tcPr>
          <w:p w14:paraId="1966B78E" w14:textId="77777777" w:rsidR="009D54AF" w:rsidRDefault="009D54AF">
            <w:pPr>
              <w:pStyle w:val="TableParagraph"/>
              <w:spacing w:before="10"/>
              <w:rPr>
                <w:sz w:val="14"/>
              </w:rPr>
            </w:pPr>
          </w:p>
          <w:p w14:paraId="149C8D84" w14:textId="77777777" w:rsidR="009D54AF" w:rsidRDefault="00000000">
            <w:pPr>
              <w:pStyle w:val="TableParagraph"/>
              <w:ind w:left="8" w:right="4"/>
              <w:jc w:val="center"/>
              <w:rPr>
                <w:sz w:val="14"/>
              </w:rPr>
            </w:pPr>
            <w:r>
              <w:rPr>
                <w:spacing w:val="-10"/>
                <w:sz w:val="14"/>
              </w:rPr>
              <w:t>0</w:t>
            </w:r>
          </w:p>
        </w:tc>
        <w:tc>
          <w:tcPr>
            <w:tcW w:w="623" w:type="dxa"/>
          </w:tcPr>
          <w:p w14:paraId="54EDCD01" w14:textId="77777777" w:rsidR="009D54AF" w:rsidRDefault="009D54AF">
            <w:pPr>
              <w:pStyle w:val="TableParagraph"/>
              <w:spacing w:before="10"/>
              <w:rPr>
                <w:sz w:val="14"/>
              </w:rPr>
            </w:pPr>
          </w:p>
          <w:p w14:paraId="41DE8737" w14:textId="77777777" w:rsidR="009D54AF" w:rsidRDefault="00000000">
            <w:pPr>
              <w:pStyle w:val="TableParagraph"/>
              <w:ind w:left="5"/>
              <w:jc w:val="center"/>
              <w:rPr>
                <w:sz w:val="14"/>
              </w:rPr>
            </w:pPr>
            <w:r>
              <w:rPr>
                <w:spacing w:val="-10"/>
                <w:sz w:val="14"/>
              </w:rPr>
              <w:t>0</w:t>
            </w:r>
          </w:p>
        </w:tc>
        <w:tc>
          <w:tcPr>
            <w:tcW w:w="680" w:type="dxa"/>
          </w:tcPr>
          <w:p w14:paraId="10F61962" w14:textId="77777777" w:rsidR="009D54AF" w:rsidRDefault="009D54AF">
            <w:pPr>
              <w:pStyle w:val="TableParagraph"/>
              <w:spacing w:before="10"/>
              <w:rPr>
                <w:sz w:val="14"/>
              </w:rPr>
            </w:pPr>
          </w:p>
          <w:p w14:paraId="4C387441" w14:textId="77777777" w:rsidR="009D54AF" w:rsidRDefault="00000000">
            <w:pPr>
              <w:pStyle w:val="TableParagraph"/>
              <w:ind w:left="8" w:right="2"/>
              <w:jc w:val="center"/>
              <w:rPr>
                <w:sz w:val="14"/>
              </w:rPr>
            </w:pPr>
            <w:r>
              <w:rPr>
                <w:spacing w:val="-10"/>
                <w:sz w:val="14"/>
              </w:rPr>
              <w:t>0</w:t>
            </w:r>
          </w:p>
        </w:tc>
        <w:tc>
          <w:tcPr>
            <w:tcW w:w="680" w:type="dxa"/>
          </w:tcPr>
          <w:p w14:paraId="2CD0CF89" w14:textId="77777777" w:rsidR="009D54AF" w:rsidRDefault="009D54AF">
            <w:pPr>
              <w:pStyle w:val="TableParagraph"/>
              <w:spacing w:before="10"/>
              <w:rPr>
                <w:sz w:val="14"/>
              </w:rPr>
            </w:pPr>
          </w:p>
          <w:p w14:paraId="61B68027" w14:textId="77777777" w:rsidR="009D54AF" w:rsidRDefault="00000000">
            <w:pPr>
              <w:pStyle w:val="TableParagraph"/>
              <w:ind w:left="8" w:right="1"/>
              <w:jc w:val="center"/>
              <w:rPr>
                <w:sz w:val="14"/>
              </w:rPr>
            </w:pPr>
            <w:r>
              <w:rPr>
                <w:spacing w:val="-10"/>
                <w:sz w:val="14"/>
              </w:rPr>
              <w:t>0</w:t>
            </w:r>
          </w:p>
        </w:tc>
        <w:tc>
          <w:tcPr>
            <w:tcW w:w="680" w:type="dxa"/>
          </w:tcPr>
          <w:p w14:paraId="315F39A7" w14:textId="77777777" w:rsidR="009D54AF" w:rsidRDefault="009D54AF">
            <w:pPr>
              <w:pStyle w:val="TableParagraph"/>
              <w:spacing w:before="10"/>
              <w:rPr>
                <w:sz w:val="14"/>
              </w:rPr>
            </w:pPr>
          </w:p>
          <w:p w14:paraId="2D337B35" w14:textId="77777777" w:rsidR="009D54AF" w:rsidRDefault="00000000">
            <w:pPr>
              <w:pStyle w:val="TableParagraph"/>
              <w:ind w:left="8" w:right="1"/>
              <w:jc w:val="center"/>
              <w:rPr>
                <w:sz w:val="14"/>
              </w:rPr>
            </w:pPr>
            <w:r>
              <w:rPr>
                <w:spacing w:val="-10"/>
                <w:sz w:val="14"/>
              </w:rPr>
              <w:t>0</w:t>
            </w:r>
          </w:p>
        </w:tc>
        <w:tc>
          <w:tcPr>
            <w:tcW w:w="680" w:type="dxa"/>
          </w:tcPr>
          <w:p w14:paraId="2B0A7B4B" w14:textId="77777777" w:rsidR="009D54AF" w:rsidRDefault="009D54AF">
            <w:pPr>
              <w:pStyle w:val="TableParagraph"/>
              <w:spacing w:before="10"/>
              <w:rPr>
                <w:sz w:val="14"/>
              </w:rPr>
            </w:pPr>
          </w:p>
          <w:p w14:paraId="4C28BA52" w14:textId="77777777" w:rsidR="009D54AF" w:rsidRDefault="00000000">
            <w:pPr>
              <w:pStyle w:val="TableParagraph"/>
              <w:ind w:left="8"/>
              <w:jc w:val="center"/>
              <w:rPr>
                <w:sz w:val="14"/>
              </w:rPr>
            </w:pPr>
            <w:r>
              <w:rPr>
                <w:spacing w:val="-10"/>
                <w:sz w:val="14"/>
              </w:rPr>
              <w:t>0</w:t>
            </w:r>
          </w:p>
        </w:tc>
        <w:tc>
          <w:tcPr>
            <w:tcW w:w="680" w:type="dxa"/>
            <w:tcBorders>
              <w:right w:val="nil"/>
            </w:tcBorders>
          </w:tcPr>
          <w:p w14:paraId="5180BFF8" w14:textId="77777777" w:rsidR="009D54AF" w:rsidRDefault="009D54AF">
            <w:pPr>
              <w:pStyle w:val="TableParagraph"/>
              <w:spacing w:before="10"/>
              <w:rPr>
                <w:sz w:val="14"/>
              </w:rPr>
            </w:pPr>
          </w:p>
          <w:p w14:paraId="53516150" w14:textId="77777777" w:rsidR="009D54AF" w:rsidRDefault="00000000">
            <w:pPr>
              <w:pStyle w:val="TableParagraph"/>
              <w:ind w:left="10" w:right="4"/>
              <w:jc w:val="center"/>
              <w:rPr>
                <w:sz w:val="14"/>
              </w:rPr>
            </w:pPr>
            <w:r>
              <w:rPr>
                <w:spacing w:val="-10"/>
                <w:sz w:val="14"/>
              </w:rPr>
              <w:t>1</w:t>
            </w:r>
          </w:p>
        </w:tc>
      </w:tr>
      <w:tr w:rsidR="009D54AF" w14:paraId="475E326D" w14:textId="77777777">
        <w:trPr>
          <w:trHeight w:val="505"/>
        </w:trPr>
        <w:tc>
          <w:tcPr>
            <w:tcW w:w="1417" w:type="dxa"/>
            <w:tcBorders>
              <w:left w:val="nil"/>
            </w:tcBorders>
          </w:tcPr>
          <w:p w14:paraId="026CCBBB" w14:textId="77777777" w:rsidR="009D54AF" w:rsidRDefault="009D54AF">
            <w:pPr>
              <w:pStyle w:val="TableParagraph"/>
              <w:spacing w:before="10"/>
              <w:rPr>
                <w:sz w:val="14"/>
              </w:rPr>
            </w:pPr>
          </w:p>
          <w:p w14:paraId="22D07736" w14:textId="77777777" w:rsidR="009D54AF" w:rsidRDefault="00000000">
            <w:pPr>
              <w:pStyle w:val="TableParagraph"/>
              <w:ind w:left="85"/>
              <w:rPr>
                <w:b/>
                <w:sz w:val="14"/>
              </w:rPr>
            </w:pPr>
            <w:r>
              <w:rPr>
                <w:b/>
                <w:spacing w:val="-2"/>
                <w:sz w:val="14"/>
              </w:rPr>
              <w:t>Total</w:t>
            </w:r>
          </w:p>
        </w:tc>
        <w:tc>
          <w:tcPr>
            <w:tcW w:w="680" w:type="dxa"/>
          </w:tcPr>
          <w:p w14:paraId="327A27E4" w14:textId="77777777" w:rsidR="009D54AF" w:rsidRDefault="009D54AF">
            <w:pPr>
              <w:pStyle w:val="TableParagraph"/>
              <w:spacing w:before="10"/>
              <w:rPr>
                <w:sz w:val="14"/>
              </w:rPr>
            </w:pPr>
          </w:p>
          <w:p w14:paraId="13591512" w14:textId="77777777" w:rsidR="009D54AF" w:rsidRDefault="00000000">
            <w:pPr>
              <w:pStyle w:val="TableParagraph"/>
              <w:ind w:left="8" w:right="4"/>
              <w:jc w:val="center"/>
              <w:rPr>
                <w:b/>
                <w:sz w:val="14"/>
              </w:rPr>
            </w:pPr>
            <w:r>
              <w:rPr>
                <w:b/>
                <w:spacing w:val="-5"/>
                <w:sz w:val="14"/>
              </w:rPr>
              <w:t>29</w:t>
            </w:r>
          </w:p>
        </w:tc>
        <w:tc>
          <w:tcPr>
            <w:tcW w:w="680" w:type="dxa"/>
          </w:tcPr>
          <w:p w14:paraId="5B8A12B4" w14:textId="77777777" w:rsidR="009D54AF" w:rsidRDefault="009D54AF">
            <w:pPr>
              <w:pStyle w:val="TableParagraph"/>
              <w:spacing w:before="10"/>
              <w:rPr>
                <w:sz w:val="14"/>
              </w:rPr>
            </w:pPr>
          </w:p>
          <w:p w14:paraId="5AFC61F3" w14:textId="77777777" w:rsidR="009D54AF" w:rsidRDefault="00000000">
            <w:pPr>
              <w:pStyle w:val="TableParagraph"/>
              <w:ind w:left="8" w:right="7"/>
              <w:jc w:val="center"/>
              <w:rPr>
                <w:b/>
                <w:sz w:val="14"/>
              </w:rPr>
            </w:pPr>
            <w:r>
              <w:rPr>
                <w:b/>
                <w:spacing w:val="-10"/>
                <w:sz w:val="14"/>
              </w:rPr>
              <w:t>3</w:t>
            </w:r>
          </w:p>
        </w:tc>
        <w:tc>
          <w:tcPr>
            <w:tcW w:w="680" w:type="dxa"/>
          </w:tcPr>
          <w:p w14:paraId="1F4689F6" w14:textId="77777777" w:rsidR="009D54AF" w:rsidRDefault="009D54AF">
            <w:pPr>
              <w:pStyle w:val="TableParagraph"/>
              <w:spacing w:before="10"/>
              <w:rPr>
                <w:sz w:val="14"/>
              </w:rPr>
            </w:pPr>
          </w:p>
          <w:p w14:paraId="70275E4F" w14:textId="77777777" w:rsidR="009D54AF" w:rsidRDefault="00000000">
            <w:pPr>
              <w:pStyle w:val="TableParagraph"/>
              <w:ind w:left="8" w:right="6"/>
              <w:jc w:val="center"/>
              <w:rPr>
                <w:b/>
                <w:sz w:val="14"/>
              </w:rPr>
            </w:pPr>
            <w:r>
              <w:rPr>
                <w:b/>
                <w:spacing w:val="-5"/>
                <w:sz w:val="14"/>
              </w:rPr>
              <w:t>70</w:t>
            </w:r>
          </w:p>
        </w:tc>
        <w:tc>
          <w:tcPr>
            <w:tcW w:w="680" w:type="dxa"/>
          </w:tcPr>
          <w:p w14:paraId="3159E287" w14:textId="77777777" w:rsidR="009D54AF" w:rsidRDefault="009D54AF">
            <w:pPr>
              <w:pStyle w:val="TableParagraph"/>
              <w:spacing w:before="10"/>
              <w:rPr>
                <w:sz w:val="14"/>
              </w:rPr>
            </w:pPr>
          </w:p>
          <w:p w14:paraId="60542930" w14:textId="77777777" w:rsidR="009D54AF" w:rsidRDefault="00000000">
            <w:pPr>
              <w:pStyle w:val="TableParagraph"/>
              <w:ind w:left="8" w:right="8"/>
              <w:jc w:val="center"/>
              <w:rPr>
                <w:b/>
                <w:sz w:val="14"/>
              </w:rPr>
            </w:pPr>
            <w:r>
              <w:rPr>
                <w:b/>
                <w:spacing w:val="-5"/>
                <w:sz w:val="14"/>
              </w:rPr>
              <w:t>15</w:t>
            </w:r>
          </w:p>
        </w:tc>
        <w:tc>
          <w:tcPr>
            <w:tcW w:w="680" w:type="dxa"/>
          </w:tcPr>
          <w:p w14:paraId="17BCEF9B" w14:textId="77777777" w:rsidR="009D54AF" w:rsidRDefault="009D54AF">
            <w:pPr>
              <w:pStyle w:val="TableParagraph"/>
              <w:spacing w:before="10"/>
              <w:rPr>
                <w:sz w:val="14"/>
              </w:rPr>
            </w:pPr>
          </w:p>
          <w:p w14:paraId="4640C6A1" w14:textId="77777777" w:rsidR="009D54AF" w:rsidRDefault="00000000">
            <w:pPr>
              <w:pStyle w:val="TableParagraph"/>
              <w:ind w:left="8" w:right="5"/>
              <w:jc w:val="center"/>
              <w:rPr>
                <w:b/>
                <w:sz w:val="14"/>
              </w:rPr>
            </w:pPr>
            <w:r>
              <w:rPr>
                <w:b/>
                <w:spacing w:val="-10"/>
                <w:sz w:val="14"/>
              </w:rPr>
              <w:t>6</w:t>
            </w:r>
          </w:p>
        </w:tc>
        <w:tc>
          <w:tcPr>
            <w:tcW w:w="680" w:type="dxa"/>
          </w:tcPr>
          <w:p w14:paraId="3E10E69B" w14:textId="77777777" w:rsidR="009D54AF" w:rsidRDefault="009D54AF">
            <w:pPr>
              <w:pStyle w:val="TableParagraph"/>
              <w:spacing w:before="10"/>
              <w:rPr>
                <w:sz w:val="14"/>
              </w:rPr>
            </w:pPr>
          </w:p>
          <w:p w14:paraId="296B932A" w14:textId="77777777" w:rsidR="009D54AF" w:rsidRDefault="00000000">
            <w:pPr>
              <w:pStyle w:val="TableParagraph"/>
              <w:ind w:left="8" w:right="4"/>
              <w:jc w:val="center"/>
              <w:rPr>
                <w:b/>
                <w:sz w:val="14"/>
              </w:rPr>
            </w:pPr>
            <w:r>
              <w:rPr>
                <w:b/>
                <w:spacing w:val="-10"/>
                <w:sz w:val="14"/>
              </w:rPr>
              <w:t>0</w:t>
            </w:r>
          </w:p>
        </w:tc>
        <w:tc>
          <w:tcPr>
            <w:tcW w:w="680" w:type="dxa"/>
          </w:tcPr>
          <w:p w14:paraId="1EF97758" w14:textId="77777777" w:rsidR="009D54AF" w:rsidRDefault="009D54AF">
            <w:pPr>
              <w:pStyle w:val="TableParagraph"/>
              <w:spacing w:before="10"/>
              <w:rPr>
                <w:sz w:val="14"/>
              </w:rPr>
            </w:pPr>
          </w:p>
          <w:p w14:paraId="63643093" w14:textId="77777777" w:rsidR="009D54AF" w:rsidRDefault="00000000">
            <w:pPr>
              <w:pStyle w:val="TableParagraph"/>
              <w:ind w:left="8" w:right="1"/>
              <w:jc w:val="center"/>
              <w:rPr>
                <w:b/>
                <w:sz w:val="14"/>
              </w:rPr>
            </w:pPr>
            <w:r>
              <w:rPr>
                <w:b/>
                <w:spacing w:val="-5"/>
                <w:sz w:val="14"/>
              </w:rPr>
              <w:t>33</w:t>
            </w:r>
          </w:p>
        </w:tc>
        <w:tc>
          <w:tcPr>
            <w:tcW w:w="623" w:type="dxa"/>
          </w:tcPr>
          <w:p w14:paraId="15A86DCB" w14:textId="77777777" w:rsidR="009D54AF" w:rsidRDefault="009D54AF">
            <w:pPr>
              <w:pStyle w:val="TableParagraph"/>
              <w:spacing w:before="10"/>
              <w:rPr>
                <w:sz w:val="14"/>
              </w:rPr>
            </w:pPr>
          </w:p>
          <w:p w14:paraId="7988B7EB" w14:textId="77777777" w:rsidR="009D54AF" w:rsidRDefault="00000000">
            <w:pPr>
              <w:pStyle w:val="TableParagraph"/>
              <w:ind w:left="5"/>
              <w:jc w:val="center"/>
              <w:rPr>
                <w:b/>
                <w:sz w:val="14"/>
              </w:rPr>
            </w:pPr>
            <w:r>
              <w:rPr>
                <w:b/>
                <w:spacing w:val="-10"/>
                <w:sz w:val="14"/>
              </w:rPr>
              <w:t>0</w:t>
            </w:r>
          </w:p>
        </w:tc>
        <w:tc>
          <w:tcPr>
            <w:tcW w:w="680" w:type="dxa"/>
          </w:tcPr>
          <w:p w14:paraId="0D04B4E6" w14:textId="77777777" w:rsidR="009D54AF" w:rsidRDefault="009D54AF">
            <w:pPr>
              <w:pStyle w:val="TableParagraph"/>
              <w:spacing w:before="10"/>
              <w:rPr>
                <w:sz w:val="14"/>
              </w:rPr>
            </w:pPr>
          </w:p>
          <w:p w14:paraId="089C9F38" w14:textId="77777777" w:rsidR="009D54AF" w:rsidRDefault="00000000">
            <w:pPr>
              <w:pStyle w:val="TableParagraph"/>
              <w:ind w:left="8" w:right="2"/>
              <w:jc w:val="center"/>
              <w:rPr>
                <w:b/>
                <w:sz w:val="14"/>
              </w:rPr>
            </w:pPr>
            <w:r>
              <w:rPr>
                <w:b/>
                <w:spacing w:val="-10"/>
                <w:sz w:val="14"/>
              </w:rPr>
              <w:t>0</w:t>
            </w:r>
          </w:p>
        </w:tc>
        <w:tc>
          <w:tcPr>
            <w:tcW w:w="680" w:type="dxa"/>
          </w:tcPr>
          <w:p w14:paraId="7B94DBA4" w14:textId="77777777" w:rsidR="009D54AF" w:rsidRDefault="009D54AF">
            <w:pPr>
              <w:pStyle w:val="TableParagraph"/>
              <w:spacing w:before="10"/>
              <w:rPr>
                <w:sz w:val="14"/>
              </w:rPr>
            </w:pPr>
          </w:p>
          <w:p w14:paraId="18BB1A8B" w14:textId="77777777" w:rsidR="009D54AF" w:rsidRDefault="00000000">
            <w:pPr>
              <w:pStyle w:val="TableParagraph"/>
              <w:ind w:left="8" w:right="1"/>
              <w:jc w:val="center"/>
              <w:rPr>
                <w:b/>
                <w:sz w:val="14"/>
              </w:rPr>
            </w:pPr>
            <w:r>
              <w:rPr>
                <w:b/>
                <w:spacing w:val="-10"/>
                <w:sz w:val="14"/>
              </w:rPr>
              <w:t>0</w:t>
            </w:r>
          </w:p>
        </w:tc>
        <w:tc>
          <w:tcPr>
            <w:tcW w:w="680" w:type="dxa"/>
          </w:tcPr>
          <w:p w14:paraId="5CF5F2A1" w14:textId="77777777" w:rsidR="009D54AF" w:rsidRDefault="009D54AF">
            <w:pPr>
              <w:pStyle w:val="TableParagraph"/>
              <w:spacing w:before="10"/>
              <w:rPr>
                <w:sz w:val="14"/>
              </w:rPr>
            </w:pPr>
          </w:p>
          <w:p w14:paraId="6269E3CD" w14:textId="77777777" w:rsidR="009D54AF" w:rsidRDefault="00000000">
            <w:pPr>
              <w:pStyle w:val="TableParagraph"/>
              <w:ind w:left="8" w:right="1"/>
              <w:jc w:val="center"/>
              <w:rPr>
                <w:b/>
                <w:sz w:val="14"/>
              </w:rPr>
            </w:pPr>
            <w:r>
              <w:rPr>
                <w:b/>
                <w:spacing w:val="-10"/>
                <w:sz w:val="14"/>
              </w:rPr>
              <w:t>0</w:t>
            </w:r>
          </w:p>
        </w:tc>
        <w:tc>
          <w:tcPr>
            <w:tcW w:w="680" w:type="dxa"/>
          </w:tcPr>
          <w:p w14:paraId="13551D19" w14:textId="77777777" w:rsidR="009D54AF" w:rsidRDefault="009D54AF">
            <w:pPr>
              <w:pStyle w:val="TableParagraph"/>
              <w:spacing w:before="10"/>
              <w:rPr>
                <w:sz w:val="14"/>
              </w:rPr>
            </w:pPr>
          </w:p>
          <w:p w14:paraId="4349F198" w14:textId="77777777" w:rsidR="009D54AF" w:rsidRDefault="00000000">
            <w:pPr>
              <w:pStyle w:val="TableParagraph"/>
              <w:ind w:left="8"/>
              <w:jc w:val="center"/>
              <w:rPr>
                <w:b/>
                <w:sz w:val="14"/>
              </w:rPr>
            </w:pPr>
            <w:r>
              <w:rPr>
                <w:b/>
                <w:spacing w:val="-10"/>
                <w:sz w:val="14"/>
              </w:rPr>
              <w:t>0</w:t>
            </w:r>
          </w:p>
        </w:tc>
        <w:tc>
          <w:tcPr>
            <w:tcW w:w="680" w:type="dxa"/>
            <w:tcBorders>
              <w:right w:val="nil"/>
            </w:tcBorders>
          </w:tcPr>
          <w:p w14:paraId="06C61FD3" w14:textId="77777777" w:rsidR="009D54AF" w:rsidRDefault="009D54AF">
            <w:pPr>
              <w:pStyle w:val="TableParagraph"/>
              <w:spacing w:before="10"/>
              <w:rPr>
                <w:sz w:val="14"/>
              </w:rPr>
            </w:pPr>
          </w:p>
          <w:p w14:paraId="79BF9FB1" w14:textId="77777777" w:rsidR="009D54AF" w:rsidRDefault="00000000">
            <w:pPr>
              <w:pStyle w:val="TableParagraph"/>
              <w:ind w:left="10" w:right="4"/>
              <w:jc w:val="center"/>
              <w:rPr>
                <w:b/>
                <w:sz w:val="14"/>
              </w:rPr>
            </w:pPr>
            <w:r>
              <w:rPr>
                <w:b/>
                <w:spacing w:val="-5"/>
                <w:sz w:val="14"/>
              </w:rPr>
              <w:t>156</w:t>
            </w:r>
          </w:p>
        </w:tc>
      </w:tr>
    </w:tbl>
    <w:p w14:paraId="03C15372" w14:textId="77777777" w:rsidR="009D54AF" w:rsidRDefault="009D54AF">
      <w:pPr>
        <w:pStyle w:val="BodyText"/>
        <w:spacing w:before="12"/>
        <w:rPr>
          <w:sz w:val="19"/>
        </w:rPr>
      </w:pPr>
    </w:p>
    <w:p w14:paraId="2AAAF9B5" w14:textId="77777777" w:rsidR="009D54AF" w:rsidRDefault="00000000">
      <w:pPr>
        <w:ind w:left="142"/>
        <w:rPr>
          <w:sz w:val="19"/>
        </w:rPr>
      </w:pPr>
      <w:r>
        <w:rPr>
          <w:b/>
          <w:sz w:val="19"/>
        </w:rPr>
        <w:t>Table</w:t>
      </w:r>
      <w:r>
        <w:rPr>
          <w:b/>
          <w:spacing w:val="-2"/>
          <w:sz w:val="19"/>
        </w:rPr>
        <w:t xml:space="preserve"> </w:t>
      </w:r>
      <w:r>
        <w:rPr>
          <w:b/>
          <w:sz w:val="19"/>
        </w:rPr>
        <w:t>8</w:t>
      </w:r>
      <w:r>
        <w:rPr>
          <w:b/>
          <w:spacing w:val="17"/>
          <w:sz w:val="19"/>
        </w:rPr>
        <w:t xml:space="preserve"> </w:t>
      </w:r>
      <w:r>
        <w:rPr>
          <w:sz w:val="19"/>
        </w:rPr>
        <w:t xml:space="preserve">Female employee headcount profile by state and territory, as at 30 June </w:t>
      </w:r>
      <w:r>
        <w:rPr>
          <w:spacing w:val="-4"/>
          <w:sz w:val="19"/>
        </w:rPr>
        <w:t>2026</w:t>
      </w:r>
    </w:p>
    <w:p w14:paraId="7C3A5E8E" w14:textId="77777777" w:rsidR="009D54AF" w:rsidRDefault="009D54AF">
      <w:pPr>
        <w:pStyle w:val="BodyText"/>
        <w:spacing w:before="2"/>
        <w:rPr>
          <w:sz w:val="8"/>
        </w:rPr>
      </w:pPr>
    </w:p>
    <w:tbl>
      <w:tblPr>
        <w:tblW w:w="0" w:type="auto"/>
        <w:tblInd w:w="149"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CellMar>
          <w:left w:w="0" w:type="dxa"/>
          <w:right w:w="0" w:type="dxa"/>
        </w:tblCellMar>
        <w:tblLook w:val="01E0" w:firstRow="1" w:lastRow="1" w:firstColumn="1" w:lastColumn="1" w:noHBand="0" w:noVBand="0"/>
      </w:tblPr>
      <w:tblGrid>
        <w:gridCol w:w="2268"/>
        <w:gridCol w:w="1134"/>
        <w:gridCol w:w="1134"/>
        <w:gridCol w:w="1134"/>
        <w:gridCol w:w="1134"/>
        <w:gridCol w:w="1134"/>
        <w:gridCol w:w="1134"/>
        <w:gridCol w:w="1134"/>
      </w:tblGrid>
      <w:tr w:rsidR="009D54AF" w14:paraId="1FBF5E66" w14:textId="77777777">
        <w:trPr>
          <w:trHeight w:val="391"/>
        </w:trPr>
        <w:tc>
          <w:tcPr>
            <w:tcW w:w="2268" w:type="dxa"/>
            <w:vMerge w:val="restart"/>
            <w:tcBorders>
              <w:top w:val="nil"/>
              <w:left w:val="nil"/>
              <w:bottom w:val="nil"/>
            </w:tcBorders>
            <w:shd w:val="clear" w:color="auto" w:fill="000000"/>
          </w:tcPr>
          <w:p w14:paraId="664A6A90" w14:textId="77777777" w:rsidR="009D54AF" w:rsidRDefault="009D54AF">
            <w:pPr>
              <w:pStyle w:val="TableParagraph"/>
              <w:rPr>
                <w:sz w:val="19"/>
              </w:rPr>
            </w:pPr>
          </w:p>
          <w:p w14:paraId="4FE7159D" w14:textId="77777777" w:rsidR="009D54AF" w:rsidRDefault="009D54AF">
            <w:pPr>
              <w:pStyle w:val="TableParagraph"/>
              <w:spacing w:before="92"/>
              <w:rPr>
                <w:sz w:val="19"/>
              </w:rPr>
            </w:pPr>
          </w:p>
          <w:p w14:paraId="6F35192D" w14:textId="77777777" w:rsidR="009D54AF" w:rsidRDefault="00000000">
            <w:pPr>
              <w:pStyle w:val="TableParagraph"/>
              <w:ind w:left="85"/>
              <w:rPr>
                <w:b/>
                <w:sz w:val="19"/>
              </w:rPr>
            </w:pPr>
            <w:r>
              <w:rPr>
                <w:b/>
                <w:color w:val="FFFFFF"/>
                <w:spacing w:val="-2"/>
                <w:sz w:val="19"/>
              </w:rPr>
              <w:t>Jurisdiction</w:t>
            </w:r>
          </w:p>
        </w:tc>
        <w:tc>
          <w:tcPr>
            <w:tcW w:w="3402" w:type="dxa"/>
            <w:gridSpan w:val="3"/>
            <w:tcBorders>
              <w:top w:val="nil"/>
            </w:tcBorders>
            <w:shd w:val="clear" w:color="auto" w:fill="000000"/>
          </w:tcPr>
          <w:p w14:paraId="6313B7D3" w14:textId="77777777" w:rsidR="009D54AF" w:rsidRDefault="00000000">
            <w:pPr>
              <w:pStyle w:val="TableParagraph"/>
              <w:spacing w:before="87"/>
              <w:ind w:left="1090"/>
              <w:rPr>
                <w:b/>
                <w:sz w:val="19"/>
              </w:rPr>
            </w:pPr>
            <w:r>
              <w:rPr>
                <w:b/>
                <w:color w:val="FFFFFF"/>
                <w:sz w:val="19"/>
              </w:rPr>
              <w:t>Non-</w:t>
            </w:r>
            <w:r>
              <w:rPr>
                <w:b/>
                <w:color w:val="FFFFFF"/>
                <w:spacing w:val="-2"/>
                <w:sz w:val="19"/>
              </w:rPr>
              <w:t>ongoing</w:t>
            </w:r>
          </w:p>
        </w:tc>
        <w:tc>
          <w:tcPr>
            <w:tcW w:w="3402" w:type="dxa"/>
            <w:gridSpan w:val="3"/>
            <w:tcBorders>
              <w:top w:val="nil"/>
            </w:tcBorders>
            <w:shd w:val="clear" w:color="auto" w:fill="000000"/>
          </w:tcPr>
          <w:p w14:paraId="068009D3" w14:textId="77777777" w:rsidR="009D54AF" w:rsidRDefault="00000000">
            <w:pPr>
              <w:pStyle w:val="TableParagraph"/>
              <w:spacing w:before="87"/>
              <w:jc w:val="center"/>
              <w:rPr>
                <w:b/>
                <w:sz w:val="19"/>
              </w:rPr>
            </w:pPr>
            <w:r>
              <w:rPr>
                <w:b/>
                <w:color w:val="FFFFFF"/>
                <w:spacing w:val="-2"/>
                <w:sz w:val="19"/>
              </w:rPr>
              <w:t>Ongoing</w:t>
            </w:r>
          </w:p>
        </w:tc>
        <w:tc>
          <w:tcPr>
            <w:tcW w:w="1134" w:type="dxa"/>
            <w:vMerge w:val="restart"/>
            <w:tcBorders>
              <w:top w:val="nil"/>
              <w:bottom w:val="nil"/>
              <w:right w:val="nil"/>
            </w:tcBorders>
            <w:shd w:val="clear" w:color="auto" w:fill="000000"/>
          </w:tcPr>
          <w:p w14:paraId="790593E7" w14:textId="77777777" w:rsidR="009D54AF" w:rsidRDefault="009D54AF">
            <w:pPr>
              <w:pStyle w:val="TableParagraph"/>
              <w:rPr>
                <w:sz w:val="19"/>
              </w:rPr>
            </w:pPr>
          </w:p>
          <w:p w14:paraId="66080438" w14:textId="77777777" w:rsidR="009D54AF" w:rsidRDefault="009D54AF">
            <w:pPr>
              <w:pStyle w:val="TableParagraph"/>
              <w:spacing w:before="92"/>
              <w:rPr>
                <w:sz w:val="19"/>
              </w:rPr>
            </w:pPr>
          </w:p>
          <w:p w14:paraId="5C96C98F" w14:textId="77777777" w:rsidR="009D54AF" w:rsidRDefault="00000000">
            <w:pPr>
              <w:pStyle w:val="TableParagraph"/>
              <w:ind w:left="337"/>
              <w:rPr>
                <w:b/>
                <w:sz w:val="19"/>
              </w:rPr>
            </w:pPr>
            <w:r>
              <w:rPr>
                <w:b/>
                <w:color w:val="FFFFFF"/>
                <w:spacing w:val="-2"/>
                <w:sz w:val="19"/>
              </w:rPr>
              <w:t>Total</w:t>
            </w:r>
          </w:p>
        </w:tc>
      </w:tr>
      <w:tr w:rsidR="009D54AF" w14:paraId="5577B9EF" w14:textId="77777777">
        <w:trPr>
          <w:trHeight w:val="391"/>
        </w:trPr>
        <w:tc>
          <w:tcPr>
            <w:tcW w:w="2268" w:type="dxa"/>
            <w:vMerge/>
            <w:tcBorders>
              <w:top w:val="nil"/>
              <w:left w:val="nil"/>
              <w:bottom w:val="nil"/>
            </w:tcBorders>
            <w:shd w:val="clear" w:color="auto" w:fill="000000"/>
          </w:tcPr>
          <w:p w14:paraId="0B9534AB" w14:textId="77777777" w:rsidR="009D54AF" w:rsidRDefault="009D54AF">
            <w:pPr>
              <w:rPr>
                <w:sz w:val="2"/>
                <w:szCs w:val="2"/>
              </w:rPr>
            </w:pPr>
          </w:p>
        </w:tc>
        <w:tc>
          <w:tcPr>
            <w:tcW w:w="1134" w:type="dxa"/>
            <w:tcBorders>
              <w:bottom w:val="nil"/>
            </w:tcBorders>
            <w:shd w:val="clear" w:color="auto" w:fill="000000"/>
          </w:tcPr>
          <w:p w14:paraId="76122DC7" w14:textId="77777777" w:rsidR="009D54AF" w:rsidRDefault="00000000">
            <w:pPr>
              <w:pStyle w:val="TableParagraph"/>
              <w:spacing w:before="128"/>
              <w:ind w:left="1" w:right="1"/>
              <w:jc w:val="center"/>
              <w:rPr>
                <w:b/>
                <w:sz w:val="19"/>
              </w:rPr>
            </w:pPr>
            <w:r>
              <w:rPr>
                <w:b/>
                <w:color w:val="FFFFFF"/>
                <w:sz w:val="19"/>
              </w:rPr>
              <w:t>Full</w:t>
            </w:r>
            <w:r>
              <w:rPr>
                <w:b/>
                <w:color w:val="FFFFFF"/>
                <w:spacing w:val="-4"/>
                <w:sz w:val="19"/>
              </w:rPr>
              <w:t xml:space="preserve"> time</w:t>
            </w:r>
          </w:p>
        </w:tc>
        <w:tc>
          <w:tcPr>
            <w:tcW w:w="1134" w:type="dxa"/>
            <w:tcBorders>
              <w:bottom w:val="nil"/>
            </w:tcBorders>
            <w:shd w:val="clear" w:color="auto" w:fill="000000"/>
          </w:tcPr>
          <w:p w14:paraId="32732B32" w14:textId="77777777" w:rsidR="009D54AF" w:rsidRDefault="00000000">
            <w:pPr>
              <w:pStyle w:val="TableParagraph"/>
              <w:spacing w:before="128"/>
              <w:ind w:right="1"/>
              <w:jc w:val="center"/>
              <w:rPr>
                <w:b/>
                <w:sz w:val="19"/>
              </w:rPr>
            </w:pPr>
            <w:r>
              <w:rPr>
                <w:b/>
                <w:color w:val="FFFFFF"/>
                <w:sz w:val="19"/>
              </w:rPr>
              <w:t>Part</w:t>
            </w:r>
            <w:r>
              <w:rPr>
                <w:b/>
                <w:color w:val="FFFFFF"/>
                <w:spacing w:val="9"/>
                <w:sz w:val="19"/>
              </w:rPr>
              <w:t xml:space="preserve"> </w:t>
            </w:r>
            <w:r>
              <w:rPr>
                <w:b/>
                <w:color w:val="FFFFFF"/>
                <w:spacing w:val="-4"/>
                <w:sz w:val="19"/>
              </w:rPr>
              <w:t>time</w:t>
            </w:r>
          </w:p>
        </w:tc>
        <w:tc>
          <w:tcPr>
            <w:tcW w:w="1134" w:type="dxa"/>
            <w:tcBorders>
              <w:bottom w:val="nil"/>
            </w:tcBorders>
            <w:shd w:val="clear" w:color="auto" w:fill="000000"/>
          </w:tcPr>
          <w:p w14:paraId="074CF968" w14:textId="77777777" w:rsidR="009D54AF" w:rsidRDefault="00000000">
            <w:pPr>
              <w:pStyle w:val="TableParagraph"/>
              <w:spacing w:before="128"/>
              <w:ind w:right="1"/>
              <w:jc w:val="center"/>
              <w:rPr>
                <w:b/>
                <w:sz w:val="19"/>
              </w:rPr>
            </w:pPr>
            <w:r>
              <w:rPr>
                <w:b/>
                <w:color w:val="FFFFFF"/>
                <w:spacing w:val="-2"/>
                <w:sz w:val="19"/>
              </w:rPr>
              <w:t>Total</w:t>
            </w:r>
          </w:p>
        </w:tc>
        <w:tc>
          <w:tcPr>
            <w:tcW w:w="1134" w:type="dxa"/>
            <w:tcBorders>
              <w:bottom w:val="nil"/>
            </w:tcBorders>
            <w:shd w:val="clear" w:color="auto" w:fill="000000"/>
          </w:tcPr>
          <w:p w14:paraId="2F08AEE6" w14:textId="77777777" w:rsidR="009D54AF" w:rsidRDefault="00000000">
            <w:pPr>
              <w:pStyle w:val="TableParagraph"/>
              <w:spacing w:before="128"/>
              <w:ind w:right="1"/>
              <w:jc w:val="center"/>
              <w:rPr>
                <w:b/>
                <w:sz w:val="19"/>
              </w:rPr>
            </w:pPr>
            <w:r>
              <w:rPr>
                <w:b/>
                <w:color w:val="FFFFFF"/>
                <w:sz w:val="19"/>
              </w:rPr>
              <w:t>Full</w:t>
            </w:r>
            <w:r>
              <w:rPr>
                <w:b/>
                <w:color w:val="FFFFFF"/>
                <w:spacing w:val="-4"/>
                <w:sz w:val="19"/>
              </w:rPr>
              <w:t xml:space="preserve"> time</w:t>
            </w:r>
          </w:p>
        </w:tc>
        <w:tc>
          <w:tcPr>
            <w:tcW w:w="1134" w:type="dxa"/>
            <w:tcBorders>
              <w:bottom w:val="nil"/>
            </w:tcBorders>
            <w:shd w:val="clear" w:color="auto" w:fill="000000"/>
          </w:tcPr>
          <w:p w14:paraId="7B2A7628" w14:textId="77777777" w:rsidR="009D54AF" w:rsidRDefault="00000000">
            <w:pPr>
              <w:pStyle w:val="TableParagraph"/>
              <w:spacing w:before="128"/>
              <w:ind w:right="1"/>
              <w:jc w:val="center"/>
              <w:rPr>
                <w:b/>
                <w:sz w:val="19"/>
              </w:rPr>
            </w:pPr>
            <w:r>
              <w:rPr>
                <w:b/>
                <w:color w:val="FFFFFF"/>
                <w:sz w:val="19"/>
              </w:rPr>
              <w:t>Part</w:t>
            </w:r>
            <w:r>
              <w:rPr>
                <w:b/>
                <w:color w:val="FFFFFF"/>
                <w:spacing w:val="9"/>
                <w:sz w:val="19"/>
              </w:rPr>
              <w:t xml:space="preserve"> </w:t>
            </w:r>
            <w:r>
              <w:rPr>
                <w:b/>
                <w:color w:val="FFFFFF"/>
                <w:spacing w:val="-4"/>
                <w:sz w:val="19"/>
              </w:rPr>
              <w:t>time</w:t>
            </w:r>
          </w:p>
        </w:tc>
        <w:tc>
          <w:tcPr>
            <w:tcW w:w="1134" w:type="dxa"/>
            <w:tcBorders>
              <w:bottom w:val="nil"/>
            </w:tcBorders>
            <w:shd w:val="clear" w:color="auto" w:fill="000000"/>
          </w:tcPr>
          <w:p w14:paraId="2703DD1C" w14:textId="77777777" w:rsidR="009D54AF" w:rsidRDefault="00000000">
            <w:pPr>
              <w:pStyle w:val="TableParagraph"/>
              <w:spacing w:before="128"/>
              <w:ind w:left="1" w:right="1"/>
              <w:jc w:val="center"/>
              <w:rPr>
                <w:b/>
                <w:sz w:val="19"/>
              </w:rPr>
            </w:pPr>
            <w:r>
              <w:rPr>
                <w:b/>
                <w:color w:val="FFFFFF"/>
                <w:spacing w:val="-2"/>
                <w:sz w:val="19"/>
              </w:rPr>
              <w:t>Total</w:t>
            </w:r>
          </w:p>
        </w:tc>
        <w:tc>
          <w:tcPr>
            <w:tcW w:w="1134" w:type="dxa"/>
            <w:vMerge/>
            <w:tcBorders>
              <w:top w:val="nil"/>
              <w:bottom w:val="nil"/>
              <w:right w:val="nil"/>
            </w:tcBorders>
            <w:shd w:val="clear" w:color="auto" w:fill="000000"/>
          </w:tcPr>
          <w:p w14:paraId="5A464952" w14:textId="77777777" w:rsidR="009D54AF" w:rsidRDefault="009D54AF">
            <w:pPr>
              <w:rPr>
                <w:sz w:val="2"/>
                <w:szCs w:val="2"/>
              </w:rPr>
            </w:pPr>
          </w:p>
        </w:tc>
      </w:tr>
      <w:tr w:rsidR="009D54AF" w14:paraId="6EED73D8" w14:textId="77777777">
        <w:trPr>
          <w:trHeight w:val="384"/>
        </w:trPr>
        <w:tc>
          <w:tcPr>
            <w:tcW w:w="2268" w:type="dxa"/>
            <w:tcBorders>
              <w:top w:val="nil"/>
              <w:left w:val="nil"/>
              <w:bottom w:val="single" w:sz="2" w:space="0" w:color="000000"/>
              <w:right w:val="single" w:sz="2" w:space="0" w:color="000000"/>
            </w:tcBorders>
          </w:tcPr>
          <w:p w14:paraId="6D24FC49" w14:textId="77777777" w:rsidR="009D54AF" w:rsidRDefault="00000000">
            <w:pPr>
              <w:pStyle w:val="TableParagraph"/>
              <w:spacing w:before="78"/>
              <w:ind w:left="85"/>
              <w:rPr>
                <w:sz w:val="19"/>
              </w:rPr>
            </w:pPr>
            <w:r>
              <w:rPr>
                <w:spacing w:val="-5"/>
                <w:sz w:val="19"/>
              </w:rPr>
              <w:t>NSW</w:t>
            </w:r>
          </w:p>
        </w:tc>
        <w:tc>
          <w:tcPr>
            <w:tcW w:w="1134" w:type="dxa"/>
            <w:tcBorders>
              <w:top w:val="nil"/>
              <w:left w:val="single" w:sz="2" w:space="0" w:color="000000"/>
              <w:bottom w:val="single" w:sz="2" w:space="0" w:color="000000"/>
              <w:right w:val="single" w:sz="2" w:space="0" w:color="000000"/>
            </w:tcBorders>
          </w:tcPr>
          <w:p w14:paraId="3EEF5D07" w14:textId="77777777" w:rsidR="009D54AF" w:rsidRDefault="00000000">
            <w:pPr>
              <w:pStyle w:val="TableParagraph"/>
              <w:spacing w:before="78"/>
              <w:ind w:left="51" w:right="51"/>
              <w:jc w:val="center"/>
              <w:rPr>
                <w:sz w:val="19"/>
              </w:rPr>
            </w:pPr>
            <w:r>
              <w:rPr>
                <w:spacing w:val="-5"/>
                <w:sz w:val="19"/>
              </w:rPr>
              <w:t>28</w:t>
            </w:r>
          </w:p>
        </w:tc>
        <w:tc>
          <w:tcPr>
            <w:tcW w:w="1134" w:type="dxa"/>
            <w:tcBorders>
              <w:top w:val="nil"/>
              <w:left w:val="single" w:sz="2" w:space="0" w:color="000000"/>
              <w:bottom w:val="single" w:sz="2" w:space="0" w:color="000000"/>
              <w:right w:val="single" w:sz="2" w:space="0" w:color="000000"/>
            </w:tcBorders>
          </w:tcPr>
          <w:p w14:paraId="7FD0AD95" w14:textId="77777777" w:rsidR="009D54AF" w:rsidRDefault="00000000">
            <w:pPr>
              <w:pStyle w:val="TableParagraph"/>
              <w:spacing w:before="78"/>
              <w:ind w:left="51" w:right="51"/>
              <w:jc w:val="center"/>
              <w:rPr>
                <w:sz w:val="19"/>
              </w:rPr>
            </w:pPr>
            <w:r>
              <w:rPr>
                <w:spacing w:val="-10"/>
                <w:sz w:val="19"/>
              </w:rPr>
              <w:t>3</w:t>
            </w:r>
          </w:p>
        </w:tc>
        <w:tc>
          <w:tcPr>
            <w:tcW w:w="1134" w:type="dxa"/>
            <w:tcBorders>
              <w:top w:val="nil"/>
              <w:left w:val="single" w:sz="2" w:space="0" w:color="000000"/>
              <w:bottom w:val="single" w:sz="2" w:space="0" w:color="000000"/>
              <w:right w:val="single" w:sz="2" w:space="0" w:color="000000"/>
            </w:tcBorders>
          </w:tcPr>
          <w:p w14:paraId="03A01762" w14:textId="77777777" w:rsidR="009D54AF" w:rsidRDefault="00000000">
            <w:pPr>
              <w:pStyle w:val="TableParagraph"/>
              <w:spacing w:before="78"/>
              <w:ind w:left="51" w:right="56"/>
              <w:jc w:val="center"/>
              <w:rPr>
                <w:sz w:val="19"/>
              </w:rPr>
            </w:pPr>
            <w:r>
              <w:rPr>
                <w:spacing w:val="-5"/>
                <w:sz w:val="19"/>
              </w:rPr>
              <w:t>31</w:t>
            </w:r>
          </w:p>
        </w:tc>
        <w:tc>
          <w:tcPr>
            <w:tcW w:w="1134" w:type="dxa"/>
            <w:tcBorders>
              <w:top w:val="nil"/>
              <w:left w:val="single" w:sz="2" w:space="0" w:color="000000"/>
              <w:bottom w:val="single" w:sz="2" w:space="0" w:color="000000"/>
              <w:right w:val="single" w:sz="2" w:space="0" w:color="000000"/>
            </w:tcBorders>
          </w:tcPr>
          <w:p w14:paraId="2FADAD98" w14:textId="77777777" w:rsidR="009D54AF" w:rsidRDefault="00000000">
            <w:pPr>
              <w:pStyle w:val="TableParagraph"/>
              <w:spacing w:before="78"/>
              <w:ind w:left="51" w:right="52"/>
              <w:jc w:val="center"/>
              <w:rPr>
                <w:sz w:val="19"/>
              </w:rPr>
            </w:pPr>
            <w:r>
              <w:rPr>
                <w:spacing w:val="-5"/>
                <w:sz w:val="19"/>
              </w:rPr>
              <w:t>70</w:t>
            </w:r>
          </w:p>
        </w:tc>
        <w:tc>
          <w:tcPr>
            <w:tcW w:w="1134" w:type="dxa"/>
            <w:tcBorders>
              <w:top w:val="nil"/>
              <w:left w:val="single" w:sz="2" w:space="0" w:color="000000"/>
              <w:bottom w:val="single" w:sz="2" w:space="0" w:color="000000"/>
              <w:right w:val="single" w:sz="2" w:space="0" w:color="000000"/>
            </w:tcBorders>
          </w:tcPr>
          <w:p w14:paraId="34E97364" w14:textId="77777777" w:rsidR="009D54AF" w:rsidRDefault="00000000">
            <w:pPr>
              <w:pStyle w:val="TableParagraph"/>
              <w:spacing w:before="78"/>
              <w:ind w:left="51" w:right="58"/>
              <w:jc w:val="center"/>
              <w:rPr>
                <w:sz w:val="19"/>
              </w:rPr>
            </w:pPr>
            <w:r>
              <w:rPr>
                <w:spacing w:val="-5"/>
                <w:sz w:val="19"/>
              </w:rPr>
              <w:t>14</w:t>
            </w:r>
          </w:p>
        </w:tc>
        <w:tc>
          <w:tcPr>
            <w:tcW w:w="1134" w:type="dxa"/>
            <w:tcBorders>
              <w:top w:val="nil"/>
              <w:left w:val="single" w:sz="2" w:space="0" w:color="000000"/>
              <w:bottom w:val="single" w:sz="2" w:space="0" w:color="000000"/>
              <w:right w:val="single" w:sz="2" w:space="0" w:color="000000"/>
            </w:tcBorders>
          </w:tcPr>
          <w:p w14:paraId="7AFC8EA1" w14:textId="77777777" w:rsidR="009D54AF" w:rsidRDefault="00000000">
            <w:pPr>
              <w:pStyle w:val="TableParagraph"/>
              <w:spacing w:before="78"/>
              <w:ind w:left="51" w:right="48"/>
              <w:jc w:val="center"/>
              <w:rPr>
                <w:sz w:val="19"/>
              </w:rPr>
            </w:pPr>
            <w:r>
              <w:rPr>
                <w:spacing w:val="-5"/>
                <w:sz w:val="19"/>
              </w:rPr>
              <w:t>84</w:t>
            </w:r>
          </w:p>
        </w:tc>
        <w:tc>
          <w:tcPr>
            <w:tcW w:w="1134" w:type="dxa"/>
            <w:tcBorders>
              <w:top w:val="nil"/>
              <w:left w:val="single" w:sz="2" w:space="0" w:color="000000"/>
              <w:bottom w:val="single" w:sz="2" w:space="0" w:color="000000"/>
              <w:right w:val="nil"/>
            </w:tcBorders>
          </w:tcPr>
          <w:p w14:paraId="45F8A562" w14:textId="77777777" w:rsidR="009D54AF" w:rsidRDefault="00000000">
            <w:pPr>
              <w:pStyle w:val="TableParagraph"/>
              <w:spacing w:before="35"/>
              <w:ind w:left="2" w:right="4"/>
              <w:jc w:val="center"/>
              <w:rPr>
                <w:sz w:val="19"/>
              </w:rPr>
            </w:pPr>
            <w:r>
              <w:rPr>
                <w:spacing w:val="-5"/>
                <w:sz w:val="19"/>
              </w:rPr>
              <w:t>115</w:t>
            </w:r>
          </w:p>
        </w:tc>
      </w:tr>
      <w:tr w:rsidR="009D54AF" w14:paraId="5F64BE28" w14:textId="77777777">
        <w:trPr>
          <w:trHeight w:val="391"/>
        </w:trPr>
        <w:tc>
          <w:tcPr>
            <w:tcW w:w="2268" w:type="dxa"/>
            <w:tcBorders>
              <w:top w:val="single" w:sz="2" w:space="0" w:color="000000"/>
              <w:left w:val="nil"/>
              <w:bottom w:val="single" w:sz="2" w:space="0" w:color="000000"/>
              <w:right w:val="single" w:sz="2" w:space="0" w:color="000000"/>
            </w:tcBorders>
          </w:tcPr>
          <w:p w14:paraId="26821E1B" w14:textId="77777777" w:rsidR="009D54AF" w:rsidRDefault="00000000">
            <w:pPr>
              <w:pStyle w:val="TableParagraph"/>
              <w:spacing w:before="85"/>
              <w:ind w:left="85"/>
              <w:rPr>
                <w:sz w:val="19"/>
              </w:rPr>
            </w:pPr>
            <w:r>
              <w:rPr>
                <w:spacing w:val="-5"/>
                <w:sz w:val="19"/>
              </w:rPr>
              <w:t>Qld</w:t>
            </w:r>
          </w:p>
        </w:tc>
        <w:tc>
          <w:tcPr>
            <w:tcW w:w="1134" w:type="dxa"/>
            <w:tcBorders>
              <w:top w:val="single" w:sz="2" w:space="0" w:color="000000"/>
              <w:left w:val="single" w:sz="2" w:space="0" w:color="000000"/>
              <w:bottom w:val="single" w:sz="2" w:space="0" w:color="000000"/>
              <w:right w:val="single" w:sz="2" w:space="0" w:color="000000"/>
            </w:tcBorders>
          </w:tcPr>
          <w:p w14:paraId="68C9B65E" w14:textId="77777777" w:rsidR="009D54AF" w:rsidRDefault="00000000">
            <w:pPr>
              <w:pStyle w:val="TableParagraph"/>
              <w:spacing w:before="85"/>
              <w:ind w:left="51" w:right="51"/>
              <w:jc w:val="center"/>
              <w:rPr>
                <w:sz w:val="19"/>
              </w:rPr>
            </w:pPr>
            <w:r>
              <w:rPr>
                <w:spacing w:val="-10"/>
                <w:sz w:val="19"/>
              </w:rPr>
              <w:t>0</w:t>
            </w:r>
          </w:p>
        </w:tc>
        <w:tc>
          <w:tcPr>
            <w:tcW w:w="1134" w:type="dxa"/>
            <w:tcBorders>
              <w:top w:val="single" w:sz="2" w:space="0" w:color="000000"/>
              <w:left w:val="single" w:sz="2" w:space="0" w:color="000000"/>
              <w:bottom w:val="single" w:sz="2" w:space="0" w:color="000000"/>
              <w:right w:val="single" w:sz="2" w:space="0" w:color="000000"/>
            </w:tcBorders>
          </w:tcPr>
          <w:p w14:paraId="1D6615B5" w14:textId="77777777" w:rsidR="009D54AF" w:rsidRDefault="00000000">
            <w:pPr>
              <w:pStyle w:val="TableParagraph"/>
              <w:spacing w:before="85"/>
              <w:ind w:left="51" w:right="51"/>
              <w:jc w:val="center"/>
              <w:rPr>
                <w:sz w:val="19"/>
              </w:rPr>
            </w:pPr>
            <w:r>
              <w:rPr>
                <w:spacing w:val="-10"/>
                <w:sz w:val="19"/>
              </w:rPr>
              <w:t>0</w:t>
            </w:r>
          </w:p>
        </w:tc>
        <w:tc>
          <w:tcPr>
            <w:tcW w:w="1134" w:type="dxa"/>
            <w:tcBorders>
              <w:top w:val="single" w:sz="2" w:space="0" w:color="000000"/>
              <w:left w:val="single" w:sz="2" w:space="0" w:color="000000"/>
              <w:bottom w:val="single" w:sz="2" w:space="0" w:color="000000"/>
              <w:right w:val="single" w:sz="2" w:space="0" w:color="000000"/>
            </w:tcBorders>
          </w:tcPr>
          <w:p w14:paraId="705B8742" w14:textId="77777777" w:rsidR="009D54AF" w:rsidRDefault="00000000">
            <w:pPr>
              <w:pStyle w:val="TableParagraph"/>
              <w:spacing w:before="85"/>
              <w:ind w:left="51" w:right="52"/>
              <w:jc w:val="center"/>
              <w:rPr>
                <w:sz w:val="19"/>
              </w:rPr>
            </w:pPr>
            <w:r>
              <w:rPr>
                <w:spacing w:val="-10"/>
                <w:sz w:val="19"/>
              </w:rPr>
              <w:t>0</w:t>
            </w:r>
          </w:p>
        </w:tc>
        <w:tc>
          <w:tcPr>
            <w:tcW w:w="1134" w:type="dxa"/>
            <w:tcBorders>
              <w:top w:val="single" w:sz="2" w:space="0" w:color="000000"/>
              <w:left w:val="single" w:sz="2" w:space="0" w:color="000000"/>
              <w:bottom w:val="single" w:sz="2" w:space="0" w:color="000000"/>
              <w:right w:val="single" w:sz="2" w:space="0" w:color="000000"/>
            </w:tcBorders>
          </w:tcPr>
          <w:p w14:paraId="0260EC43" w14:textId="77777777" w:rsidR="009D54AF" w:rsidRDefault="00000000">
            <w:pPr>
              <w:pStyle w:val="TableParagraph"/>
              <w:spacing w:before="85"/>
              <w:ind w:left="51" w:right="52"/>
              <w:jc w:val="center"/>
              <w:rPr>
                <w:sz w:val="19"/>
              </w:rPr>
            </w:pPr>
            <w:r>
              <w:rPr>
                <w:spacing w:val="-10"/>
                <w:sz w:val="19"/>
              </w:rPr>
              <w:t>0</w:t>
            </w:r>
          </w:p>
        </w:tc>
        <w:tc>
          <w:tcPr>
            <w:tcW w:w="1134" w:type="dxa"/>
            <w:tcBorders>
              <w:top w:val="single" w:sz="2" w:space="0" w:color="000000"/>
              <w:left w:val="single" w:sz="2" w:space="0" w:color="000000"/>
              <w:bottom w:val="single" w:sz="2" w:space="0" w:color="000000"/>
              <w:right w:val="single" w:sz="2" w:space="0" w:color="000000"/>
            </w:tcBorders>
          </w:tcPr>
          <w:p w14:paraId="5B546E6D" w14:textId="77777777" w:rsidR="009D54AF" w:rsidRDefault="00000000">
            <w:pPr>
              <w:pStyle w:val="TableParagraph"/>
              <w:spacing w:before="85"/>
              <w:ind w:left="51" w:right="52"/>
              <w:jc w:val="center"/>
              <w:rPr>
                <w:sz w:val="19"/>
              </w:rPr>
            </w:pPr>
            <w:r>
              <w:rPr>
                <w:spacing w:val="-10"/>
                <w:sz w:val="19"/>
              </w:rPr>
              <w:t>0</w:t>
            </w:r>
          </w:p>
        </w:tc>
        <w:tc>
          <w:tcPr>
            <w:tcW w:w="1134" w:type="dxa"/>
            <w:tcBorders>
              <w:top w:val="single" w:sz="2" w:space="0" w:color="000000"/>
              <w:left w:val="single" w:sz="2" w:space="0" w:color="000000"/>
              <w:bottom w:val="single" w:sz="2" w:space="0" w:color="000000"/>
              <w:right w:val="single" w:sz="2" w:space="0" w:color="000000"/>
            </w:tcBorders>
          </w:tcPr>
          <w:p w14:paraId="511D2C42" w14:textId="77777777" w:rsidR="009D54AF" w:rsidRDefault="00000000">
            <w:pPr>
              <w:pStyle w:val="TableParagraph"/>
              <w:spacing w:before="85"/>
              <w:ind w:left="51" w:right="51"/>
              <w:jc w:val="center"/>
              <w:rPr>
                <w:sz w:val="19"/>
              </w:rPr>
            </w:pPr>
            <w:r>
              <w:rPr>
                <w:spacing w:val="-10"/>
                <w:sz w:val="19"/>
              </w:rPr>
              <w:t>0</w:t>
            </w:r>
          </w:p>
        </w:tc>
        <w:tc>
          <w:tcPr>
            <w:tcW w:w="1134" w:type="dxa"/>
            <w:tcBorders>
              <w:top w:val="single" w:sz="2" w:space="0" w:color="000000"/>
              <w:left w:val="single" w:sz="2" w:space="0" w:color="000000"/>
              <w:bottom w:val="single" w:sz="2" w:space="0" w:color="000000"/>
              <w:right w:val="nil"/>
            </w:tcBorders>
          </w:tcPr>
          <w:p w14:paraId="6737B697" w14:textId="77777777" w:rsidR="009D54AF" w:rsidRDefault="00000000">
            <w:pPr>
              <w:pStyle w:val="TableParagraph"/>
              <w:spacing w:before="42"/>
              <w:ind w:left="2" w:right="4"/>
              <w:jc w:val="center"/>
              <w:rPr>
                <w:sz w:val="19"/>
              </w:rPr>
            </w:pPr>
            <w:r>
              <w:rPr>
                <w:spacing w:val="-10"/>
                <w:sz w:val="19"/>
              </w:rPr>
              <w:t>0</w:t>
            </w:r>
          </w:p>
        </w:tc>
      </w:tr>
      <w:tr w:rsidR="009D54AF" w14:paraId="20859C73" w14:textId="77777777">
        <w:trPr>
          <w:trHeight w:val="391"/>
        </w:trPr>
        <w:tc>
          <w:tcPr>
            <w:tcW w:w="2268" w:type="dxa"/>
            <w:tcBorders>
              <w:top w:val="single" w:sz="2" w:space="0" w:color="000000"/>
              <w:left w:val="nil"/>
              <w:bottom w:val="single" w:sz="2" w:space="0" w:color="000000"/>
              <w:right w:val="single" w:sz="2" w:space="0" w:color="000000"/>
            </w:tcBorders>
          </w:tcPr>
          <w:p w14:paraId="36DFF5AD" w14:textId="77777777" w:rsidR="009D54AF" w:rsidRDefault="00000000">
            <w:pPr>
              <w:pStyle w:val="TableParagraph"/>
              <w:spacing w:before="85"/>
              <w:ind w:left="85"/>
              <w:rPr>
                <w:sz w:val="19"/>
              </w:rPr>
            </w:pPr>
            <w:r>
              <w:rPr>
                <w:spacing w:val="-5"/>
                <w:sz w:val="19"/>
              </w:rPr>
              <w:t>SA</w:t>
            </w:r>
          </w:p>
        </w:tc>
        <w:tc>
          <w:tcPr>
            <w:tcW w:w="1134" w:type="dxa"/>
            <w:tcBorders>
              <w:top w:val="single" w:sz="2" w:space="0" w:color="000000"/>
              <w:left w:val="single" w:sz="2" w:space="0" w:color="000000"/>
              <w:bottom w:val="single" w:sz="2" w:space="0" w:color="000000"/>
              <w:right w:val="single" w:sz="2" w:space="0" w:color="000000"/>
            </w:tcBorders>
          </w:tcPr>
          <w:p w14:paraId="48E0ABF7" w14:textId="77777777" w:rsidR="009D54AF" w:rsidRDefault="00000000">
            <w:pPr>
              <w:pStyle w:val="TableParagraph"/>
              <w:spacing w:before="85"/>
              <w:ind w:left="51" w:right="51"/>
              <w:jc w:val="center"/>
              <w:rPr>
                <w:sz w:val="19"/>
              </w:rPr>
            </w:pPr>
            <w:r>
              <w:rPr>
                <w:spacing w:val="-10"/>
                <w:sz w:val="19"/>
              </w:rPr>
              <w:t>1</w:t>
            </w:r>
          </w:p>
        </w:tc>
        <w:tc>
          <w:tcPr>
            <w:tcW w:w="1134" w:type="dxa"/>
            <w:tcBorders>
              <w:top w:val="single" w:sz="2" w:space="0" w:color="000000"/>
              <w:left w:val="single" w:sz="2" w:space="0" w:color="000000"/>
              <w:bottom w:val="single" w:sz="2" w:space="0" w:color="000000"/>
              <w:right w:val="single" w:sz="2" w:space="0" w:color="000000"/>
            </w:tcBorders>
          </w:tcPr>
          <w:p w14:paraId="6E31EC75" w14:textId="77777777" w:rsidR="009D54AF" w:rsidRDefault="00000000">
            <w:pPr>
              <w:pStyle w:val="TableParagraph"/>
              <w:spacing w:before="85"/>
              <w:ind w:left="51" w:right="51"/>
              <w:jc w:val="center"/>
              <w:rPr>
                <w:sz w:val="19"/>
              </w:rPr>
            </w:pPr>
            <w:r>
              <w:rPr>
                <w:spacing w:val="-10"/>
                <w:sz w:val="19"/>
              </w:rPr>
              <w:t>0</w:t>
            </w:r>
          </w:p>
        </w:tc>
        <w:tc>
          <w:tcPr>
            <w:tcW w:w="1134" w:type="dxa"/>
            <w:tcBorders>
              <w:top w:val="single" w:sz="2" w:space="0" w:color="000000"/>
              <w:left w:val="single" w:sz="2" w:space="0" w:color="000000"/>
              <w:bottom w:val="single" w:sz="2" w:space="0" w:color="000000"/>
              <w:right w:val="single" w:sz="2" w:space="0" w:color="000000"/>
            </w:tcBorders>
          </w:tcPr>
          <w:p w14:paraId="0C493A85" w14:textId="77777777" w:rsidR="009D54AF" w:rsidRDefault="00000000">
            <w:pPr>
              <w:pStyle w:val="TableParagraph"/>
              <w:spacing w:before="85"/>
              <w:ind w:left="51" w:right="52"/>
              <w:jc w:val="center"/>
              <w:rPr>
                <w:sz w:val="19"/>
              </w:rPr>
            </w:pPr>
            <w:r>
              <w:rPr>
                <w:spacing w:val="-10"/>
                <w:sz w:val="19"/>
              </w:rPr>
              <w:t>0</w:t>
            </w:r>
          </w:p>
        </w:tc>
        <w:tc>
          <w:tcPr>
            <w:tcW w:w="1134" w:type="dxa"/>
            <w:tcBorders>
              <w:top w:val="single" w:sz="2" w:space="0" w:color="000000"/>
              <w:left w:val="single" w:sz="2" w:space="0" w:color="000000"/>
              <w:bottom w:val="single" w:sz="2" w:space="0" w:color="000000"/>
              <w:right w:val="single" w:sz="2" w:space="0" w:color="000000"/>
            </w:tcBorders>
          </w:tcPr>
          <w:p w14:paraId="7056B716" w14:textId="77777777" w:rsidR="009D54AF" w:rsidRDefault="00000000">
            <w:pPr>
              <w:pStyle w:val="TableParagraph"/>
              <w:spacing w:before="85"/>
              <w:ind w:left="51" w:right="52"/>
              <w:jc w:val="center"/>
              <w:rPr>
                <w:sz w:val="19"/>
              </w:rPr>
            </w:pPr>
            <w:r>
              <w:rPr>
                <w:spacing w:val="-10"/>
                <w:sz w:val="19"/>
              </w:rPr>
              <w:t>0</w:t>
            </w:r>
          </w:p>
        </w:tc>
        <w:tc>
          <w:tcPr>
            <w:tcW w:w="1134" w:type="dxa"/>
            <w:tcBorders>
              <w:top w:val="single" w:sz="2" w:space="0" w:color="000000"/>
              <w:left w:val="single" w:sz="2" w:space="0" w:color="000000"/>
              <w:bottom w:val="single" w:sz="2" w:space="0" w:color="000000"/>
              <w:right w:val="single" w:sz="2" w:space="0" w:color="000000"/>
            </w:tcBorders>
          </w:tcPr>
          <w:p w14:paraId="49BABEBA" w14:textId="77777777" w:rsidR="009D54AF" w:rsidRDefault="00000000">
            <w:pPr>
              <w:pStyle w:val="TableParagraph"/>
              <w:spacing w:before="85"/>
              <w:ind w:left="51" w:right="52"/>
              <w:jc w:val="center"/>
              <w:rPr>
                <w:sz w:val="19"/>
              </w:rPr>
            </w:pPr>
            <w:r>
              <w:rPr>
                <w:spacing w:val="-10"/>
                <w:sz w:val="19"/>
              </w:rPr>
              <w:t>0</w:t>
            </w:r>
          </w:p>
        </w:tc>
        <w:tc>
          <w:tcPr>
            <w:tcW w:w="1134" w:type="dxa"/>
            <w:tcBorders>
              <w:top w:val="single" w:sz="2" w:space="0" w:color="000000"/>
              <w:left w:val="single" w:sz="2" w:space="0" w:color="000000"/>
              <w:bottom w:val="single" w:sz="2" w:space="0" w:color="000000"/>
              <w:right w:val="single" w:sz="2" w:space="0" w:color="000000"/>
            </w:tcBorders>
          </w:tcPr>
          <w:p w14:paraId="1C33C99A" w14:textId="77777777" w:rsidR="009D54AF" w:rsidRDefault="00000000">
            <w:pPr>
              <w:pStyle w:val="TableParagraph"/>
              <w:spacing w:before="85"/>
              <w:ind w:left="51" w:right="51"/>
              <w:jc w:val="center"/>
              <w:rPr>
                <w:sz w:val="19"/>
              </w:rPr>
            </w:pPr>
            <w:r>
              <w:rPr>
                <w:spacing w:val="-10"/>
                <w:sz w:val="19"/>
              </w:rPr>
              <w:t>0</w:t>
            </w:r>
          </w:p>
        </w:tc>
        <w:tc>
          <w:tcPr>
            <w:tcW w:w="1134" w:type="dxa"/>
            <w:tcBorders>
              <w:top w:val="single" w:sz="2" w:space="0" w:color="000000"/>
              <w:left w:val="single" w:sz="2" w:space="0" w:color="000000"/>
              <w:bottom w:val="single" w:sz="2" w:space="0" w:color="000000"/>
              <w:right w:val="nil"/>
            </w:tcBorders>
          </w:tcPr>
          <w:p w14:paraId="09C9DF3B" w14:textId="77777777" w:rsidR="009D54AF" w:rsidRDefault="00000000">
            <w:pPr>
              <w:pStyle w:val="TableParagraph"/>
              <w:spacing w:before="42"/>
              <w:ind w:left="2" w:right="4"/>
              <w:jc w:val="center"/>
              <w:rPr>
                <w:sz w:val="19"/>
              </w:rPr>
            </w:pPr>
            <w:r>
              <w:rPr>
                <w:spacing w:val="-10"/>
                <w:sz w:val="19"/>
              </w:rPr>
              <w:t>1</w:t>
            </w:r>
          </w:p>
        </w:tc>
      </w:tr>
      <w:tr w:rsidR="009D54AF" w14:paraId="085011E6" w14:textId="77777777">
        <w:trPr>
          <w:trHeight w:val="391"/>
        </w:trPr>
        <w:tc>
          <w:tcPr>
            <w:tcW w:w="2268" w:type="dxa"/>
            <w:tcBorders>
              <w:top w:val="single" w:sz="2" w:space="0" w:color="000000"/>
              <w:left w:val="nil"/>
              <w:bottom w:val="single" w:sz="2" w:space="0" w:color="000000"/>
              <w:right w:val="single" w:sz="2" w:space="0" w:color="000000"/>
            </w:tcBorders>
          </w:tcPr>
          <w:p w14:paraId="40CF9C3A" w14:textId="77777777" w:rsidR="009D54AF" w:rsidRDefault="00000000">
            <w:pPr>
              <w:pStyle w:val="TableParagraph"/>
              <w:spacing w:before="85"/>
              <w:ind w:left="85"/>
              <w:rPr>
                <w:sz w:val="19"/>
              </w:rPr>
            </w:pPr>
            <w:r>
              <w:rPr>
                <w:spacing w:val="-5"/>
                <w:sz w:val="19"/>
              </w:rPr>
              <w:t>Tas</w:t>
            </w:r>
          </w:p>
        </w:tc>
        <w:tc>
          <w:tcPr>
            <w:tcW w:w="1134" w:type="dxa"/>
            <w:tcBorders>
              <w:top w:val="single" w:sz="2" w:space="0" w:color="000000"/>
              <w:left w:val="single" w:sz="2" w:space="0" w:color="000000"/>
              <w:bottom w:val="single" w:sz="2" w:space="0" w:color="000000"/>
              <w:right w:val="single" w:sz="2" w:space="0" w:color="000000"/>
            </w:tcBorders>
          </w:tcPr>
          <w:p w14:paraId="77A93C9A" w14:textId="77777777" w:rsidR="009D54AF" w:rsidRDefault="00000000">
            <w:pPr>
              <w:pStyle w:val="TableParagraph"/>
              <w:spacing w:before="85"/>
              <w:ind w:left="51" w:right="51"/>
              <w:jc w:val="center"/>
              <w:rPr>
                <w:sz w:val="19"/>
              </w:rPr>
            </w:pPr>
            <w:r>
              <w:rPr>
                <w:spacing w:val="-10"/>
                <w:sz w:val="19"/>
              </w:rPr>
              <w:t>0</w:t>
            </w:r>
          </w:p>
        </w:tc>
        <w:tc>
          <w:tcPr>
            <w:tcW w:w="1134" w:type="dxa"/>
            <w:tcBorders>
              <w:top w:val="single" w:sz="2" w:space="0" w:color="000000"/>
              <w:left w:val="single" w:sz="2" w:space="0" w:color="000000"/>
              <w:bottom w:val="single" w:sz="2" w:space="0" w:color="000000"/>
              <w:right w:val="single" w:sz="2" w:space="0" w:color="000000"/>
            </w:tcBorders>
          </w:tcPr>
          <w:p w14:paraId="3286D07D" w14:textId="77777777" w:rsidR="009D54AF" w:rsidRDefault="00000000">
            <w:pPr>
              <w:pStyle w:val="TableParagraph"/>
              <w:spacing w:before="85"/>
              <w:ind w:left="51" w:right="51"/>
              <w:jc w:val="center"/>
              <w:rPr>
                <w:sz w:val="19"/>
              </w:rPr>
            </w:pPr>
            <w:r>
              <w:rPr>
                <w:spacing w:val="-10"/>
                <w:sz w:val="19"/>
              </w:rPr>
              <w:t>0</w:t>
            </w:r>
          </w:p>
        </w:tc>
        <w:tc>
          <w:tcPr>
            <w:tcW w:w="1134" w:type="dxa"/>
            <w:tcBorders>
              <w:top w:val="single" w:sz="2" w:space="0" w:color="000000"/>
              <w:left w:val="single" w:sz="2" w:space="0" w:color="000000"/>
              <w:bottom w:val="single" w:sz="2" w:space="0" w:color="000000"/>
              <w:right w:val="single" w:sz="2" w:space="0" w:color="000000"/>
            </w:tcBorders>
          </w:tcPr>
          <w:p w14:paraId="78F91EA7" w14:textId="77777777" w:rsidR="009D54AF" w:rsidRDefault="00000000">
            <w:pPr>
              <w:pStyle w:val="TableParagraph"/>
              <w:spacing w:before="85"/>
              <w:ind w:left="51" w:right="52"/>
              <w:jc w:val="center"/>
              <w:rPr>
                <w:sz w:val="19"/>
              </w:rPr>
            </w:pPr>
            <w:r>
              <w:rPr>
                <w:spacing w:val="-10"/>
                <w:sz w:val="19"/>
              </w:rPr>
              <w:t>0</w:t>
            </w:r>
          </w:p>
        </w:tc>
        <w:tc>
          <w:tcPr>
            <w:tcW w:w="1134" w:type="dxa"/>
            <w:tcBorders>
              <w:top w:val="single" w:sz="2" w:space="0" w:color="000000"/>
              <w:left w:val="single" w:sz="2" w:space="0" w:color="000000"/>
              <w:bottom w:val="single" w:sz="2" w:space="0" w:color="000000"/>
              <w:right w:val="single" w:sz="2" w:space="0" w:color="000000"/>
            </w:tcBorders>
          </w:tcPr>
          <w:p w14:paraId="0819E54E" w14:textId="77777777" w:rsidR="009D54AF" w:rsidRDefault="00000000">
            <w:pPr>
              <w:pStyle w:val="TableParagraph"/>
              <w:spacing w:before="85"/>
              <w:ind w:left="51" w:right="52"/>
              <w:jc w:val="center"/>
              <w:rPr>
                <w:sz w:val="19"/>
              </w:rPr>
            </w:pPr>
            <w:r>
              <w:rPr>
                <w:spacing w:val="-10"/>
                <w:sz w:val="19"/>
              </w:rPr>
              <w:t>0</w:t>
            </w:r>
          </w:p>
        </w:tc>
        <w:tc>
          <w:tcPr>
            <w:tcW w:w="1134" w:type="dxa"/>
            <w:tcBorders>
              <w:top w:val="single" w:sz="2" w:space="0" w:color="000000"/>
              <w:left w:val="single" w:sz="2" w:space="0" w:color="000000"/>
              <w:bottom w:val="single" w:sz="2" w:space="0" w:color="000000"/>
              <w:right w:val="single" w:sz="2" w:space="0" w:color="000000"/>
            </w:tcBorders>
          </w:tcPr>
          <w:p w14:paraId="647EA5E5" w14:textId="77777777" w:rsidR="009D54AF" w:rsidRDefault="00000000">
            <w:pPr>
              <w:pStyle w:val="TableParagraph"/>
              <w:spacing w:before="85"/>
              <w:ind w:left="51" w:right="52"/>
              <w:jc w:val="center"/>
              <w:rPr>
                <w:sz w:val="19"/>
              </w:rPr>
            </w:pPr>
            <w:r>
              <w:rPr>
                <w:spacing w:val="-10"/>
                <w:sz w:val="19"/>
              </w:rPr>
              <w:t>0</w:t>
            </w:r>
          </w:p>
        </w:tc>
        <w:tc>
          <w:tcPr>
            <w:tcW w:w="1134" w:type="dxa"/>
            <w:tcBorders>
              <w:top w:val="single" w:sz="2" w:space="0" w:color="000000"/>
              <w:left w:val="single" w:sz="2" w:space="0" w:color="000000"/>
              <w:bottom w:val="single" w:sz="2" w:space="0" w:color="000000"/>
              <w:right w:val="single" w:sz="2" w:space="0" w:color="000000"/>
            </w:tcBorders>
          </w:tcPr>
          <w:p w14:paraId="69AF23BF" w14:textId="77777777" w:rsidR="009D54AF" w:rsidRDefault="00000000">
            <w:pPr>
              <w:pStyle w:val="TableParagraph"/>
              <w:spacing w:before="85"/>
              <w:ind w:left="51" w:right="51"/>
              <w:jc w:val="center"/>
              <w:rPr>
                <w:sz w:val="19"/>
              </w:rPr>
            </w:pPr>
            <w:r>
              <w:rPr>
                <w:spacing w:val="-10"/>
                <w:sz w:val="19"/>
              </w:rPr>
              <w:t>0</w:t>
            </w:r>
          </w:p>
        </w:tc>
        <w:tc>
          <w:tcPr>
            <w:tcW w:w="1134" w:type="dxa"/>
            <w:tcBorders>
              <w:top w:val="single" w:sz="2" w:space="0" w:color="000000"/>
              <w:left w:val="single" w:sz="2" w:space="0" w:color="000000"/>
              <w:bottom w:val="single" w:sz="2" w:space="0" w:color="000000"/>
              <w:right w:val="nil"/>
            </w:tcBorders>
          </w:tcPr>
          <w:p w14:paraId="7EFB4341" w14:textId="77777777" w:rsidR="009D54AF" w:rsidRDefault="00000000">
            <w:pPr>
              <w:pStyle w:val="TableParagraph"/>
              <w:spacing w:before="42"/>
              <w:ind w:left="2" w:right="4"/>
              <w:jc w:val="center"/>
              <w:rPr>
                <w:sz w:val="19"/>
              </w:rPr>
            </w:pPr>
            <w:r>
              <w:rPr>
                <w:spacing w:val="-10"/>
                <w:sz w:val="19"/>
              </w:rPr>
              <w:t>0</w:t>
            </w:r>
          </w:p>
        </w:tc>
      </w:tr>
      <w:tr w:rsidR="009D54AF" w14:paraId="3075AC77" w14:textId="77777777">
        <w:trPr>
          <w:trHeight w:val="391"/>
        </w:trPr>
        <w:tc>
          <w:tcPr>
            <w:tcW w:w="2268" w:type="dxa"/>
            <w:tcBorders>
              <w:top w:val="single" w:sz="2" w:space="0" w:color="000000"/>
              <w:left w:val="nil"/>
              <w:bottom w:val="single" w:sz="2" w:space="0" w:color="000000"/>
              <w:right w:val="single" w:sz="2" w:space="0" w:color="000000"/>
            </w:tcBorders>
          </w:tcPr>
          <w:p w14:paraId="02CB4CA5" w14:textId="77777777" w:rsidR="009D54AF" w:rsidRDefault="00000000">
            <w:pPr>
              <w:pStyle w:val="TableParagraph"/>
              <w:spacing w:before="85"/>
              <w:ind w:left="85"/>
              <w:rPr>
                <w:sz w:val="19"/>
              </w:rPr>
            </w:pPr>
            <w:r>
              <w:rPr>
                <w:spacing w:val="-5"/>
                <w:sz w:val="19"/>
              </w:rPr>
              <w:t>Vic</w:t>
            </w:r>
          </w:p>
        </w:tc>
        <w:tc>
          <w:tcPr>
            <w:tcW w:w="1134" w:type="dxa"/>
            <w:tcBorders>
              <w:top w:val="single" w:sz="2" w:space="0" w:color="000000"/>
              <w:left w:val="single" w:sz="2" w:space="0" w:color="000000"/>
              <w:bottom w:val="single" w:sz="2" w:space="0" w:color="000000"/>
              <w:right w:val="single" w:sz="2" w:space="0" w:color="000000"/>
            </w:tcBorders>
          </w:tcPr>
          <w:p w14:paraId="4C48103C" w14:textId="77777777" w:rsidR="009D54AF" w:rsidRDefault="00000000">
            <w:pPr>
              <w:pStyle w:val="TableParagraph"/>
              <w:spacing w:before="85"/>
              <w:ind w:left="51" w:right="51"/>
              <w:jc w:val="center"/>
              <w:rPr>
                <w:sz w:val="19"/>
              </w:rPr>
            </w:pPr>
            <w:r>
              <w:rPr>
                <w:spacing w:val="-10"/>
                <w:sz w:val="19"/>
              </w:rPr>
              <w:t>0</w:t>
            </w:r>
          </w:p>
        </w:tc>
        <w:tc>
          <w:tcPr>
            <w:tcW w:w="1134" w:type="dxa"/>
            <w:tcBorders>
              <w:top w:val="single" w:sz="2" w:space="0" w:color="000000"/>
              <w:left w:val="single" w:sz="2" w:space="0" w:color="000000"/>
              <w:bottom w:val="single" w:sz="2" w:space="0" w:color="000000"/>
              <w:right w:val="single" w:sz="2" w:space="0" w:color="000000"/>
            </w:tcBorders>
          </w:tcPr>
          <w:p w14:paraId="03A3B3C8" w14:textId="77777777" w:rsidR="009D54AF" w:rsidRDefault="00000000">
            <w:pPr>
              <w:pStyle w:val="TableParagraph"/>
              <w:spacing w:before="85"/>
              <w:ind w:left="51" w:right="51"/>
              <w:jc w:val="center"/>
              <w:rPr>
                <w:sz w:val="19"/>
              </w:rPr>
            </w:pPr>
            <w:r>
              <w:rPr>
                <w:spacing w:val="-10"/>
                <w:sz w:val="19"/>
              </w:rPr>
              <w:t>0</w:t>
            </w:r>
          </w:p>
        </w:tc>
        <w:tc>
          <w:tcPr>
            <w:tcW w:w="1134" w:type="dxa"/>
            <w:tcBorders>
              <w:top w:val="single" w:sz="2" w:space="0" w:color="000000"/>
              <w:left w:val="single" w:sz="2" w:space="0" w:color="000000"/>
              <w:bottom w:val="single" w:sz="2" w:space="0" w:color="000000"/>
              <w:right w:val="single" w:sz="2" w:space="0" w:color="000000"/>
            </w:tcBorders>
          </w:tcPr>
          <w:p w14:paraId="3A34ABF1" w14:textId="77777777" w:rsidR="009D54AF" w:rsidRDefault="00000000">
            <w:pPr>
              <w:pStyle w:val="TableParagraph"/>
              <w:spacing w:before="85"/>
              <w:ind w:left="51" w:right="52"/>
              <w:jc w:val="center"/>
              <w:rPr>
                <w:sz w:val="19"/>
              </w:rPr>
            </w:pPr>
            <w:r>
              <w:rPr>
                <w:spacing w:val="-10"/>
                <w:sz w:val="19"/>
              </w:rPr>
              <w:t>0</w:t>
            </w:r>
          </w:p>
        </w:tc>
        <w:tc>
          <w:tcPr>
            <w:tcW w:w="1134" w:type="dxa"/>
            <w:tcBorders>
              <w:top w:val="single" w:sz="2" w:space="0" w:color="000000"/>
              <w:left w:val="single" w:sz="2" w:space="0" w:color="000000"/>
              <w:bottom w:val="single" w:sz="2" w:space="0" w:color="000000"/>
              <w:right w:val="single" w:sz="2" w:space="0" w:color="000000"/>
            </w:tcBorders>
          </w:tcPr>
          <w:p w14:paraId="11B4FD71" w14:textId="77777777" w:rsidR="009D54AF" w:rsidRDefault="00000000">
            <w:pPr>
              <w:pStyle w:val="TableParagraph"/>
              <w:spacing w:before="85"/>
              <w:ind w:left="51" w:right="52"/>
              <w:jc w:val="center"/>
              <w:rPr>
                <w:sz w:val="19"/>
              </w:rPr>
            </w:pPr>
            <w:r>
              <w:rPr>
                <w:spacing w:val="-10"/>
                <w:sz w:val="19"/>
              </w:rPr>
              <w:t>0</w:t>
            </w:r>
          </w:p>
        </w:tc>
        <w:tc>
          <w:tcPr>
            <w:tcW w:w="1134" w:type="dxa"/>
            <w:tcBorders>
              <w:top w:val="single" w:sz="2" w:space="0" w:color="000000"/>
              <w:left w:val="single" w:sz="2" w:space="0" w:color="000000"/>
              <w:bottom w:val="single" w:sz="2" w:space="0" w:color="000000"/>
              <w:right w:val="single" w:sz="2" w:space="0" w:color="000000"/>
            </w:tcBorders>
          </w:tcPr>
          <w:p w14:paraId="676B9710" w14:textId="77777777" w:rsidR="009D54AF" w:rsidRDefault="00000000">
            <w:pPr>
              <w:pStyle w:val="TableParagraph"/>
              <w:spacing w:before="85"/>
              <w:ind w:left="51" w:right="52"/>
              <w:jc w:val="center"/>
              <w:rPr>
                <w:sz w:val="19"/>
              </w:rPr>
            </w:pPr>
            <w:r>
              <w:rPr>
                <w:spacing w:val="-10"/>
                <w:sz w:val="19"/>
              </w:rPr>
              <w:t>1</w:t>
            </w:r>
          </w:p>
        </w:tc>
        <w:tc>
          <w:tcPr>
            <w:tcW w:w="1134" w:type="dxa"/>
            <w:tcBorders>
              <w:top w:val="single" w:sz="2" w:space="0" w:color="000000"/>
              <w:left w:val="single" w:sz="2" w:space="0" w:color="000000"/>
              <w:bottom w:val="single" w:sz="2" w:space="0" w:color="000000"/>
              <w:right w:val="single" w:sz="2" w:space="0" w:color="000000"/>
            </w:tcBorders>
          </w:tcPr>
          <w:p w14:paraId="258F37CD" w14:textId="77777777" w:rsidR="009D54AF" w:rsidRDefault="00000000">
            <w:pPr>
              <w:pStyle w:val="TableParagraph"/>
              <w:spacing w:before="85"/>
              <w:ind w:left="51" w:right="51"/>
              <w:jc w:val="center"/>
              <w:rPr>
                <w:sz w:val="19"/>
              </w:rPr>
            </w:pPr>
            <w:r>
              <w:rPr>
                <w:spacing w:val="-10"/>
                <w:sz w:val="19"/>
              </w:rPr>
              <w:t>0</w:t>
            </w:r>
          </w:p>
        </w:tc>
        <w:tc>
          <w:tcPr>
            <w:tcW w:w="1134" w:type="dxa"/>
            <w:tcBorders>
              <w:top w:val="single" w:sz="2" w:space="0" w:color="000000"/>
              <w:left w:val="single" w:sz="2" w:space="0" w:color="000000"/>
              <w:bottom w:val="single" w:sz="2" w:space="0" w:color="000000"/>
              <w:right w:val="nil"/>
            </w:tcBorders>
          </w:tcPr>
          <w:p w14:paraId="025C7809" w14:textId="77777777" w:rsidR="009D54AF" w:rsidRDefault="00000000">
            <w:pPr>
              <w:pStyle w:val="TableParagraph"/>
              <w:spacing w:before="42"/>
              <w:ind w:left="2" w:right="4"/>
              <w:jc w:val="center"/>
              <w:rPr>
                <w:sz w:val="19"/>
              </w:rPr>
            </w:pPr>
            <w:r>
              <w:rPr>
                <w:spacing w:val="-10"/>
                <w:sz w:val="19"/>
              </w:rPr>
              <w:t>1</w:t>
            </w:r>
          </w:p>
        </w:tc>
      </w:tr>
      <w:tr w:rsidR="009D54AF" w14:paraId="4D11D24C" w14:textId="77777777">
        <w:trPr>
          <w:trHeight w:val="391"/>
        </w:trPr>
        <w:tc>
          <w:tcPr>
            <w:tcW w:w="2268" w:type="dxa"/>
            <w:tcBorders>
              <w:top w:val="single" w:sz="2" w:space="0" w:color="000000"/>
              <w:left w:val="nil"/>
              <w:bottom w:val="single" w:sz="2" w:space="0" w:color="000000"/>
              <w:right w:val="single" w:sz="2" w:space="0" w:color="000000"/>
            </w:tcBorders>
          </w:tcPr>
          <w:p w14:paraId="2D6617BE" w14:textId="77777777" w:rsidR="009D54AF" w:rsidRDefault="00000000">
            <w:pPr>
              <w:pStyle w:val="TableParagraph"/>
              <w:spacing w:before="85"/>
              <w:ind w:left="85"/>
              <w:rPr>
                <w:sz w:val="19"/>
              </w:rPr>
            </w:pPr>
            <w:r>
              <w:rPr>
                <w:spacing w:val="-5"/>
                <w:sz w:val="19"/>
              </w:rPr>
              <w:t>WA</w:t>
            </w:r>
          </w:p>
        </w:tc>
        <w:tc>
          <w:tcPr>
            <w:tcW w:w="1134" w:type="dxa"/>
            <w:tcBorders>
              <w:top w:val="single" w:sz="2" w:space="0" w:color="000000"/>
              <w:left w:val="single" w:sz="2" w:space="0" w:color="000000"/>
              <w:bottom w:val="single" w:sz="2" w:space="0" w:color="000000"/>
              <w:right w:val="single" w:sz="2" w:space="0" w:color="000000"/>
            </w:tcBorders>
          </w:tcPr>
          <w:p w14:paraId="40A99B95" w14:textId="77777777" w:rsidR="009D54AF" w:rsidRDefault="00000000">
            <w:pPr>
              <w:pStyle w:val="TableParagraph"/>
              <w:spacing w:before="85"/>
              <w:ind w:left="51" w:right="51"/>
              <w:jc w:val="center"/>
              <w:rPr>
                <w:sz w:val="19"/>
              </w:rPr>
            </w:pPr>
            <w:r>
              <w:rPr>
                <w:spacing w:val="-10"/>
                <w:sz w:val="19"/>
              </w:rPr>
              <w:t>0</w:t>
            </w:r>
          </w:p>
        </w:tc>
        <w:tc>
          <w:tcPr>
            <w:tcW w:w="1134" w:type="dxa"/>
            <w:tcBorders>
              <w:top w:val="single" w:sz="2" w:space="0" w:color="000000"/>
              <w:left w:val="single" w:sz="2" w:space="0" w:color="000000"/>
              <w:bottom w:val="single" w:sz="2" w:space="0" w:color="000000"/>
              <w:right w:val="single" w:sz="2" w:space="0" w:color="000000"/>
            </w:tcBorders>
          </w:tcPr>
          <w:p w14:paraId="45C26883" w14:textId="77777777" w:rsidR="009D54AF" w:rsidRDefault="00000000">
            <w:pPr>
              <w:pStyle w:val="TableParagraph"/>
              <w:spacing w:before="85"/>
              <w:ind w:left="51" w:right="51"/>
              <w:jc w:val="center"/>
              <w:rPr>
                <w:sz w:val="19"/>
              </w:rPr>
            </w:pPr>
            <w:r>
              <w:rPr>
                <w:spacing w:val="-10"/>
                <w:sz w:val="19"/>
              </w:rPr>
              <w:t>0</w:t>
            </w:r>
          </w:p>
        </w:tc>
        <w:tc>
          <w:tcPr>
            <w:tcW w:w="1134" w:type="dxa"/>
            <w:tcBorders>
              <w:top w:val="single" w:sz="2" w:space="0" w:color="000000"/>
              <w:left w:val="single" w:sz="2" w:space="0" w:color="000000"/>
              <w:bottom w:val="single" w:sz="2" w:space="0" w:color="000000"/>
              <w:right w:val="single" w:sz="2" w:space="0" w:color="000000"/>
            </w:tcBorders>
          </w:tcPr>
          <w:p w14:paraId="4E304B12" w14:textId="77777777" w:rsidR="009D54AF" w:rsidRDefault="00000000">
            <w:pPr>
              <w:pStyle w:val="TableParagraph"/>
              <w:spacing w:before="85"/>
              <w:ind w:left="51" w:right="52"/>
              <w:jc w:val="center"/>
              <w:rPr>
                <w:sz w:val="19"/>
              </w:rPr>
            </w:pPr>
            <w:r>
              <w:rPr>
                <w:spacing w:val="-10"/>
                <w:sz w:val="19"/>
              </w:rPr>
              <w:t>0</w:t>
            </w:r>
          </w:p>
        </w:tc>
        <w:tc>
          <w:tcPr>
            <w:tcW w:w="1134" w:type="dxa"/>
            <w:tcBorders>
              <w:top w:val="single" w:sz="2" w:space="0" w:color="000000"/>
              <w:left w:val="single" w:sz="2" w:space="0" w:color="000000"/>
              <w:bottom w:val="single" w:sz="2" w:space="0" w:color="000000"/>
              <w:right w:val="single" w:sz="2" w:space="0" w:color="000000"/>
            </w:tcBorders>
          </w:tcPr>
          <w:p w14:paraId="2DBCD771" w14:textId="77777777" w:rsidR="009D54AF" w:rsidRDefault="00000000">
            <w:pPr>
              <w:pStyle w:val="TableParagraph"/>
              <w:spacing w:before="85"/>
              <w:ind w:left="51" w:right="52"/>
              <w:jc w:val="center"/>
              <w:rPr>
                <w:sz w:val="19"/>
              </w:rPr>
            </w:pPr>
            <w:r>
              <w:rPr>
                <w:spacing w:val="-10"/>
                <w:sz w:val="19"/>
              </w:rPr>
              <w:t>0</w:t>
            </w:r>
          </w:p>
        </w:tc>
        <w:tc>
          <w:tcPr>
            <w:tcW w:w="1134" w:type="dxa"/>
            <w:tcBorders>
              <w:top w:val="single" w:sz="2" w:space="0" w:color="000000"/>
              <w:left w:val="single" w:sz="2" w:space="0" w:color="000000"/>
              <w:bottom w:val="single" w:sz="2" w:space="0" w:color="000000"/>
              <w:right w:val="single" w:sz="2" w:space="0" w:color="000000"/>
            </w:tcBorders>
          </w:tcPr>
          <w:p w14:paraId="40A1E517" w14:textId="77777777" w:rsidR="009D54AF" w:rsidRDefault="00000000">
            <w:pPr>
              <w:pStyle w:val="TableParagraph"/>
              <w:spacing w:before="85"/>
              <w:ind w:left="51" w:right="52"/>
              <w:jc w:val="center"/>
              <w:rPr>
                <w:sz w:val="19"/>
              </w:rPr>
            </w:pPr>
            <w:r>
              <w:rPr>
                <w:spacing w:val="-10"/>
                <w:sz w:val="19"/>
              </w:rPr>
              <w:t>0</w:t>
            </w:r>
          </w:p>
        </w:tc>
        <w:tc>
          <w:tcPr>
            <w:tcW w:w="1134" w:type="dxa"/>
            <w:tcBorders>
              <w:top w:val="single" w:sz="2" w:space="0" w:color="000000"/>
              <w:left w:val="single" w:sz="2" w:space="0" w:color="000000"/>
              <w:bottom w:val="single" w:sz="2" w:space="0" w:color="000000"/>
              <w:right w:val="single" w:sz="2" w:space="0" w:color="000000"/>
            </w:tcBorders>
          </w:tcPr>
          <w:p w14:paraId="1DDE716F" w14:textId="77777777" w:rsidR="009D54AF" w:rsidRDefault="00000000">
            <w:pPr>
              <w:pStyle w:val="TableParagraph"/>
              <w:spacing w:before="85"/>
              <w:ind w:left="51" w:right="51"/>
              <w:jc w:val="center"/>
              <w:rPr>
                <w:sz w:val="19"/>
              </w:rPr>
            </w:pPr>
            <w:r>
              <w:rPr>
                <w:spacing w:val="-10"/>
                <w:sz w:val="19"/>
              </w:rPr>
              <w:t>0</w:t>
            </w:r>
          </w:p>
        </w:tc>
        <w:tc>
          <w:tcPr>
            <w:tcW w:w="1134" w:type="dxa"/>
            <w:tcBorders>
              <w:top w:val="single" w:sz="2" w:space="0" w:color="000000"/>
              <w:left w:val="single" w:sz="2" w:space="0" w:color="000000"/>
              <w:bottom w:val="single" w:sz="2" w:space="0" w:color="000000"/>
              <w:right w:val="nil"/>
            </w:tcBorders>
          </w:tcPr>
          <w:p w14:paraId="79B26D23" w14:textId="77777777" w:rsidR="009D54AF" w:rsidRDefault="00000000">
            <w:pPr>
              <w:pStyle w:val="TableParagraph"/>
              <w:spacing w:before="42"/>
              <w:ind w:left="2" w:right="4"/>
              <w:jc w:val="center"/>
              <w:rPr>
                <w:sz w:val="19"/>
              </w:rPr>
            </w:pPr>
            <w:r>
              <w:rPr>
                <w:spacing w:val="-10"/>
                <w:sz w:val="19"/>
              </w:rPr>
              <w:t>0</w:t>
            </w:r>
          </w:p>
        </w:tc>
      </w:tr>
      <w:tr w:rsidR="009D54AF" w14:paraId="70FC62C3" w14:textId="77777777">
        <w:trPr>
          <w:trHeight w:val="391"/>
        </w:trPr>
        <w:tc>
          <w:tcPr>
            <w:tcW w:w="2268" w:type="dxa"/>
            <w:tcBorders>
              <w:top w:val="single" w:sz="2" w:space="0" w:color="000000"/>
              <w:left w:val="nil"/>
              <w:bottom w:val="single" w:sz="2" w:space="0" w:color="000000"/>
              <w:right w:val="single" w:sz="2" w:space="0" w:color="000000"/>
            </w:tcBorders>
          </w:tcPr>
          <w:p w14:paraId="3FBD8DBE" w14:textId="77777777" w:rsidR="009D54AF" w:rsidRDefault="00000000">
            <w:pPr>
              <w:pStyle w:val="TableParagraph"/>
              <w:spacing w:before="85"/>
              <w:ind w:left="85"/>
              <w:rPr>
                <w:sz w:val="19"/>
              </w:rPr>
            </w:pPr>
            <w:r>
              <w:rPr>
                <w:spacing w:val="-5"/>
                <w:sz w:val="19"/>
              </w:rPr>
              <w:t>ACT</w:t>
            </w:r>
          </w:p>
        </w:tc>
        <w:tc>
          <w:tcPr>
            <w:tcW w:w="1134" w:type="dxa"/>
            <w:tcBorders>
              <w:top w:val="single" w:sz="2" w:space="0" w:color="000000"/>
              <w:left w:val="single" w:sz="2" w:space="0" w:color="000000"/>
              <w:bottom w:val="single" w:sz="2" w:space="0" w:color="000000"/>
              <w:right w:val="single" w:sz="2" w:space="0" w:color="000000"/>
            </w:tcBorders>
          </w:tcPr>
          <w:p w14:paraId="65F38D95" w14:textId="77777777" w:rsidR="009D54AF" w:rsidRDefault="00000000">
            <w:pPr>
              <w:pStyle w:val="TableParagraph"/>
              <w:spacing w:before="85"/>
              <w:ind w:left="51" w:right="51"/>
              <w:jc w:val="center"/>
              <w:rPr>
                <w:sz w:val="19"/>
              </w:rPr>
            </w:pPr>
            <w:r>
              <w:rPr>
                <w:spacing w:val="-10"/>
                <w:sz w:val="19"/>
              </w:rPr>
              <w:t>0</w:t>
            </w:r>
          </w:p>
        </w:tc>
        <w:tc>
          <w:tcPr>
            <w:tcW w:w="1134" w:type="dxa"/>
            <w:tcBorders>
              <w:top w:val="single" w:sz="2" w:space="0" w:color="000000"/>
              <w:left w:val="single" w:sz="2" w:space="0" w:color="000000"/>
              <w:bottom w:val="single" w:sz="2" w:space="0" w:color="000000"/>
              <w:right w:val="single" w:sz="2" w:space="0" w:color="000000"/>
            </w:tcBorders>
          </w:tcPr>
          <w:p w14:paraId="4B8B8BFB" w14:textId="77777777" w:rsidR="009D54AF" w:rsidRDefault="00000000">
            <w:pPr>
              <w:pStyle w:val="TableParagraph"/>
              <w:spacing w:before="85"/>
              <w:ind w:left="51" w:right="51"/>
              <w:jc w:val="center"/>
              <w:rPr>
                <w:sz w:val="19"/>
              </w:rPr>
            </w:pPr>
            <w:r>
              <w:rPr>
                <w:spacing w:val="-10"/>
                <w:sz w:val="19"/>
              </w:rPr>
              <w:t>0</w:t>
            </w:r>
          </w:p>
        </w:tc>
        <w:tc>
          <w:tcPr>
            <w:tcW w:w="1134" w:type="dxa"/>
            <w:tcBorders>
              <w:top w:val="single" w:sz="2" w:space="0" w:color="000000"/>
              <w:left w:val="single" w:sz="2" w:space="0" w:color="000000"/>
              <w:bottom w:val="single" w:sz="2" w:space="0" w:color="000000"/>
              <w:right w:val="single" w:sz="2" w:space="0" w:color="000000"/>
            </w:tcBorders>
          </w:tcPr>
          <w:p w14:paraId="438609E1" w14:textId="77777777" w:rsidR="009D54AF" w:rsidRDefault="00000000">
            <w:pPr>
              <w:pStyle w:val="TableParagraph"/>
              <w:spacing w:before="85"/>
              <w:ind w:left="51" w:right="52"/>
              <w:jc w:val="center"/>
              <w:rPr>
                <w:sz w:val="19"/>
              </w:rPr>
            </w:pPr>
            <w:r>
              <w:rPr>
                <w:spacing w:val="-10"/>
                <w:sz w:val="19"/>
              </w:rPr>
              <w:t>0</w:t>
            </w:r>
          </w:p>
        </w:tc>
        <w:tc>
          <w:tcPr>
            <w:tcW w:w="1134" w:type="dxa"/>
            <w:tcBorders>
              <w:top w:val="single" w:sz="2" w:space="0" w:color="000000"/>
              <w:left w:val="single" w:sz="2" w:space="0" w:color="000000"/>
              <w:bottom w:val="single" w:sz="2" w:space="0" w:color="000000"/>
              <w:right w:val="single" w:sz="2" w:space="0" w:color="000000"/>
            </w:tcBorders>
          </w:tcPr>
          <w:p w14:paraId="0835D395" w14:textId="77777777" w:rsidR="009D54AF" w:rsidRDefault="00000000">
            <w:pPr>
              <w:pStyle w:val="TableParagraph"/>
              <w:spacing w:before="85"/>
              <w:ind w:left="51" w:right="52"/>
              <w:jc w:val="center"/>
              <w:rPr>
                <w:sz w:val="19"/>
              </w:rPr>
            </w:pPr>
            <w:r>
              <w:rPr>
                <w:spacing w:val="-10"/>
                <w:sz w:val="19"/>
              </w:rPr>
              <w:t>0</w:t>
            </w:r>
          </w:p>
        </w:tc>
        <w:tc>
          <w:tcPr>
            <w:tcW w:w="1134" w:type="dxa"/>
            <w:tcBorders>
              <w:top w:val="single" w:sz="2" w:space="0" w:color="000000"/>
              <w:left w:val="single" w:sz="2" w:space="0" w:color="000000"/>
              <w:bottom w:val="single" w:sz="2" w:space="0" w:color="000000"/>
              <w:right w:val="single" w:sz="2" w:space="0" w:color="000000"/>
            </w:tcBorders>
          </w:tcPr>
          <w:p w14:paraId="1402C29D" w14:textId="77777777" w:rsidR="009D54AF" w:rsidRDefault="00000000">
            <w:pPr>
              <w:pStyle w:val="TableParagraph"/>
              <w:spacing w:before="85"/>
              <w:ind w:left="51" w:right="52"/>
              <w:jc w:val="center"/>
              <w:rPr>
                <w:sz w:val="19"/>
              </w:rPr>
            </w:pPr>
            <w:r>
              <w:rPr>
                <w:spacing w:val="-10"/>
                <w:sz w:val="19"/>
              </w:rPr>
              <w:t>0</w:t>
            </w:r>
          </w:p>
        </w:tc>
        <w:tc>
          <w:tcPr>
            <w:tcW w:w="1134" w:type="dxa"/>
            <w:tcBorders>
              <w:top w:val="single" w:sz="2" w:space="0" w:color="000000"/>
              <w:left w:val="single" w:sz="2" w:space="0" w:color="000000"/>
              <w:bottom w:val="single" w:sz="2" w:space="0" w:color="000000"/>
              <w:right w:val="single" w:sz="2" w:space="0" w:color="000000"/>
            </w:tcBorders>
          </w:tcPr>
          <w:p w14:paraId="48F0BF73" w14:textId="77777777" w:rsidR="009D54AF" w:rsidRDefault="00000000">
            <w:pPr>
              <w:pStyle w:val="TableParagraph"/>
              <w:spacing w:before="85"/>
              <w:ind w:left="51" w:right="51"/>
              <w:jc w:val="center"/>
              <w:rPr>
                <w:sz w:val="19"/>
              </w:rPr>
            </w:pPr>
            <w:r>
              <w:rPr>
                <w:spacing w:val="-10"/>
                <w:sz w:val="19"/>
              </w:rPr>
              <w:t>0</w:t>
            </w:r>
          </w:p>
        </w:tc>
        <w:tc>
          <w:tcPr>
            <w:tcW w:w="1134" w:type="dxa"/>
            <w:tcBorders>
              <w:top w:val="single" w:sz="2" w:space="0" w:color="000000"/>
              <w:left w:val="single" w:sz="2" w:space="0" w:color="000000"/>
              <w:bottom w:val="single" w:sz="2" w:space="0" w:color="000000"/>
              <w:right w:val="nil"/>
            </w:tcBorders>
          </w:tcPr>
          <w:p w14:paraId="56ED8461" w14:textId="77777777" w:rsidR="009D54AF" w:rsidRDefault="00000000">
            <w:pPr>
              <w:pStyle w:val="TableParagraph"/>
              <w:spacing w:before="42"/>
              <w:ind w:left="2" w:right="4"/>
              <w:jc w:val="center"/>
              <w:rPr>
                <w:sz w:val="19"/>
              </w:rPr>
            </w:pPr>
            <w:r>
              <w:rPr>
                <w:spacing w:val="-10"/>
                <w:sz w:val="19"/>
              </w:rPr>
              <w:t>0</w:t>
            </w:r>
          </w:p>
        </w:tc>
      </w:tr>
      <w:tr w:rsidR="009D54AF" w14:paraId="1DFA6D32" w14:textId="77777777">
        <w:trPr>
          <w:trHeight w:val="391"/>
        </w:trPr>
        <w:tc>
          <w:tcPr>
            <w:tcW w:w="2268" w:type="dxa"/>
            <w:tcBorders>
              <w:top w:val="single" w:sz="2" w:space="0" w:color="000000"/>
              <w:left w:val="nil"/>
              <w:bottom w:val="single" w:sz="2" w:space="0" w:color="000000"/>
              <w:right w:val="single" w:sz="2" w:space="0" w:color="000000"/>
            </w:tcBorders>
          </w:tcPr>
          <w:p w14:paraId="1D65D7C4" w14:textId="77777777" w:rsidR="009D54AF" w:rsidRDefault="00000000">
            <w:pPr>
              <w:pStyle w:val="TableParagraph"/>
              <w:spacing w:before="85"/>
              <w:ind w:left="85"/>
              <w:rPr>
                <w:sz w:val="19"/>
              </w:rPr>
            </w:pPr>
            <w:r>
              <w:rPr>
                <w:sz w:val="19"/>
              </w:rPr>
              <w:t>External</w:t>
            </w:r>
            <w:r>
              <w:rPr>
                <w:spacing w:val="8"/>
                <w:sz w:val="19"/>
              </w:rPr>
              <w:t xml:space="preserve"> </w:t>
            </w:r>
            <w:r>
              <w:rPr>
                <w:spacing w:val="-2"/>
                <w:sz w:val="19"/>
              </w:rPr>
              <w:t>territories</w:t>
            </w:r>
          </w:p>
        </w:tc>
        <w:tc>
          <w:tcPr>
            <w:tcW w:w="1134" w:type="dxa"/>
            <w:tcBorders>
              <w:top w:val="single" w:sz="2" w:space="0" w:color="000000"/>
              <w:left w:val="single" w:sz="2" w:space="0" w:color="000000"/>
              <w:bottom w:val="single" w:sz="2" w:space="0" w:color="000000"/>
              <w:right w:val="single" w:sz="2" w:space="0" w:color="000000"/>
            </w:tcBorders>
          </w:tcPr>
          <w:p w14:paraId="671336AB" w14:textId="77777777" w:rsidR="009D54AF" w:rsidRDefault="00000000">
            <w:pPr>
              <w:pStyle w:val="TableParagraph"/>
              <w:spacing w:before="85"/>
              <w:ind w:left="51" w:right="51"/>
              <w:jc w:val="center"/>
              <w:rPr>
                <w:sz w:val="19"/>
              </w:rPr>
            </w:pPr>
            <w:r>
              <w:rPr>
                <w:spacing w:val="-10"/>
                <w:sz w:val="19"/>
              </w:rPr>
              <w:t>0</w:t>
            </w:r>
          </w:p>
        </w:tc>
        <w:tc>
          <w:tcPr>
            <w:tcW w:w="1134" w:type="dxa"/>
            <w:tcBorders>
              <w:top w:val="single" w:sz="2" w:space="0" w:color="000000"/>
              <w:left w:val="single" w:sz="2" w:space="0" w:color="000000"/>
              <w:bottom w:val="single" w:sz="2" w:space="0" w:color="000000"/>
              <w:right w:val="single" w:sz="2" w:space="0" w:color="000000"/>
            </w:tcBorders>
          </w:tcPr>
          <w:p w14:paraId="67252E5D" w14:textId="77777777" w:rsidR="009D54AF" w:rsidRDefault="00000000">
            <w:pPr>
              <w:pStyle w:val="TableParagraph"/>
              <w:spacing w:before="85"/>
              <w:ind w:left="51" w:right="51"/>
              <w:jc w:val="center"/>
              <w:rPr>
                <w:sz w:val="19"/>
              </w:rPr>
            </w:pPr>
            <w:r>
              <w:rPr>
                <w:spacing w:val="-10"/>
                <w:sz w:val="19"/>
              </w:rPr>
              <w:t>0</w:t>
            </w:r>
          </w:p>
        </w:tc>
        <w:tc>
          <w:tcPr>
            <w:tcW w:w="1134" w:type="dxa"/>
            <w:tcBorders>
              <w:top w:val="single" w:sz="2" w:space="0" w:color="000000"/>
              <w:left w:val="single" w:sz="2" w:space="0" w:color="000000"/>
              <w:bottom w:val="single" w:sz="2" w:space="0" w:color="000000"/>
              <w:right w:val="single" w:sz="2" w:space="0" w:color="000000"/>
            </w:tcBorders>
          </w:tcPr>
          <w:p w14:paraId="18708360" w14:textId="77777777" w:rsidR="009D54AF" w:rsidRDefault="00000000">
            <w:pPr>
              <w:pStyle w:val="TableParagraph"/>
              <w:spacing w:before="85"/>
              <w:ind w:left="51" w:right="52"/>
              <w:jc w:val="center"/>
              <w:rPr>
                <w:sz w:val="19"/>
              </w:rPr>
            </w:pPr>
            <w:r>
              <w:rPr>
                <w:spacing w:val="-10"/>
                <w:sz w:val="19"/>
              </w:rPr>
              <w:t>0</w:t>
            </w:r>
          </w:p>
        </w:tc>
        <w:tc>
          <w:tcPr>
            <w:tcW w:w="1134" w:type="dxa"/>
            <w:tcBorders>
              <w:top w:val="single" w:sz="2" w:space="0" w:color="000000"/>
              <w:left w:val="single" w:sz="2" w:space="0" w:color="000000"/>
              <w:bottom w:val="single" w:sz="2" w:space="0" w:color="000000"/>
              <w:right w:val="single" w:sz="2" w:space="0" w:color="000000"/>
            </w:tcBorders>
          </w:tcPr>
          <w:p w14:paraId="2F6CA855" w14:textId="77777777" w:rsidR="009D54AF" w:rsidRDefault="00000000">
            <w:pPr>
              <w:pStyle w:val="TableParagraph"/>
              <w:spacing w:before="85"/>
              <w:ind w:left="51" w:right="52"/>
              <w:jc w:val="center"/>
              <w:rPr>
                <w:sz w:val="19"/>
              </w:rPr>
            </w:pPr>
            <w:r>
              <w:rPr>
                <w:spacing w:val="-10"/>
                <w:sz w:val="19"/>
              </w:rPr>
              <w:t>0</w:t>
            </w:r>
          </w:p>
        </w:tc>
        <w:tc>
          <w:tcPr>
            <w:tcW w:w="1134" w:type="dxa"/>
            <w:tcBorders>
              <w:top w:val="single" w:sz="2" w:space="0" w:color="000000"/>
              <w:left w:val="single" w:sz="2" w:space="0" w:color="000000"/>
              <w:bottom w:val="single" w:sz="2" w:space="0" w:color="000000"/>
              <w:right w:val="single" w:sz="2" w:space="0" w:color="000000"/>
            </w:tcBorders>
          </w:tcPr>
          <w:p w14:paraId="76829007" w14:textId="77777777" w:rsidR="009D54AF" w:rsidRDefault="00000000">
            <w:pPr>
              <w:pStyle w:val="TableParagraph"/>
              <w:spacing w:before="85"/>
              <w:ind w:left="51" w:right="52"/>
              <w:jc w:val="center"/>
              <w:rPr>
                <w:sz w:val="19"/>
              </w:rPr>
            </w:pPr>
            <w:r>
              <w:rPr>
                <w:spacing w:val="-10"/>
                <w:sz w:val="19"/>
              </w:rPr>
              <w:t>0</w:t>
            </w:r>
          </w:p>
        </w:tc>
        <w:tc>
          <w:tcPr>
            <w:tcW w:w="1134" w:type="dxa"/>
            <w:tcBorders>
              <w:top w:val="single" w:sz="2" w:space="0" w:color="000000"/>
              <w:left w:val="single" w:sz="2" w:space="0" w:color="000000"/>
              <w:bottom w:val="single" w:sz="2" w:space="0" w:color="000000"/>
              <w:right w:val="single" w:sz="2" w:space="0" w:color="000000"/>
            </w:tcBorders>
          </w:tcPr>
          <w:p w14:paraId="09DC63DE" w14:textId="77777777" w:rsidR="009D54AF" w:rsidRDefault="00000000">
            <w:pPr>
              <w:pStyle w:val="TableParagraph"/>
              <w:spacing w:before="85"/>
              <w:ind w:left="51" w:right="51"/>
              <w:jc w:val="center"/>
              <w:rPr>
                <w:sz w:val="19"/>
              </w:rPr>
            </w:pPr>
            <w:r>
              <w:rPr>
                <w:spacing w:val="-10"/>
                <w:sz w:val="19"/>
              </w:rPr>
              <w:t>0</w:t>
            </w:r>
          </w:p>
        </w:tc>
        <w:tc>
          <w:tcPr>
            <w:tcW w:w="1134" w:type="dxa"/>
            <w:tcBorders>
              <w:top w:val="single" w:sz="2" w:space="0" w:color="000000"/>
              <w:left w:val="single" w:sz="2" w:space="0" w:color="000000"/>
              <w:bottom w:val="single" w:sz="2" w:space="0" w:color="000000"/>
              <w:right w:val="nil"/>
            </w:tcBorders>
          </w:tcPr>
          <w:p w14:paraId="66EFF0EC" w14:textId="77777777" w:rsidR="009D54AF" w:rsidRDefault="00000000">
            <w:pPr>
              <w:pStyle w:val="TableParagraph"/>
              <w:spacing w:before="42"/>
              <w:ind w:left="2" w:right="4"/>
              <w:jc w:val="center"/>
              <w:rPr>
                <w:sz w:val="19"/>
              </w:rPr>
            </w:pPr>
            <w:r>
              <w:rPr>
                <w:spacing w:val="-10"/>
                <w:sz w:val="19"/>
              </w:rPr>
              <w:t>0</w:t>
            </w:r>
          </w:p>
        </w:tc>
      </w:tr>
      <w:tr w:rsidR="009D54AF" w14:paraId="5CD8171C" w14:textId="77777777">
        <w:trPr>
          <w:trHeight w:val="391"/>
        </w:trPr>
        <w:tc>
          <w:tcPr>
            <w:tcW w:w="2268" w:type="dxa"/>
            <w:tcBorders>
              <w:top w:val="single" w:sz="2" w:space="0" w:color="000000"/>
              <w:left w:val="nil"/>
              <w:bottom w:val="single" w:sz="2" w:space="0" w:color="000000"/>
              <w:right w:val="single" w:sz="2" w:space="0" w:color="000000"/>
            </w:tcBorders>
          </w:tcPr>
          <w:p w14:paraId="2B3BDA60" w14:textId="77777777" w:rsidR="009D54AF" w:rsidRDefault="00000000">
            <w:pPr>
              <w:pStyle w:val="TableParagraph"/>
              <w:spacing w:before="85"/>
              <w:ind w:left="85"/>
              <w:rPr>
                <w:sz w:val="19"/>
              </w:rPr>
            </w:pPr>
            <w:r>
              <w:rPr>
                <w:spacing w:val="-2"/>
                <w:sz w:val="19"/>
              </w:rPr>
              <w:t>Overseas</w:t>
            </w:r>
          </w:p>
        </w:tc>
        <w:tc>
          <w:tcPr>
            <w:tcW w:w="1134" w:type="dxa"/>
            <w:tcBorders>
              <w:top w:val="single" w:sz="2" w:space="0" w:color="000000"/>
              <w:left w:val="single" w:sz="2" w:space="0" w:color="000000"/>
              <w:bottom w:val="single" w:sz="2" w:space="0" w:color="000000"/>
              <w:right w:val="single" w:sz="2" w:space="0" w:color="000000"/>
            </w:tcBorders>
          </w:tcPr>
          <w:p w14:paraId="32356C18" w14:textId="77777777" w:rsidR="009D54AF" w:rsidRDefault="00000000">
            <w:pPr>
              <w:pStyle w:val="TableParagraph"/>
              <w:spacing w:before="85"/>
              <w:ind w:left="51" w:right="51"/>
              <w:jc w:val="center"/>
              <w:rPr>
                <w:sz w:val="19"/>
              </w:rPr>
            </w:pPr>
            <w:r>
              <w:rPr>
                <w:spacing w:val="-10"/>
                <w:sz w:val="19"/>
              </w:rPr>
              <w:t>0</w:t>
            </w:r>
          </w:p>
        </w:tc>
        <w:tc>
          <w:tcPr>
            <w:tcW w:w="1134" w:type="dxa"/>
            <w:tcBorders>
              <w:top w:val="single" w:sz="2" w:space="0" w:color="000000"/>
              <w:left w:val="single" w:sz="2" w:space="0" w:color="000000"/>
              <w:bottom w:val="single" w:sz="2" w:space="0" w:color="000000"/>
              <w:right w:val="single" w:sz="2" w:space="0" w:color="000000"/>
            </w:tcBorders>
          </w:tcPr>
          <w:p w14:paraId="468098AE" w14:textId="77777777" w:rsidR="009D54AF" w:rsidRDefault="00000000">
            <w:pPr>
              <w:pStyle w:val="TableParagraph"/>
              <w:spacing w:before="85"/>
              <w:ind w:left="51" w:right="51"/>
              <w:jc w:val="center"/>
              <w:rPr>
                <w:sz w:val="19"/>
              </w:rPr>
            </w:pPr>
            <w:r>
              <w:rPr>
                <w:spacing w:val="-10"/>
                <w:sz w:val="19"/>
              </w:rPr>
              <w:t>0</w:t>
            </w:r>
          </w:p>
        </w:tc>
        <w:tc>
          <w:tcPr>
            <w:tcW w:w="1134" w:type="dxa"/>
            <w:tcBorders>
              <w:top w:val="single" w:sz="2" w:space="0" w:color="000000"/>
              <w:left w:val="single" w:sz="2" w:space="0" w:color="000000"/>
              <w:bottom w:val="single" w:sz="2" w:space="0" w:color="000000"/>
              <w:right w:val="single" w:sz="2" w:space="0" w:color="000000"/>
            </w:tcBorders>
          </w:tcPr>
          <w:p w14:paraId="4E6E1B62" w14:textId="77777777" w:rsidR="009D54AF" w:rsidRDefault="00000000">
            <w:pPr>
              <w:pStyle w:val="TableParagraph"/>
              <w:spacing w:before="85"/>
              <w:ind w:left="51" w:right="52"/>
              <w:jc w:val="center"/>
              <w:rPr>
                <w:sz w:val="19"/>
              </w:rPr>
            </w:pPr>
            <w:r>
              <w:rPr>
                <w:spacing w:val="-10"/>
                <w:sz w:val="19"/>
              </w:rPr>
              <w:t>0</w:t>
            </w:r>
          </w:p>
        </w:tc>
        <w:tc>
          <w:tcPr>
            <w:tcW w:w="1134" w:type="dxa"/>
            <w:tcBorders>
              <w:top w:val="single" w:sz="2" w:space="0" w:color="000000"/>
              <w:left w:val="single" w:sz="2" w:space="0" w:color="000000"/>
              <w:bottom w:val="single" w:sz="2" w:space="0" w:color="000000"/>
              <w:right w:val="single" w:sz="2" w:space="0" w:color="000000"/>
            </w:tcBorders>
          </w:tcPr>
          <w:p w14:paraId="711D6613" w14:textId="77777777" w:rsidR="009D54AF" w:rsidRDefault="00000000">
            <w:pPr>
              <w:pStyle w:val="TableParagraph"/>
              <w:spacing w:before="85"/>
              <w:ind w:left="51" w:right="52"/>
              <w:jc w:val="center"/>
              <w:rPr>
                <w:sz w:val="19"/>
              </w:rPr>
            </w:pPr>
            <w:r>
              <w:rPr>
                <w:spacing w:val="-10"/>
                <w:sz w:val="19"/>
              </w:rPr>
              <w:t>0</w:t>
            </w:r>
          </w:p>
        </w:tc>
        <w:tc>
          <w:tcPr>
            <w:tcW w:w="1134" w:type="dxa"/>
            <w:tcBorders>
              <w:top w:val="single" w:sz="2" w:space="0" w:color="000000"/>
              <w:left w:val="single" w:sz="2" w:space="0" w:color="000000"/>
              <w:bottom w:val="single" w:sz="2" w:space="0" w:color="000000"/>
              <w:right w:val="single" w:sz="2" w:space="0" w:color="000000"/>
            </w:tcBorders>
          </w:tcPr>
          <w:p w14:paraId="0FE1E130" w14:textId="77777777" w:rsidR="009D54AF" w:rsidRDefault="00000000">
            <w:pPr>
              <w:pStyle w:val="TableParagraph"/>
              <w:spacing w:before="85"/>
              <w:ind w:left="51" w:right="52"/>
              <w:jc w:val="center"/>
              <w:rPr>
                <w:sz w:val="19"/>
              </w:rPr>
            </w:pPr>
            <w:r>
              <w:rPr>
                <w:spacing w:val="-10"/>
                <w:sz w:val="19"/>
              </w:rPr>
              <w:t>0</w:t>
            </w:r>
          </w:p>
        </w:tc>
        <w:tc>
          <w:tcPr>
            <w:tcW w:w="1134" w:type="dxa"/>
            <w:tcBorders>
              <w:top w:val="single" w:sz="2" w:space="0" w:color="000000"/>
              <w:left w:val="single" w:sz="2" w:space="0" w:color="000000"/>
              <w:bottom w:val="single" w:sz="2" w:space="0" w:color="000000"/>
              <w:right w:val="single" w:sz="2" w:space="0" w:color="000000"/>
            </w:tcBorders>
          </w:tcPr>
          <w:p w14:paraId="6788B2B2" w14:textId="77777777" w:rsidR="009D54AF" w:rsidRDefault="00000000">
            <w:pPr>
              <w:pStyle w:val="TableParagraph"/>
              <w:spacing w:before="85"/>
              <w:ind w:left="51" w:right="51"/>
              <w:jc w:val="center"/>
              <w:rPr>
                <w:sz w:val="19"/>
              </w:rPr>
            </w:pPr>
            <w:r>
              <w:rPr>
                <w:spacing w:val="-10"/>
                <w:sz w:val="19"/>
              </w:rPr>
              <w:t>0</w:t>
            </w:r>
          </w:p>
        </w:tc>
        <w:tc>
          <w:tcPr>
            <w:tcW w:w="1134" w:type="dxa"/>
            <w:tcBorders>
              <w:top w:val="single" w:sz="2" w:space="0" w:color="000000"/>
              <w:left w:val="single" w:sz="2" w:space="0" w:color="000000"/>
              <w:bottom w:val="single" w:sz="2" w:space="0" w:color="000000"/>
              <w:right w:val="nil"/>
            </w:tcBorders>
          </w:tcPr>
          <w:p w14:paraId="023C42B7" w14:textId="77777777" w:rsidR="009D54AF" w:rsidRDefault="00000000">
            <w:pPr>
              <w:pStyle w:val="TableParagraph"/>
              <w:spacing w:before="42"/>
              <w:ind w:left="2" w:right="4"/>
              <w:jc w:val="center"/>
              <w:rPr>
                <w:sz w:val="19"/>
              </w:rPr>
            </w:pPr>
            <w:r>
              <w:rPr>
                <w:spacing w:val="-10"/>
                <w:sz w:val="19"/>
              </w:rPr>
              <w:t>0</w:t>
            </w:r>
          </w:p>
        </w:tc>
      </w:tr>
      <w:tr w:rsidR="009D54AF" w14:paraId="267F7EA2" w14:textId="77777777">
        <w:trPr>
          <w:trHeight w:val="391"/>
        </w:trPr>
        <w:tc>
          <w:tcPr>
            <w:tcW w:w="2268" w:type="dxa"/>
            <w:tcBorders>
              <w:top w:val="single" w:sz="2" w:space="0" w:color="000000"/>
              <w:left w:val="nil"/>
              <w:bottom w:val="single" w:sz="2" w:space="0" w:color="000000"/>
              <w:right w:val="single" w:sz="2" w:space="0" w:color="000000"/>
            </w:tcBorders>
          </w:tcPr>
          <w:p w14:paraId="68FB6297" w14:textId="77777777" w:rsidR="009D54AF" w:rsidRDefault="00000000">
            <w:pPr>
              <w:pStyle w:val="TableParagraph"/>
              <w:spacing w:before="85"/>
              <w:ind w:left="85"/>
              <w:rPr>
                <w:b/>
                <w:sz w:val="19"/>
              </w:rPr>
            </w:pPr>
            <w:r>
              <w:rPr>
                <w:b/>
                <w:spacing w:val="-2"/>
                <w:sz w:val="19"/>
              </w:rPr>
              <w:t>Total</w:t>
            </w:r>
          </w:p>
        </w:tc>
        <w:tc>
          <w:tcPr>
            <w:tcW w:w="1134" w:type="dxa"/>
            <w:tcBorders>
              <w:top w:val="single" w:sz="2" w:space="0" w:color="000000"/>
              <w:left w:val="single" w:sz="2" w:space="0" w:color="000000"/>
              <w:bottom w:val="single" w:sz="2" w:space="0" w:color="000000"/>
              <w:right w:val="single" w:sz="2" w:space="0" w:color="000000"/>
            </w:tcBorders>
          </w:tcPr>
          <w:p w14:paraId="0F022E66" w14:textId="77777777" w:rsidR="009D54AF" w:rsidRDefault="00000000">
            <w:pPr>
              <w:pStyle w:val="TableParagraph"/>
              <w:spacing w:before="85"/>
              <w:ind w:left="51" w:right="49"/>
              <w:jc w:val="center"/>
              <w:rPr>
                <w:b/>
                <w:sz w:val="19"/>
              </w:rPr>
            </w:pPr>
            <w:r>
              <w:rPr>
                <w:b/>
                <w:spacing w:val="-5"/>
                <w:sz w:val="19"/>
              </w:rPr>
              <w:t>29</w:t>
            </w:r>
          </w:p>
        </w:tc>
        <w:tc>
          <w:tcPr>
            <w:tcW w:w="1134" w:type="dxa"/>
            <w:tcBorders>
              <w:top w:val="single" w:sz="2" w:space="0" w:color="000000"/>
              <w:left w:val="single" w:sz="2" w:space="0" w:color="000000"/>
              <w:bottom w:val="single" w:sz="2" w:space="0" w:color="000000"/>
              <w:right w:val="single" w:sz="2" w:space="0" w:color="000000"/>
            </w:tcBorders>
          </w:tcPr>
          <w:p w14:paraId="61BAB5FA" w14:textId="77777777" w:rsidR="009D54AF" w:rsidRDefault="00000000">
            <w:pPr>
              <w:pStyle w:val="TableParagraph"/>
              <w:spacing w:before="85"/>
              <w:ind w:left="51" w:right="51"/>
              <w:jc w:val="center"/>
              <w:rPr>
                <w:b/>
                <w:sz w:val="19"/>
              </w:rPr>
            </w:pPr>
            <w:r>
              <w:rPr>
                <w:b/>
                <w:spacing w:val="-10"/>
                <w:sz w:val="19"/>
              </w:rPr>
              <w:t>3</w:t>
            </w:r>
          </w:p>
        </w:tc>
        <w:tc>
          <w:tcPr>
            <w:tcW w:w="1134" w:type="dxa"/>
            <w:tcBorders>
              <w:top w:val="single" w:sz="2" w:space="0" w:color="000000"/>
              <w:left w:val="single" w:sz="2" w:space="0" w:color="000000"/>
              <w:bottom w:val="single" w:sz="2" w:space="0" w:color="000000"/>
              <w:right w:val="single" w:sz="2" w:space="0" w:color="000000"/>
            </w:tcBorders>
          </w:tcPr>
          <w:p w14:paraId="52E41721" w14:textId="77777777" w:rsidR="009D54AF" w:rsidRDefault="00000000">
            <w:pPr>
              <w:pStyle w:val="TableParagraph"/>
              <w:spacing w:before="85"/>
              <w:ind w:left="51" w:right="54"/>
              <w:jc w:val="center"/>
              <w:rPr>
                <w:b/>
                <w:sz w:val="19"/>
              </w:rPr>
            </w:pPr>
            <w:r>
              <w:rPr>
                <w:b/>
                <w:spacing w:val="-5"/>
                <w:sz w:val="19"/>
              </w:rPr>
              <w:t>31</w:t>
            </w:r>
          </w:p>
        </w:tc>
        <w:tc>
          <w:tcPr>
            <w:tcW w:w="1134" w:type="dxa"/>
            <w:tcBorders>
              <w:top w:val="single" w:sz="2" w:space="0" w:color="000000"/>
              <w:left w:val="single" w:sz="2" w:space="0" w:color="000000"/>
              <w:bottom w:val="single" w:sz="2" w:space="0" w:color="000000"/>
              <w:right w:val="single" w:sz="2" w:space="0" w:color="000000"/>
            </w:tcBorders>
          </w:tcPr>
          <w:p w14:paraId="135828A1" w14:textId="77777777" w:rsidR="009D54AF" w:rsidRDefault="00000000">
            <w:pPr>
              <w:pStyle w:val="TableParagraph"/>
              <w:spacing w:before="85"/>
              <w:ind w:left="51" w:right="52"/>
              <w:jc w:val="center"/>
              <w:rPr>
                <w:b/>
                <w:sz w:val="19"/>
              </w:rPr>
            </w:pPr>
            <w:r>
              <w:rPr>
                <w:b/>
                <w:spacing w:val="-5"/>
                <w:sz w:val="19"/>
              </w:rPr>
              <w:t>70</w:t>
            </w:r>
          </w:p>
        </w:tc>
        <w:tc>
          <w:tcPr>
            <w:tcW w:w="1134" w:type="dxa"/>
            <w:tcBorders>
              <w:top w:val="single" w:sz="2" w:space="0" w:color="000000"/>
              <w:left w:val="single" w:sz="2" w:space="0" w:color="000000"/>
              <w:bottom w:val="single" w:sz="2" w:space="0" w:color="000000"/>
              <w:right w:val="single" w:sz="2" w:space="0" w:color="000000"/>
            </w:tcBorders>
          </w:tcPr>
          <w:p w14:paraId="381B6196" w14:textId="77777777" w:rsidR="009D54AF" w:rsidRDefault="00000000">
            <w:pPr>
              <w:pStyle w:val="TableParagraph"/>
              <w:spacing w:before="85"/>
              <w:ind w:left="51" w:right="57"/>
              <w:jc w:val="center"/>
              <w:rPr>
                <w:b/>
                <w:sz w:val="19"/>
              </w:rPr>
            </w:pPr>
            <w:r>
              <w:rPr>
                <w:b/>
                <w:spacing w:val="-5"/>
                <w:sz w:val="19"/>
              </w:rPr>
              <w:t>15</w:t>
            </w:r>
          </w:p>
        </w:tc>
        <w:tc>
          <w:tcPr>
            <w:tcW w:w="1134" w:type="dxa"/>
            <w:tcBorders>
              <w:top w:val="single" w:sz="2" w:space="0" w:color="000000"/>
              <w:left w:val="single" w:sz="2" w:space="0" w:color="000000"/>
              <w:bottom w:val="single" w:sz="2" w:space="0" w:color="000000"/>
              <w:right w:val="single" w:sz="2" w:space="0" w:color="000000"/>
            </w:tcBorders>
          </w:tcPr>
          <w:p w14:paraId="0D7B7AB5" w14:textId="77777777" w:rsidR="009D54AF" w:rsidRDefault="00000000">
            <w:pPr>
              <w:pStyle w:val="TableParagraph"/>
              <w:spacing w:before="85"/>
              <w:ind w:left="51" w:right="50"/>
              <w:jc w:val="center"/>
              <w:rPr>
                <w:b/>
                <w:sz w:val="19"/>
              </w:rPr>
            </w:pPr>
            <w:r>
              <w:rPr>
                <w:b/>
                <w:spacing w:val="-5"/>
                <w:sz w:val="19"/>
              </w:rPr>
              <w:t>84</w:t>
            </w:r>
          </w:p>
        </w:tc>
        <w:tc>
          <w:tcPr>
            <w:tcW w:w="1134" w:type="dxa"/>
            <w:tcBorders>
              <w:top w:val="single" w:sz="2" w:space="0" w:color="000000"/>
              <w:left w:val="single" w:sz="2" w:space="0" w:color="000000"/>
              <w:bottom w:val="single" w:sz="2" w:space="0" w:color="000000"/>
              <w:right w:val="nil"/>
            </w:tcBorders>
          </w:tcPr>
          <w:p w14:paraId="551F229B" w14:textId="77777777" w:rsidR="009D54AF" w:rsidRDefault="00000000">
            <w:pPr>
              <w:pStyle w:val="TableParagraph"/>
              <w:spacing w:before="42"/>
              <w:ind w:left="2" w:right="4"/>
              <w:jc w:val="center"/>
              <w:rPr>
                <w:b/>
                <w:sz w:val="19"/>
              </w:rPr>
            </w:pPr>
            <w:r>
              <w:rPr>
                <w:b/>
                <w:spacing w:val="-5"/>
                <w:sz w:val="19"/>
              </w:rPr>
              <w:t>117</w:t>
            </w:r>
          </w:p>
        </w:tc>
      </w:tr>
    </w:tbl>
    <w:p w14:paraId="0429DD07" w14:textId="77777777" w:rsidR="009D54AF" w:rsidRDefault="009D54AF">
      <w:pPr>
        <w:pStyle w:val="TableParagraph"/>
        <w:jc w:val="center"/>
        <w:rPr>
          <w:b/>
          <w:sz w:val="19"/>
        </w:rPr>
        <w:sectPr w:rsidR="009D54AF">
          <w:pgSz w:w="11910" w:h="16840"/>
          <w:pgMar w:top="700" w:right="708" w:bottom="280" w:left="708" w:header="720" w:footer="720" w:gutter="0"/>
          <w:cols w:space="720"/>
        </w:sectPr>
      </w:pPr>
    </w:p>
    <w:p w14:paraId="551116A8" w14:textId="77777777" w:rsidR="009D54AF" w:rsidRDefault="00000000">
      <w:pPr>
        <w:spacing w:before="72"/>
        <w:ind w:left="142"/>
        <w:rPr>
          <w:sz w:val="19"/>
        </w:rPr>
      </w:pPr>
      <w:r>
        <w:rPr>
          <w:b/>
          <w:sz w:val="19"/>
        </w:rPr>
        <w:lastRenderedPageBreak/>
        <w:t>Table</w:t>
      </w:r>
      <w:r>
        <w:rPr>
          <w:b/>
          <w:spacing w:val="-2"/>
          <w:sz w:val="19"/>
        </w:rPr>
        <w:t xml:space="preserve"> </w:t>
      </w:r>
      <w:r>
        <w:rPr>
          <w:b/>
          <w:sz w:val="19"/>
        </w:rPr>
        <w:t>9</w:t>
      </w:r>
      <w:r>
        <w:rPr>
          <w:b/>
          <w:spacing w:val="17"/>
          <w:sz w:val="19"/>
        </w:rPr>
        <w:t xml:space="preserve"> </w:t>
      </w:r>
      <w:r>
        <w:rPr>
          <w:sz w:val="19"/>
        </w:rPr>
        <w:t>Male</w:t>
      </w:r>
      <w:r>
        <w:rPr>
          <w:spacing w:val="1"/>
          <w:sz w:val="19"/>
        </w:rPr>
        <w:t xml:space="preserve"> </w:t>
      </w:r>
      <w:r>
        <w:rPr>
          <w:sz w:val="19"/>
        </w:rPr>
        <w:t>employee headcount</w:t>
      </w:r>
      <w:r>
        <w:rPr>
          <w:spacing w:val="1"/>
          <w:sz w:val="19"/>
        </w:rPr>
        <w:t xml:space="preserve"> </w:t>
      </w:r>
      <w:r>
        <w:rPr>
          <w:sz w:val="19"/>
        </w:rPr>
        <w:t>profile by</w:t>
      </w:r>
      <w:r>
        <w:rPr>
          <w:spacing w:val="1"/>
          <w:sz w:val="19"/>
        </w:rPr>
        <w:t xml:space="preserve"> </w:t>
      </w:r>
      <w:r>
        <w:rPr>
          <w:sz w:val="19"/>
        </w:rPr>
        <w:t>state and territory,</w:t>
      </w:r>
      <w:r>
        <w:rPr>
          <w:spacing w:val="1"/>
          <w:sz w:val="19"/>
        </w:rPr>
        <w:t xml:space="preserve"> </w:t>
      </w:r>
      <w:r>
        <w:rPr>
          <w:sz w:val="19"/>
        </w:rPr>
        <w:t>as at</w:t>
      </w:r>
      <w:r>
        <w:rPr>
          <w:spacing w:val="1"/>
          <w:sz w:val="19"/>
        </w:rPr>
        <w:t xml:space="preserve"> </w:t>
      </w:r>
      <w:r>
        <w:rPr>
          <w:sz w:val="19"/>
        </w:rPr>
        <w:t>30 June</w:t>
      </w:r>
      <w:r>
        <w:rPr>
          <w:spacing w:val="1"/>
          <w:sz w:val="19"/>
        </w:rPr>
        <w:t xml:space="preserve"> </w:t>
      </w:r>
      <w:r>
        <w:rPr>
          <w:spacing w:val="-4"/>
          <w:sz w:val="19"/>
        </w:rPr>
        <w:t>2026</w:t>
      </w:r>
    </w:p>
    <w:p w14:paraId="0B9EFEF4" w14:textId="77777777" w:rsidR="009D54AF" w:rsidRDefault="009D54AF">
      <w:pPr>
        <w:pStyle w:val="BodyText"/>
        <w:spacing w:before="3"/>
        <w:rPr>
          <w:sz w:val="8"/>
        </w:rPr>
      </w:pPr>
    </w:p>
    <w:tbl>
      <w:tblPr>
        <w:tblW w:w="0" w:type="auto"/>
        <w:tblInd w:w="149"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CellMar>
          <w:left w:w="0" w:type="dxa"/>
          <w:right w:w="0" w:type="dxa"/>
        </w:tblCellMar>
        <w:tblLook w:val="01E0" w:firstRow="1" w:lastRow="1" w:firstColumn="1" w:lastColumn="1" w:noHBand="0" w:noVBand="0"/>
      </w:tblPr>
      <w:tblGrid>
        <w:gridCol w:w="2494"/>
        <w:gridCol w:w="1133"/>
        <w:gridCol w:w="1133"/>
        <w:gridCol w:w="1133"/>
        <w:gridCol w:w="906"/>
        <w:gridCol w:w="1133"/>
        <w:gridCol w:w="1133"/>
        <w:gridCol w:w="1133"/>
      </w:tblGrid>
      <w:tr w:rsidR="009D54AF" w14:paraId="321ED485" w14:textId="77777777">
        <w:trPr>
          <w:trHeight w:val="391"/>
        </w:trPr>
        <w:tc>
          <w:tcPr>
            <w:tcW w:w="2494" w:type="dxa"/>
            <w:vMerge w:val="restart"/>
            <w:tcBorders>
              <w:top w:val="nil"/>
              <w:left w:val="nil"/>
              <w:bottom w:val="nil"/>
            </w:tcBorders>
            <w:shd w:val="clear" w:color="auto" w:fill="000000"/>
          </w:tcPr>
          <w:p w14:paraId="6DA79AE6" w14:textId="77777777" w:rsidR="009D54AF" w:rsidRDefault="009D54AF">
            <w:pPr>
              <w:pStyle w:val="TableParagraph"/>
              <w:rPr>
                <w:sz w:val="19"/>
              </w:rPr>
            </w:pPr>
          </w:p>
          <w:p w14:paraId="51EE559A" w14:textId="77777777" w:rsidR="009D54AF" w:rsidRDefault="009D54AF">
            <w:pPr>
              <w:pStyle w:val="TableParagraph"/>
              <w:spacing w:before="212"/>
              <w:rPr>
                <w:sz w:val="19"/>
              </w:rPr>
            </w:pPr>
          </w:p>
          <w:p w14:paraId="3F56CC16" w14:textId="77777777" w:rsidR="009D54AF" w:rsidRDefault="00000000">
            <w:pPr>
              <w:pStyle w:val="TableParagraph"/>
              <w:ind w:left="85"/>
              <w:rPr>
                <w:b/>
                <w:sz w:val="19"/>
              </w:rPr>
            </w:pPr>
            <w:r>
              <w:rPr>
                <w:b/>
                <w:color w:val="FFFFFF"/>
                <w:spacing w:val="-2"/>
                <w:sz w:val="19"/>
              </w:rPr>
              <w:t>Jurisdiction</w:t>
            </w:r>
          </w:p>
        </w:tc>
        <w:tc>
          <w:tcPr>
            <w:tcW w:w="3399" w:type="dxa"/>
            <w:gridSpan w:val="3"/>
            <w:tcBorders>
              <w:top w:val="nil"/>
            </w:tcBorders>
            <w:shd w:val="clear" w:color="auto" w:fill="000000"/>
          </w:tcPr>
          <w:p w14:paraId="7FE04B58" w14:textId="77777777" w:rsidR="009D54AF" w:rsidRDefault="00000000">
            <w:pPr>
              <w:pStyle w:val="TableParagraph"/>
              <w:spacing w:before="88"/>
              <w:ind w:left="1091"/>
              <w:rPr>
                <w:b/>
                <w:sz w:val="19"/>
              </w:rPr>
            </w:pPr>
            <w:r>
              <w:rPr>
                <w:b/>
                <w:color w:val="FFFFFF"/>
                <w:sz w:val="19"/>
              </w:rPr>
              <w:t>Non-</w:t>
            </w:r>
            <w:r>
              <w:rPr>
                <w:b/>
                <w:color w:val="FFFFFF"/>
                <w:spacing w:val="-2"/>
                <w:sz w:val="19"/>
              </w:rPr>
              <w:t>ongoing</w:t>
            </w:r>
          </w:p>
        </w:tc>
        <w:tc>
          <w:tcPr>
            <w:tcW w:w="3172" w:type="dxa"/>
            <w:gridSpan w:val="3"/>
            <w:tcBorders>
              <w:top w:val="nil"/>
            </w:tcBorders>
            <w:shd w:val="clear" w:color="auto" w:fill="000000"/>
          </w:tcPr>
          <w:p w14:paraId="5AB769A0" w14:textId="77777777" w:rsidR="009D54AF" w:rsidRDefault="00000000">
            <w:pPr>
              <w:pStyle w:val="TableParagraph"/>
              <w:spacing w:before="88"/>
              <w:ind w:left="10"/>
              <w:jc w:val="center"/>
              <w:rPr>
                <w:b/>
                <w:sz w:val="19"/>
              </w:rPr>
            </w:pPr>
            <w:r>
              <w:rPr>
                <w:b/>
                <w:color w:val="FFFFFF"/>
                <w:spacing w:val="-2"/>
                <w:sz w:val="19"/>
              </w:rPr>
              <w:t>Ongoing</w:t>
            </w:r>
          </w:p>
        </w:tc>
        <w:tc>
          <w:tcPr>
            <w:tcW w:w="1133" w:type="dxa"/>
            <w:vMerge w:val="restart"/>
            <w:tcBorders>
              <w:top w:val="nil"/>
              <w:bottom w:val="nil"/>
              <w:right w:val="nil"/>
            </w:tcBorders>
            <w:shd w:val="clear" w:color="auto" w:fill="000000"/>
          </w:tcPr>
          <w:p w14:paraId="495C064D" w14:textId="77777777" w:rsidR="009D54AF" w:rsidRDefault="009D54AF">
            <w:pPr>
              <w:pStyle w:val="TableParagraph"/>
              <w:rPr>
                <w:sz w:val="19"/>
              </w:rPr>
            </w:pPr>
          </w:p>
          <w:p w14:paraId="6A6A9661" w14:textId="77777777" w:rsidR="009D54AF" w:rsidRDefault="009D54AF">
            <w:pPr>
              <w:pStyle w:val="TableParagraph"/>
              <w:spacing w:before="212"/>
              <w:rPr>
                <w:sz w:val="19"/>
              </w:rPr>
            </w:pPr>
          </w:p>
          <w:p w14:paraId="16180259" w14:textId="77777777" w:rsidR="009D54AF" w:rsidRDefault="00000000">
            <w:pPr>
              <w:pStyle w:val="TableParagraph"/>
              <w:ind w:left="343"/>
              <w:rPr>
                <w:b/>
                <w:sz w:val="19"/>
              </w:rPr>
            </w:pPr>
            <w:r>
              <w:rPr>
                <w:b/>
                <w:color w:val="FFFFFF"/>
                <w:spacing w:val="-2"/>
                <w:sz w:val="19"/>
              </w:rPr>
              <w:t>Total</w:t>
            </w:r>
          </w:p>
        </w:tc>
      </w:tr>
      <w:tr w:rsidR="009D54AF" w14:paraId="4B68BD20" w14:textId="77777777">
        <w:trPr>
          <w:trHeight w:val="511"/>
        </w:trPr>
        <w:tc>
          <w:tcPr>
            <w:tcW w:w="2494" w:type="dxa"/>
            <w:vMerge/>
            <w:tcBorders>
              <w:top w:val="nil"/>
              <w:left w:val="nil"/>
              <w:bottom w:val="nil"/>
            </w:tcBorders>
            <w:shd w:val="clear" w:color="auto" w:fill="000000"/>
          </w:tcPr>
          <w:p w14:paraId="63CBB108" w14:textId="77777777" w:rsidR="009D54AF" w:rsidRDefault="009D54AF">
            <w:pPr>
              <w:rPr>
                <w:sz w:val="2"/>
                <w:szCs w:val="2"/>
              </w:rPr>
            </w:pPr>
          </w:p>
        </w:tc>
        <w:tc>
          <w:tcPr>
            <w:tcW w:w="1133" w:type="dxa"/>
            <w:tcBorders>
              <w:bottom w:val="nil"/>
            </w:tcBorders>
            <w:shd w:val="clear" w:color="auto" w:fill="000000"/>
          </w:tcPr>
          <w:p w14:paraId="18535B06" w14:textId="77777777" w:rsidR="009D54AF" w:rsidRDefault="009D54AF">
            <w:pPr>
              <w:pStyle w:val="TableParagraph"/>
              <w:spacing w:before="29"/>
              <w:rPr>
                <w:sz w:val="19"/>
              </w:rPr>
            </w:pPr>
          </w:p>
          <w:p w14:paraId="50D7A3DC" w14:textId="77777777" w:rsidR="009D54AF" w:rsidRDefault="00000000">
            <w:pPr>
              <w:pStyle w:val="TableParagraph"/>
              <w:ind w:left="10" w:right="9"/>
              <w:jc w:val="center"/>
              <w:rPr>
                <w:b/>
                <w:sz w:val="19"/>
              </w:rPr>
            </w:pPr>
            <w:r>
              <w:rPr>
                <w:b/>
                <w:color w:val="FFFFFF"/>
                <w:sz w:val="19"/>
              </w:rPr>
              <w:t>Full</w:t>
            </w:r>
            <w:r>
              <w:rPr>
                <w:b/>
                <w:color w:val="FFFFFF"/>
                <w:spacing w:val="-4"/>
                <w:sz w:val="19"/>
              </w:rPr>
              <w:t xml:space="preserve"> time</w:t>
            </w:r>
          </w:p>
        </w:tc>
        <w:tc>
          <w:tcPr>
            <w:tcW w:w="1133" w:type="dxa"/>
            <w:tcBorders>
              <w:bottom w:val="nil"/>
            </w:tcBorders>
            <w:shd w:val="clear" w:color="auto" w:fill="000000"/>
          </w:tcPr>
          <w:p w14:paraId="7BB60EFA" w14:textId="77777777" w:rsidR="009D54AF" w:rsidRDefault="009D54AF">
            <w:pPr>
              <w:pStyle w:val="TableParagraph"/>
              <w:spacing w:before="29"/>
              <w:rPr>
                <w:sz w:val="19"/>
              </w:rPr>
            </w:pPr>
          </w:p>
          <w:p w14:paraId="126987C8" w14:textId="77777777" w:rsidR="009D54AF" w:rsidRDefault="00000000">
            <w:pPr>
              <w:pStyle w:val="TableParagraph"/>
              <w:ind w:left="10" w:right="7"/>
              <w:jc w:val="center"/>
              <w:rPr>
                <w:b/>
                <w:sz w:val="19"/>
              </w:rPr>
            </w:pPr>
            <w:r>
              <w:rPr>
                <w:b/>
                <w:color w:val="FFFFFF"/>
                <w:sz w:val="19"/>
              </w:rPr>
              <w:t>Part</w:t>
            </w:r>
            <w:r>
              <w:rPr>
                <w:b/>
                <w:color w:val="FFFFFF"/>
                <w:spacing w:val="9"/>
                <w:sz w:val="19"/>
              </w:rPr>
              <w:t xml:space="preserve"> </w:t>
            </w:r>
            <w:r>
              <w:rPr>
                <w:b/>
                <w:color w:val="FFFFFF"/>
                <w:spacing w:val="-4"/>
                <w:sz w:val="19"/>
              </w:rPr>
              <w:t>time</w:t>
            </w:r>
          </w:p>
        </w:tc>
        <w:tc>
          <w:tcPr>
            <w:tcW w:w="1133" w:type="dxa"/>
            <w:tcBorders>
              <w:bottom w:val="nil"/>
            </w:tcBorders>
            <w:shd w:val="clear" w:color="auto" w:fill="000000"/>
          </w:tcPr>
          <w:p w14:paraId="758AB9FA" w14:textId="77777777" w:rsidR="009D54AF" w:rsidRDefault="009D54AF">
            <w:pPr>
              <w:pStyle w:val="TableParagraph"/>
              <w:spacing w:before="29"/>
              <w:rPr>
                <w:sz w:val="19"/>
              </w:rPr>
            </w:pPr>
          </w:p>
          <w:p w14:paraId="660DA01B" w14:textId="77777777" w:rsidR="009D54AF" w:rsidRDefault="00000000">
            <w:pPr>
              <w:pStyle w:val="TableParagraph"/>
              <w:ind w:left="10" w:right="5"/>
              <w:jc w:val="center"/>
              <w:rPr>
                <w:b/>
                <w:sz w:val="19"/>
              </w:rPr>
            </w:pPr>
            <w:r>
              <w:rPr>
                <w:b/>
                <w:color w:val="FFFFFF"/>
                <w:spacing w:val="-2"/>
                <w:sz w:val="19"/>
              </w:rPr>
              <w:t>Total</w:t>
            </w:r>
          </w:p>
        </w:tc>
        <w:tc>
          <w:tcPr>
            <w:tcW w:w="906" w:type="dxa"/>
            <w:tcBorders>
              <w:bottom w:val="nil"/>
            </w:tcBorders>
            <w:shd w:val="clear" w:color="auto" w:fill="000000"/>
          </w:tcPr>
          <w:p w14:paraId="33C4286A" w14:textId="77777777" w:rsidR="009D54AF" w:rsidRDefault="00000000">
            <w:pPr>
              <w:pStyle w:val="TableParagraph"/>
              <w:spacing w:before="45" w:line="230" w:lineRule="auto"/>
              <w:ind w:left="252" w:right="243" w:firstLine="32"/>
              <w:rPr>
                <w:b/>
                <w:sz w:val="19"/>
              </w:rPr>
            </w:pPr>
            <w:r>
              <w:rPr>
                <w:b/>
                <w:color w:val="FFFFFF"/>
                <w:spacing w:val="-4"/>
                <w:sz w:val="19"/>
              </w:rPr>
              <w:t>Full time</w:t>
            </w:r>
          </w:p>
        </w:tc>
        <w:tc>
          <w:tcPr>
            <w:tcW w:w="1133" w:type="dxa"/>
            <w:tcBorders>
              <w:bottom w:val="nil"/>
            </w:tcBorders>
            <w:shd w:val="clear" w:color="auto" w:fill="000000"/>
          </w:tcPr>
          <w:p w14:paraId="074F46F9" w14:textId="77777777" w:rsidR="009D54AF" w:rsidRDefault="009D54AF">
            <w:pPr>
              <w:pStyle w:val="TableParagraph"/>
              <w:spacing w:before="29"/>
              <w:rPr>
                <w:sz w:val="19"/>
              </w:rPr>
            </w:pPr>
          </w:p>
          <w:p w14:paraId="0762777B" w14:textId="77777777" w:rsidR="009D54AF" w:rsidRDefault="00000000">
            <w:pPr>
              <w:pStyle w:val="TableParagraph"/>
              <w:ind w:left="10" w:right="2"/>
              <w:jc w:val="center"/>
              <w:rPr>
                <w:b/>
                <w:sz w:val="19"/>
              </w:rPr>
            </w:pPr>
            <w:r>
              <w:rPr>
                <w:b/>
                <w:color w:val="FFFFFF"/>
                <w:sz w:val="19"/>
              </w:rPr>
              <w:t>Part</w:t>
            </w:r>
            <w:r>
              <w:rPr>
                <w:b/>
                <w:color w:val="FFFFFF"/>
                <w:spacing w:val="9"/>
                <w:sz w:val="19"/>
              </w:rPr>
              <w:t xml:space="preserve"> </w:t>
            </w:r>
            <w:r>
              <w:rPr>
                <w:b/>
                <w:color w:val="FFFFFF"/>
                <w:spacing w:val="-4"/>
                <w:sz w:val="19"/>
              </w:rPr>
              <w:t>time</w:t>
            </w:r>
          </w:p>
        </w:tc>
        <w:tc>
          <w:tcPr>
            <w:tcW w:w="1133" w:type="dxa"/>
            <w:tcBorders>
              <w:bottom w:val="nil"/>
            </w:tcBorders>
            <w:shd w:val="clear" w:color="auto" w:fill="000000"/>
          </w:tcPr>
          <w:p w14:paraId="678E65ED" w14:textId="77777777" w:rsidR="009D54AF" w:rsidRDefault="009D54AF">
            <w:pPr>
              <w:pStyle w:val="TableParagraph"/>
              <w:spacing w:before="29"/>
              <w:rPr>
                <w:sz w:val="19"/>
              </w:rPr>
            </w:pPr>
          </w:p>
          <w:p w14:paraId="5CE9106F" w14:textId="77777777" w:rsidR="009D54AF" w:rsidRDefault="00000000">
            <w:pPr>
              <w:pStyle w:val="TableParagraph"/>
              <w:ind w:left="10"/>
              <w:jc w:val="center"/>
              <w:rPr>
                <w:b/>
                <w:sz w:val="19"/>
              </w:rPr>
            </w:pPr>
            <w:r>
              <w:rPr>
                <w:b/>
                <w:color w:val="FFFFFF"/>
                <w:spacing w:val="-2"/>
                <w:sz w:val="19"/>
              </w:rPr>
              <w:t>Total</w:t>
            </w:r>
          </w:p>
        </w:tc>
        <w:tc>
          <w:tcPr>
            <w:tcW w:w="1133" w:type="dxa"/>
            <w:vMerge/>
            <w:tcBorders>
              <w:top w:val="nil"/>
              <w:bottom w:val="nil"/>
              <w:right w:val="nil"/>
            </w:tcBorders>
            <w:shd w:val="clear" w:color="auto" w:fill="000000"/>
          </w:tcPr>
          <w:p w14:paraId="74285C45" w14:textId="77777777" w:rsidR="009D54AF" w:rsidRDefault="009D54AF">
            <w:pPr>
              <w:rPr>
                <w:sz w:val="2"/>
                <w:szCs w:val="2"/>
              </w:rPr>
            </w:pPr>
          </w:p>
        </w:tc>
      </w:tr>
      <w:tr w:rsidR="009D54AF" w14:paraId="04E5EC22" w14:textId="77777777">
        <w:trPr>
          <w:trHeight w:val="384"/>
        </w:trPr>
        <w:tc>
          <w:tcPr>
            <w:tcW w:w="2494" w:type="dxa"/>
            <w:tcBorders>
              <w:top w:val="nil"/>
              <w:left w:val="nil"/>
              <w:bottom w:val="single" w:sz="2" w:space="0" w:color="000000"/>
              <w:right w:val="single" w:sz="2" w:space="0" w:color="000000"/>
            </w:tcBorders>
          </w:tcPr>
          <w:p w14:paraId="0C2C4A6C" w14:textId="77777777" w:rsidR="009D54AF" w:rsidRDefault="00000000">
            <w:pPr>
              <w:pStyle w:val="TableParagraph"/>
              <w:spacing w:before="78"/>
              <w:ind w:left="85"/>
              <w:rPr>
                <w:sz w:val="19"/>
              </w:rPr>
            </w:pPr>
            <w:r>
              <w:rPr>
                <w:spacing w:val="-5"/>
                <w:sz w:val="19"/>
              </w:rPr>
              <w:t>NSW</w:t>
            </w:r>
          </w:p>
        </w:tc>
        <w:tc>
          <w:tcPr>
            <w:tcW w:w="1133" w:type="dxa"/>
            <w:tcBorders>
              <w:top w:val="nil"/>
              <w:left w:val="single" w:sz="2" w:space="0" w:color="000000"/>
              <w:bottom w:val="single" w:sz="2" w:space="0" w:color="000000"/>
              <w:right w:val="single" w:sz="2" w:space="0" w:color="000000"/>
            </w:tcBorders>
          </w:tcPr>
          <w:p w14:paraId="1A2FC3E3" w14:textId="77777777" w:rsidR="009D54AF" w:rsidRDefault="00000000">
            <w:pPr>
              <w:pStyle w:val="TableParagraph"/>
              <w:spacing w:before="78"/>
              <w:ind w:left="13" w:right="12"/>
              <w:jc w:val="center"/>
              <w:rPr>
                <w:sz w:val="19"/>
              </w:rPr>
            </w:pPr>
            <w:r>
              <w:rPr>
                <w:spacing w:val="-10"/>
                <w:sz w:val="19"/>
              </w:rPr>
              <w:t>6</w:t>
            </w:r>
          </w:p>
        </w:tc>
        <w:tc>
          <w:tcPr>
            <w:tcW w:w="1133" w:type="dxa"/>
            <w:tcBorders>
              <w:top w:val="nil"/>
              <w:left w:val="single" w:sz="2" w:space="0" w:color="000000"/>
              <w:bottom w:val="single" w:sz="2" w:space="0" w:color="000000"/>
              <w:right w:val="single" w:sz="2" w:space="0" w:color="000000"/>
            </w:tcBorders>
          </w:tcPr>
          <w:p w14:paraId="357AAD36" w14:textId="77777777" w:rsidR="009D54AF" w:rsidRDefault="00000000">
            <w:pPr>
              <w:pStyle w:val="TableParagraph"/>
              <w:spacing w:before="78"/>
              <w:ind w:left="13" w:right="10"/>
              <w:jc w:val="center"/>
              <w:rPr>
                <w:sz w:val="19"/>
              </w:rPr>
            </w:pPr>
            <w:r>
              <w:rPr>
                <w:spacing w:val="-10"/>
                <w:sz w:val="19"/>
              </w:rPr>
              <w:t>0</w:t>
            </w:r>
          </w:p>
        </w:tc>
        <w:tc>
          <w:tcPr>
            <w:tcW w:w="1133" w:type="dxa"/>
            <w:tcBorders>
              <w:top w:val="nil"/>
              <w:left w:val="single" w:sz="2" w:space="0" w:color="000000"/>
              <w:bottom w:val="single" w:sz="2" w:space="0" w:color="000000"/>
              <w:right w:val="single" w:sz="2" w:space="0" w:color="000000"/>
            </w:tcBorders>
          </w:tcPr>
          <w:p w14:paraId="3E53D0FA" w14:textId="77777777" w:rsidR="009D54AF" w:rsidRDefault="00000000">
            <w:pPr>
              <w:pStyle w:val="TableParagraph"/>
              <w:spacing w:before="78"/>
              <w:ind w:left="13" w:right="8"/>
              <w:jc w:val="center"/>
              <w:rPr>
                <w:sz w:val="19"/>
              </w:rPr>
            </w:pPr>
            <w:r>
              <w:rPr>
                <w:spacing w:val="-10"/>
                <w:sz w:val="19"/>
              </w:rPr>
              <w:t>6</w:t>
            </w:r>
          </w:p>
        </w:tc>
        <w:tc>
          <w:tcPr>
            <w:tcW w:w="906" w:type="dxa"/>
            <w:tcBorders>
              <w:top w:val="nil"/>
              <w:left w:val="single" w:sz="2" w:space="0" w:color="000000"/>
              <w:bottom w:val="single" w:sz="2" w:space="0" w:color="000000"/>
              <w:right w:val="single" w:sz="2" w:space="0" w:color="000000"/>
            </w:tcBorders>
          </w:tcPr>
          <w:p w14:paraId="3084D0ED" w14:textId="77777777" w:rsidR="009D54AF" w:rsidRDefault="00000000">
            <w:pPr>
              <w:pStyle w:val="TableParagraph"/>
              <w:spacing w:before="78"/>
              <w:ind w:left="9"/>
              <w:jc w:val="center"/>
              <w:rPr>
                <w:sz w:val="19"/>
              </w:rPr>
            </w:pPr>
            <w:r>
              <w:rPr>
                <w:spacing w:val="-5"/>
                <w:sz w:val="19"/>
              </w:rPr>
              <w:t>33</w:t>
            </w:r>
          </w:p>
        </w:tc>
        <w:tc>
          <w:tcPr>
            <w:tcW w:w="1133" w:type="dxa"/>
            <w:tcBorders>
              <w:top w:val="nil"/>
              <w:left w:val="single" w:sz="2" w:space="0" w:color="000000"/>
              <w:bottom w:val="single" w:sz="2" w:space="0" w:color="000000"/>
              <w:right w:val="single" w:sz="2" w:space="0" w:color="000000"/>
            </w:tcBorders>
          </w:tcPr>
          <w:p w14:paraId="724FE039" w14:textId="77777777" w:rsidR="009D54AF" w:rsidRDefault="00000000">
            <w:pPr>
              <w:pStyle w:val="TableParagraph"/>
              <w:spacing w:before="78"/>
              <w:ind w:left="13" w:right="5"/>
              <w:jc w:val="center"/>
              <w:rPr>
                <w:sz w:val="19"/>
              </w:rPr>
            </w:pPr>
            <w:r>
              <w:rPr>
                <w:spacing w:val="-10"/>
                <w:sz w:val="19"/>
              </w:rPr>
              <w:t>0</w:t>
            </w:r>
          </w:p>
        </w:tc>
        <w:tc>
          <w:tcPr>
            <w:tcW w:w="1133" w:type="dxa"/>
            <w:tcBorders>
              <w:top w:val="nil"/>
              <w:left w:val="single" w:sz="2" w:space="0" w:color="000000"/>
              <w:bottom w:val="single" w:sz="2" w:space="0" w:color="000000"/>
              <w:right w:val="single" w:sz="2" w:space="0" w:color="000000"/>
            </w:tcBorders>
          </w:tcPr>
          <w:p w14:paraId="7D59D986" w14:textId="77777777" w:rsidR="009D54AF" w:rsidRDefault="00000000">
            <w:pPr>
              <w:pStyle w:val="TableParagraph"/>
              <w:spacing w:before="78"/>
              <w:ind w:left="13"/>
              <w:jc w:val="center"/>
              <w:rPr>
                <w:sz w:val="19"/>
              </w:rPr>
            </w:pPr>
            <w:r>
              <w:rPr>
                <w:spacing w:val="-5"/>
                <w:sz w:val="19"/>
              </w:rPr>
              <w:t>33</w:t>
            </w:r>
          </w:p>
        </w:tc>
        <w:tc>
          <w:tcPr>
            <w:tcW w:w="1133" w:type="dxa"/>
            <w:tcBorders>
              <w:top w:val="nil"/>
              <w:left w:val="single" w:sz="2" w:space="0" w:color="000000"/>
              <w:bottom w:val="single" w:sz="2" w:space="0" w:color="000000"/>
              <w:right w:val="nil"/>
            </w:tcBorders>
          </w:tcPr>
          <w:p w14:paraId="7AFADC64" w14:textId="77777777" w:rsidR="009D54AF" w:rsidRDefault="00000000">
            <w:pPr>
              <w:pStyle w:val="TableParagraph"/>
              <w:spacing w:before="35"/>
              <w:ind w:left="11"/>
              <w:jc w:val="center"/>
              <w:rPr>
                <w:b/>
                <w:sz w:val="19"/>
              </w:rPr>
            </w:pPr>
            <w:r>
              <w:rPr>
                <w:b/>
                <w:spacing w:val="-5"/>
                <w:sz w:val="19"/>
              </w:rPr>
              <w:t>39</w:t>
            </w:r>
          </w:p>
        </w:tc>
      </w:tr>
      <w:tr w:rsidR="009D54AF" w14:paraId="037275AB" w14:textId="77777777">
        <w:trPr>
          <w:trHeight w:val="391"/>
        </w:trPr>
        <w:tc>
          <w:tcPr>
            <w:tcW w:w="2494" w:type="dxa"/>
            <w:tcBorders>
              <w:top w:val="single" w:sz="2" w:space="0" w:color="000000"/>
              <w:left w:val="nil"/>
              <w:bottom w:val="single" w:sz="2" w:space="0" w:color="000000"/>
              <w:right w:val="single" w:sz="2" w:space="0" w:color="000000"/>
            </w:tcBorders>
          </w:tcPr>
          <w:p w14:paraId="03A074F3" w14:textId="77777777" w:rsidR="009D54AF" w:rsidRDefault="00000000">
            <w:pPr>
              <w:pStyle w:val="TableParagraph"/>
              <w:spacing w:before="85"/>
              <w:ind w:left="85"/>
              <w:rPr>
                <w:sz w:val="19"/>
              </w:rPr>
            </w:pPr>
            <w:r>
              <w:rPr>
                <w:spacing w:val="-5"/>
                <w:sz w:val="19"/>
              </w:rPr>
              <w:t>Qld</w:t>
            </w:r>
          </w:p>
        </w:tc>
        <w:tc>
          <w:tcPr>
            <w:tcW w:w="1133" w:type="dxa"/>
            <w:tcBorders>
              <w:top w:val="single" w:sz="2" w:space="0" w:color="000000"/>
              <w:left w:val="single" w:sz="2" w:space="0" w:color="000000"/>
              <w:bottom w:val="single" w:sz="2" w:space="0" w:color="000000"/>
              <w:right w:val="single" w:sz="2" w:space="0" w:color="000000"/>
            </w:tcBorders>
          </w:tcPr>
          <w:p w14:paraId="3DB34247" w14:textId="77777777" w:rsidR="009D54AF" w:rsidRDefault="00000000">
            <w:pPr>
              <w:pStyle w:val="TableParagraph"/>
              <w:spacing w:before="85"/>
              <w:ind w:left="13" w:right="12"/>
              <w:jc w:val="center"/>
              <w:rPr>
                <w:sz w:val="19"/>
              </w:rPr>
            </w:pPr>
            <w:r>
              <w:rPr>
                <w:spacing w:val="-10"/>
                <w:sz w:val="19"/>
              </w:rPr>
              <w:t>0</w:t>
            </w:r>
          </w:p>
        </w:tc>
        <w:tc>
          <w:tcPr>
            <w:tcW w:w="1133" w:type="dxa"/>
            <w:tcBorders>
              <w:top w:val="single" w:sz="2" w:space="0" w:color="000000"/>
              <w:left w:val="single" w:sz="2" w:space="0" w:color="000000"/>
              <w:bottom w:val="single" w:sz="2" w:space="0" w:color="000000"/>
              <w:right w:val="single" w:sz="2" w:space="0" w:color="000000"/>
            </w:tcBorders>
          </w:tcPr>
          <w:p w14:paraId="210279E2" w14:textId="77777777" w:rsidR="009D54AF" w:rsidRDefault="00000000">
            <w:pPr>
              <w:pStyle w:val="TableParagraph"/>
              <w:spacing w:before="85"/>
              <w:ind w:left="13" w:right="10"/>
              <w:jc w:val="center"/>
              <w:rPr>
                <w:sz w:val="19"/>
              </w:rPr>
            </w:pPr>
            <w:r>
              <w:rPr>
                <w:spacing w:val="-10"/>
                <w:sz w:val="19"/>
              </w:rPr>
              <w:t>0</w:t>
            </w:r>
          </w:p>
        </w:tc>
        <w:tc>
          <w:tcPr>
            <w:tcW w:w="1133" w:type="dxa"/>
            <w:tcBorders>
              <w:top w:val="single" w:sz="2" w:space="0" w:color="000000"/>
              <w:left w:val="single" w:sz="2" w:space="0" w:color="000000"/>
              <w:bottom w:val="single" w:sz="2" w:space="0" w:color="000000"/>
              <w:right w:val="single" w:sz="2" w:space="0" w:color="000000"/>
            </w:tcBorders>
          </w:tcPr>
          <w:p w14:paraId="770A8FA4" w14:textId="77777777" w:rsidR="009D54AF" w:rsidRDefault="00000000">
            <w:pPr>
              <w:pStyle w:val="TableParagraph"/>
              <w:spacing w:before="85"/>
              <w:ind w:left="13" w:right="8"/>
              <w:jc w:val="center"/>
              <w:rPr>
                <w:sz w:val="19"/>
              </w:rPr>
            </w:pPr>
            <w:r>
              <w:rPr>
                <w:spacing w:val="-10"/>
                <w:sz w:val="19"/>
              </w:rPr>
              <w:t>0</w:t>
            </w:r>
          </w:p>
        </w:tc>
        <w:tc>
          <w:tcPr>
            <w:tcW w:w="906" w:type="dxa"/>
            <w:tcBorders>
              <w:top w:val="single" w:sz="2" w:space="0" w:color="000000"/>
              <w:left w:val="single" w:sz="2" w:space="0" w:color="000000"/>
              <w:bottom w:val="single" w:sz="2" w:space="0" w:color="000000"/>
              <w:right w:val="single" w:sz="2" w:space="0" w:color="000000"/>
            </w:tcBorders>
          </w:tcPr>
          <w:p w14:paraId="6B357DC9" w14:textId="77777777" w:rsidR="009D54AF" w:rsidRDefault="00000000">
            <w:pPr>
              <w:pStyle w:val="TableParagraph"/>
              <w:spacing w:before="85"/>
              <w:ind w:left="9" w:right="2"/>
              <w:jc w:val="center"/>
              <w:rPr>
                <w:sz w:val="19"/>
              </w:rPr>
            </w:pPr>
            <w:r>
              <w:rPr>
                <w:spacing w:val="-10"/>
                <w:sz w:val="19"/>
              </w:rPr>
              <w:t>0</w:t>
            </w:r>
          </w:p>
        </w:tc>
        <w:tc>
          <w:tcPr>
            <w:tcW w:w="1133" w:type="dxa"/>
            <w:tcBorders>
              <w:top w:val="single" w:sz="2" w:space="0" w:color="000000"/>
              <w:left w:val="single" w:sz="2" w:space="0" w:color="000000"/>
              <w:bottom w:val="single" w:sz="2" w:space="0" w:color="000000"/>
              <w:right w:val="single" w:sz="2" w:space="0" w:color="000000"/>
            </w:tcBorders>
          </w:tcPr>
          <w:p w14:paraId="7E2787EB" w14:textId="77777777" w:rsidR="009D54AF" w:rsidRDefault="00000000">
            <w:pPr>
              <w:pStyle w:val="TableParagraph"/>
              <w:spacing w:before="85"/>
              <w:ind w:left="13" w:right="5"/>
              <w:jc w:val="center"/>
              <w:rPr>
                <w:sz w:val="19"/>
              </w:rPr>
            </w:pPr>
            <w:r>
              <w:rPr>
                <w:spacing w:val="-10"/>
                <w:sz w:val="19"/>
              </w:rPr>
              <w:t>0</w:t>
            </w:r>
          </w:p>
        </w:tc>
        <w:tc>
          <w:tcPr>
            <w:tcW w:w="1133" w:type="dxa"/>
            <w:tcBorders>
              <w:top w:val="single" w:sz="2" w:space="0" w:color="000000"/>
              <w:left w:val="single" w:sz="2" w:space="0" w:color="000000"/>
              <w:bottom w:val="single" w:sz="2" w:space="0" w:color="000000"/>
              <w:right w:val="single" w:sz="2" w:space="0" w:color="000000"/>
            </w:tcBorders>
          </w:tcPr>
          <w:p w14:paraId="4D9644F8" w14:textId="77777777" w:rsidR="009D54AF" w:rsidRDefault="00000000">
            <w:pPr>
              <w:pStyle w:val="TableParagraph"/>
              <w:spacing w:before="85"/>
              <w:ind w:left="13" w:right="3"/>
              <w:jc w:val="center"/>
              <w:rPr>
                <w:sz w:val="19"/>
              </w:rPr>
            </w:pPr>
            <w:r>
              <w:rPr>
                <w:spacing w:val="-10"/>
                <w:sz w:val="19"/>
              </w:rPr>
              <w:t>0</w:t>
            </w:r>
          </w:p>
        </w:tc>
        <w:tc>
          <w:tcPr>
            <w:tcW w:w="1133" w:type="dxa"/>
            <w:tcBorders>
              <w:top w:val="single" w:sz="2" w:space="0" w:color="000000"/>
              <w:left w:val="single" w:sz="2" w:space="0" w:color="000000"/>
              <w:bottom w:val="single" w:sz="2" w:space="0" w:color="000000"/>
              <w:right w:val="nil"/>
            </w:tcBorders>
          </w:tcPr>
          <w:p w14:paraId="18E0CF03" w14:textId="77777777" w:rsidR="009D54AF" w:rsidRDefault="00000000">
            <w:pPr>
              <w:pStyle w:val="TableParagraph"/>
              <w:spacing w:before="42"/>
              <w:ind w:left="11" w:right="2"/>
              <w:jc w:val="center"/>
              <w:rPr>
                <w:b/>
                <w:sz w:val="19"/>
              </w:rPr>
            </w:pPr>
            <w:r>
              <w:rPr>
                <w:b/>
                <w:spacing w:val="-10"/>
                <w:sz w:val="19"/>
              </w:rPr>
              <w:t>0</w:t>
            </w:r>
          </w:p>
        </w:tc>
      </w:tr>
      <w:tr w:rsidR="009D54AF" w14:paraId="1815AEC2" w14:textId="77777777">
        <w:trPr>
          <w:trHeight w:val="391"/>
        </w:trPr>
        <w:tc>
          <w:tcPr>
            <w:tcW w:w="2494" w:type="dxa"/>
            <w:tcBorders>
              <w:top w:val="single" w:sz="2" w:space="0" w:color="000000"/>
              <w:left w:val="nil"/>
              <w:bottom w:val="single" w:sz="2" w:space="0" w:color="000000"/>
              <w:right w:val="single" w:sz="2" w:space="0" w:color="000000"/>
            </w:tcBorders>
          </w:tcPr>
          <w:p w14:paraId="5918D0D9" w14:textId="77777777" w:rsidR="009D54AF" w:rsidRDefault="00000000">
            <w:pPr>
              <w:pStyle w:val="TableParagraph"/>
              <w:spacing w:before="85"/>
              <w:ind w:left="85"/>
              <w:rPr>
                <w:sz w:val="19"/>
              </w:rPr>
            </w:pPr>
            <w:r>
              <w:rPr>
                <w:spacing w:val="-5"/>
                <w:sz w:val="19"/>
              </w:rPr>
              <w:t>SA</w:t>
            </w:r>
          </w:p>
        </w:tc>
        <w:tc>
          <w:tcPr>
            <w:tcW w:w="1133" w:type="dxa"/>
            <w:tcBorders>
              <w:top w:val="single" w:sz="2" w:space="0" w:color="000000"/>
              <w:left w:val="single" w:sz="2" w:space="0" w:color="000000"/>
              <w:bottom w:val="single" w:sz="2" w:space="0" w:color="000000"/>
              <w:right w:val="single" w:sz="2" w:space="0" w:color="000000"/>
            </w:tcBorders>
          </w:tcPr>
          <w:p w14:paraId="281109B9" w14:textId="77777777" w:rsidR="009D54AF" w:rsidRDefault="00000000">
            <w:pPr>
              <w:pStyle w:val="TableParagraph"/>
              <w:spacing w:before="85"/>
              <w:ind w:left="13" w:right="12"/>
              <w:jc w:val="center"/>
              <w:rPr>
                <w:sz w:val="19"/>
              </w:rPr>
            </w:pPr>
            <w:r>
              <w:rPr>
                <w:spacing w:val="-10"/>
                <w:sz w:val="19"/>
              </w:rPr>
              <w:t>0</w:t>
            </w:r>
          </w:p>
        </w:tc>
        <w:tc>
          <w:tcPr>
            <w:tcW w:w="1133" w:type="dxa"/>
            <w:tcBorders>
              <w:top w:val="single" w:sz="2" w:space="0" w:color="000000"/>
              <w:left w:val="single" w:sz="2" w:space="0" w:color="000000"/>
              <w:bottom w:val="single" w:sz="2" w:space="0" w:color="000000"/>
              <w:right w:val="single" w:sz="2" w:space="0" w:color="000000"/>
            </w:tcBorders>
          </w:tcPr>
          <w:p w14:paraId="30AEBF79" w14:textId="77777777" w:rsidR="009D54AF" w:rsidRDefault="00000000">
            <w:pPr>
              <w:pStyle w:val="TableParagraph"/>
              <w:spacing w:before="85"/>
              <w:ind w:left="13" w:right="10"/>
              <w:jc w:val="center"/>
              <w:rPr>
                <w:sz w:val="19"/>
              </w:rPr>
            </w:pPr>
            <w:r>
              <w:rPr>
                <w:spacing w:val="-10"/>
                <w:sz w:val="19"/>
              </w:rPr>
              <w:t>0</w:t>
            </w:r>
          </w:p>
        </w:tc>
        <w:tc>
          <w:tcPr>
            <w:tcW w:w="1133" w:type="dxa"/>
            <w:tcBorders>
              <w:top w:val="single" w:sz="2" w:space="0" w:color="000000"/>
              <w:left w:val="single" w:sz="2" w:space="0" w:color="000000"/>
              <w:bottom w:val="single" w:sz="2" w:space="0" w:color="000000"/>
              <w:right w:val="single" w:sz="2" w:space="0" w:color="000000"/>
            </w:tcBorders>
          </w:tcPr>
          <w:p w14:paraId="3AF44073" w14:textId="77777777" w:rsidR="009D54AF" w:rsidRDefault="00000000">
            <w:pPr>
              <w:pStyle w:val="TableParagraph"/>
              <w:spacing w:before="85"/>
              <w:ind w:left="13" w:right="8"/>
              <w:jc w:val="center"/>
              <w:rPr>
                <w:sz w:val="19"/>
              </w:rPr>
            </w:pPr>
            <w:r>
              <w:rPr>
                <w:spacing w:val="-10"/>
                <w:sz w:val="19"/>
              </w:rPr>
              <w:t>0</w:t>
            </w:r>
          </w:p>
        </w:tc>
        <w:tc>
          <w:tcPr>
            <w:tcW w:w="906" w:type="dxa"/>
            <w:tcBorders>
              <w:top w:val="single" w:sz="2" w:space="0" w:color="000000"/>
              <w:left w:val="single" w:sz="2" w:space="0" w:color="000000"/>
              <w:bottom w:val="single" w:sz="2" w:space="0" w:color="000000"/>
              <w:right w:val="single" w:sz="2" w:space="0" w:color="000000"/>
            </w:tcBorders>
          </w:tcPr>
          <w:p w14:paraId="47595E28" w14:textId="77777777" w:rsidR="009D54AF" w:rsidRDefault="00000000">
            <w:pPr>
              <w:pStyle w:val="TableParagraph"/>
              <w:spacing w:before="85"/>
              <w:ind w:left="9" w:right="2"/>
              <w:jc w:val="center"/>
              <w:rPr>
                <w:sz w:val="19"/>
              </w:rPr>
            </w:pPr>
            <w:r>
              <w:rPr>
                <w:spacing w:val="-10"/>
                <w:sz w:val="19"/>
              </w:rPr>
              <w:t>0</w:t>
            </w:r>
          </w:p>
        </w:tc>
        <w:tc>
          <w:tcPr>
            <w:tcW w:w="1133" w:type="dxa"/>
            <w:tcBorders>
              <w:top w:val="single" w:sz="2" w:space="0" w:color="000000"/>
              <w:left w:val="single" w:sz="2" w:space="0" w:color="000000"/>
              <w:bottom w:val="single" w:sz="2" w:space="0" w:color="000000"/>
              <w:right w:val="single" w:sz="2" w:space="0" w:color="000000"/>
            </w:tcBorders>
          </w:tcPr>
          <w:p w14:paraId="4A7E1154" w14:textId="77777777" w:rsidR="009D54AF" w:rsidRDefault="00000000">
            <w:pPr>
              <w:pStyle w:val="TableParagraph"/>
              <w:spacing w:before="85"/>
              <w:ind w:left="13" w:right="5"/>
              <w:jc w:val="center"/>
              <w:rPr>
                <w:sz w:val="19"/>
              </w:rPr>
            </w:pPr>
            <w:r>
              <w:rPr>
                <w:spacing w:val="-10"/>
                <w:sz w:val="19"/>
              </w:rPr>
              <w:t>0</w:t>
            </w:r>
          </w:p>
        </w:tc>
        <w:tc>
          <w:tcPr>
            <w:tcW w:w="1133" w:type="dxa"/>
            <w:tcBorders>
              <w:top w:val="single" w:sz="2" w:space="0" w:color="000000"/>
              <w:left w:val="single" w:sz="2" w:space="0" w:color="000000"/>
              <w:bottom w:val="single" w:sz="2" w:space="0" w:color="000000"/>
              <w:right w:val="single" w:sz="2" w:space="0" w:color="000000"/>
            </w:tcBorders>
          </w:tcPr>
          <w:p w14:paraId="616B9376" w14:textId="77777777" w:rsidR="009D54AF" w:rsidRDefault="00000000">
            <w:pPr>
              <w:pStyle w:val="TableParagraph"/>
              <w:spacing w:before="85"/>
              <w:ind w:left="13" w:right="3"/>
              <w:jc w:val="center"/>
              <w:rPr>
                <w:sz w:val="19"/>
              </w:rPr>
            </w:pPr>
            <w:r>
              <w:rPr>
                <w:spacing w:val="-10"/>
                <w:sz w:val="19"/>
              </w:rPr>
              <w:t>0</w:t>
            </w:r>
          </w:p>
        </w:tc>
        <w:tc>
          <w:tcPr>
            <w:tcW w:w="1133" w:type="dxa"/>
            <w:tcBorders>
              <w:top w:val="single" w:sz="2" w:space="0" w:color="000000"/>
              <w:left w:val="single" w:sz="2" w:space="0" w:color="000000"/>
              <w:bottom w:val="single" w:sz="2" w:space="0" w:color="000000"/>
              <w:right w:val="nil"/>
            </w:tcBorders>
          </w:tcPr>
          <w:p w14:paraId="77050ECC" w14:textId="77777777" w:rsidR="009D54AF" w:rsidRDefault="00000000">
            <w:pPr>
              <w:pStyle w:val="TableParagraph"/>
              <w:spacing w:before="42"/>
              <w:ind w:left="11" w:right="2"/>
              <w:jc w:val="center"/>
              <w:rPr>
                <w:b/>
                <w:sz w:val="19"/>
              </w:rPr>
            </w:pPr>
            <w:r>
              <w:rPr>
                <w:b/>
                <w:spacing w:val="-10"/>
                <w:sz w:val="19"/>
              </w:rPr>
              <w:t>0</w:t>
            </w:r>
          </w:p>
        </w:tc>
      </w:tr>
      <w:tr w:rsidR="009D54AF" w14:paraId="07437DBD" w14:textId="77777777">
        <w:trPr>
          <w:trHeight w:val="391"/>
        </w:trPr>
        <w:tc>
          <w:tcPr>
            <w:tcW w:w="2494" w:type="dxa"/>
            <w:tcBorders>
              <w:top w:val="single" w:sz="2" w:space="0" w:color="000000"/>
              <w:left w:val="nil"/>
              <w:bottom w:val="single" w:sz="2" w:space="0" w:color="000000"/>
              <w:right w:val="single" w:sz="2" w:space="0" w:color="000000"/>
            </w:tcBorders>
          </w:tcPr>
          <w:p w14:paraId="12DE0BB1" w14:textId="77777777" w:rsidR="009D54AF" w:rsidRDefault="00000000">
            <w:pPr>
              <w:pStyle w:val="TableParagraph"/>
              <w:spacing w:before="85"/>
              <w:ind w:left="85"/>
              <w:rPr>
                <w:sz w:val="19"/>
              </w:rPr>
            </w:pPr>
            <w:r>
              <w:rPr>
                <w:spacing w:val="-5"/>
                <w:sz w:val="19"/>
              </w:rPr>
              <w:t>Tas</w:t>
            </w:r>
          </w:p>
        </w:tc>
        <w:tc>
          <w:tcPr>
            <w:tcW w:w="1133" w:type="dxa"/>
            <w:tcBorders>
              <w:top w:val="single" w:sz="2" w:space="0" w:color="000000"/>
              <w:left w:val="single" w:sz="2" w:space="0" w:color="000000"/>
              <w:bottom w:val="single" w:sz="2" w:space="0" w:color="000000"/>
              <w:right w:val="single" w:sz="2" w:space="0" w:color="000000"/>
            </w:tcBorders>
          </w:tcPr>
          <w:p w14:paraId="6B733627" w14:textId="77777777" w:rsidR="009D54AF" w:rsidRDefault="00000000">
            <w:pPr>
              <w:pStyle w:val="TableParagraph"/>
              <w:spacing w:before="85"/>
              <w:ind w:left="13" w:right="12"/>
              <w:jc w:val="center"/>
              <w:rPr>
                <w:sz w:val="19"/>
              </w:rPr>
            </w:pPr>
            <w:r>
              <w:rPr>
                <w:spacing w:val="-10"/>
                <w:sz w:val="19"/>
              </w:rPr>
              <w:t>0</w:t>
            </w:r>
          </w:p>
        </w:tc>
        <w:tc>
          <w:tcPr>
            <w:tcW w:w="1133" w:type="dxa"/>
            <w:tcBorders>
              <w:top w:val="single" w:sz="2" w:space="0" w:color="000000"/>
              <w:left w:val="single" w:sz="2" w:space="0" w:color="000000"/>
              <w:bottom w:val="single" w:sz="2" w:space="0" w:color="000000"/>
              <w:right w:val="single" w:sz="2" w:space="0" w:color="000000"/>
            </w:tcBorders>
          </w:tcPr>
          <w:p w14:paraId="3DF1607E" w14:textId="77777777" w:rsidR="009D54AF" w:rsidRDefault="00000000">
            <w:pPr>
              <w:pStyle w:val="TableParagraph"/>
              <w:spacing w:before="85"/>
              <w:ind w:left="13" w:right="10"/>
              <w:jc w:val="center"/>
              <w:rPr>
                <w:sz w:val="19"/>
              </w:rPr>
            </w:pPr>
            <w:r>
              <w:rPr>
                <w:spacing w:val="-10"/>
                <w:sz w:val="19"/>
              </w:rPr>
              <w:t>0</w:t>
            </w:r>
          </w:p>
        </w:tc>
        <w:tc>
          <w:tcPr>
            <w:tcW w:w="1133" w:type="dxa"/>
            <w:tcBorders>
              <w:top w:val="single" w:sz="2" w:space="0" w:color="000000"/>
              <w:left w:val="single" w:sz="2" w:space="0" w:color="000000"/>
              <w:bottom w:val="single" w:sz="2" w:space="0" w:color="000000"/>
              <w:right w:val="single" w:sz="2" w:space="0" w:color="000000"/>
            </w:tcBorders>
          </w:tcPr>
          <w:p w14:paraId="700F9205" w14:textId="77777777" w:rsidR="009D54AF" w:rsidRDefault="00000000">
            <w:pPr>
              <w:pStyle w:val="TableParagraph"/>
              <w:spacing w:before="85"/>
              <w:ind w:left="13" w:right="8"/>
              <w:jc w:val="center"/>
              <w:rPr>
                <w:sz w:val="19"/>
              </w:rPr>
            </w:pPr>
            <w:r>
              <w:rPr>
                <w:spacing w:val="-10"/>
                <w:sz w:val="19"/>
              </w:rPr>
              <w:t>0</w:t>
            </w:r>
          </w:p>
        </w:tc>
        <w:tc>
          <w:tcPr>
            <w:tcW w:w="906" w:type="dxa"/>
            <w:tcBorders>
              <w:top w:val="single" w:sz="2" w:space="0" w:color="000000"/>
              <w:left w:val="single" w:sz="2" w:space="0" w:color="000000"/>
              <w:bottom w:val="single" w:sz="2" w:space="0" w:color="000000"/>
              <w:right w:val="single" w:sz="2" w:space="0" w:color="000000"/>
            </w:tcBorders>
          </w:tcPr>
          <w:p w14:paraId="2061B843" w14:textId="77777777" w:rsidR="009D54AF" w:rsidRDefault="00000000">
            <w:pPr>
              <w:pStyle w:val="TableParagraph"/>
              <w:spacing w:before="85"/>
              <w:ind w:left="9" w:right="2"/>
              <w:jc w:val="center"/>
              <w:rPr>
                <w:sz w:val="19"/>
              </w:rPr>
            </w:pPr>
            <w:r>
              <w:rPr>
                <w:spacing w:val="-10"/>
                <w:sz w:val="19"/>
              </w:rPr>
              <w:t>0</w:t>
            </w:r>
          </w:p>
        </w:tc>
        <w:tc>
          <w:tcPr>
            <w:tcW w:w="1133" w:type="dxa"/>
            <w:tcBorders>
              <w:top w:val="single" w:sz="2" w:space="0" w:color="000000"/>
              <w:left w:val="single" w:sz="2" w:space="0" w:color="000000"/>
              <w:bottom w:val="single" w:sz="2" w:space="0" w:color="000000"/>
              <w:right w:val="single" w:sz="2" w:space="0" w:color="000000"/>
            </w:tcBorders>
          </w:tcPr>
          <w:p w14:paraId="5FE6B249" w14:textId="77777777" w:rsidR="009D54AF" w:rsidRDefault="00000000">
            <w:pPr>
              <w:pStyle w:val="TableParagraph"/>
              <w:spacing w:before="85"/>
              <w:ind w:left="13" w:right="5"/>
              <w:jc w:val="center"/>
              <w:rPr>
                <w:sz w:val="19"/>
              </w:rPr>
            </w:pPr>
            <w:r>
              <w:rPr>
                <w:spacing w:val="-10"/>
                <w:sz w:val="19"/>
              </w:rPr>
              <w:t>0</w:t>
            </w:r>
          </w:p>
        </w:tc>
        <w:tc>
          <w:tcPr>
            <w:tcW w:w="1133" w:type="dxa"/>
            <w:tcBorders>
              <w:top w:val="single" w:sz="2" w:space="0" w:color="000000"/>
              <w:left w:val="single" w:sz="2" w:space="0" w:color="000000"/>
              <w:bottom w:val="single" w:sz="2" w:space="0" w:color="000000"/>
              <w:right w:val="single" w:sz="2" w:space="0" w:color="000000"/>
            </w:tcBorders>
          </w:tcPr>
          <w:p w14:paraId="30529374" w14:textId="77777777" w:rsidR="009D54AF" w:rsidRDefault="00000000">
            <w:pPr>
              <w:pStyle w:val="TableParagraph"/>
              <w:spacing w:before="85"/>
              <w:ind w:left="13" w:right="3"/>
              <w:jc w:val="center"/>
              <w:rPr>
                <w:sz w:val="19"/>
              </w:rPr>
            </w:pPr>
            <w:r>
              <w:rPr>
                <w:spacing w:val="-10"/>
                <w:sz w:val="19"/>
              </w:rPr>
              <w:t>0</w:t>
            </w:r>
          </w:p>
        </w:tc>
        <w:tc>
          <w:tcPr>
            <w:tcW w:w="1133" w:type="dxa"/>
            <w:tcBorders>
              <w:top w:val="single" w:sz="2" w:space="0" w:color="000000"/>
              <w:left w:val="single" w:sz="2" w:space="0" w:color="000000"/>
              <w:bottom w:val="single" w:sz="2" w:space="0" w:color="000000"/>
              <w:right w:val="nil"/>
            </w:tcBorders>
          </w:tcPr>
          <w:p w14:paraId="6AEFA96C" w14:textId="77777777" w:rsidR="009D54AF" w:rsidRDefault="00000000">
            <w:pPr>
              <w:pStyle w:val="TableParagraph"/>
              <w:spacing w:before="42"/>
              <w:ind w:left="11" w:right="2"/>
              <w:jc w:val="center"/>
              <w:rPr>
                <w:b/>
                <w:sz w:val="19"/>
              </w:rPr>
            </w:pPr>
            <w:r>
              <w:rPr>
                <w:b/>
                <w:spacing w:val="-10"/>
                <w:sz w:val="19"/>
              </w:rPr>
              <w:t>0</w:t>
            </w:r>
          </w:p>
        </w:tc>
      </w:tr>
      <w:tr w:rsidR="009D54AF" w14:paraId="0DEC2B30" w14:textId="77777777">
        <w:trPr>
          <w:trHeight w:val="391"/>
        </w:trPr>
        <w:tc>
          <w:tcPr>
            <w:tcW w:w="2494" w:type="dxa"/>
            <w:tcBorders>
              <w:top w:val="single" w:sz="2" w:space="0" w:color="000000"/>
              <w:left w:val="nil"/>
              <w:bottom w:val="single" w:sz="2" w:space="0" w:color="000000"/>
              <w:right w:val="single" w:sz="2" w:space="0" w:color="000000"/>
            </w:tcBorders>
          </w:tcPr>
          <w:p w14:paraId="433B658C" w14:textId="77777777" w:rsidR="009D54AF" w:rsidRDefault="00000000">
            <w:pPr>
              <w:pStyle w:val="TableParagraph"/>
              <w:spacing w:before="85"/>
              <w:ind w:left="85"/>
              <w:rPr>
                <w:sz w:val="19"/>
              </w:rPr>
            </w:pPr>
            <w:r>
              <w:rPr>
                <w:spacing w:val="-5"/>
                <w:sz w:val="19"/>
              </w:rPr>
              <w:t>Vic</w:t>
            </w:r>
          </w:p>
        </w:tc>
        <w:tc>
          <w:tcPr>
            <w:tcW w:w="1133" w:type="dxa"/>
            <w:tcBorders>
              <w:top w:val="single" w:sz="2" w:space="0" w:color="000000"/>
              <w:left w:val="single" w:sz="2" w:space="0" w:color="000000"/>
              <w:bottom w:val="single" w:sz="2" w:space="0" w:color="000000"/>
              <w:right w:val="single" w:sz="2" w:space="0" w:color="000000"/>
            </w:tcBorders>
          </w:tcPr>
          <w:p w14:paraId="58B373F0" w14:textId="77777777" w:rsidR="009D54AF" w:rsidRDefault="00000000">
            <w:pPr>
              <w:pStyle w:val="TableParagraph"/>
              <w:spacing w:before="85"/>
              <w:ind w:left="13" w:right="12"/>
              <w:jc w:val="center"/>
              <w:rPr>
                <w:sz w:val="19"/>
              </w:rPr>
            </w:pPr>
            <w:r>
              <w:rPr>
                <w:spacing w:val="-10"/>
                <w:sz w:val="19"/>
              </w:rPr>
              <w:t>0</w:t>
            </w:r>
          </w:p>
        </w:tc>
        <w:tc>
          <w:tcPr>
            <w:tcW w:w="1133" w:type="dxa"/>
            <w:tcBorders>
              <w:top w:val="single" w:sz="2" w:space="0" w:color="000000"/>
              <w:left w:val="single" w:sz="2" w:space="0" w:color="000000"/>
              <w:bottom w:val="single" w:sz="2" w:space="0" w:color="000000"/>
              <w:right w:val="single" w:sz="2" w:space="0" w:color="000000"/>
            </w:tcBorders>
          </w:tcPr>
          <w:p w14:paraId="7773B459" w14:textId="77777777" w:rsidR="009D54AF" w:rsidRDefault="00000000">
            <w:pPr>
              <w:pStyle w:val="TableParagraph"/>
              <w:spacing w:before="85"/>
              <w:ind w:left="13" w:right="10"/>
              <w:jc w:val="center"/>
              <w:rPr>
                <w:sz w:val="19"/>
              </w:rPr>
            </w:pPr>
            <w:r>
              <w:rPr>
                <w:spacing w:val="-10"/>
                <w:sz w:val="19"/>
              </w:rPr>
              <w:t>0</w:t>
            </w:r>
          </w:p>
        </w:tc>
        <w:tc>
          <w:tcPr>
            <w:tcW w:w="1133" w:type="dxa"/>
            <w:tcBorders>
              <w:top w:val="single" w:sz="2" w:space="0" w:color="000000"/>
              <w:left w:val="single" w:sz="2" w:space="0" w:color="000000"/>
              <w:bottom w:val="single" w:sz="2" w:space="0" w:color="000000"/>
              <w:right w:val="single" w:sz="2" w:space="0" w:color="000000"/>
            </w:tcBorders>
          </w:tcPr>
          <w:p w14:paraId="2CDAA555" w14:textId="77777777" w:rsidR="009D54AF" w:rsidRDefault="00000000">
            <w:pPr>
              <w:pStyle w:val="TableParagraph"/>
              <w:spacing w:before="85"/>
              <w:ind w:left="13" w:right="8"/>
              <w:jc w:val="center"/>
              <w:rPr>
                <w:sz w:val="19"/>
              </w:rPr>
            </w:pPr>
            <w:r>
              <w:rPr>
                <w:spacing w:val="-10"/>
                <w:sz w:val="19"/>
              </w:rPr>
              <w:t>0</w:t>
            </w:r>
          </w:p>
        </w:tc>
        <w:tc>
          <w:tcPr>
            <w:tcW w:w="906" w:type="dxa"/>
            <w:tcBorders>
              <w:top w:val="single" w:sz="2" w:space="0" w:color="000000"/>
              <w:left w:val="single" w:sz="2" w:space="0" w:color="000000"/>
              <w:bottom w:val="single" w:sz="2" w:space="0" w:color="000000"/>
              <w:right w:val="single" w:sz="2" w:space="0" w:color="000000"/>
            </w:tcBorders>
          </w:tcPr>
          <w:p w14:paraId="5B05700A" w14:textId="77777777" w:rsidR="009D54AF" w:rsidRDefault="00000000">
            <w:pPr>
              <w:pStyle w:val="TableParagraph"/>
              <w:spacing w:before="85"/>
              <w:ind w:left="9" w:right="2"/>
              <w:jc w:val="center"/>
              <w:rPr>
                <w:sz w:val="19"/>
              </w:rPr>
            </w:pPr>
            <w:r>
              <w:rPr>
                <w:spacing w:val="-10"/>
                <w:sz w:val="19"/>
              </w:rPr>
              <w:t>0</w:t>
            </w:r>
          </w:p>
        </w:tc>
        <w:tc>
          <w:tcPr>
            <w:tcW w:w="1133" w:type="dxa"/>
            <w:tcBorders>
              <w:top w:val="single" w:sz="2" w:space="0" w:color="000000"/>
              <w:left w:val="single" w:sz="2" w:space="0" w:color="000000"/>
              <w:bottom w:val="single" w:sz="2" w:space="0" w:color="000000"/>
              <w:right w:val="single" w:sz="2" w:space="0" w:color="000000"/>
            </w:tcBorders>
          </w:tcPr>
          <w:p w14:paraId="7AA81861" w14:textId="77777777" w:rsidR="009D54AF" w:rsidRDefault="00000000">
            <w:pPr>
              <w:pStyle w:val="TableParagraph"/>
              <w:spacing w:before="85"/>
              <w:ind w:left="13" w:right="5"/>
              <w:jc w:val="center"/>
              <w:rPr>
                <w:sz w:val="19"/>
              </w:rPr>
            </w:pPr>
            <w:r>
              <w:rPr>
                <w:spacing w:val="-10"/>
                <w:sz w:val="19"/>
              </w:rPr>
              <w:t>0</w:t>
            </w:r>
          </w:p>
        </w:tc>
        <w:tc>
          <w:tcPr>
            <w:tcW w:w="1133" w:type="dxa"/>
            <w:tcBorders>
              <w:top w:val="single" w:sz="2" w:space="0" w:color="000000"/>
              <w:left w:val="single" w:sz="2" w:space="0" w:color="000000"/>
              <w:bottom w:val="single" w:sz="2" w:space="0" w:color="000000"/>
              <w:right w:val="single" w:sz="2" w:space="0" w:color="000000"/>
            </w:tcBorders>
          </w:tcPr>
          <w:p w14:paraId="1DBC3EE5" w14:textId="77777777" w:rsidR="009D54AF" w:rsidRDefault="00000000">
            <w:pPr>
              <w:pStyle w:val="TableParagraph"/>
              <w:spacing w:before="85"/>
              <w:ind w:left="13" w:right="3"/>
              <w:jc w:val="center"/>
              <w:rPr>
                <w:sz w:val="19"/>
              </w:rPr>
            </w:pPr>
            <w:r>
              <w:rPr>
                <w:spacing w:val="-10"/>
                <w:sz w:val="19"/>
              </w:rPr>
              <w:t>0</w:t>
            </w:r>
          </w:p>
        </w:tc>
        <w:tc>
          <w:tcPr>
            <w:tcW w:w="1133" w:type="dxa"/>
            <w:tcBorders>
              <w:top w:val="single" w:sz="2" w:space="0" w:color="000000"/>
              <w:left w:val="single" w:sz="2" w:space="0" w:color="000000"/>
              <w:bottom w:val="single" w:sz="2" w:space="0" w:color="000000"/>
              <w:right w:val="nil"/>
            </w:tcBorders>
          </w:tcPr>
          <w:p w14:paraId="59C5A232" w14:textId="77777777" w:rsidR="009D54AF" w:rsidRDefault="00000000">
            <w:pPr>
              <w:pStyle w:val="TableParagraph"/>
              <w:spacing w:before="42"/>
              <w:ind w:left="11" w:right="2"/>
              <w:jc w:val="center"/>
              <w:rPr>
                <w:b/>
                <w:sz w:val="19"/>
              </w:rPr>
            </w:pPr>
            <w:r>
              <w:rPr>
                <w:b/>
                <w:spacing w:val="-10"/>
                <w:sz w:val="19"/>
              </w:rPr>
              <w:t>0</w:t>
            </w:r>
          </w:p>
        </w:tc>
      </w:tr>
      <w:tr w:rsidR="009D54AF" w14:paraId="58CF87C5" w14:textId="77777777">
        <w:trPr>
          <w:trHeight w:val="391"/>
        </w:trPr>
        <w:tc>
          <w:tcPr>
            <w:tcW w:w="2494" w:type="dxa"/>
            <w:tcBorders>
              <w:top w:val="single" w:sz="2" w:space="0" w:color="000000"/>
              <w:left w:val="nil"/>
              <w:bottom w:val="single" w:sz="2" w:space="0" w:color="000000"/>
              <w:right w:val="single" w:sz="2" w:space="0" w:color="000000"/>
            </w:tcBorders>
          </w:tcPr>
          <w:p w14:paraId="38418DCE" w14:textId="77777777" w:rsidR="009D54AF" w:rsidRDefault="00000000">
            <w:pPr>
              <w:pStyle w:val="TableParagraph"/>
              <w:spacing w:before="85"/>
              <w:ind w:left="85"/>
              <w:rPr>
                <w:sz w:val="19"/>
              </w:rPr>
            </w:pPr>
            <w:r>
              <w:rPr>
                <w:spacing w:val="-5"/>
                <w:sz w:val="19"/>
              </w:rPr>
              <w:t>WA</w:t>
            </w:r>
          </w:p>
        </w:tc>
        <w:tc>
          <w:tcPr>
            <w:tcW w:w="1133" w:type="dxa"/>
            <w:tcBorders>
              <w:top w:val="single" w:sz="2" w:space="0" w:color="000000"/>
              <w:left w:val="single" w:sz="2" w:space="0" w:color="000000"/>
              <w:bottom w:val="single" w:sz="2" w:space="0" w:color="000000"/>
              <w:right w:val="single" w:sz="2" w:space="0" w:color="000000"/>
            </w:tcBorders>
          </w:tcPr>
          <w:p w14:paraId="45E9E89C" w14:textId="77777777" w:rsidR="009D54AF" w:rsidRDefault="00000000">
            <w:pPr>
              <w:pStyle w:val="TableParagraph"/>
              <w:spacing w:before="85"/>
              <w:ind w:left="13" w:right="12"/>
              <w:jc w:val="center"/>
              <w:rPr>
                <w:sz w:val="19"/>
              </w:rPr>
            </w:pPr>
            <w:r>
              <w:rPr>
                <w:spacing w:val="-10"/>
                <w:sz w:val="19"/>
              </w:rPr>
              <w:t>0</w:t>
            </w:r>
          </w:p>
        </w:tc>
        <w:tc>
          <w:tcPr>
            <w:tcW w:w="1133" w:type="dxa"/>
            <w:tcBorders>
              <w:top w:val="single" w:sz="2" w:space="0" w:color="000000"/>
              <w:left w:val="single" w:sz="2" w:space="0" w:color="000000"/>
              <w:bottom w:val="single" w:sz="2" w:space="0" w:color="000000"/>
              <w:right w:val="single" w:sz="2" w:space="0" w:color="000000"/>
            </w:tcBorders>
          </w:tcPr>
          <w:p w14:paraId="398D7B2B" w14:textId="77777777" w:rsidR="009D54AF" w:rsidRDefault="00000000">
            <w:pPr>
              <w:pStyle w:val="TableParagraph"/>
              <w:spacing w:before="85"/>
              <w:ind w:left="13" w:right="10"/>
              <w:jc w:val="center"/>
              <w:rPr>
                <w:sz w:val="19"/>
              </w:rPr>
            </w:pPr>
            <w:r>
              <w:rPr>
                <w:spacing w:val="-10"/>
                <w:sz w:val="19"/>
              </w:rPr>
              <w:t>0</w:t>
            </w:r>
          </w:p>
        </w:tc>
        <w:tc>
          <w:tcPr>
            <w:tcW w:w="1133" w:type="dxa"/>
            <w:tcBorders>
              <w:top w:val="single" w:sz="2" w:space="0" w:color="000000"/>
              <w:left w:val="single" w:sz="2" w:space="0" w:color="000000"/>
              <w:bottom w:val="single" w:sz="2" w:space="0" w:color="000000"/>
              <w:right w:val="single" w:sz="2" w:space="0" w:color="000000"/>
            </w:tcBorders>
          </w:tcPr>
          <w:p w14:paraId="03BAF9F1" w14:textId="77777777" w:rsidR="009D54AF" w:rsidRDefault="00000000">
            <w:pPr>
              <w:pStyle w:val="TableParagraph"/>
              <w:spacing w:before="85"/>
              <w:ind w:left="13" w:right="8"/>
              <w:jc w:val="center"/>
              <w:rPr>
                <w:sz w:val="19"/>
              </w:rPr>
            </w:pPr>
            <w:r>
              <w:rPr>
                <w:spacing w:val="-10"/>
                <w:sz w:val="19"/>
              </w:rPr>
              <w:t>0</w:t>
            </w:r>
          </w:p>
        </w:tc>
        <w:tc>
          <w:tcPr>
            <w:tcW w:w="906" w:type="dxa"/>
            <w:tcBorders>
              <w:top w:val="single" w:sz="2" w:space="0" w:color="000000"/>
              <w:left w:val="single" w:sz="2" w:space="0" w:color="000000"/>
              <w:bottom w:val="single" w:sz="2" w:space="0" w:color="000000"/>
              <w:right w:val="single" w:sz="2" w:space="0" w:color="000000"/>
            </w:tcBorders>
          </w:tcPr>
          <w:p w14:paraId="37133372" w14:textId="77777777" w:rsidR="009D54AF" w:rsidRDefault="00000000">
            <w:pPr>
              <w:pStyle w:val="TableParagraph"/>
              <w:spacing w:before="85"/>
              <w:ind w:left="9" w:right="2"/>
              <w:jc w:val="center"/>
              <w:rPr>
                <w:sz w:val="19"/>
              </w:rPr>
            </w:pPr>
            <w:r>
              <w:rPr>
                <w:spacing w:val="-10"/>
                <w:sz w:val="19"/>
              </w:rPr>
              <w:t>0</w:t>
            </w:r>
          </w:p>
        </w:tc>
        <w:tc>
          <w:tcPr>
            <w:tcW w:w="1133" w:type="dxa"/>
            <w:tcBorders>
              <w:top w:val="single" w:sz="2" w:space="0" w:color="000000"/>
              <w:left w:val="single" w:sz="2" w:space="0" w:color="000000"/>
              <w:bottom w:val="single" w:sz="2" w:space="0" w:color="000000"/>
              <w:right w:val="single" w:sz="2" w:space="0" w:color="000000"/>
            </w:tcBorders>
          </w:tcPr>
          <w:p w14:paraId="76A96C49" w14:textId="77777777" w:rsidR="009D54AF" w:rsidRDefault="00000000">
            <w:pPr>
              <w:pStyle w:val="TableParagraph"/>
              <w:spacing w:before="85"/>
              <w:ind w:left="13" w:right="5"/>
              <w:jc w:val="center"/>
              <w:rPr>
                <w:sz w:val="19"/>
              </w:rPr>
            </w:pPr>
            <w:r>
              <w:rPr>
                <w:spacing w:val="-10"/>
                <w:sz w:val="19"/>
              </w:rPr>
              <w:t>0</w:t>
            </w:r>
          </w:p>
        </w:tc>
        <w:tc>
          <w:tcPr>
            <w:tcW w:w="1133" w:type="dxa"/>
            <w:tcBorders>
              <w:top w:val="single" w:sz="2" w:space="0" w:color="000000"/>
              <w:left w:val="single" w:sz="2" w:space="0" w:color="000000"/>
              <w:bottom w:val="single" w:sz="2" w:space="0" w:color="000000"/>
              <w:right w:val="single" w:sz="2" w:space="0" w:color="000000"/>
            </w:tcBorders>
          </w:tcPr>
          <w:p w14:paraId="5CAC1E7C" w14:textId="77777777" w:rsidR="009D54AF" w:rsidRDefault="00000000">
            <w:pPr>
              <w:pStyle w:val="TableParagraph"/>
              <w:spacing w:before="85"/>
              <w:ind w:left="13" w:right="3"/>
              <w:jc w:val="center"/>
              <w:rPr>
                <w:sz w:val="19"/>
              </w:rPr>
            </w:pPr>
            <w:r>
              <w:rPr>
                <w:spacing w:val="-10"/>
                <w:sz w:val="19"/>
              </w:rPr>
              <w:t>0</w:t>
            </w:r>
          </w:p>
        </w:tc>
        <w:tc>
          <w:tcPr>
            <w:tcW w:w="1133" w:type="dxa"/>
            <w:tcBorders>
              <w:top w:val="single" w:sz="2" w:space="0" w:color="000000"/>
              <w:left w:val="single" w:sz="2" w:space="0" w:color="000000"/>
              <w:bottom w:val="single" w:sz="2" w:space="0" w:color="000000"/>
              <w:right w:val="nil"/>
            </w:tcBorders>
          </w:tcPr>
          <w:p w14:paraId="521A5F86" w14:textId="77777777" w:rsidR="009D54AF" w:rsidRDefault="00000000">
            <w:pPr>
              <w:pStyle w:val="TableParagraph"/>
              <w:spacing w:before="42"/>
              <w:ind w:left="11" w:right="2"/>
              <w:jc w:val="center"/>
              <w:rPr>
                <w:b/>
                <w:sz w:val="19"/>
              </w:rPr>
            </w:pPr>
            <w:r>
              <w:rPr>
                <w:b/>
                <w:spacing w:val="-10"/>
                <w:sz w:val="19"/>
              </w:rPr>
              <w:t>0</w:t>
            </w:r>
          </w:p>
        </w:tc>
      </w:tr>
      <w:tr w:rsidR="009D54AF" w14:paraId="3AAD36B9" w14:textId="77777777">
        <w:trPr>
          <w:trHeight w:val="391"/>
        </w:trPr>
        <w:tc>
          <w:tcPr>
            <w:tcW w:w="2494" w:type="dxa"/>
            <w:tcBorders>
              <w:top w:val="single" w:sz="2" w:space="0" w:color="000000"/>
              <w:left w:val="nil"/>
              <w:bottom w:val="single" w:sz="2" w:space="0" w:color="000000"/>
              <w:right w:val="single" w:sz="2" w:space="0" w:color="000000"/>
            </w:tcBorders>
          </w:tcPr>
          <w:p w14:paraId="2C988694" w14:textId="77777777" w:rsidR="009D54AF" w:rsidRDefault="00000000">
            <w:pPr>
              <w:pStyle w:val="TableParagraph"/>
              <w:spacing w:before="85"/>
              <w:ind w:left="85"/>
              <w:rPr>
                <w:sz w:val="19"/>
              </w:rPr>
            </w:pPr>
            <w:r>
              <w:rPr>
                <w:spacing w:val="-5"/>
                <w:sz w:val="19"/>
              </w:rPr>
              <w:t>ACT</w:t>
            </w:r>
          </w:p>
        </w:tc>
        <w:tc>
          <w:tcPr>
            <w:tcW w:w="1133" w:type="dxa"/>
            <w:tcBorders>
              <w:top w:val="single" w:sz="2" w:space="0" w:color="000000"/>
              <w:left w:val="single" w:sz="2" w:space="0" w:color="000000"/>
              <w:bottom w:val="single" w:sz="2" w:space="0" w:color="000000"/>
              <w:right w:val="single" w:sz="2" w:space="0" w:color="000000"/>
            </w:tcBorders>
          </w:tcPr>
          <w:p w14:paraId="726FB8D3" w14:textId="77777777" w:rsidR="009D54AF" w:rsidRDefault="00000000">
            <w:pPr>
              <w:pStyle w:val="TableParagraph"/>
              <w:spacing w:before="85"/>
              <w:ind w:left="13" w:right="12"/>
              <w:jc w:val="center"/>
              <w:rPr>
                <w:sz w:val="19"/>
              </w:rPr>
            </w:pPr>
            <w:r>
              <w:rPr>
                <w:spacing w:val="-10"/>
                <w:sz w:val="19"/>
              </w:rPr>
              <w:t>0</w:t>
            </w:r>
          </w:p>
        </w:tc>
        <w:tc>
          <w:tcPr>
            <w:tcW w:w="1133" w:type="dxa"/>
            <w:tcBorders>
              <w:top w:val="single" w:sz="2" w:space="0" w:color="000000"/>
              <w:left w:val="single" w:sz="2" w:space="0" w:color="000000"/>
              <w:bottom w:val="single" w:sz="2" w:space="0" w:color="000000"/>
              <w:right w:val="single" w:sz="2" w:space="0" w:color="000000"/>
            </w:tcBorders>
          </w:tcPr>
          <w:p w14:paraId="4312676B" w14:textId="77777777" w:rsidR="009D54AF" w:rsidRDefault="00000000">
            <w:pPr>
              <w:pStyle w:val="TableParagraph"/>
              <w:spacing w:before="85"/>
              <w:ind w:left="13" w:right="10"/>
              <w:jc w:val="center"/>
              <w:rPr>
                <w:sz w:val="19"/>
              </w:rPr>
            </w:pPr>
            <w:r>
              <w:rPr>
                <w:spacing w:val="-10"/>
                <w:sz w:val="19"/>
              </w:rPr>
              <w:t>0</w:t>
            </w:r>
          </w:p>
        </w:tc>
        <w:tc>
          <w:tcPr>
            <w:tcW w:w="1133" w:type="dxa"/>
            <w:tcBorders>
              <w:top w:val="single" w:sz="2" w:space="0" w:color="000000"/>
              <w:left w:val="single" w:sz="2" w:space="0" w:color="000000"/>
              <w:bottom w:val="single" w:sz="2" w:space="0" w:color="000000"/>
              <w:right w:val="single" w:sz="2" w:space="0" w:color="000000"/>
            </w:tcBorders>
          </w:tcPr>
          <w:p w14:paraId="34165BF3" w14:textId="77777777" w:rsidR="009D54AF" w:rsidRDefault="00000000">
            <w:pPr>
              <w:pStyle w:val="TableParagraph"/>
              <w:spacing w:before="85"/>
              <w:ind w:left="13" w:right="8"/>
              <w:jc w:val="center"/>
              <w:rPr>
                <w:sz w:val="19"/>
              </w:rPr>
            </w:pPr>
            <w:r>
              <w:rPr>
                <w:spacing w:val="-10"/>
                <w:sz w:val="19"/>
              </w:rPr>
              <w:t>0</w:t>
            </w:r>
          </w:p>
        </w:tc>
        <w:tc>
          <w:tcPr>
            <w:tcW w:w="906" w:type="dxa"/>
            <w:tcBorders>
              <w:top w:val="single" w:sz="2" w:space="0" w:color="000000"/>
              <w:left w:val="single" w:sz="2" w:space="0" w:color="000000"/>
              <w:bottom w:val="single" w:sz="2" w:space="0" w:color="000000"/>
              <w:right w:val="single" w:sz="2" w:space="0" w:color="000000"/>
            </w:tcBorders>
          </w:tcPr>
          <w:p w14:paraId="58D23837" w14:textId="77777777" w:rsidR="009D54AF" w:rsidRDefault="00000000">
            <w:pPr>
              <w:pStyle w:val="TableParagraph"/>
              <w:spacing w:before="85"/>
              <w:ind w:left="9" w:right="2"/>
              <w:jc w:val="center"/>
              <w:rPr>
                <w:sz w:val="19"/>
              </w:rPr>
            </w:pPr>
            <w:r>
              <w:rPr>
                <w:spacing w:val="-10"/>
                <w:sz w:val="19"/>
              </w:rPr>
              <w:t>0</w:t>
            </w:r>
          </w:p>
        </w:tc>
        <w:tc>
          <w:tcPr>
            <w:tcW w:w="1133" w:type="dxa"/>
            <w:tcBorders>
              <w:top w:val="single" w:sz="2" w:space="0" w:color="000000"/>
              <w:left w:val="single" w:sz="2" w:space="0" w:color="000000"/>
              <w:bottom w:val="single" w:sz="2" w:space="0" w:color="000000"/>
              <w:right w:val="single" w:sz="2" w:space="0" w:color="000000"/>
            </w:tcBorders>
          </w:tcPr>
          <w:p w14:paraId="13C38600" w14:textId="77777777" w:rsidR="009D54AF" w:rsidRDefault="00000000">
            <w:pPr>
              <w:pStyle w:val="TableParagraph"/>
              <w:spacing w:before="85"/>
              <w:ind w:left="13" w:right="5"/>
              <w:jc w:val="center"/>
              <w:rPr>
                <w:sz w:val="19"/>
              </w:rPr>
            </w:pPr>
            <w:r>
              <w:rPr>
                <w:spacing w:val="-10"/>
                <w:sz w:val="19"/>
              </w:rPr>
              <w:t>0</w:t>
            </w:r>
          </w:p>
        </w:tc>
        <w:tc>
          <w:tcPr>
            <w:tcW w:w="1133" w:type="dxa"/>
            <w:tcBorders>
              <w:top w:val="single" w:sz="2" w:space="0" w:color="000000"/>
              <w:left w:val="single" w:sz="2" w:space="0" w:color="000000"/>
              <w:bottom w:val="single" w:sz="2" w:space="0" w:color="000000"/>
              <w:right w:val="single" w:sz="2" w:space="0" w:color="000000"/>
            </w:tcBorders>
          </w:tcPr>
          <w:p w14:paraId="4EF876AE" w14:textId="77777777" w:rsidR="009D54AF" w:rsidRDefault="00000000">
            <w:pPr>
              <w:pStyle w:val="TableParagraph"/>
              <w:spacing w:before="85"/>
              <w:ind w:left="13" w:right="3"/>
              <w:jc w:val="center"/>
              <w:rPr>
                <w:sz w:val="19"/>
              </w:rPr>
            </w:pPr>
            <w:r>
              <w:rPr>
                <w:spacing w:val="-10"/>
                <w:sz w:val="19"/>
              </w:rPr>
              <w:t>0</w:t>
            </w:r>
          </w:p>
        </w:tc>
        <w:tc>
          <w:tcPr>
            <w:tcW w:w="1133" w:type="dxa"/>
            <w:tcBorders>
              <w:top w:val="single" w:sz="2" w:space="0" w:color="000000"/>
              <w:left w:val="single" w:sz="2" w:space="0" w:color="000000"/>
              <w:bottom w:val="single" w:sz="2" w:space="0" w:color="000000"/>
              <w:right w:val="nil"/>
            </w:tcBorders>
          </w:tcPr>
          <w:p w14:paraId="2CEDD265" w14:textId="77777777" w:rsidR="009D54AF" w:rsidRDefault="00000000">
            <w:pPr>
              <w:pStyle w:val="TableParagraph"/>
              <w:spacing w:before="42"/>
              <w:ind w:left="11" w:right="2"/>
              <w:jc w:val="center"/>
              <w:rPr>
                <w:b/>
                <w:sz w:val="19"/>
              </w:rPr>
            </w:pPr>
            <w:r>
              <w:rPr>
                <w:b/>
                <w:spacing w:val="-10"/>
                <w:sz w:val="19"/>
              </w:rPr>
              <w:t>0</w:t>
            </w:r>
          </w:p>
        </w:tc>
      </w:tr>
      <w:tr w:rsidR="009D54AF" w14:paraId="5E48FCC5" w14:textId="77777777">
        <w:trPr>
          <w:trHeight w:val="391"/>
        </w:trPr>
        <w:tc>
          <w:tcPr>
            <w:tcW w:w="2494" w:type="dxa"/>
            <w:tcBorders>
              <w:top w:val="single" w:sz="2" w:space="0" w:color="000000"/>
              <w:left w:val="nil"/>
              <w:bottom w:val="single" w:sz="2" w:space="0" w:color="000000"/>
              <w:right w:val="single" w:sz="2" w:space="0" w:color="000000"/>
            </w:tcBorders>
          </w:tcPr>
          <w:p w14:paraId="22191C5E" w14:textId="77777777" w:rsidR="009D54AF" w:rsidRDefault="00000000">
            <w:pPr>
              <w:pStyle w:val="TableParagraph"/>
              <w:spacing w:before="85"/>
              <w:ind w:left="85"/>
              <w:rPr>
                <w:sz w:val="19"/>
              </w:rPr>
            </w:pPr>
            <w:r>
              <w:rPr>
                <w:sz w:val="19"/>
              </w:rPr>
              <w:t>External</w:t>
            </w:r>
            <w:r>
              <w:rPr>
                <w:spacing w:val="8"/>
                <w:sz w:val="19"/>
              </w:rPr>
              <w:t xml:space="preserve"> </w:t>
            </w:r>
            <w:r>
              <w:rPr>
                <w:spacing w:val="-2"/>
                <w:sz w:val="19"/>
              </w:rPr>
              <w:t>territories</w:t>
            </w:r>
          </w:p>
        </w:tc>
        <w:tc>
          <w:tcPr>
            <w:tcW w:w="1133" w:type="dxa"/>
            <w:tcBorders>
              <w:top w:val="single" w:sz="2" w:space="0" w:color="000000"/>
              <w:left w:val="single" w:sz="2" w:space="0" w:color="000000"/>
              <w:bottom w:val="single" w:sz="2" w:space="0" w:color="000000"/>
              <w:right w:val="single" w:sz="2" w:space="0" w:color="000000"/>
            </w:tcBorders>
          </w:tcPr>
          <w:p w14:paraId="38620EBA" w14:textId="77777777" w:rsidR="009D54AF" w:rsidRDefault="00000000">
            <w:pPr>
              <w:pStyle w:val="TableParagraph"/>
              <w:spacing w:before="85"/>
              <w:ind w:left="13" w:right="12"/>
              <w:jc w:val="center"/>
              <w:rPr>
                <w:sz w:val="19"/>
              </w:rPr>
            </w:pPr>
            <w:r>
              <w:rPr>
                <w:spacing w:val="-10"/>
                <w:sz w:val="19"/>
              </w:rPr>
              <w:t>0</w:t>
            </w:r>
          </w:p>
        </w:tc>
        <w:tc>
          <w:tcPr>
            <w:tcW w:w="1133" w:type="dxa"/>
            <w:tcBorders>
              <w:top w:val="single" w:sz="2" w:space="0" w:color="000000"/>
              <w:left w:val="single" w:sz="2" w:space="0" w:color="000000"/>
              <w:bottom w:val="single" w:sz="2" w:space="0" w:color="000000"/>
              <w:right w:val="single" w:sz="2" w:space="0" w:color="000000"/>
            </w:tcBorders>
          </w:tcPr>
          <w:p w14:paraId="24DBC17A" w14:textId="77777777" w:rsidR="009D54AF" w:rsidRDefault="00000000">
            <w:pPr>
              <w:pStyle w:val="TableParagraph"/>
              <w:spacing w:before="85"/>
              <w:ind w:left="13" w:right="10"/>
              <w:jc w:val="center"/>
              <w:rPr>
                <w:sz w:val="19"/>
              </w:rPr>
            </w:pPr>
            <w:r>
              <w:rPr>
                <w:spacing w:val="-10"/>
                <w:sz w:val="19"/>
              </w:rPr>
              <w:t>0</w:t>
            </w:r>
          </w:p>
        </w:tc>
        <w:tc>
          <w:tcPr>
            <w:tcW w:w="1133" w:type="dxa"/>
            <w:tcBorders>
              <w:top w:val="single" w:sz="2" w:space="0" w:color="000000"/>
              <w:left w:val="single" w:sz="2" w:space="0" w:color="000000"/>
              <w:bottom w:val="single" w:sz="2" w:space="0" w:color="000000"/>
              <w:right w:val="single" w:sz="2" w:space="0" w:color="000000"/>
            </w:tcBorders>
          </w:tcPr>
          <w:p w14:paraId="1D9A18E0" w14:textId="77777777" w:rsidR="009D54AF" w:rsidRDefault="00000000">
            <w:pPr>
              <w:pStyle w:val="TableParagraph"/>
              <w:spacing w:before="85"/>
              <w:ind w:left="13" w:right="8"/>
              <w:jc w:val="center"/>
              <w:rPr>
                <w:sz w:val="19"/>
              </w:rPr>
            </w:pPr>
            <w:r>
              <w:rPr>
                <w:spacing w:val="-10"/>
                <w:sz w:val="19"/>
              </w:rPr>
              <w:t>0</w:t>
            </w:r>
          </w:p>
        </w:tc>
        <w:tc>
          <w:tcPr>
            <w:tcW w:w="906" w:type="dxa"/>
            <w:tcBorders>
              <w:top w:val="single" w:sz="2" w:space="0" w:color="000000"/>
              <w:left w:val="single" w:sz="2" w:space="0" w:color="000000"/>
              <w:bottom w:val="single" w:sz="2" w:space="0" w:color="000000"/>
              <w:right w:val="single" w:sz="2" w:space="0" w:color="000000"/>
            </w:tcBorders>
          </w:tcPr>
          <w:p w14:paraId="3BB8FBA7" w14:textId="77777777" w:rsidR="009D54AF" w:rsidRDefault="00000000">
            <w:pPr>
              <w:pStyle w:val="TableParagraph"/>
              <w:spacing w:before="85"/>
              <w:ind w:left="9" w:right="2"/>
              <w:jc w:val="center"/>
              <w:rPr>
                <w:sz w:val="19"/>
              </w:rPr>
            </w:pPr>
            <w:r>
              <w:rPr>
                <w:spacing w:val="-10"/>
                <w:sz w:val="19"/>
              </w:rPr>
              <w:t>0</w:t>
            </w:r>
          </w:p>
        </w:tc>
        <w:tc>
          <w:tcPr>
            <w:tcW w:w="1133" w:type="dxa"/>
            <w:tcBorders>
              <w:top w:val="single" w:sz="2" w:space="0" w:color="000000"/>
              <w:left w:val="single" w:sz="2" w:space="0" w:color="000000"/>
              <w:bottom w:val="single" w:sz="2" w:space="0" w:color="000000"/>
              <w:right w:val="single" w:sz="2" w:space="0" w:color="000000"/>
            </w:tcBorders>
          </w:tcPr>
          <w:p w14:paraId="429B0AF0" w14:textId="77777777" w:rsidR="009D54AF" w:rsidRDefault="00000000">
            <w:pPr>
              <w:pStyle w:val="TableParagraph"/>
              <w:spacing w:before="85"/>
              <w:ind w:left="13" w:right="5"/>
              <w:jc w:val="center"/>
              <w:rPr>
                <w:sz w:val="19"/>
              </w:rPr>
            </w:pPr>
            <w:r>
              <w:rPr>
                <w:spacing w:val="-10"/>
                <w:sz w:val="19"/>
              </w:rPr>
              <w:t>0</w:t>
            </w:r>
          </w:p>
        </w:tc>
        <w:tc>
          <w:tcPr>
            <w:tcW w:w="1133" w:type="dxa"/>
            <w:tcBorders>
              <w:top w:val="single" w:sz="2" w:space="0" w:color="000000"/>
              <w:left w:val="single" w:sz="2" w:space="0" w:color="000000"/>
              <w:bottom w:val="single" w:sz="2" w:space="0" w:color="000000"/>
              <w:right w:val="single" w:sz="2" w:space="0" w:color="000000"/>
            </w:tcBorders>
          </w:tcPr>
          <w:p w14:paraId="50FF67C9" w14:textId="77777777" w:rsidR="009D54AF" w:rsidRDefault="00000000">
            <w:pPr>
              <w:pStyle w:val="TableParagraph"/>
              <w:spacing w:before="85"/>
              <w:ind w:left="13" w:right="3"/>
              <w:jc w:val="center"/>
              <w:rPr>
                <w:sz w:val="19"/>
              </w:rPr>
            </w:pPr>
            <w:r>
              <w:rPr>
                <w:spacing w:val="-10"/>
                <w:sz w:val="19"/>
              </w:rPr>
              <w:t>0</w:t>
            </w:r>
          </w:p>
        </w:tc>
        <w:tc>
          <w:tcPr>
            <w:tcW w:w="1133" w:type="dxa"/>
            <w:tcBorders>
              <w:top w:val="single" w:sz="2" w:space="0" w:color="000000"/>
              <w:left w:val="single" w:sz="2" w:space="0" w:color="000000"/>
              <w:bottom w:val="single" w:sz="2" w:space="0" w:color="000000"/>
              <w:right w:val="nil"/>
            </w:tcBorders>
          </w:tcPr>
          <w:p w14:paraId="713D789C" w14:textId="77777777" w:rsidR="009D54AF" w:rsidRDefault="00000000">
            <w:pPr>
              <w:pStyle w:val="TableParagraph"/>
              <w:spacing w:before="42"/>
              <w:ind w:left="11" w:right="2"/>
              <w:jc w:val="center"/>
              <w:rPr>
                <w:b/>
                <w:sz w:val="19"/>
              </w:rPr>
            </w:pPr>
            <w:r>
              <w:rPr>
                <w:b/>
                <w:spacing w:val="-10"/>
                <w:sz w:val="19"/>
              </w:rPr>
              <w:t>0</w:t>
            </w:r>
          </w:p>
        </w:tc>
      </w:tr>
      <w:tr w:rsidR="009D54AF" w14:paraId="27DF14C9" w14:textId="77777777">
        <w:trPr>
          <w:trHeight w:val="391"/>
        </w:trPr>
        <w:tc>
          <w:tcPr>
            <w:tcW w:w="2494" w:type="dxa"/>
            <w:tcBorders>
              <w:top w:val="single" w:sz="2" w:space="0" w:color="000000"/>
              <w:left w:val="nil"/>
              <w:bottom w:val="single" w:sz="2" w:space="0" w:color="000000"/>
              <w:right w:val="single" w:sz="2" w:space="0" w:color="000000"/>
            </w:tcBorders>
          </w:tcPr>
          <w:p w14:paraId="3115F466" w14:textId="77777777" w:rsidR="009D54AF" w:rsidRDefault="00000000">
            <w:pPr>
              <w:pStyle w:val="TableParagraph"/>
              <w:spacing w:before="85"/>
              <w:ind w:left="85"/>
              <w:rPr>
                <w:sz w:val="19"/>
              </w:rPr>
            </w:pPr>
            <w:r>
              <w:rPr>
                <w:spacing w:val="-2"/>
                <w:sz w:val="19"/>
              </w:rPr>
              <w:t>Overseas</w:t>
            </w:r>
          </w:p>
        </w:tc>
        <w:tc>
          <w:tcPr>
            <w:tcW w:w="1133" w:type="dxa"/>
            <w:tcBorders>
              <w:top w:val="single" w:sz="2" w:space="0" w:color="000000"/>
              <w:left w:val="single" w:sz="2" w:space="0" w:color="000000"/>
              <w:bottom w:val="single" w:sz="2" w:space="0" w:color="000000"/>
              <w:right w:val="single" w:sz="2" w:space="0" w:color="000000"/>
            </w:tcBorders>
          </w:tcPr>
          <w:p w14:paraId="324DB6EF" w14:textId="77777777" w:rsidR="009D54AF" w:rsidRDefault="00000000">
            <w:pPr>
              <w:pStyle w:val="TableParagraph"/>
              <w:spacing w:before="85"/>
              <w:ind w:left="13" w:right="12"/>
              <w:jc w:val="center"/>
              <w:rPr>
                <w:sz w:val="19"/>
              </w:rPr>
            </w:pPr>
            <w:r>
              <w:rPr>
                <w:spacing w:val="-10"/>
                <w:sz w:val="19"/>
              </w:rPr>
              <w:t>0</w:t>
            </w:r>
          </w:p>
        </w:tc>
        <w:tc>
          <w:tcPr>
            <w:tcW w:w="1133" w:type="dxa"/>
            <w:tcBorders>
              <w:top w:val="single" w:sz="2" w:space="0" w:color="000000"/>
              <w:left w:val="single" w:sz="2" w:space="0" w:color="000000"/>
              <w:bottom w:val="single" w:sz="2" w:space="0" w:color="000000"/>
              <w:right w:val="single" w:sz="2" w:space="0" w:color="000000"/>
            </w:tcBorders>
          </w:tcPr>
          <w:p w14:paraId="6A6FCC68" w14:textId="77777777" w:rsidR="009D54AF" w:rsidRDefault="00000000">
            <w:pPr>
              <w:pStyle w:val="TableParagraph"/>
              <w:spacing w:before="85"/>
              <w:ind w:left="13" w:right="10"/>
              <w:jc w:val="center"/>
              <w:rPr>
                <w:sz w:val="19"/>
              </w:rPr>
            </w:pPr>
            <w:r>
              <w:rPr>
                <w:spacing w:val="-10"/>
                <w:sz w:val="19"/>
              </w:rPr>
              <w:t>0</w:t>
            </w:r>
          </w:p>
        </w:tc>
        <w:tc>
          <w:tcPr>
            <w:tcW w:w="1133" w:type="dxa"/>
            <w:tcBorders>
              <w:top w:val="single" w:sz="2" w:space="0" w:color="000000"/>
              <w:left w:val="single" w:sz="2" w:space="0" w:color="000000"/>
              <w:bottom w:val="single" w:sz="2" w:space="0" w:color="000000"/>
              <w:right w:val="single" w:sz="2" w:space="0" w:color="000000"/>
            </w:tcBorders>
          </w:tcPr>
          <w:p w14:paraId="5E01ACF6" w14:textId="77777777" w:rsidR="009D54AF" w:rsidRDefault="00000000">
            <w:pPr>
              <w:pStyle w:val="TableParagraph"/>
              <w:spacing w:before="85"/>
              <w:ind w:left="13" w:right="8"/>
              <w:jc w:val="center"/>
              <w:rPr>
                <w:sz w:val="19"/>
              </w:rPr>
            </w:pPr>
            <w:r>
              <w:rPr>
                <w:spacing w:val="-10"/>
                <w:sz w:val="19"/>
              </w:rPr>
              <w:t>0</w:t>
            </w:r>
          </w:p>
        </w:tc>
        <w:tc>
          <w:tcPr>
            <w:tcW w:w="906" w:type="dxa"/>
            <w:tcBorders>
              <w:top w:val="single" w:sz="2" w:space="0" w:color="000000"/>
              <w:left w:val="single" w:sz="2" w:space="0" w:color="000000"/>
              <w:bottom w:val="single" w:sz="2" w:space="0" w:color="000000"/>
              <w:right w:val="single" w:sz="2" w:space="0" w:color="000000"/>
            </w:tcBorders>
          </w:tcPr>
          <w:p w14:paraId="01554AE3" w14:textId="77777777" w:rsidR="009D54AF" w:rsidRDefault="00000000">
            <w:pPr>
              <w:pStyle w:val="TableParagraph"/>
              <w:spacing w:before="85"/>
              <w:ind w:left="9" w:right="2"/>
              <w:jc w:val="center"/>
              <w:rPr>
                <w:sz w:val="19"/>
              </w:rPr>
            </w:pPr>
            <w:r>
              <w:rPr>
                <w:spacing w:val="-10"/>
                <w:sz w:val="19"/>
              </w:rPr>
              <w:t>0</w:t>
            </w:r>
          </w:p>
        </w:tc>
        <w:tc>
          <w:tcPr>
            <w:tcW w:w="1133" w:type="dxa"/>
            <w:tcBorders>
              <w:top w:val="single" w:sz="2" w:space="0" w:color="000000"/>
              <w:left w:val="single" w:sz="2" w:space="0" w:color="000000"/>
              <w:bottom w:val="single" w:sz="2" w:space="0" w:color="000000"/>
              <w:right w:val="single" w:sz="2" w:space="0" w:color="000000"/>
            </w:tcBorders>
          </w:tcPr>
          <w:p w14:paraId="4026A10F" w14:textId="77777777" w:rsidR="009D54AF" w:rsidRDefault="00000000">
            <w:pPr>
              <w:pStyle w:val="TableParagraph"/>
              <w:spacing w:before="85"/>
              <w:ind w:left="13" w:right="5"/>
              <w:jc w:val="center"/>
              <w:rPr>
                <w:sz w:val="19"/>
              </w:rPr>
            </w:pPr>
            <w:r>
              <w:rPr>
                <w:spacing w:val="-10"/>
                <w:sz w:val="19"/>
              </w:rPr>
              <w:t>0</w:t>
            </w:r>
          </w:p>
        </w:tc>
        <w:tc>
          <w:tcPr>
            <w:tcW w:w="1133" w:type="dxa"/>
            <w:tcBorders>
              <w:top w:val="single" w:sz="2" w:space="0" w:color="000000"/>
              <w:left w:val="single" w:sz="2" w:space="0" w:color="000000"/>
              <w:bottom w:val="single" w:sz="2" w:space="0" w:color="000000"/>
              <w:right w:val="single" w:sz="2" w:space="0" w:color="000000"/>
            </w:tcBorders>
          </w:tcPr>
          <w:p w14:paraId="24FD97F1" w14:textId="77777777" w:rsidR="009D54AF" w:rsidRDefault="00000000">
            <w:pPr>
              <w:pStyle w:val="TableParagraph"/>
              <w:spacing w:before="85"/>
              <w:ind w:left="13" w:right="3"/>
              <w:jc w:val="center"/>
              <w:rPr>
                <w:sz w:val="19"/>
              </w:rPr>
            </w:pPr>
            <w:r>
              <w:rPr>
                <w:spacing w:val="-10"/>
                <w:sz w:val="19"/>
              </w:rPr>
              <w:t>0</w:t>
            </w:r>
          </w:p>
        </w:tc>
        <w:tc>
          <w:tcPr>
            <w:tcW w:w="1133" w:type="dxa"/>
            <w:tcBorders>
              <w:top w:val="single" w:sz="2" w:space="0" w:color="000000"/>
              <w:left w:val="single" w:sz="2" w:space="0" w:color="000000"/>
              <w:bottom w:val="single" w:sz="2" w:space="0" w:color="000000"/>
              <w:right w:val="nil"/>
            </w:tcBorders>
          </w:tcPr>
          <w:p w14:paraId="2FBAAF2D" w14:textId="77777777" w:rsidR="009D54AF" w:rsidRDefault="00000000">
            <w:pPr>
              <w:pStyle w:val="TableParagraph"/>
              <w:spacing w:before="42"/>
              <w:ind w:left="11" w:right="2"/>
              <w:jc w:val="center"/>
              <w:rPr>
                <w:b/>
                <w:sz w:val="19"/>
              </w:rPr>
            </w:pPr>
            <w:r>
              <w:rPr>
                <w:b/>
                <w:spacing w:val="-10"/>
                <w:sz w:val="19"/>
              </w:rPr>
              <w:t>0</w:t>
            </w:r>
          </w:p>
        </w:tc>
      </w:tr>
      <w:tr w:rsidR="009D54AF" w14:paraId="351318F7" w14:textId="77777777">
        <w:trPr>
          <w:trHeight w:val="391"/>
        </w:trPr>
        <w:tc>
          <w:tcPr>
            <w:tcW w:w="2494" w:type="dxa"/>
            <w:tcBorders>
              <w:top w:val="single" w:sz="2" w:space="0" w:color="000000"/>
              <w:left w:val="nil"/>
              <w:bottom w:val="single" w:sz="2" w:space="0" w:color="000000"/>
              <w:right w:val="single" w:sz="2" w:space="0" w:color="000000"/>
            </w:tcBorders>
          </w:tcPr>
          <w:p w14:paraId="342D28C7" w14:textId="77777777" w:rsidR="009D54AF" w:rsidRDefault="00000000">
            <w:pPr>
              <w:pStyle w:val="TableParagraph"/>
              <w:spacing w:before="85"/>
              <w:ind w:left="85"/>
              <w:rPr>
                <w:b/>
                <w:sz w:val="19"/>
              </w:rPr>
            </w:pPr>
            <w:r>
              <w:rPr>
                <w:b/>
                <w:spacing w:val="-2"/>
                <w:sz w:val="19"/>
              </w:rPr>
              <w:t>Total</w:t>
            </w:r>
          </w:p>
        </w:tc>
        <w:tc>
          <w:tcPr>
            <w:tcW w:w="1133" w:type="dxa"/>
            <w:tcBorders>
              <w:top w:val="single" w:sz="2" w:space="0" w:color="000000"/>
              <w:left w:val="single" w:sz="2" w:space="0" w:color="000000"/>
              <w:bottom w:val="single" w:sz="2" w:space="0" w:color="000000"/>
              <w:right w:val="single" w:sz="2" w:space="0" w:color="000000"/>
            </w:tcBorders>
          </w:tcPr>
          <w:p w14:paraId="43823841" w14:textId="77777777" w:rsidR="009D54AF" w:rsidRDefault="00000000">
            <w:pPr>
              <w:pStyle w:val="TableParagraph"/>
              <w:spacing w:before="85"/>
              <w:ind w:left="13" w:right="12"/>
              <w:jc w:val="center"/>
              <w:rPr>
                <w:b/>
                <w:sz w:val="19"/>
              </w:rPr>
            </w:pPr>
            <w:r>
              <w:rPr>
                <w:b/>
                <w:spacing w:val="-10"/>
                <w:sz w:val="19"/>
              </w:rPr>
              <w:t>6</w:t>
            </w:r>
          </w:p>
        </w:tc>
        <w:tc>
          <w:tcPr>
            <w:tcW w:w="1133" w:type="dxa"/>
            <w:tcBorders>
              <w:top w:val="single" w:sz="2" w:space="0" w:color="000000"/>
              <w:left w:val="single" w:sz="2" w:space="0" w:color="000000"/>
              <w:bottom w:val="single" w:sz="2" w:space="0" w:color="000000"/>
              <w:right w:val="single" w:sz="2" w:space="0" w:color="000000"/>
            </w:tcBorders>
          </w:tcPr>
          <w:p w14:paraId="75B4E6E8" w14:textId="77777777" w:rsidR="009D54AF" w:rsidRDefault="00000000">
            <w:pPr>
              <w:pStyle w:val="TableParagraph"/>
              <w:spacing w:before="85"/>
              <w:ind w:left="13" w:right="10"/>
              <w:jc w:val="center"/>
              <w:rPr>
                <w:b/>
                <w:sz w:val="19"/>
              </w:rPr>
            </w:pPr>
            <w:r>
              <w:rPr>
                <w:b/>
                <w:spacing w:val="-10"/>
                <w:sz w:val="19"/>
              </w:rPr>
              <w:t>0</w:t>
            </w:r>
          </w:p>
        </w:tc>
        <w:tc>
          <w:tcPr>
            <w:tcW w:w="1133" w:type="dxa"/>
            <w:tcBorders>
              <w:top w:val="single" w:sz="2" w:space="0" w:color="000000"/>
              <w:left w:val="single" w:sz="2" w:space="0" w:color="000000"/>
              <w:bottom w:val="single" w:sz="2" w:space="0" w:color="000000"/>
              <w:right w:val="single" w:sz="2" w:space="0" w:color="000000"/>
            </w:tcBorders>
          </w:tcPr>
          <w:p w14:paraId="380B558E" w14:textId="77777777" w:rsidR="009D54AF" w:rsidRDefault="00000000">
            <w:pPr>
              <w:pStyle w:val="TableParagraph"/>
              <w:spacing w:before="85"/>
              <w:ind w:left="13" w:right="8"/>
              <w:jc w:val="center"/>
              <w:rPr>
                <w:b/>
                <w:sz w:val="19"/>
              </w:rPr>
            </w:pPr>
            <w:r>
              <w:rPr>
                <w:b/>
                <w:spacing w:val="-10"/>
                <w:sz w:val="19"/>
              </w:rPr>
              <w:t>6</w:t>
            </w:r>
          </w:p>
        </w:tc>
        <w:tc>
          <w:tcPr>
            <w:tcW w:w="906" w:type="dxa"/>
            <w:tcBorders>
              <w:top w:val="single" w:sz="2" w:space="0" w:color="000000"/>
              <w:left w:val="single" w:sz="2" w:space="0" w:color="000000"/>
              <w:bottom w:val="single" w:sz="2" w:space="0" w:color="000000"/>
              <w:right w:val="single" w:sz="2" w:space="0" w:color="000000"/>
            </w:tcBorders>
          </w:tcPr>
          <w:p w14:paraId="25DE0B6B" w14:textId="77777777" w:rsidR="009D54AF" w:rsidRDefault="00000000">
            <w:pPr>
              <w:pStyle w:val="TableParagraph"/>
              <w:spacing w:before="85"/>
              <w:ind w:left="9"/>
              <w:jc w:val="center"/>
              <w:rPr>
                <w:b/>
                <w:sz w:val="19"/>
              </w:rPr>
            </w:pPr>
            <w:r>
              <w:rPr>
                <w:b/>
                <w:spacing w:val="-5"/>
                <w:sz w:val="19"/>
              </w:rPr>
              <w:t>33</w:t>
            </w:r>
          </w:p>
        </w:tc>
        <w:tc>
          <w:tcPr>
            <w:tcW w:w="1133" w:type="dxa"/>
            <w:tcBorders>
              <w:top w:val="single" w:sz="2" w:space="0" w:color="000000"/>
              <w:left w:val="single" w:sz="2" w:space="0" w:color="000000"/>
              <w:bottom w:val="single" w:sz="2" w:space="0" w:color="000000"/>
              <w:right w:val="single" w:sz="2" w:space="0" w:color="000000"/>
            </w:tcBorders>
          </w:tcPr>
          <w:p w14:paraId="5268D1C0" w14:textId="77777777" w:rsidR="009D54AF" w:rsidRDefault="00000000">
            <w:pPr>
              <w:pStyle w:val="TableParagraph"/>
              <w:spacing w:before="85"/>
              <w:ind w:left="13" w:right="5"/>
              <w:jc w:val="center"/>
              <w:rPr>
                <w:b/>
                <w:sz w:val="19"/>
              </w:rPr>
            </w:pPr>
            <w:r>
              <w:rPr>
                <w:b/>
                <w:spacing w:val="-10"/>
                <w:sz w:val="19"/>
              </w:rPr>
              <w:t>0</w:t>
            </w:r>
          </w:p>
        </w:tc>
        <w:tc>
          <w:tcPr>
            <w:tcW w:w="1133" w:type="dxa"/>
            <w:tcBorders>
              <w:top w:val="single" w:sz="2" w:space="0" w:color="000000"/>
              <w:left w:val="single" w:sz="2" w:space="0" w:color="000000"/>
              <w:bottom w:val="single" w:sz="2" w:space="0" w:color="000000"/>
              <w:right w:val="single" w:sz="2" w:space="0" w:color="000000"/>
            </w:tcBorders>
          </w:tcPr>
          <w:p w14:paraId="1A439057" w14:textId="77777777" w:rsidR="009D54AF" w:rsidRDefault="00000000">
            <w:pPr>
              <w:pStyle w:val="TableParagraph"/>
              <w:spacing w:before="85"/>
              <w:ind w:left="13" w:right="1"/>
              <w:jc w:val="center"/>
              <w:rPr>
                <w:b/>
                <w:sz w:val="19"/>
              </w:rPr>
            </w:pPr>
            <w:r>
              <w:rPr>
                <w:b/>
                <w:spacing w:val="-5"/>
                <w:sz w:val="19"/>
              </w:rPr>
              <w:t>33</w:t>
            </w:r>
          </w:p>
        </w:tc>
        <w:tc>
          <w:tcPr>
            <w:tcW w:w="1133" w:type="dxa"/>
            <w:tcBorders>
              <w:top w:val="single" w:sz="2" w:space="0" w:color="000000"/>
              <w:left w:val="single" w:sz="2" w:space="0" w:color="000000"/>
              <w:bottom w:val="single" w:sz="2" w:space="0" w:color="000000"/>
              <w:right w:val="nil"/>
            </w:tcBorders>
          </w:tcPr>
          <w:p w14:paraId="2D050810" w14:textId="77777777" w:rsidR="009D54AF" w:rsidRDefault="00000000">
            <w:pPr>
              <w:pStyle w:val="TableParagraph"/>
              <w:spacing w:before="42"/>
              <w:ind w:left="11"/>
              <w:jc w:val="center"/>
              <w:rPr>
                <w:b/>
                <w:sz w:val="19"/>
              </w:rPr>
            </w:pPr>
            <w:r>
              <w:rPr>
                <w:b/>
                <w:spacing w:val="-5"/>
                <w:sz w:val="19"/>
              </w:rPr>
              <w:t>39</w:t>
            </w:r>
          </w:p>
        </w:tc>
      </w:tr>
    </w:tbl>
    <w:p w14:paraId="38B19CB0" w14:textId="77777777" w:rsidR="009D54AF" w:rsidRDefault="009D54AF">
      <w:pPr>
        <w:pStyle w:val="BodyText"/>
        <w:spacing w:before="17"/>
        <w:rPr>
          <w:sz w:val="19"/>
        </w:rPr>
      </w:pPr>
    </w:p>
    <w:p w14:paraId="10D4E76E" w14:textId="77777777" w:rsidR="009D54AF" w:rsidRDefault="00000000">
      <w:pPr>
        <w:ind w:left="142"/>
        <w:rPr>
          <w:sz w:val="19"/>
        </w:rPr>
      </w:pPr>
      <w:r>
        <w:rPr>
          <w:b/>
          <w:sz w:val="19"/>
        </w:rPr>
        <w:t>Table</w:t>
      </w:r>
      <w:r>
        <w:rPr>
          <w:b/>
          <w:spacing w:val="1"/>
          <w:sz w:val="19"/>
        </w:rPr>
        <w:t xml:space="preserve"> </w:t>
      </w:r>
      <w:r>
        <w:rPr>
          <w:b/>
          <w:sz w:val="19"/>
        </w:rPr>
        <w:t>10</w:t>
      </w:r>
      <w:r>
        <w:rPr>
          <w:b/>
          <w:spacing w:val="54"/>
          <w:sz w:val="19"/>
        </w:rPr>
        <w:t xml:space="preserve"> </w:t>
      </w:r>
      <w:r>
        <w:rPr>
          <w:sz w:val="19"/>
        </w:rPr>
        <w:t>Non-binary</w:t>
      </w:r>
      <w:r>
        <w:rPr>
          <w:spacing w:val="2"/>
          <w:sz w:val="19"/>
        </w:rPr>
        <w:t xml:space="preserve"> </w:t>
      </w:r>
      <w:r>
        <w:rPr>
          <w:sz w:val="19"/>
        </w:rPr>
        <w:t>employee</w:t>
      </w:r>
      <w:r>
        <w:rPr>
          <w:spacing w:val="1"/>
          <w:sz w:val="19"/>
        </w:rPr>
        <w:t xml:space="preserve"> </w:t>
      </w:r>
      <w:r>
        <w:rPr>
          <w:sz w:val="19"/>
        </w:rPr>
        <w:t>headcount</w:t>
      </w:r>
      <w:r>
        <w:rPr>
          <w:spacing w:val="1"/>
          <w:sz w:val="19"/>
        </w:rPr>
        <w:t xml:space="preserve"> </w:t>
      </w:r>
      <w:r>
        <w:rPr>
          <w:sz w:val="19"/>
        </w:rPr>
        <w:t>profile</w:t>
      </w:r>
      <w:r>
        <w:rPr>
          <w:spacing w:val="1"/>
          <w:sz w:val="19"/>
        </w:rPr>
        <w:t xml:space="preserve"> </w:t>
      </w:r>
      <w:r>
        <w:rPr>
          <w:sz w:val="19"/>
        </w:rPr>
        <w:t>by</w:t>
      </w:r>
      <w:r>
        <w:rPr>
          <w:spacing w:val="1"/>
          <w:sz w:val="19"/>
        </w:rPr>
        <w:t xml:space="preserve"> </w:t>
      </w:r>
      <w:r>
        <w:rPr>
          <w:sz w:val="19"/>
        </w:rPr>
        <w:t>state</w:t>
      </w:r>
      <w:r>
        <w:rPr>
          <w:spacing w:val="1"/>
          <w:sz w:val="19"/>
        </w:rPr>
        <w:t xml:space="preserve"> </w:t>
      </w:r>
      <w:r>
        <w:rPr>
          <w:sz w:val="19"/>
        </w:rPr>
        <w:t>and</w:t>
      </w:r>
      <w:r>
        <w:rPr>
          <w:spacing w:val="1"/>
          <w:sz w:val="19"/>
        </w:rPr>
        <w:t xml:space="preserve"> </w:t>
      </w:r>
      <w:r>
        <w:rPr>
          <w:sz w:val="19"/>
        </w:rPr>
        <w:t>territory,</w:t>
      </w:r>
      <w:r>
        <w:rPr>
          <w:spacing w:val="1"/>
          <w:sz w:val="19"/>
        </w:rPr>
        <w:t xml:space="preserve"> </w:t>
      </w:r>
      <w:r>
        <w:rPr>
          <w:sz w:val="19"/>
        </w:rPr>
        <w:t>as</w:t>
      </w:r>
      <w:r>
        <w:rPr>
          <w:spacing w:val="1"/>
          <w:sz w:val="19"/>
        </w:rPr>
        <w:t xml:space="preserve"> </w:t>
      </w:r>
      <w:r>
        <w:rPr>
          <w:sz w:val="19"/>
        </w:rPr>
        <w:t>at</w:t>
      </w:r>
      <w:r>
        <w:rPr>
          <w:spacing w:val="1"/>
          <w:sz w:val="19"/>
        </w:rPr>
        <w:t xml:space="preserve"> </w:t>
      </w:r>
      <w:r>
        <w:rPr>
          <w:sz w:val="19"/>
        </w:rPr>
        <w:t>30</w:t>
      </w:r>
      <w:r>
        <w:rPr>
          <w:spacing w:val="1"/>
          <w:sz w:val="19"/>
        </w:rPr>
        <w:t xml:space="preserve"> </w:t>
      </w:r>
      <w:r>
        <w:rPr>
          <w:sz w:val="19"/>
        </w:rPr>
        <w:t>June</w:t>
      </w:r>
      <w:r>
        <w:rPr>
          <w:spacing w:val="1"/>
          <w:sz w:val="19"/>
        </w:rPr>
        <w:t xml:space="preserve"> </w:t>
      </w:r>
      <w:r>
        <w:rPr>
          <w:spacing w:val="-4"/>
          <w:sz w:val="19"/>
        </w:rPr>
        <w:t>2026</w:t>
      </w:r>
    </w:p>
    <w:p w14:paraId="52BF121E" w14:textId="77777777" w:rsidR="009D54AF" w:rsidRDefault="009D54AF">
      <w:pPr>
        <w:pStyle w:val="BodyText"/>
        <w:spacing w:before="3"/>
        <w:rPr>
          <w:sz w:val="8"/>
        </w:rPr>
      </w:pPr>
    </w:p>
    <w:tbl>
      <w:tblPr>
        <w:tblW w:w="0" w:type="auto"/>
        <w:tblInd w:w="149"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CellMar>
          <w:left w:w="0" w:type="dxa"/>
          <w:right w:w="0" w:type="dxa"/>
        </w:tblCellMar>
        <w:tblLook w:val="01E0" w:firstRow="1" w:lastRow="1" w:firstColumn="1" w:lastColumn="1" w:noHBand="0" w:noVBand="0"/>
      </w:tblPr>
      <w:tblGrid>
        <w:gridCol w:w="2268"/>
        <w:gridCol w:w="1134"/>
        <w:gridCol w:w="1134"/>
        <w:gridCol w:w="1134"/>
        <w:gridCol w:w="1134"/>
        <w:gridCol w:w="1134"/>
        <w:gridCol w:w="1134"/>
        <w:gridCol w:w="1134"/>
      </w:tblGrid>
      <w:tr w:rsidR="009D54AF" w14:paraId="30095780" w14:textId="77777777">
        <w:trPr>
          <w:trHeight w:val="391"/>
        </w:trPr>
        <w:tc>
          <w:tcPr>
            <w:tcW w:w="2268" w:type="dxa"/>
            <w:vMerge w:val="restart"/>
            <w:tcBorders>
              <w:top w:val="nil"/>
              <w:left w:val="nil"/>
              <w:bottom w:val="nil"/>
            </w:tcBorders>
            <w:shd w:val="clear" w:color="auto" w:fill="000000"/>
          </w:tcPr>
          <w:p w14:paraId="0726FAB8" w14:textId="77777777" w:rsidR="009D54AF" w:rsidRDefault="009D54AF">
            <w:pPr>
              <w:pStyle w:val="TableParagraph"/>
              <w:rPr>
                <w:sz w:val="19"/>
              </w:rPr>
            </w:pPr>
          </w:p>
          <w:p w14:paraId="7D6D14F2" w14:textId="77777777" w:rsidR="009D54AF" w:rsidRDefault="009D54AF">
            <w:pPr>
              <w:pStyle w:val="TableParagraph"/>
              <w:spacing w:before="92"/>
              <w:rPr>
                <w:sz w:val="19"/>
              </w:rPr>
            </w:pPr>
          </w:p>
          <w:p w14:paraId="5CC97947" w14:textId="77777777" w:rsidR="009D54AF" w:rsidRDefault="00000000">
            <w:pPr>
              <w:pStyle w:val="TableParagraph"/>
              <w:spacing w:before="1"/>
              <w:ind w:left="85"/>
              <w:rPr>
                <w:b/>
                <w:sz w:val="19"/>
              </w:rPr>
            </w:pPr>
            <w:r>
              <w:rPr>
                <w:b/>
                <w:color w:val="FFFFFF"/>
                <w:spacing w:val="-2"/>
                <w:sz w:val="19"/>
              </w:rPr>
              <w:t>Jurisdiction</w:t>
            </w:r>
          </w:p>
        </w:tc>
        <w:tc>
          <w:tcPr>
            <w:tcW w:w="3402" w:type="dxa"/>
            <w:gridSpan w:val="3"/>
            <w:tcBorders>
              <w:top w:val="nil"/>
            </w:tcBorders>
            <w:shd w:val="clear" w:color="auto" w:fill="000000"/>
          </w:tcPr>
          <w:p w14:paraId="383E9241" w14:textId="77777777" w:rsidR="009D54AF" w:rsidRDefault="00000000">
            <w:pPr>
              <w:pStyle w:val="TableParagraph"/>
              <w:spacing w:before="87"/>
              <w:ind w:left="1090"/>
              <w:rPr>
                <w:b/>
                <w:sz w:val="19"/>
              </w:rPr>
            </w:pPr>
            <w:r>
              <w:rPr>
                <w:b/>
                <w:color w:val="FFFFFF"/>
                <w:sz w:val="19"/>
              </w:rPr>
              <w:t>Non-</w:t>
            </w:r>
            <w:r>
              <w:rPr>
                <w:b/>
                <w:color w:val="FFFFFF"/>
                <w:spacing w:val="-2"/>
                <w:sz w:val="19"/>
              </w:rPr>
              <w:t>ongoing</w:t>
            </w:r>
          </w:p>
        </w:tc>
        <w:tc>
          <w:tcPr>
            <w:tcW w:w="3402" w:type="dxa"/>
            <w:gridSpan w:val="3"/>
            <w:tcBorders>
              <w:top w:val="nil"/>
            </w:tcBorders>
            <w:shd w:val="clear" w:color="auto" w:fill="000000"/>
          </w:tcPr>
          <w:p w14:paraId="537D8BF2" w14:textId="77777777" w:rsidR="009D54AF" w:rsidRDefault="00000000">
            <w:pPr>
              <w:pStyle w:val="TableParagraph"/>
              <w:spacing w:before="87"/>
              <w:jc w:val="center"/>
              <w:rPr>
                <w:b/>
                <w:sz w:val="19"/>
              </w:rPr>
            </w:pPr>
            <w:r>
              <w:rPr>
                <w:b/>
                <w:color w:val="FFFFFF"/>
                <w:spacing w:val="-2"/>
                <w:sz w:val="19"/>
              </w:rPr>
              <w:t>Ongoing</w:t>
            </w:r>
          </w:p>
        </w:tc>
        <w:tc>
          <w:tcPr>
            <w:tcW w:w="1134" w:type="dxa"/>
            <w:vMerge w:val="restart"/>
            <w:tcBorders>
              <w:top w:val="nil"/>
              <w:bottom w:val="nil"/>
              <w:right w:val="nil"/>
            </w:tcBorders>
            <w:shd w:val="clear" w:color="auto" w:fill="000000"/>
          </w:tcPr>
          <w:p w14:paraId="126EB5EF" w14:textId="77777777" w:rsidR="009D54AF" w:rsidRDefault="009D54AF">
            <w:pPr>
              <w:pStyle w:val="TableParagraph"/>
              <w:rPr>
                <w:sz w:val="19"/>
              </w:rPr>
            </w:pPr>
          </w:p>
          <w:p w14:paraId="3C463E55" w14:textId="77777777" w:rsidR="009D54AF" w:rsidRDefault="009D54AF">
            <w:pPr>
              <w:pStyle w:val="TableParagraph"/>
              <w:spacing w:before="92"/>
              <w:rPr>
                <w:sz w:val="19"/>
              </w:rPr>
            </w:pPr>
          </w:p>
          <w:p w14:paraId="6DD218AB" w14:textId="77777777" w:rsidR="009D54AF" w:rsidRDefault="00000000">
            <w:pPr>
              <w:pStyle w:val="TableParagraph"/>
              <w:spacing w:before="1"/>
              <w:ind w:left="337"/>
              <w:rPr>
                <w:b/>
                <w:sz w:val="19"/>
              </w:rPr>
            </w:pPr>
            <w:r>
              <w:rPr>
                <w:b/>
                <w:color w:val="FFFFFF"/>
                <w:spacing w:val="-2"/>
                <w:sz w:val="19"/>
              </w:rPr>
              <w:t>Total</w:t>
            </w:r>
          </w:p>
        </w:tc>
      </w:tr>
      <w:tr w:rsidR="009D54AF" w14:paraId="1FA8746F" w14:textId="77777777">
        <w:trPr>
          <w:trHeight w:val="392"/>
        </w:trPr>
        <w:tc>
          <w:tcPr>
            <w:tcW w:w="2268" w:type="dxa"/>
            <w:vMerge/>
            <w:tcBorders>
              <w:top w:val="nil"/>
              <w:left w:val="nil"/>
              <w:bottom w:val="nil"/>
            </w:tcBorders>
            <w:shd w:val="clear" w:color="auto" w:fill="000000"/>
          </w:tcPr>
          <w:p w14:paraId="716E9B3E" w14:textId="77777777" w:rsidR="009D54AF" w:rsidRDefault="009D54AF">
            <w:pPr>
              <w:rPr>
                <w:sz w:val="2"/>
                <w:szCs w:val="2"/>
              </w:rPr>
            </w:pPr>
          </w:p>
        </w:tc>
        <w:tc>
          <w:tcPr>
            <w:tcW w:w="1134" w:type="dxa"/>
            <w:tcBorders>
              <w:bottom w:val="nil"/>
            </w:tcBorders>
            <w:shd w:val="clear" w:color="auto" w:fill="000000"/>
          </w:tcPr>
          <w:p w14:paraId="3B46A03F" w14:textId="77777777" w:rsidR="009D54AF" w:rsidRDefault="00000000">
            <w:pPr>
              <w:pStyle w:val="TableParagraph"/>
              <w:spacing w:before="128"/>
              <w:ind w:left="1" w:right="1"/>
              <w:jc w:val="center"/>
              <w:rPr>
                <w:b/>
                <w:sz w:val="19"/>
              </w:rPr>
            </w:pPr>
            <w:r>
              <w:rPr>
                <w:b/>
                <w:color w:val="FFFFFF"/>
                <w:sz w:val="19"/>
              </w:rPr>
              <w:t>Full</w:t>
            </w:r>
            <w:r>
              <w:rPr>
                <w:b/>
                <w:color w:val="FFFFFF"/>
                <w:spacing w:val="-4"/>
                <w:sz w:val="19"/>
              </w:rPr>
              <w:t xml:space="preserve"> time</w:t>
            </w:r>
          </w:p>
        </w:tc>
        <w:tc>
          <w:tcPr>
            <w:tcW w:w="1134" w:type="dxa"/>
            <w:tcBorders>
              <w:bottom w:val="nil"/>
            </w:tcBorders>
            <w:shd w:val="clear" w:color="auto" w:fill="000000"/>
          </w:tcPr>
          <w:p w14:paraId="1F7E5B25" w14:textId="77777777" w:rsidR="009D54AF" w:rsidRDefault="00000000">
            <w:pPr>
              <w:pStyle w:val="TableParagraph"/>
              <w:spacing w:before="128"/>
              <w:ind w:right="1"/>
              <w:jc w:val="center"/>
              <w:rPr>
                <w:b/>
                <w:sz w:val="19"/>
              </w:rPr>
            </w:pPr>
            <w:r>
              <w:rPr>
                <w:b/>
                <w:color w:val="FFFFFF"/>
                <w:sz w:val="19"/>
              </w:rPr>
              <w:t>Part</w:t>
            </w:r>
            <w:r>
              <w:rPr>
                <w:b/>
                <w:color w:val="FFFFFF"/>
                <w:spacing w:val="9"/>
                <w:sz w:val="19"/>
              </w:rPr>
              <w:t xml:space="preserve"> </w:t>
            </w:r>
            <w:r>
              <w:rPr>
                <w:b/>
                <w:color w:val="FFFFFF"/>
                <w:spacing w:val="-4"/>
                <w:sz w:val="19"/>
              </w:rPr>
              <w:t>time</w:t>
            </w:r>
          </w:p>
        </w:tc>
        <w:tc>
          <w:tcPr>
            <w:tcW w:w="1134" w:type="dxa"/>
            <w:tcBorders>
              <w:bottom w:val="nil"/>
            </w:tcBorders>
            <w:shd w:val="clear" w:color="auto" w:fill="000000"/>
          </w:tcPr>
          <w:p w14:paraId="4D7B4E24" w14:textId="77777777" w:rsidR="009D54AF" w:rsidRDefault="00000000">
            <w:pPr>
              <w:pStyle w:val="TableParagraph"/>
              <w:spacing w:before="128"/>
              <w:ind w:right="1"/>
              <w:jc w:val="center"/>
              <w:rPr>
                <w:b/>
                <w:sz w:val="19"/>
              </w:rPr>
            </w:pPr>
            <w:r>
              <w:rPr>
                <w:b/>
                <w:color w:val="FFFFFF"/>
                <w:spacing w:val="-2"/>
                <w:sz w:val="19"/>
              </w:rPr>
              <w:t>Total</w:t>
            </w:r>
          </w:p>
        </w:tc>
        <w:tc>
          <w:tcPr>
            <w:tcW w:w="1134" w:type="dxa"/>
            <w:tcBorders>
              <w:bottom w:val="nil"/>
            </w:tcBorders>
            <w:shd w:val="clear" w:color="auto" w:fill="000000"/>
          </w:tcPr>
          <w:p w14:paraId="0E71A1A9" w14:textId="77777777" w:rsidR="009D54AF" w:rsidRDefault="00000000">
            <w:pPr>
              <w:pStyle w:val="TableParagraph"/>
              <w:spacing w:before="128"/>
              <w:ind w:right="1"/>
              <w:jc w:val="center"/>
              <w:rPr>
                <w:b/>
                <w:sz w:val="19"/>
              </w:rPr>
            </w:pPr>
            <w:r>
              <w:rPr>
                <w:b/>
                <w:color w:val="FFFFFF"/>
                <w:sz w:val="19"/>
              </w:rPr>
              <w:t>Full</w:t>
            </w:r>
            <w:r>
              <w:rPr>
                <w:b/>
                <w:color w:val="FFFFFF"/>
                <w:spacing w:val="-4"/>
                <w:sz w:val="19"/>
              </w:rPr>
              <w:t xml:space="preserve"> time</w:t>
            </w:r>
          </w:p>
        </w:tc>
        <w:tc>
          <w:tcPr>
            <w:tcW w:w="1134" w:type="dxa"/>
            <w:tcBorders>
              <w:bottom w:val="nil"/>
            </w:tcBorders>
            <w:shd w:val="clear" w:color="auto" w:fill="000000"/>
          </w:tcPr>
          <w:p w14:paraId="3853770F" w14:textId="77777777" w:rsidR="009D54AF" w:rsidRDefault="00000000">
            <w:pPr>
              <w:pStyle w:val="TableParagraph"/>
              <w:spacing w:before="128"/>
              <w:ind w:right="1"/>
              <w:jc w:val="center"/>
              <w:rPr>
                <w:b/>
                <w:sz w:val="19"/>
              </w:rPr>
            </w:pPr>
            <w:r>
              <w:rPr>
                <w:b/>
                <w:color w:val="FFFFFF"/>
                <w:sz w:val="19"/>
              </w:rPr>
              <w:t>Part</w:t>
            </w:r>
            <w:r>
              <w:rPr>
                <w:b/>
                <w:color w:val="FFFFFF"/>
                <w:spacing w:val="9"/>
                <w:sz w:val="19"/>
              </w:rPr>
              <w:t xml:space="preserve"> </w:t>
            </w:r>
            <w:r>
              <w:rPr>
                <w:b/>
                <w:color w:val="FFFFFF"/>
                <w:spacing w:val="-4"/>
                <w:sz w:val="19"/>
              </w:rPr>
              <w:t>time</w:t>
            </w:r>
          </w:p>
        </w:tc>
        <w:tc>
          <w:tcPr>
            <w:tcW w:w="1134" w:type="dxa"/>
            <w:tcBorders>
              <w:bottom w:val="nil"/>
            </w:tcBorders>
            <w:shd w:val="clear" w:color="auto" w:fill="000000"/>
          </w:tcPr>
          <w:p w14:paraId="750B49CC" w14:textId="77777777" w:rsidR="009D54AF" w:rsidRDefault="00000000">
            <w:pPr>
              <w:pStyle w:val="TableParagraph"/>
              <w:spacing w:before="128"/>
              <w:ind w:left="1" w:right="1"/>
              <w:jc w:val="center"/>
              <w:rPr>
                <w:b/>
                <w:sz w:val="19"/>
              </w:rPr>
            </w:pPr>
            <w:r>
              <w:rPr>
                <w:b/>
                <w:color w:val="FFFFFF"/>
                <w:spacing w:val="-2"/>
                <w:sz w:val="19"/>
              </w:rPr>
              <w:t>Total</w:t>
            </w:r>
          </w:p>
        </w:tc>
        <w:tc>
          <w:tcPr>
            <w:tcW w:w="1134" w:type="dxa"/>
            <w:vMerge/>
            <w:tcBorders>
              <w:top w:val="nil"/>
              <w:bottom w:val="nil"/>
              <w:right w:val="nil"/>
            </w:tcBorders>
            <w:shd w:val="clear" w:color="auto" w:fill="000000"/>
          </w:tcPr>
          <w:p w14:paraId="4D1AFEA9" w14:textId="77777777" w:rsidR="009D54AF" w:rsidRDefault="009D54AF">
            <w:pPr>
              <w:rPr>
                <w:sz w:val="2"/>
                <w:szCs w:val="2"/>
              </w:rPr>
            </w:pPr>
          </w:p>
        </w:tc>
      </w:tr>
      <w:tr w:rsidR="009D54AF" w14:paraId="106178DC" w14:textId="77777777">
        <w:trPr>
          <w:trHeight w:val="383"/>
        </w:trPr>
        <w:tc>
          <w:tcPr>
            <w:tcW w:w="2268" w:type="dxa"/>
            <w:tcBorders>
              <w:top w:val="nil"/>
              <w:left w:val="nil"/>
              <w:bottom w:val="single" w:sz="2" w:space="0" w:color="000000"/>
              <w:right w:val="single" w:sz="2" w:space="0" w:color="000000"/>
            </w:tcBorders>
          </w:tcPr>
          <w:p w14:paraId="1C879467" w14:textId="77777777" w:rsidR="009D54AF" w:rsidRDefault="00000000">
            <w:pPr>
              <w:pStyle w:val="TableParagraph"/>
              <w:spacing w:before="77"/>
              <w:ind w:left="85"/>
              <w:rPr>
                <w:sz w:val="19"/>
              </w:rPr>
            </w:pPr>
            <w:r>
              <w:rPr>
                <w:spacing w:val="-5"/>
                <w:sz w:val="19"/>
              </w:rPr>
              <w:t>NSW</w:t>
            </w:r>
          </w:p>
        </w:tc>
        <w:tc>
          <w:tcPr>
            <w:tcW w:w="1134" w:type="dxa"/>
            <w:tcBorders>
              <w:top w:val="nil"/>
              <w:left w:val="single" w:sz="2" w:space="0" w:color="000000"/>
              <w:bottom w:val="single" w:sz="2" w:space="0" w:color="000000"/>
              <w:right w:val="single" w:sz="2" w:space="0" w:color="000000"/>
            </w:tcBorders>
          </w:tcPr>
          <w:p w14:paraId="1854F13D" w14:textId="77777777" w:rsidR="009D54AF" w:rsidRDefault="00000000">
            <w:pPr>
              <w:pStyle w:val="TableParagraph"/>
              <w:spacing w:before="77"/>
              <w:ind w:left="51" w:right="51"/>
              <w:jc w:val="center"/>
              <w:rPr>
                <w:sz w:val="19"/>
              </w:rPr>
            </w:pPr>
            <w:r>
              <w:rPr>
                <w:spacing w:val="-10"/>
                <w:sz w:val="19"/>
              </w:rPr>
              <w:t>0</w:t>
            </w:r>
          </w:p>
        </w:tc>
        <w:tc>
          <w:tcPr>
            <w:tcW w:w="1134" w:type="dxa"/>
            <w:tcBorders>
              <w:top w:val="nil"/>
              <w:left w:val="single" w:sz="2" w:space="0" w:color="000000"/>
              <w:bottom w:val="single" w:sz="2" w:space="0" w:color="000000"/>
              <w:right w:val="single" w:sz="2" w:space="0" w:color="000000"/>
            </w:tcBorders>
          </w:tcPr>
          <w:p w14:paraId="0DB75F05" w14:textId="77777777" w:rsidR="009D54AF" w:rsidRDefault="00000000">
            <w:pPr>
              <w:pStyle w:val="TableParagraph"/>
              <w:spacing w:before="77"/>
              <w:ind w:left="51" w:right="51"/>
              <w:jc w:val="center"/>
              <w:rPr>
                <w:sz w:val="19"/>
              </w:rPr>
            </w:pPr>
            <w:r>
              <w:rPr>
                <w:spacing w:val="-10"/>
                <w:sz w:val="19"/>
              </w:rPr>
              <w:t>0</w:t>
            </w:r>
          </w:p>
        </w:tc>
        <w:tc>
          <w:tcPr>
            <w:tcW w:w="1134" w:type="dxa"/>
            <w:tcBorders>
              <w:top w:val="nil"/>
              <w:left w:val="single" w:sz="2" w:space="0" w:color="000000"/>
              <w:bottom w:val="single" w:sz="2" w:space="0" w:color="000000"/>
              <w:right w:val="single" w:sz="2" w:space="0" w:color="000000"/>
            </w:tcBorders>
          </w:tcPr>
          <w:p w14:paraId="4EC4FC96" w14:textId="77777777" w:rsidR="009D54AF" w:rsidRDefault="00000000">
            <w:pPr>
              <w:pStyle w:val="TableParagraph"/>
              <w:spacing w:before="77"/>
              <w:ind w:left="51" w:right="52"/>
              <w:jc w:val="center"/>
              <w:rPr>
                <w:sz w:val="19"/>
              </w:rPr>
            </w:pPr>
            <w:r>
              <w:rPr>
                <w:spacing w:val="-10"/>
                <w:sz w:val="19"/>
              </w:rPr>
              <w:t>0</w:t>
            </w:r>
          </w:p>
        </w:tc>
        <w:tc>
          <w:tcPr>
            <w:tcW w:w="1134" w:type="dxa"/>
            <w:tcBorders>
              <w:top w:val="nil"/>
              <w:left w:val="single" w:sz="2" w:space="0" w:color="000000"/>
              <w:bottom w:val="single" w:sz="2" w:space="0" w:color="000000"/>
              <w:right w:val="single" w:sz="2" w:space="0" w:color="000000"/>
            </w:tcBorders>
          </w:tcPr>
          <w:p w14:paraId="761AE20D" w14:textId="77777777" w:rsidR="009D54AF" w:rsidRDefault="00000000">
            <w:pPr>
              <w:pStyle w:val="TableParagraph"/>
              <w:spacing w:before="77"/>
              <w:ind w:left="51" w:right="52"/>
              <w:jc w:val="center"/>
              <w:rPr>
                <w:sz w:val="19"/>
              </w:rPr>
            </w:pPr>
            <w:r>
              <w:rPr>
                <w:spacing w:val="-10"/>
                <w:sz w:val="19"/>
              </w:rPr>
              <w:t>0</w:t>
            </w:r>
          </w:p>
        </w:tc>
        <w:tc>
          <w:tcPr>
            <w:tcW w:w="1134" w:type="dxa"/>
            <w:tcBorders>
              <w:top w:val="nil"/>
              <w:left w:val="single" w:sz="2" w:space="0" w:color="000000"/>
              <w:bottom w:val="single" w:sz="2" w:space="0" w:color="000000"/>
              <w:right w:val="single" w:sz="2" w:space="0" w:color="000000"/>
            </w:tcBorders>
          </w:tcPr>
          <w:p w14:paraId="005F0B95" w14:textId="77777777" w:rsidR="009D54AF" w:rsidRDefault="00000000">
            <w:pPr>
              <w:pStyle w:val="TableParagraph"/>
              <w:spacing w:before="77"/>
              <w:ind w:left="51" w:right="52"/>
              <w:jc w:val="center"/>
              <w:rPr>
                <w:sz w:val="19"/>
              </w:rPr>
            </w:pPr>
            <w:r>
              <w:rPr>
                <w:spacing w:val="-10"/>
                <w:sz w:val="19"/>
              </w:rPr>
              <w:t>0</w:t>
            </w:r>
          </w:p>
        </w:tc>
        <w:tc>
          <w:tcPr>
            <w:tcW w:w="1134" w:type="dxa"/>
            <w:tcBorders>
              <w:top w:val="nil"/>
              <w:left w:val="single" w:sz="2" w:space="0" w:color="000000"/>
              <w:bottom w:val="single" w:sz="2" w:space="0" w:color="000000"/>
              <w:right w:val="single" w:sz="2" w:space="0" w:color="000000"/>
            </w:tcBorders>
          </w:tcPr>
          <w:p w14:paraId="594BF42C" w14:textId="77777777" w:rsidR="009D54AF" w:rsidRDefault="00000000">
            <w:pPr>
              <w:pStyle w:val="TableParagraph"/>
              <w:spacing w:before="77"/>
              <w:ind w:left="51" w:right="51"/>
              <w:jc w:val="center"/>
              <w:rPr>
                <w:sz w:val="19"/>
              </w:rPr>
            </w:pPr>
            <w:r>
              <w:rPr>
                <w:spacing w:val="-10"/>
                <w:sz w:val="19"/>
              </w:rPr>
              <w:t>0</w:t>
            </w:r>
          </w:p>
        </w:tc>
        <w:tc>
          <w:tcPr>
            <w:tcW w:w="1134" w:type="dxa"/>
            <w:tcBorders>
              <w:top w:val="nil"/>
              <w:left w:val="single" w:sz="2" w:space="0" w:color="000000"/>
              <w:bottom w:val="single" w:sz="2" w:space="0" w:color="000000"/>
              <w:right w:val="nil"/>
            </w:tcBorders>
          </w:tcPr>
          <w:p w14:paraId="51E319CC" w14:textId="77777777" w:rsidR="009D54AF" w:rsidRDefault="00000000">
            <w:pPr>
              <w:pStyle w:val="TableParagraph"/>
              <w:spacing w:before="34"/>
              <w:ind w:left="2" w:right="4"/>
              <w:jc w:val="center"/>
              <w:rPr>
                <w:b/>
                <w:sz w:val="19"/>
              </w:rPr>
            </w:pPr>
            <w:r>
              <w:rPr>
                <w:b/>
                <w:spacing w:val="-10"/>
                <w:sz w:val="19"/>
              </w:rPr>
              <w:t>0</w:t>
            </w:r>
          </w:p>
        </w:tc>
      </w:tr>
      <w:tr w:rsidR="009D54AF" w14:paraId="3B87B9E1" w14:textId="77777777">
        <w:trPr>
          <w:trHeight w:val="391"/>
        </w:trPr>
        <w:tc>
          <w:tcPr>
            <w:tcW w:w="2268" w:type="dxa"/>
            <w:tcBorders>
              <w:top w:val="single" w:sz="2" w:space="0" w:color="000000"/>
              <w:left w:val="nil"/>
              <w:bottom w:val="single" w:sz="2" w:space="0" w:color="000000"/>
              <w:right w:val="single" w:sz="2" w:space="0" w:color="000000"/>
            </w:tcBorders>
          </w:tcPr>
          <w:p w14:paraId="066649EC" w14:textId="77777777" w:rsidR="009D54AF" w:rsidRDefault="00000000">
            <w:pPr>
              <w:pStyle w:val="TableParagraph"/>
              <w:spacing w:before="85"/>
              <w:ind w:left="85"/>
              <w:rPr>
                <w:sz w:val="19"/>
              </w:rPr>
            </w:pPr>
            <w:r>
              <w:rPr>
                <w:spacing w:val="-5"/>
                <w:sz w:val="19"/>
              </w:rPr>
              <w:t>Qld</w:t>
            </w:r>
          </w:p>
        </w:tc>
        <w:tc>
          <w:tcPr>
            <w:tcW w:w="1134" w:type="dxa"/>
            <w:tcBorders>
              <w:top w:val="single" w:sz="2" w:space="0" w:color="000000"/>
              <w:left w:val="single" w:sz="2" w:space="0" w:color="000000"/>
              <w:bottom w:val="single" w:sz="2" w:space="0" w:color="000000"/>
              <w:right w:val="single" w:sz="2" w:space="0" w:color="000000"/>
            </w:tcBorders>
          </w:tcPr>
          <w:p w14:paraId="1D2E867A" w14:textId="77777777" w:rsidR="009D54AF" w:rsidRDefault="00000000">
            <w:pPr>
              <w:pStyle w:val="TableParagraph"/>
              <w:spacing w:before="85"/>
              <w:ind w:left="51" w:right="51"/>
              <w:jc w:val="center"/>
              <w:rPr>
                <w:sz w:val="19"/>
              </w:rPr>
            </w:pPr>
            <w:r>
              <w:rPr>
                <w:spacing w:val="-10"/>
                <w:sz w:val="19"/>
              </w:rPr>
              <w:t>0</w:t>
            </w:r>
          </w:p>
        </w:tc>
        <w:tc>
          <w:tcPr>
            <w:tcW w:w="1134" w:type="dxa"/>
            <w:tcBorders>
              <w:top w:val="single" w:sz="2" w:space="0" w:color="000000"/>
              <w:left w:val="single" w:sz="2" w:space="0" w:color="000000"/>
              <w:bottom w:val="single" w:sz="2" w:space="0" w:color="000000"/>
              <w:right w:val="single" w:sz="2" w:space="0" w:color="000000"/>
            </w:tcBorders>
          </w:tcPr>
          <w:p w14:paraId="1CE9C273" w14:textId="77777777" w:rsidR="009D54AF" w:rsidRDefault="00000000">
            <w:pPr>
              <w:pStyle w:val="TableParagraph"/>
              <w:spacing w:before="85"/>
              <w:ind w:left="51" w:right="51"/>
              <w:jc w:val="center"/>
              <w:rPr>
                <w:sz w:val="19"/>
              </w:rPr>
            </w:pPr>
            <w:r>
              <w:rPr>
                <w:spacing w:val="-10"/>
                <w:sz w:val="19"/>
              </w:rPr>
              <w:t>0</w:t>
            </w:r>
          </w:p>
        </w:tc>
        <w:tc>
          <w:tcPr>
            <w:tcW w:w="1134" w:type="dxa"/>
            <w:tcBorders>
              <w:top w:val="single" w:sz="2" w:space="0" w:color="000000"/>
              <w:left w:val="single" w:sz="2" w:space="0" w:color="000000"/>
              <w:bottom w:val="single" w:sz="2" w:space="0" w:color="000000"/>
              <w:right w:val="single" w:sz="2" w:space="0" w:color="000000"/>
            </w:tcBorders>
          </w:tcPr>
          <w:p w14:paraId="4ED57E3C" w14:textId="77777777" w:rsidR="009D54AF" w:rsidRDefault="00000000">
            <w:pPr>
              <w:pStyle w:val="TableParagraph"/>
              <w:spacing w:before="85"/>
              <w:ind w:left="51" w:right="52"/>
              <w:jc w:val="center"/>
              <w:rPr>
                <w:sz w:val="19"/>
              </w:rPr>
            </w:pPr>
            <w:r>
              <w:rPr>
                <w:spacing w:val="-10"/>
                <w:sz w:val="19"/>
              </w:rPr>
              <w:t>0</w:t>
            </w:r>
          </w:p>
        </w:tc>
        <w:tc>
          <w:tcPr>
            <w:tcW w:w="1134" w:type="dxa"/>
            <w:tcBorders>
              <w:top w:val="single" w:sz="2" w:space="0" w:color="000000"/>
              <w:left w:val="single" w:sz="2" w:space="0" w:color="000000"/>
              <w:bottom w:val="single" w:sz="2" w:space="0" w:color="000000"/>
              <w:right w:val="single" w:sz="2" w:space="0" w:color="000000"/>
            </w:tcBorders>
          </w:tcPr>
          <w:p w14:paraId="6F589012" w14:textId="77777777" w:rsidR="009D54AF" w:rsidRDefault="00000000">
            <w:pPr>
              <w:pStyle w:val="TableParagraph"/>
              <w:spacing w:before="85"/>
              <w:ind w:left="51" w:right="52"/>
              <w:jc w:val="center"/>
              <w:rPr>
                <w:sz w:val="19"/>
              </w:rPr>
            </w:pPr>
            <w:r>
              <w:rPr>
                <w:spacing w:val="-10"/>
                <w:sz w:val="19"/>
              </w:rPr>
              <w:t>0</w:t>
            </w:r>
          </w:p>
        </w:tc>
        <w:tc>
          <w:tcPr>
            <w:tcW w:w="1134" w:type="dxa"/>
            <w:tcBorders>
              <w:top w:val="single" w:sz="2" w:space="0" w:color="000000"/>
              <w:left w:val="single" w:sz="2" w:space="0" w:color="000000"/>
              <w:bottom w:val="single" w:sz="2" w:space="0" w:color="000000"/>
              <w:right w:val="single" w:sz="2" w:space="0" w:color="000000"/>
            </w:tcBorders>
          </w:tcPr>
          <w:p w14:paraId="339BFF4C" w14:textId="77777777" w:rsidR="009D54AF" w:rsidRDefault="00000000">
            <w:pPr>
              <w:pStyle w:val="TableParagraph"/>
              <w:spacing w:before="85"/>
              <w:ind w:left="51" w:right="52"/>
              <w:jc w:val="center"/>
              <w:rPr>
                <w:sz w:val="19"/>
              </w:rPr>
            </w:pPr>
            <w:r>
              <w:rPr>
                <w:spacing w:val="-10"/>
                <w:sz w:val="19"/>
              </w:rPr>
              <w:t>0</w:t>
            </w:r>
          </w:p>
        </w:tc>
        <w:tc>
          <w:tcPr>
            <w:tcW w:w="1134" w:type="dxa"/>
            <w:tcBorders>
              <w:top w:val="single" w:sz="2" w:space="0" w:color="000000"/>
              <w:left w:val="single" w:sz="2" w:space="0" w:color="000000"/>
              <w:bottom w:val="single" w:sz="2" w:space="0" w:color="000000"/>
              <w:right w:val="single" w:sz="2" w:space="0" w:color="000000"/>
            </w:tcBorders>
          </w:tcPr>
          <w:p w14:paraId="029DCAB9" w14:textId="77777777" w:rsidR="009D54AF" w:rsidRDefault="00000000">
            <w:pPr>
              <w:pStyle w:val="TableParagraph"/>
              <w:spacing w:before="85"/>
              <w:ind w:left="51" w:right="51"/>
              <w:jc w:val="center"/>
              <w:rPr>
                <w:sz w:val="19"/>
              </w:rPr>
            </w:pPr>
            <w:r>
              <w:rPr>
                <w:spacing w:val="-10"/>
                <w:sz w:val="19"/>
              </w:rPr>
              <w:t>0</w:t>
            </w:r>
          </w:p>
        </w:tc>
        <w:tc>
          <w:tcPr>
            <w:tcW w:w="1134" w:type="dxa"/>
            <w:tcBorders>
              <w:top w:val="single" w:sz="2" w:space="0" w:color="000000"/>
              <w:left w:val="single" w:sz="2" w:space="0" w:color="000000"/>
              <w:bottom w:val="single" w:sz="2" w:space="0" w:color="000000"/>
              <w:right w:val="nil"/>
            </w:tcBorders>
          </w:tcPr>
          <w:p w14:paraId="7A76D2F3" w14:textId="77777777" w:rsidR="009D54AF" w:rsidRDefault="00000000">
            <w:pPr>
              <w:pStyle w:val="TableParagraph"/>
              <w:spacing w:before="42"/>
              <w:ind w:left="2" w:right="4"/>
              <w:jc w:val="center"/>
              <w:rPr>
                <w:b/>
                <w:sz w:val="19"/>
              </w:rPr>
            </w:pPr>
            <w:r>
              <w:rPr>
                <w:b/>
                <w:spacing w:val="-10"/>
                <w:sz w:val="19"/>
              </w:rPr>
              <w:t>0</w:t>
            </w:r>
          </w:p>
        </w:tc>
      </w:tr>
      <w:tr w:rsidR="009D54AF" w14:paraId="2398E31A" w14:textId="77777777">
        <w:trPr>
          <w:trHeight w:val="391"/>
        </w:trPr>
        <w:tc>
          <w:tcPr>
            <w:tcW w:w="2268" w:type="dxa"/>
            <w:tcBorders>
              <w:top w:val="single" w:sz="2" w:space="0" w:color="000000"/>
              <w:left w:val="nil"/>
              <w:bottom w:val="single" w:sz="2" w:space="0" w:color="000000"/>
              <w:right w:val="single" w:sz="2" w:space="0" w:color="000000"/>
            </w:tcBorders>
          </w:tcPr>
          <w:p w14:paraId="60F2B20C" w14:textId="77777777" w:rsidR="009D54AF" w:rsidRDefault="00000000">
            <w:pPr>
              <w:pStyle w:val="TableParagraph"/>
              <w:spacing w:before="85"/>
              <w:ind w:left="85"/>
              <w:rPr>
                <w:sz w:val="19"/>
              </w:rPr>
            </w:pPr>
            <w:r>
              <w:rPr>
                <w:spacing w:val="-5"/>
                <w:sz w:val="19"/>
              </w:rPr>
              <w:t>SA</w:t>
            </w:r>
          </w:p>
        </w:tc>
        <w:tc>
          <w:tcPr>
            <w:tcW w:w="1134" w:type="dxa"/>
            <w:tcBorders>
              <w:top w:val="single" w:sz="2" w:space="0" w:color="000000"/>
              <w:left w:val="single" w:sz="2" w:space="0" w:color="000000"/>
              <w:bottom w:val="single" w:sz="2" w:space="0" w:color="000000"/>
              <w:right w:val="single" w:sz="2" w:space="0" w:color="000000"/>
            </w:tcBorders>
          </w:tcPr>
          <w:p w14:paraId="59A550DF" w14:textId="77777777" w:rsidR="009D54AF" w:rsidRDefault="00000000">
            <w:pPr>
              <w:pStyle w:val="TableParagraph"/>
              <w:spacing w:before="85"/>
              <w:ind w:left="51" w:right="51"/>
              <w:jc w:val="center"/>
              <w:rPr>
                <w:sz w:val="19"/>
              </w:rPr>
            </w:pPr>
            <w:r>
              <w:rPr>
                <w:spacing w:val="-10"/>
                <w:sz w:val="19"/>
              </w:rPr>
              <w:t>0</w:t>
            </w:r>
          </w:p>
        </w:tc>
        <w:tc>
          <w:tcPr>
            <w:tcW w:w="1134" w:type="dxa"/>
            <w:tcBorders>
              <w:top w:val="single" w:sz="2" w:space="0" w:color="000000"/>
              <w:left w:val="single" w:sz="2" w:space="0" w:color="000000"/>
              <w:bottom w:val="single" w:sz="2" w:space="0" w:color="000000"/>
              <w:right w:val="single" w:sz="2" w:space="0" w:color="000000"/>
            </w:tcBorders>
          </w:tcPr>
          <w:p w14:paraId="361C6509" w14:textId="77777777" w:rsidR="009D54AF" w:rsidRDefault="00000000">
            <w:pPr>
              <w:pStyle w:val="TableParagraph"/>
              <w:spacing w:before="85"/>
              <w:ind w:left="51" w:right="51"/>
              <w:jc w:val="center"/>
              <w:rPr>
                <w:sz w:val="19"/>
              </w:rPr>
            </w:pPr>
            <w:r>
              <w:rPr>
                <w:spacing w:val="-10"/>
                <w:sz w:val="19"/>
              </w:rPr>
              <w:t>0</w:t>
            </w:r>
          </w:p>
        </w:tc>
        <w:tc>
          <w:tcPr>
            <w:tcW w:w="1134" w:type="dxa"/>
            <w:tcBorders>
              <w:top w:val="single" w:sz="2" w:space="0" w:color="000000"/>
              <w:left w:val="single" w:sz="2" w:space="0" w:color="000000"/>
              <w:bottom w:val="single" w:sz="2" w:space="0" w:color="000000"/>
              <w:right w:val="single" w:sz="2" w:space="0" w:color="000000"/>
            </w:tcBorders>
          </w:tcPr>
          <w:p w14:paraId="7A5CE4EE" w14:textId="77777777" w:rsidR="009D54AF" w:rsidRDefault="00000000">
            <w:pPr>
              <w:pStyle w:val="TableParagraph"/>
              <w:spacing w:before="85"/>
              <w:ind w:left="51" w:right="52"/>
              <w:jc w:val="center"/>
              <w:rPr>
                <w:sz w:val="19"/>
              </w:rPr>
            </w:pPr>
            <w:r>
              <w:rPr>
                <w:spacing w:val="-10"/>
                <w:sz w:val="19"/>
              </w:rPr>
              <w:t>0</w:t>
            </w:r>
          </w:p>
        </w:tc>
        <w:tc>
          <w:tcPr>
            <w:tcW w:w="1134" w:type="dxa"/>
            <w:tcBorders>
              <w:top w:val="single" w:sz="2" w:space="0" w:color="000000"/>
              <w:left w:val="single" w:sz="2" w:space="0" w:color="000000"/>
              <w:bottom w:val="single" w:sz="2" w:space="0" w:color="000000"/>
              <w:right w:val="single" w:sz="2" w:space="0" w:color="000000"/>
            </w:tcBorders>
          </w:tcPr>
          <w:p w14:paraId="58C7766C" w14:textId="77777777" w:rsidR="009D54AF" w:rsidRDefault="00000000">
            <w:pPr>
              <w:pStyle w:val="TableParagraph"/>
              <w:spacing w:before="85"/>
              <w:ind w:left="51" w:right="52"/>
              <w:jc w:val="center"/>
              <w:rPr>
                <w:sz w:val="19"/>
              </w:rPr>
            </w:pPr>
            <w:r>
              <w:rPr>
                <w:spacing w:val="-10"/>
                <w:sz w:val="19"/>
              </w:rPr>
              <w:t>0</w:t>
            </w:r>
          </w:p>
        </w:tc>
        <w:tc>
          <w:tcPr>
            <w:tcW w:w="1134" w:type="dxa"/>
            <w:tcBorders>
              <w:top w:val="single" w:sz="2" w:space="0" w:color="000000"/>
              <w:left w:val="single" w:sz="2" w:space="0" w:color="000000"/>
              <w:bottom w:val="single" w:sz="2" w:space="0" w:color="000000"/>
              <w:right w:val="single" w:sz="2" w:space="0" w:color="000000"/>
            </w:tcBorders>
          </w:tcPr>
          <w:p w14:paraId="7716DFBA" w14:textId="77777777" w:rsidR="009D54AF" w:rsidRDefault="00000000">
            <w:pPr>
              <w:pStyle w:val="TableParagraph"/>
              <w:spacing w:before="85"/>
              <w:ind w:left="51" w:right="52"/>
              <w:jc w:val="center"/>
              <w:rPr>
                <w:sz w:val="19"/>
              </w:rPr>
            </w:pPr>
            <w:r>
              <w:rPr>
                <w:spacing w:val="-10"/>
                <w:sz w:val="19"/>
              </w:rPr>
              <w:t>0</w:t>
            </w:r>
          </w:p>
        </w:tc>
        <w:tc>
          <w:tcPr>
            <w:tcW w:w="1134" w:type="dxa"/>
            <w:tcBorders>
              <w:top w:val="single" w:sz="2" w:space="0" w:color="000000"/>
              <w:left w:val="single" w:sz="2" w:space="0" w:color="000000"/>
              <w:bottom w:val="single" w:sz="2" w:space="0" w:color="000000"/>
              <w:right w:val="single" w:sz="2" w:space="0" w:color="000000"/>
            </w:tcBorders>
          </w:tcPr>
          <w:p w14:paraId="4391E240" w14:textId="77777777" w:rsidR="009D54AF" w:rsidRDefault="00000000">
            <w:pPr>
              <w:pStyle w:val="TableParagraph"/>
              <w:spacing w:before="85"/>
              <w:ind w:left="51" w:right="51"/>
              <w:jc w:val="center"/>
              <w:rPr>
                <w:sz w:val="19"/>
              </w:rPr>
            </w:pPr>
            <w:r>
              <w:rPr>
                <w:spacing w:val="-10"/>
                <w:sz w:val="19"/>
              </w:rPr>
              <w:t>0</w:t>
            </w:r>
          </w:p>
        </w:tc>
        <w:tc>
          <w:tcPr>
            <w:tcW w:w="1134" w:type="dxa"/>
            <w:tcBorders>
              <w:top w:val="single" w:sz="2" w:space="0" w:color="000000"/>
              <w:left w:val="single" w:sz="2" w:space="0" w:color="000000"/>
              <w:bottom w:val="single" w:sz="2" w:space="0" w:color="000000"/>
              <w:right w:val="nil"/>
            </w:tcBorders>
          </w:tcPr>
          <w:p w14:paraId="4EA17882" w14:textId="77777777" w:rsidR="009D54AF" w:rsidRDefault="00000000">
            <w:pPr>
              <w:pStyle w:val="TableParagraph"/>
              <w:spacing w:before="42"/>
              <w:ind w:left="2" w:right="4"/>
              <w:jc w:val="center"/>
              <w:rPr>
                <w:b/>
                <w:sz w:val="19"/>
              </w:rPr>
            </w:pPr>
            <w:r>
              <w:rPr>
                <w:b/>
                <w:spacing w:val="-10"/>
                <w:sz w:val="19"/>
              </w:rPr>
              <w:t>0</w:t>
            </w:r>
          </w:p>
        </w:tc>
      </w:tr>
      <w:tr w:rsidR="009D54AF" w14:paraId="6AA47544" w14:textId="77777777">
        <w:trPr>
          <w:trHeight w:val="391"/>
        </w:trPr>
        <w:tc>
          <w:tcPr>
            <w:tcW w:w="2268" w:type="dxa"/>
            <w:tcBorders>
              <w:top w:val="single" w:sz="2" w:space="0" w:color="000000"/>
              <w:left w:val="nil"/>
              <w:bottom w:val="single" w:sz="2" w:space="0" w:color="000000"/>
              <w:right w:val="single" w:sz="2" w:space="0" w:color="000000"/>
            </w:tcBorders>
          </w:tcPr>
          <w:p w14:paraId="3B4D280C" w14:textId="77777777" w:rsidR="009D54AF" w:rsidRDefault="00000000">
            <w:pPr>
              <w:pStyle w:val="TableParagraph"/>
              <w:spacing w:before="85"/>
              <w:ind w:left="85"/>
              <w:rPr>
                <w:sz w:val="19"/>
              </w:rPr>
            </w:pPr>
            <w:r>
              <w:rPr>
                <w:spacing w:val="-5"/>
                <w:sz w:val="19"/>
              </w:rPr>
              <w:t>Tas</w:t>
            </w:r>
          </w:p>
        </w:tc>
        <w:tc>
          <w:tcPr>
            <w:tcW w:w="1134" w:type="dxa"/>
            <w:tcBorders>
              <w:top w:val="single" w:sz="2" w:space="0" w:color="000000"/>
              <w:left w:val="single" w:sz="2" w:space="0" w:color="000000"/>
              <w:bottom w:val="single" w:sz="2" w:space="0" w:color="000000"/>
              <w:right w:val="single" w:sz="2" w:space="0" w:color="000000"/>
            </w:tcBorders>
          </w:tcPr>
          <w:p w14:paraId="1A0638C4" w14:textId="77777777" w:rsidR="009D54AF" w:rsidRDefault="00000000">
            <w:pPr>
              <w:pStyle w:val="TableParagraph"/>
              <w:spacing w:before="85"/>
              <w:ind w:left="51" w:right="51"/>
              <w:jc w:val="center"/>
              <w:rPr>
                <w:sz w:val="19"/>
              </w:rPr>
            </w:pPr>
            <w:r>
              <w:rPr>
                <w:spacing w:val="-10"/>
                <w:sz w:val="19"/>
              </w:rPr>
              <w:t>0</w:t>
            </w:r>
          </w:p>
        </w:tc>
        <w:tc>
          <w:tcPr>
            <w:tcW w:w="1134" w:type="dxa"/>
            <w:tcBorders>
              <w:top w:val="single" w:sz="2" w:space="0" w:color="000000"/>
              <w:left w:val="single" w:sz="2" w:space="0" w:color="000000"/>
              <w:bottom w:val="single" w:sz="2" w:space="0" w:color="000000"/>
              <w:right w:val="single" w:sz="2" w:space="0" w:color="000000"/>
            </w:tcBorders>
          </w:tcPr>
          <w:p w14:paraId="7BBC79F6" w14:textId="77777777" w:rsidR="009D54AF" w:rsidRDefault="00000000">
            <w:pPr>
              <w:pStyle w:val="TableParagraph"/>
              <w:spacing w:before="85"/>
              <w:ind w:left="51" w:right="51"/>
              <w:jc w:val="center"/>
              <w:rPr>
                <w:sz w:val="19"/>
              </w:rPr>
            </w:pPr>
            <w:r>
              <w:rPr>
                <w:spacing w:val="-10"/>
                <w:sz w:val="19"/>
              </w:rPr>
              <w:t>0</w:t>
            </w:r>
          </w:p>
        </w:tc>
        <w:tc>
          <w:tcPr>
            <w:tcW w:w="1134" w:type="dxa"/>
            <w:tcBorders>
              <w:top w:val="single" w:sz="2" w:space="0" w:color="000000"/>
              <w:left w:val="single" w:sz="2" w:space="0" w:color="000000"/>
              <w:bottom w:val="single" w:sz="2" w:space="0" w:color="000000"/>
              <w:right w:val="single" w:sz="2" w:space="0" w:color="000000"/>
            </w:tcBorders>
          </w:tcPr>
          <w:p w14:paraId="089FCC81" w14:textId="77777777" w:rsidR="009D54AF" w:rsidRDefault="00000000">
            <w:pPr>
              <w:pStyle w:val="TableParagraph"/>
              <w:spacing w:before="85"/>
              <w:ind w:left="51" w:right="52"/>
              <w:jc w:val="center"/>
              <w:rPr>
                <w:sz w:val="19"/>
              </w:rPr>
            </w:pPr>
            <w:r>
              <w:rPr>
                <w:spacing w:val="-10"/>
                <w:sz w:val="19"/>
              </w:rPr>
              <w:t>0</w:t>
            </w:r>
          </w:p>
        </w:tc>
        <w:tc>
          <w:tcPr>
            <w:tcW w:w="1134" w:type="dxa"/>
            <w:tcBorders>
              <w:top w:val="single" w:sz="2" w:space="0" w:color="000000"/>
              <w:left w:val="single" w:sz="2" w:space="0" w:color="000000"/>
              <w:bottom w:val="single" w:sz="2" w:space="0" w:color="000000"/>
              <w:right w:val="single" w:sz="2" w:space="0" w:color="000000"/>
            </w:tcBorders>
          </w:tcPr>
          <w:p w14:paraId="75752755" w14:textId="77777777" w:rsidR="009D54AF" w:rsidRDefault="00000000">
            <w:pPr>
              <w:pStyle w:val="TableParagraph"/>
              <w:spacing w:before="85"/>
              <w:ind w:left="51" w:right="52"/>
              <w:jc w:val="center"/>
              <w:rPr>
                <w:sz w:val="19"/>
              </w:rPr>
            </w:pPr>
            <w:r>
              <w:rPr>
                <w:spacing w:val="-10"/>
                <w:sz w:val="19"/>
              </w:rPr>
              <w:t>0</w:t>
            </w:r>
          </w:p>
        </w:tc>
        <w:tc>
          <w:tcPr>
            <w:tcW w:w="1134" w:type="dxa"/>
            <w:tcBorders>
              <w:top w:val="single" w:sz="2" w:space="0" w:color="000000"/>
              <w:left w:val="single" w:sz="2" w:space="0" w:color="000000"/>
              <w:bottom w:val="single" w:sz="2" w:space="0" w:color="000000"/>
              <w:right w:val="single" w:sz="2" w:space="0" w:color="000000"/>
            </w:tcBorders>
          </w:tcPr>
          <w:p w14:paraId="2A72EA1B" w14:textId="77777777" w:rsidR="009D54AF" w:rsidRDefault="00000000">
            <w:pPr>
              <w:pStyle w:val="TableParagraph"/>
              <w:spacing w:before="85"/>
              <w:ind w:left="51" w:right="52"/>
              <w:jc w:val="center"/>
              <w:rPr>
                <w:sz w:val="19"/>
              </w:rPr>
            </w:pPr>
            <w:r>
              <w:rPr>
                <w:spacing w:val="-10"/>
                <w:sz w:val="19"/>
              </w:rPr>
              <w:t>0</w:t>
            </w:r>
          </w:p>
        </w:tc>
        <w:tc>
          <w:tcPr>
            <w:tcW w:w="1134" w:type="dxa"/>
            <w:tcBorders>
              <w:top w:val="single" w:sz="2" w:space="0" w:color="000000"/>
              <w:left w:val="single" w:sz="2" w:space="0" w:color="000000"/>
              <w:bottom w:val="single" w:sz="2" w:space="0" w:color="000000"/>
              <w:right w:val="single" w:sz="2" w:space="0" w:color="000000"/>
            </w:tcBorders>
          </w:tcPr>
          <w:p w14:paraId="158BDBF6" w14:textId="77777777" w:rsidR="009D54AF" w:rsidRDefault="00000000">
            <w:pPr>
              <w:pStyle w:val="TableParagraph"/>
              <w:spacing w:before="85"/>
              <w:ind w:left="51" w:right="51"/>
              <w:jc w:val="center"/>
              <w:rPr>
                <w:sz w:val="19"/>
              </w:rPr>
            </w:pPr>
            <w:r>
              <w:rPr>
                <w:spacing w:val="-10"/>
                <w:sz w:val="19"/>
              </w:rPr>
              <w:t>0</w:t>
            </w:r>
          </w:p>
        </w:tc>
        <w:tc>
          <w:tcPr>
            <w:tcW w:w="1134" w:type="dxa"/>
            <w:tcBorders>
              <w:top w:val="single" w:sz="2" w:space="0" w:color="000000"/>
              <w:left w:val="single" w:sz="2" w:space="0" w:color="000000"/>
              <w:bottom w:val="single" w:sz="2" w:space="0" w:color="000000"/>
              <w:right w:val="nil"/>
            </w:tcBorders>
          </w:tcPr>
          <w:p w14:paraId="31823127" w14:textId="77777777" w:rsidR="009D54AF" w:rsidRDefault="00000000">
            <w:pPr>
              <w:pStyle w:val="TableParagraph"/>
              <w:spacing w:before="42"/>
              <w:ind w:left="2" w:right="4"/>
              <w:jc w:val="center"/>
              <w:rPr>
                <w:b/>
                <w:sz w:val="19"/>
              </w:rPr>
            </w:pPr>
            <w:r>
              <w:rPr>
                <w:b/>
                <w:spacing w:val="-10"/>
                <w:sz w:val="19"/>
              </w:rPr>
              <w:t>0</w:t>
            </w:r>
          </w:p>
        </w:tc>
      </w:tr>
      <w:tr w:rsidR="009D54AF" w14:paraId="4D181CBD" w14:textId="77777777">
        <w:trPr>
          <w:trHeight w:val="391"/>
        </w:trPr>
        <w:tc>
          <w:tcPr>
            <w:tcW w:w="2268" w:type="dxa"/>
            <w:tcBorders>
              <w:top w:val="single" w:sz="2" w:space="0" w:color="000000"/>
              <w:left w:val="nil"/>
              <w:bottom w:val="single" w:sz="2" w:space="0" w:color="000000"/>
              <w:right w:val="single" w:sz="2" w:space="0" w:color="000000"/>
            </w:tcBorders>
          </w:tcPr>
          <w:p w14:paraId="42339236" w14:textId="77777777" w:rsidR="009D54AF" w:rsidRDefault="00000000">
            <w:pPr>
              <w:pStyle w:val="TableParagraph"/>
              <w:spacing w:before="85"/>
              <w:ind w:left="85"/>
              <w:rPr>
                <w:sz w:val="19"/>
              </w:rPr>
            </w:pPr>
            <w:r>
              <w:rPr>
                <w:spacing w:val="-5"/>
                <w:sz w:val="19"/>
              </w:rPr>
              <w:t>Vic</w:t>
            </w:r>
          </w:p>
        </w:tc>
        <w:tc>
          <w:tcPr>
            <w:tcW w:w="1134" w:type="dxa"/>
            <w:tcBorders>
              <w:top w:val="single" w:sz="2" w:space="0" w:color="000000"/>
              <w:left w:val="single" w:sz="2" w:space="0" w:color="000000"/>
              <w:bottom w:val="single" w:sz="2" w:space="0" w:color="000000"/>
              <w:right w:val="single" w:sz="2" w:space="0" w:color="000000"/>
            </w:tcBorders>
          </w:tcPr>
          <w:p w14:paraId="4F7CF9A8" w14:textId="77777777" w:rsidR="009D54AF" w:rsidRDefault="00000000">
            <w:pPr>
              <w:pStyle w:val="TableParagraph"/>
              <w:spacing w:before="85"/>
              <w:ind w:left="51" w:right="51"/>
              <w:jc w:val="center"/>
              <w:rPr>
                <w:sz w:val="19"/>
              </w:rPr>
            </w:pPr>
            <w:r>
              <w:rPr>
                <w:spacing w:val="-10"/>
                <w:sz w:val="19"/>
              </w:rPr>
              <w:t>0</w:t>
            </w:r>
          </w:p>
        </w:tc>
        <w:tc>
          <w:tcPr>
            <w:tcW w:w="1134" w:type="dxa"/>
            <w:tcBorders>
              <w:top w:val="single" w:sz="2" w:space="0" w:color="000000"/>
              <w:left w:val="single" w:sz="2" w:space="0" w:color="000000"/>
              <w:bottom w:val="single" w:sz="2" w:space="0" w:color="000000"/>
              <w:right w:val="single" w:sz="2" w:space="0" w:color="000000"/>
            </w:tcBorders>
          </w:tcPr>
          <w:p w14:paraId="08828C49" w14:textId="77777777" w:rsidR="009D54AF" w:rsidRDefault="00000000">
            <w:pPr>
              <w:pStyle w:val="TableParagraph"/>
              <w:spacing w:before="85"/>
              <w:ind w:left="51" w:right="51"/>
              <w:jc w:val="center"/>
              <w:rPr>
                <w:sz w:val="19"/>
              </w:rPr>
            </w:pPr>
            <w:r>
              <w:rPr>
                <w:spacing w:val="-10"/>
                <w:sz w:val="19"/>
              </w:rPr>
              <w:t>0</w:t>
            </w:r>
          </w:p>
        </w:tc>
        <w:tc>
          <w:tcPr>
            <w:tcW w:w="1134" w:type="dxa"/>
            <w:tcBorders>
              <w:top w:val="single" w:sz="2" w:space="0" w:color="000000"/>
              <w:left w:val="single" w:sz="2" w:space="0" w:color="000000"/>
              <w:bottom w:val="single" w:sz="2" w:space="0" w:color="000000"/>
              <w:right w:val="single" w:sz="2" w:space="0" w:color="000000"/>
            </w:tcBorders>
          </w:tcPr>
          <w:p w14:paraId="134C6F5D" w14:textId="77777777" w:rsidR="009D54AF" w:rsidRDefault="00000000">
            <w:pPr>
              <w:pStyle w:val="TableParagraph"/>
              <w:spacing w:before="85"/>
              <w:ind w:left="51" w:right="52"/>
              <w:jc w:val="center"/>
              <w:rPr>
                <w:sz w:val="19"/>
              </w:rPr>
            </w:pPr>
            <w:r>
              <w:rPr>
                <w:spacing w:val="-10"/>
                <w:sz w:val="19"/>
              </w:rPr>
              <w:t>0</w:t>
            </w:r>
          </w:p>
        </w:tc>
        <w:tc>
          <w:tcPr>
            <w:tcW w:w="1134" w:type="dxa"/>
            <w:tcBorders>
              <w:top w:val="single" w:sz="2" w:space="0" w:color="000000"/>
              <w:left w:val="single" w:sz="2" w:space="0" w:color="000000"/>
              <w:bottom w:val="single" w:sz="2" w:space="0" w:color="000000"/>
              <w:right w:val="single" w:sz="2" w:space="0" w:color="000000"/>
            </w:tcBorders>
          </w:tcPr>
          <w:p w14:paraId="76590804" w14:textId="77777777" w:rsidR="009D54AF" w:rsidRDefault="00000000">
            <w:pPr>
              <w:pStyle w:val="TableParagraph"/>
              <w:spacing w:before="85"/>
              <w:ind w:left="51" w:right="52"/>
              <w:jc w:val="center"/>
              <w:rPr>
                <w:sz w:val="19"/>
              </w:rPr>
            </w:pPr>
            <w:r>
              <w:rPr>
                <w:spacing w:val="-10"/>
                <w:sz w:val="19"/>
              </w:rPr>
              <w:t>0</w:t>
            </w:r>
          </w:p>
        </w:tc>
        <w:tc>
          <w:tcPr>
            <w:tcW w:w="1134" w:type="dxa"/>
            <w:tcBorders>
              <w:top w:val="single" w:sz="2" w:space="0" w:color="000000"/>
              <w:left w:val="single" w:sz="2" w:space="0" w:color="000000"/>
              <w:bottom w:val="single" w:sz="2" w:space="0" w:color="000000"/>
              <w:right w:val="single" w:sz="2" w:space="0" w:color="000000"/>
            </w:tcBorders>
          </w:tcPr>
          <w:p w14:paraId="50957B5C" w14:textId="77777777" w:rsidR="009D54AF" w:rsidRDefault="00000000">
            <w:pPr>
              <w:pStyle w:val="TableParagraph"/>
              <w:spacing w:before="85"/>
              <w:ind w:left="51" w:right="52"/>
              <w:jc w:val="center"/>
              <w:rPr>
                <w:sz w:val="19"/>
              </w:rPr>
            </w:pPr>
            <w:r>
              <w:rPr>
                <w:spacing w:val="-10"/>
                <w:sz w:val="19"/>
              </w:rPr>
              <w:t>0</w:t>
            </w:r>
          </w:p>
        </w:tc>
        <w:tc>
          <w:tcPr>
            <w:tcW w:w="1134" w:type="dxa"/>
            <w:tcBorders>
              <w:top w:val="single" w:sz="2" w:space="0" w:color="000000"/>
              <w:left w:val="single" w:sz="2" w:space="0" w:color="000000"/>
              <w:bottom w:val="single" w:sz="2" w:space="0" w:color="000000"/>
              <w:right w:val="single" w:sz="2" w:space="0" w:color="000000"/>
            </w:tcBorders>
          </w:tcPr>
          <w:p w14:paraId="11AA66A5" w14:textId="77777777" w:rsidR="009D54AF" w:rsidRDefault="00000000">
            <w:pPr>
              <w:pStyle w:val="TableParagraph"/>
              <w:spacing w:before="85"/>
              <w:ind w:left="51" w:right="51"/>
              <w:jc w:val="center"/>
              <w:rPr>
                <w:sz w:val="19"/>
              </w:rPr>
            </w:pPr>
            <w:r>
              <w:rPr>
                <w:spacing w:val="-10"/>
                <w:sz w:val="19"/>
              </w:rPr>
              <w:t>0</w:t>
            </w:r>
          </w:p>
        </w:tc>
        <w:tc>
          <w:tcPr>
            <w:tcW w:w="1134" w:type="dxa"/>
            <w:tcBorders>
              <w:top w:val="single" w:sz="2" w:space="0" w:color="000000"/>
              <w:left w:val="single" w:sz="2" w:space="0" w:color="000000"/>
              <w:bottom w:val="single" w:sz="2" w:space="0" w:color="000000"/>
              <w:right w:val="nil"/>
            </w:tcBorders>
          </w:tcPr>
          <w:p w14:paraId="513082D6" w14:textId="77777777" w:rsidR="009D54AF" w:rsidRDefault="00000000">
            <w:pPr>
              <w:pStyle w:val="TableParagraph"/>
              <w:spacing w:before="42"/>
              <w:ind w:left="2" w:right="4"/>
              <w:jc w:val="center"/>
              <w:rPr>
                <w:b/>
                <w:sz w:val="19"/>
              </w:rPr>
            </w:pPr>
            <w:r>
              <w:rPr>
                <w:b/>
                <w:spacing w:val="-10"/>
                <w:sz w:val="19"/>
              </w:rPr>
              <w:t>0</w:t>
            </w:r>
          </w:p>
        </w:tc>
      </w:tr>
      <w:tr w:rsidR="009D54AF" w14:paraId="0A56503A" w14:textId="77777777">
        <w:trPr>
          <w:trHeight w:val="391"/>
        </w:trPr>
        <w:tc>
          <w:tcPr>
            <w:tcW w:w="2268" w:type="dxa"/>
            <w:tcBorders>
              <w:top w:val="single" w:sz="2" w:space="0" w:color="000000"/>
              <w:left w:val="nil"/>
              <w:bottom w:val="single" w:sz="2" w:space="0" w:color="000000"/>
              <w:right w:val="single" w:sz="2" w:space="0" w:color="000000"/>
            </w:tcBorders>
          </w:tcPr>
          <w:p w14:paraId="31136610" w14:textId="77777777" w:rsidR="009D54AF" w:rsidRDefault="00000000">
            <w:pPr>
              <w:pStyle w:val="TableParagraph"/>
              <w:spacing w:before="85"/>
              <w:ind w:left="85"/>
              <w:rPr>
                <w:sz w:val="19"/>
              </w:rPr>
            </w:pPr>
            <w:r>
              <w:rPr>
                <w:spacing w:val="-5"/>
                <w:sz w:val="19"/>
              </w:rPr>
              <w:t>WA</w:t>
            </w:r>
          </w:p>
        </w:tc>
        <w:tc>
          <w:tcPr>
            <w:tcW w:w="1134" w:type="dxa"/>
            <w:tcBorders>
              <w:top w:val="single" w:sz="2" w:space="0" w:color="000000"/>
              <w:left w:val="single" w:sz="2" w:space="0" w:color="000000"/>
              <w:bottom w:val="single" w:sz="2" w:space="0" w:color="000000"/>
              <w:right w:val="single" w:sz="2" w:space="0" w:color="000000"/>
            </w:tcBorders>
          </w:tcPr>
          <w:p w14:paraId="503F40C3" w14:textId="77777777" w:rsidR="009D54AF" w:rsidRDefault="00000000">
            <w:pPr>
              <w:pStyle w:val="TableParagraph"/>
              <w:spacing w:before="85"/>
              <w:ind w:left="51" w:right="51"/>
              <w:jc w:val="center"/>
              <w:rPr>
                <w:sz w:val="19"/>
              </w:rPr>
            </w:pPr>
            <w:r>
              <w:rPr>
                <w:spacing w:val="-10"/>
                <w:sz w:val="19"/>
              </w:rPr>
              <w:t>0</w:t>
            </w:r>
          </w:p>
        </w:tc>
        <w:tc>
          <w:tcPr>
            <w:tcW w:w="1134" w:type="dxa"/>
            <w:tcBorders>
              <w:top w:val="single" w:sz="2" w:space="0" w:color="000000"/>
              <w:left w:val="single" w:sz="2" w:space="0" w:color="000000"/>
              <w:bottom w:val="single" w:sz="2" w:space="0" w:color="000000"/>
              <w:right w:val="single" w:sz="2" w:space="0" w:color="000000"/>
            </w:tcBorders>
          </w:tcPr>
          <w:p w14:paraId="25A46796" w14:textId="77777777" w:rsidR="009D54AF" w:rsidRDefault="00000000">
            <w:pPr>
              <w:pStyle w:val="TableParagraph"/>
              <w:spacing w:before="85"/>
              <w:ind w:left="51" w:right="51"/>
              <w:jc w:val="center"/>
              <w:rPr>
                <w:sz w:val="19"/>
              </w:rPr>
            </w:pPr>
            <w:r>
              <w:rPr>
                <w:spacing w:val="-10"/>
                <w:sz w:val="19"/>
              </w:rPr>
              <w:t>0</w:t>
            </w:r>
          </w:p>
        </w:tc>
        <w:tc>
          <w:tcPr>
            <w:tcW w:w="1134" w:type="dxa"/>
            <w:tcBorders>
              <w:top w:val="single" w:sz="2" w:space="0" w:color="000000"/>
              <w:left w:val="single" w:sz="2" w:space="0" w:color="000000"/>
              <w:bottom w:val="single" w:sz="2" w:space="0" w:color="000000"/>
              <w:right w:val="single" w:sz="2" w:space="0" w:color="000000"/>
            </w:tcBorders>
          </w:tcPr>
          <w:p w14:paraId="2F26AACD" w14:textId="77777777" w:rsidR="009D54AF" w:rsidRDefault="00000000">
            <w:pPr>
              <w:pStyle w:val="TableParagraph"/>
              <w:spacing w:before="85"/>
              <w:ind w:left="51" w:right="52"/>
              <w:jc w:val="center"/>
              <w:rPr>
                <w:sz w:val="19"/>
              </w:rPr>
            </w:pPr>
            <w:r>
              <w:rPr>
                <w:spacing w:val="-10"/>
                <w:sz w:val="19"/>
              </w:rPr>
              <w:t>0</w:t>
            </w:r>
          </w:p>
        </w:tc>
        <w:tc>
          <w:tcPr>
            <w:tcW w:w="1134" w:type="dxa"/>
            <w:tcBorders>
              <w:top w:val="single" w:sz="2" w:space="0" w:color="000000"/>
              <w:left w:val="single" w:sz="2" w:space="0" w:color="000000"/>
              <w:bottom w:val="single" w:sz="2" w:space="0" w:color="000000"/>
              <w:right w:val="single" w:sz="2" w:space="0" w:color="000000"/>
            </w:tcBorders>
          </w:tcPr>
          <w:p w14:paraId="797354FC" w14:textId="77777777" w:rsidR="009D54AF" w:rsidRDefault="00000000">
            <w:pPr>
              <w:pStyle w:val="TableParagraph"/>
              <w:spacing w:before="85"/>
              <w:ind w:left="51" w:right="52"/>
              <w:jc w:val="center"/>
              <w:rPr>
                <w:sz w:val="19"/>
              </w:rPr>
            </w:pPr>
            <w:r>
              <w:rPr>
                <w:spacing w:val="-10"/>
                <w:sz w:val="19"/>
              </w:rPr>
              <w:t>0</w:t>
            </w:r>
          </w:p>
        </w:tc>
        <w:tc>
          <w:tcPr>
            <w:tcW w:w="1134" w:type="dxa"/>
            <w:tcBorders>
              <w:top w:val="single" w:sz="2" w:space="0" w:color="000000"/>
              <w:left w:val="single" w:sz="2" w:space="0" w:color="000000"/>
              <w:bottom w:val="single" w:sz="2" w:space="0" w:color="000000"/>
              <w:right w:val="single" w:sz="2" w:space="0" w:color="000000"/>
            </w:tcBorders>
          </w:tcPr>
          <w:p w14:paraId="58903192" w14:textId="77777777" w:rsidR="009D54AF" w:rsidRDefault="00000000">
            <w:pPr>
              <w:pStyle w:val="TableParagraph"/>
              <w:spacing w:before="85"/>
              <w:ind w:left="51" w:right="52"/>
              <w:jc w:val="center"/>
              <w:rPr>
                <w:sz w:val="19"/>
              </w:rPr>
            </w:pPr>
            <w:r>
              <w:rPr>
                <w:spacing w:val="-10"/>
                <w:sz w:val="19"/>
              </w:rPr>
              <w:t>0</w:t>
            </w:r>
          </w:p>
        </w:tc>
        <w:tc>
          <w:tcPr>
            <w:tcW w:w="1134" w:type="dxa"/>
            <w:tcBorders>
              <w:top w:val="single" w:sz="2" w:space="0" w:color="000000"/>
              <w:left w:val="single" w:sz="2" w:space="0" w:color="000000"/>
              <w:bottom w:val="single" w:sz="2" w:space="0" w:color="000000"/>
              <w:right w:val="single" w:sz="2" w:space="0" w:color="000000"/>
            </w:tcBorders>
          </w:tcPr>
          <w:p w14:paraId="2ECA88C7" w14:textId="77777777" w:rsidR="009D54AF" w:rsidRDefault="00000000">
            <w:pPr>
              <w:pStyle w:val="TableParagraph"/>
              <w:spacing w:before="85"/>
              <w:ind w:left="51" w:right="51"/>
              <w:jc w:val="center"/>
              <w:rPr>
                <w:sz w:val="19"/>
              </w:rPr>
            </w:pPr>
            <w:r>
              <w:rPr>
                <w:spacing w:val="-10"/>
                <w:sz w:val="19"/>
              </w:rPr>
              <w:t>0</w:t>
            </w:r>
          </w:p>
        </w:tc>
        <w:tc>
          <w:tcPr>
            <w:tcW w:w="1134" w:type="dxa"/>
            <w:tcBorders>
              <w:top w:val="single" w:sz="2" w:space="0" w:color="000000"/>
              <w:left w:val="single" w:sz="2" w:space="0" w:color="000000"/>
              <w:bottom w:val="single" w:sz="2" w:space="0" w:color="000000"/>
              <w:right w:val="nil"/>
            </w:tcBorders>
          </w:tcPr>
          <w:p w14:paraId="2AEE12DC" w14:textId="77777777" w:rsidR="009D54AF" w:rsidRDefault="00000000">
            <w:pPr>
              <w:pStyle w:val="TableParagraph"/>
              <w:spacing w:before="42"/>
              <w:ind w:left="2" w:right="4"/>
              <w:jc w:val="center"/>
              <w:rPr>
                <w:b/>
                <w:sz w:val="19"/>
              </w:rPr>
            </w:pPr>
            <w:r>
              <w:rPr>
                <w:b/>
                <w:spacing w:val="-10"/>
                <w:sz w:val="19"/>
              </w:rPr>
              <w:t>0</w:t>
            </w:r>
          </w:p>
        </w:tc>
      </w:tr>
      <w:tr w:rsidR="009D54AF" w14:paraId="1D2CE9AE" w14:textId="77777777">
        <w:trPr>
          <w:trHeight w:val="391"/>
        </w:trPr>
        <w:tc>
          <w:tcPr>
            <w:tcW w:w="2268" w:type="dxa"/>
            <w:tcBorders>
              <w:top w:val="single" w:sz="2" w:space="0" w:color="000000"/>
              <w:left w:val="nil"/>
              <w:bottom w:val="single" w:sz="2" w:space="0" w:color="000000"/>
              <w:right w:val="single" w:sz="2" w:space="0" w:color="000000"/>
            </w:tcBorders>
          </w:tcPr>
          <w:p w14:paraId="2C506D6E" w14:textId="77777777" w:rsidR="009D54AF" w:rsidRDefault="00000000">
            <w:pPr>
              <w:pStyle w:val="TableParagraph"/>
              <w:spacing w:before="85"/>
              <w:ind w:left="85"/>
              <w:rPr>
                <w:sz w:val="19"/>
              </w:rPr>
            </w:pPr>
            <w:r>
              <w:rPr>
                <w:spacing w:val="-5"/>
                <w:sz w:val="19"/>
              </w:rPr>
              <w:t>ACT</w:t>
            </w:r>
          </w:p>
        </w:tc>
        <w:tc>
          <w:tcPr>
            <w:tcW w:w="1134" w:type="dxa"/>
            <w:tcBorders>
              <w:top w:val="single" w:sz="2" w:space="0" w:color="000000"/>
              <w:left w:val="single" w:sz="2" w:space="0" w:color="000000"/>
              <w:bottom w:val="single" w:sz="2" w:space="0" w:color="000000"/>
              <w:right w:val="single" w:sz="2" w:space="0" w:color="000000"/>
            </w:tcBorders>
          </w:tcPr>
          <w:p w14:paraId="2482DCD2" w14:textId="77777777" w:rsidR="009D54AF" w:rsidRDefault="00000000">
            <w:pPr>
              <w:pStyle w:val="TableParagraph"/>
              <w:spacing w:before="85"/>
              <w:ind w:left="51" w:right="51"/>
              <w:jc w:val="center"/>
              <w:rPr>
                <w:sz w:val="19"/>
              </w:rPr>
            </w:pPr>
            <w:r>
              <w:rPr>
                <w:spacing w:val="-10"/>
                <w:sz w:val="19"/>
              </w:rPr>
              <w:t>0</w:t>
            </w:r>
          </w:p>
        </w:tc>
        <w:tc>
          <w:tcPr>
            <w:tcW w:w="1134" w:type="dxa"/>
            <w:tcBorders>
              <w:top w:val="single" w:sz="2" w:space="0" w:color="000000"/>
              <w:left w:val="single" w:sz="2" w:space="0" w:color="000000"/>
              <w:bottom w:val="single" w:sz="2" w:space="0" w:color="000000"/>
              <w:right w:val="single" w:sz="2" w:space="0" w:color="000000"/>
            </w:tcBorders>
          </w:tcPr>
          <w:p w14:paraId="4B5E1F2F" w14:textId="77777777" w:rsidR="009D54AF" w:rsidRDefault="00000000">
            <w:pPr>
              <w:pStyle w:val="TableParagraph"/>
              <w:spacing w:before="85"/>
              <w:ind w:left="51" w:right="51"/>
              <w:jc w:val="center"/>
              <w:rPr>
                <w:sz w:val="19"/>
              </w:rPr>
            </w:pPr>
            <w:r>
              <w:rPr>
                <w:spacing w:val="-10"/>
                <w:sz w:val="19"/>
              </w:rPr>
              <w:t>0</w:t>
            </w:r>
          </w:p>
        </w:tc>
        <w:tc>
          <w:tcPr>
            <w:tcW w:w="1134" w:type="dxa"/>
            <w:tcBorders>
              <w:top w:val="single" w:sz="2" w:space="0" w:color="000000"/>
              <w:left w:val="single" w:sz="2" w:space="0" w:color="000000"/>
              <w:bottom w:val="single" w:sz="2" w:space="0" w:color="000000"/>
              <w:right w:val="single" w:sz="2" w:space="0" w:color="000000"/>
            </w:tcBorders>
          </w:tcPr>
          <w:p w14:paraId="74DF1F12" w14:textId="77777777" w:rsidR="009D54AF" w:rsidRDefault="00000000">
            <w:pPr>
              <w:pStyle w:val="TableParagraph"/>
              <w:spacing w:before="85"/>
              <w:ind w:left="51" w:right="52"/>
              <w:jc w:val="center"/>
              <w:rPr>
                <w:sz w:val="19"/>
              </w:rPr>
            </w:pPr>
            <w:r>
              <w:rPr>
                <w:spacing w:val="-10"/>
                <w:sz w:val="19"/>
              </w:rPr>
              <w:t>0</w:t>
            </w:r>
          </w:p>
        </w:tc>
        <w:tc>
          <w:tcPr>
            <w:tcW w:w="1134" w:type="dxa"/>
            <w:tcBorders>
              <w:top w:val="single" w:sz="2" w:space="0" w:color="000000"/>
              <w:left w:val="single" w:sz="2" w:space="0" w:color="000000"/>
              <w:bottom w:val="single" w:sz="2" w:space="0" w:color="000000"/>
              <w:right w:val="single" w:sz="2" w:space="0" w:color="000000"/>
            </w:tcBorders>
          </w:tcPr>
          <w:p w14:paraId="2EB7DCF1" w14:textId="77777777" w:rsidR="009D54AF" w:rsidRDefault="00000000">
            <w:pPr>
              <w:pStyle w:val="TableParagraph"/>
              <w:spacing w:before="85"/>
              <w:ind w:left="51" w:right="52"/>
              <w:jc w:val="center"/>
              <w:rPr>
                <w:sz w:val="19"/>
              </w:rPr>
            </w:pPr>
            <w:r>
              <w:rPr>
                <w:spacing w:val="-10"/>
                <w:sz w:val="19"/>
              </w:rPr>
              <w:t>0</w:t>
            </w:r>
          </w:p>
        </w:tc>
        <w:tc>
          <w:tcPr>
            <w:tcW w:w="1134" w:type="dxa"/>
            <w:tcBorders>
              <w:top w:val="single" w:sz="2" w:space="0" w:color="000000"/>
              <w:left w:val="single" w:sz="2" w:space="0" w:color="000000"/>
              <w:bottom w:val="single" w:sz="2" w:space="0" w:color="000000"/>
              <w:right w:val="single" w:sz="2" w:space="0" w:color="000000"/>
            </w:tcBorders>
          </w:tcPr>
          <w:p w14:paraId="5EA3D680" w14:textId="77777777" w:rsidR="009D54AF" w:rsidRDefault="00000000">
            <w:pPr>
              <w:pStyle w:val="TableParagraph"/>
              <w:spacing w:before="85"/>
              <w:ind w:left="51" w:right="52"/>
              <w:jc w:val="center"/>
              <w:rPr>
                <w:sz w:val="19"/>
              </w:rPr>
            </w:pPr>
            <w:r>
              <w:rPr>
                <w:spacing w:val="-10"/>
                <w:sz w:val="19"/>
              </w:rPr>
              <w:t>0</w:t>
            </w:r>
          </w:p>
        </w:tc>
        <w:tc>
          <w:tcPr>
            <w:tcW w:w="1134" w:type="dxa"/>
            <w:tcBorders>
              <w:top w:val="single" w:sz="2" w:space="0" w:color="000000"/>
              <w:left w:val="single" w:sz="2" w:space="0" w:color="000000"/>
              <w:bottom w:val="single" w:sz="2" w:space="0" w:color="000000"/>
              <w:right w:val="single" w:sz="2" w:space="0" w:color="000000"/>
            </w:tcBorders>
          </w:tcPr>
          <w:p w14:paraId="4E68DB3E" w14:textId="77777777" w:rsidR="009D54AF" w:rsidRDefault="00000000">
            <w:pPr>
              <w:pStyle w:val="TableParagraph"/>
              <w:spacing w:before="85"/>
              <w:ind w:left="51" w:right="51"/>
              <w:jc w:val="center"/>
              <w:rPr>
                <w:sz w:val="19"/>
              </w:rPr>
            </w:pPr>
            <w:r>
              <w:rPr>
                <w:spacing w:val="-10"/>
                <w:sz w:val="19"/>
              </w:rPr>
              <w:t>0</w:t>
            </w:r>
          </w:p>
        </w:tc>
        <w:tc>
          <w:tcPr>
            <w:tcW w:w="1134" w:type="dxa"/>
            <w:tcBorders>
              <w:top w:val="single" w:sz="2" w:space="0" w:color="000000"/>
              <w:left w:val="single" w:sz="2" w:space="0" w:color="000000"/>
              <w:bottom w:val="single" w:sz="2" w:space="0" w:color="000000"/>
              <w:right w:val="nil"/>
            </w:tcBorders>
          </w:tcPr>
          <w:p w14:paraId="27AFC532" w14:textId="77777777" w:rsidR="009D54AF" w:rsidRDefault="00000000">
            <w:pPr>
              <w:pStyle w:val="TableParagraph"/>
              <w:spacing w:before="42"/>
              <w:ind w:left="2" w:right="4"/>
              <w:jc w:val="center"/>
              <w:rPr>
                <w:b/>
                <w:sz w:val="19"/>
              </w:rPr>
            </w:pPr>
            <w:r>
              <w:rPr>
                <w:b/>
                <w:spacing w:val="-10"/>
                <w:sz w:val="19"/>
              </w:rPr>
              <w:t>0</w:t>
            </w:r>
          </w:p>
        </w:tc>
      </w:tr>
      <w:tr w:rsidR="009D54AF" w14:paraId="5A3632A5" w14:textId="77777777">
        <w:trPr>
          <w:trHeight w:val="391"/>
        </w:trPr>
        <w:tc>
          <w:tcPr>
            <w:tcW w:w="2268" w:type="dxa"/>
            <w:tcBorders>
              <w:top w:val="single" w:sz="2" w:space="0" w:color="000000"/>
              <w:left w:val="nil"/>
              <w:bottom w:val="single" w:sz="2" w:space="0" w:color="000000"/>
              <w:right w:val="single" w:sz="2" w:space="0" w:color="000000"/>
            </w:tcBorders>
          </w:tcPr>
          <w:p w14:paraId="5F0D7BDF" w14:textId="77777777" w:rsidR="009D54AF" w:rsidRDefault="00000000">
            <w:pPr>
              <w:pStyle w:val="TableParagraph"/>
              <w:spacing w:before="85"/>
              <w:ind w:left="85"/>
              <w:rPr>
                <w:sz w:val="19"/>
              </w:rPr>
            </w:pPr>
            <w:r>
              <w:rPr>
                <w:sz w:val="19"/>
              </w:rPr>
              <w:t>External</w:t>
            </w:r>
            <w:r>
              <w:rPr>
                <w:spacing w:val="8"/>
                <w:sz w:val="19"/>
              </w:rPr>
              <w:t xml:space="preserve"> </w:t>
            </w:r>
            <w:r>
              <w:rPr>
                <w:spacing w:val="-2"/>
                <w:sz w:val="19"/>
              </w:rPr>
              <w:t>territories</w:t>
            </w:r>
          </w:p>
        </w:tc>
        <w:tc>
          <w:tcPr>
            <w:tcW w:w="1134" w:type="dxa"/>
            <w:tcBorders>
              <w:top w:val="single" w:sz="2" w:space="0" w:color="000000"/>
              <w:left w:val="single" w:sz="2" w:space="0" w:color="000000"/>
              <w:bottom w:val="single" w:sz="2" w:space="0" w:color="000000"/>
              <w:right w:val="single" w:sz="2" w:space="0" w:color="000000"/>
            </w:tcBorders>
          </w:tcPr>
          <w:p w14:paraId="2355F4AD" w14:textId="77777777" w:rsidR="009D54AF" w:rsidRDefault="00000000">
            <w:pPr>
              <w:pStyle w:val="TableParagraph"/>
              <w:spacing w:before="85"/>
              <w:ind w:left="51" w:right="51"/>
              <w:jc w:val="center"/>
              <w:rPr>
                <w:sz w:val="19"/>
              </w:rPr>
            </w:pPr>
            <w:r>
              <w:rPr>
                <w:spacing w:val="-10"/>
                <w:sz w:val="19"/>
              </w:rPr>
              <w:t>0</w:t>
            </w:r>
          </w:p>
        </w:tc>
        <w:tc>
          <w:tcPr>
            <w:tcW w:w="1134" w:type="dxa"/>
            <w:tcBorders>
              <w:top w:val="single" w:sz="2" w:space="0" w:color="000000"/>
              <w:left w:val="single" w:sz="2" w:space="0" w:color="000000"/>
              <w:bottom w:val="single" w:sz="2" w:space="0" w:color="000000"/>
              <w:right w:val="single" w:sz="2" w:space="0" w:color="000000"/>
            </w:tcBorders>
          </w:tcPr>
          <w:p w14:paraId="33986272" w14:textId="77777777" w:rsidR="009D54AF" w:rsidRDefault="00000000">
            <w:pPr>
              <w:pStyle w:val="TableParagraph"/>
              <w:spacing w:before="85"/>
              <w:ind w:left="51" w:right="51"/>
              <w:jc w:val="center"/>
              <w:rPr>
                <w:sz w:val="19"/>
              </w:rPr>
            </w:pPr>
            <w:r>
              <w:rPr>
                <w:spacing w:val="-10"/>
                <w:sz w:val="19"/>
              </w:rPr>
              <w:t>0</w:t>
            </w:r>
          </w:p>
        </w:tc>
        <w:tc>
          <w:tcPr>
            <w:tcW w:w="1134" w:type="dxa"/>
            <w:tcBorders>
              <w:top w:val="single" w:sz="2" w:space="0" w:color="000000"/>
              <w:left w:val="single" w:sz="2" w:space="0" w:color="000000"/>
              <w:bottom w:val="single" w:sz="2" w:space="0" w:color="000000"/>
              <w:right w:val="single" w:sz="2" w:space="0" w:color="000000"/>
            </w:tcBorders>
          </w:tcPr>
          <w:p w14:paraId="780581D5" w14:textId="77777777" w:rsidR="009D54AF" w:rsidRDefault="00000000">
            <w:pPr>
              <w:pStyle w:val="TableParagraph"/>
              <w:spacing w:before="85"/>
              <w:ind w:left="51" w:right="52"/>
              <w:jc w:val="center"/>
              <w:rPr>
                <w:sz w:val="19"/>
              </w:rPr>
            </w:pPr>
            <w:r>
              <w:rPr>
                <w:spacing w:val="-10"/>
                <w:sz w:val="19"/>
              </w:rPr>
              <w:t>0</w:t>
            </w:r>
          </w:p>
        </w:tc>
        <w:tc>
          <w:tcPr>
            <w:tcW w:w="1134" w:type="dxa"/>
            <w:tcBorders>
              <w:top w:val="single" w:sz="2" w:space="0" w:color="000000"/>
              <w:left w:val="single" w:sz="2" w:space="0" w:color="000000"/>
              <w:bottom w:val="single" w:sz="2" w:space="0" w:color="000000"/>
              <w:right w:val="single" w:sz="2" w:space="0" w:color="000000"/>
            </w:tcBorders>
          </w:tcPr>
          <w:p w14:paraId="0652C118" w14:textId="77777777" w:rsidR="009D54AF" w:rsidRDefault="00000000">
            <w:pPr>
              <w:pStyle w:val="TableParagraph"/>
              <w:spacing w:before="85"/>
              <w:ind w:left="51" w:right="52"/>
              <w:jc w:val="center"/>
              <w:rPr>
                <w:sz w:val="19"/>
              </w:rPr>
            </w:pPr>
            <w:r>
              <w:rPr>
                <w:spacing w:val="-10"/>
                <w:sz w:val="19"/>
              </w:rPr>
              <w:t>0</w:t>
            </w:r>
          </w:p>
        </w:tc>
        <w:tc>
          <w:tcPr>
            <w:tcW w:w="1134" w:type="dxa"/>
            <w:tcBorders>
              <w:top w:val="single" w:sz="2" w:space="0" w:color="000000"/>
              <w:left w:val="single" w:sz="2" w:space="0" w:color="000000"/>
              <w:bottom w:val="single" w:sz="2" w:space="0" w:color="000000"/>
              <w:right w:val="single" w:sz="2" w:space="0" w:color="000000"/>
            </w:tcBorders>
          </w:tcPr>
          <w:p w14:paraId="2FC65ACF" w14:textId="77777777" w:rsidR="009D54AF" w:rsidRDefault="00000000">
            <w:pPr>
              <w:pStyle w:val="TableParagraph"/>
              <w:spacing w:before="85"/>
              <w:ind w:left="51" w:right="52"/>
              <w:jc w:val="center"/>
              <w:rPr>
                <w:sz w:val="19"/>
              </w:rPr>
            </w:pPr>
            <w:r>
              <w:rPr>
                <w:spacing w:val="-10"/>
                <w:sz w:val="19"/>
              </w:rPr>
              <w:t>0</w:t>
            </w:r>
          </w:p>
        </w:tc>
        <w:tc>
          <w:tcPr>
            <w:tcW w:w="1134" w:type="dxa"/>
            <w:tcBorders>
              <w:top w:val="single" w:sz="2" w:space="0" w:color="000000"/>
              <w:left w:val="single" w:sz="2" w:space="0" w:color="000000"/>
              <w:bottom w:val="single" w:sz="2" w:space="0" w:color="000000"/>
              <w:right w:val="single" w:sz="2" w:space="0" w:color="000000"/>
            </w:tcBorders>
          </w:tcPr>
          <w:p w14:paraId="67968DAA" w14:textId="77777777" w:rsidR="009D54AF" w:rsidRDefault="00000000">
            <w:pPr>
              <w:pStyle w:val="TableParagraph"/>
              <w:spacing w:before="85"/>
              <w:ind w:left="51" w:right="51"/>
              <w:jc w:val="center"/>
              <w:rPr>
                <w:sz w:val="19"/>
              </w:rPr>
            </w:pPr>
            <w:r>
              <w:rPr>
                <w:spacing w:val="-10"/>
                <w:sz w:val="19"/>
              </w:rPr>
              <w:t>0</w:t>
            </w:r>
          </w:p>
        </w:tc>
        <w:tc>
          <w:tcPr>
            <w:tcW w:w="1134" w:type="dxa"/>
            <w:tcBorders>
              <w:top w:val="single" w:sz="2" w:space="0" w:color="000000"/>
              <w:left w:val="single" w:sz="2" w:space="0" w:color="000000"/>
              <w:bottom w:val="single" w:sz="2" w:space="0" w:color="000000"/>
              <w:right w:val="nil"/>
            </w:tcBorders>
          </w:tcPr>
          <w:p w14:paraId="15C5A421" w14:textId="77777777" w:rsidR="009D54AF" w:rsidRDefault="00000000">
            <w:pPr>
              <w:pStyle w:val="TableParagraph"/>
              <w:spacing w:before="42"/>
              <w:ind w:left="2" w:right="4"/>
              <w:jc w:val="center"/>
              <w:rPr>
                <w:b/>
                <w:sz w:val="19"/>
              </w:rPr>
            </w:pPr>
            <w:r>
              <w:rPr>
                <w:b/>
                <w:spacing w:val="-10"/>
                <w:sz w:val="19"/>
              </w:rPr>
              <w:t>0</w:t>
            </w:r>
          </w:p>
        </w:tc>
      </w:tr>
      <w:tr w:rsidR="009D54AF" w14:paraId="341EBCB3" w14:textId="77777777">
        <w:trPr>
          <w:trHeight w:val="391"/>
        </w:trPr>
        <w:tc>
          <w:tcPr>
            <w:tcW w:w="2268" w:type="dxa"/>
            <w:tcBorders>
              <w:top w:val="single" w:sz="2" w:space="0" w:color="000000"/>
              <w:left w:val="nil"/>
              <w:bottom w:val="single" w:sz="2" w:space="0" w:color="000000"/>
              <w:right w:val="single" w:sz="2" w:space="0" w:color="000000"/>
            </w:tcBorders>
          </w:tcPr>
          <w:p w14:paraId="6C41C7AB" w14:textId="77777777" w:rsidR="009D54AF" w:rsidRDefault="00000000">
            <w:pPr>
              <w:pStyle w:val="TableParagraph"/>
              <w:spacing w:before="85"/>
              <w:ind w:left="85"/>
              <w:rPr>
                <w:sz w:val="19"/>
              </w:rPr>
            </w:pPr>
            <w:r>
              <w:rPr>
                <w:spacing w:val="-2"/>
                <w:sz w:val="19"/>
              </w:rPr>
              <w:t>Overseas</w:t>
            </w:r>
          </w:p>
        </w:tc>
        <w:tc>
          <w:tcPr>
            <w:tcW w:w="1134" w:type="dxa"/>
            <w:tcBorders>
              <w:top w:val="single" w:sz="2" w:space="0" w:color="000000"/>
              <w:left w:val="single" w:sz="2" w:space="0" w:color="000000"/>
              <w:bottom w:val="single" w:sz="2" w:space="0" w:color="000000"/>
              <w:right w:val="single" w:sz="2" w:space="0" w:color="000000"/>
            </w:tcBorders>
          </w:tcPr>
          <w:p w14:paraId="3295E242" w14:textId="77777777" w:rsidR="009D54AF" w:rsidRDefault="00000000">
            <w:pPr>
              <w:pStyle w:val="TableParagraph"/>
              <w:spacing w:before="85"/>
              <w:ind w:left="51" w:right="51"/>
              <w:jc w:val="center"/>
              <w:rPr>
                <w:sz w:val="19"/>
              </w:rPr>
            </w:pPr>
            <w:r>
              <w:rPr>
                <w:spacing w:val="-10"/>
                <w:sz w:val="19"/>
              </w:rPr>
              <w:t>0</w:t>
            </w:r>
          </w:p>
        </w:tc>
        <w:tc>
          <w:tcPr>
            <w:tcW w:w="1134" w:type="dxa"/>
            <w:tcBorders>
              <w:top w:val="single" w:sz="2" w:space="0" w:color="000000"/>
              <w:left w:val="single" w:sz="2" w:space="0" w:color="000000"/>
              <w:bottom w:val="single" w:sz="2" w:space="0" w:color="000000"/>
              <w:right w:val="single" w:sz="2" w:space="0" w:color="000000"/>
            </w:tcBorders>
          </w:tcPr>
          <w:p w14:paraId="3B15D0A0" w14:textId="77777777" w:rsidR="009D54AF" w:rsidRDefault="00000000">
            <w:pPr>
              <w:pStyle w:val="TableParagraph"/>
              <w:spacing w:before="85"/>
              <w:ind w:left="51" w:right="51"/>
              <w:jc w:val="center"/>
              <w:rPr>
                <w:sz w:val="19"/>
              </w:rPr>
            </w:pPr>
            <w:r>
              <w:rPr>
                <w:spacing w:val="-10"/>
                <w:sz w:val="19"/>
              </w:rPr>
              <w:t>0</w:t>
            </w:r>
          </w:p>
        </w:tc>
        <w:tc>
          <w:tcPr>
            <w:tcW w:w="1134" w:type="dxa"/>
            <w:tcBorders>
              <w:top w:val="single" w:sz="2" w:space="0" w:color="000000"/>
              <w:left w:val="single" w:sz="2" w:space="0" w:color="000000"/>
              <w:bottom w:val="single" w:sz="2" w:space="0" w:color="000000"/>
              <w:right w:val="single" w:sz="2" w:space="0" w:color="000000"/>
            </w:tcBorders>
          </w:tcPr>
          <w:p w14:paraId="4EF14B03" w14:textId="77777777" w:rsidR="009D54AF" w:rsidRDefault="00000000">
            <w:pPr>
              <w:pStyle w:val="TableParagraph"/>
              <w:spacing w:before="85"/>
              <w:ind w:left="51" w:right="52"/>
              <w:jc w:val="center"/>
              <w:rPr>
                <w:sz w:val="19"/>
              </w:rPr>
            </w:pPr>
            <w:r>
              <w:rPr>
                <w:spacing w:val="-10"/>
                <w:sz w:val="19"/>
              </w:rPr>
              <w:t>0</w:t>
            </w:r>
          </w:p>
        </w:tc>
        <w:tc>
          <w:tcPr>
            <w:tcW w:w="1134" w:type="dxa"/>
            <w:tcBorders>
              <w:top w:val="single" w:sz="2" w:space="0" w:color="000000"/>
              <w:left w:val="single" w:sz="2" w:space="0" w:color="000000"/>
              <w:bottom w:val="single" w:sz="2" w:space="0" w:color="000000"/>
              <w:right w:val="single" w:sz="2" w:space="0" w:color="000000"/>
            </w:tcBorders>
          </w:tcPr>
          <w:p w14:paraId="19D79778" w14:textId="77777777" w:rsidR="009D54AF" w:rsidRDefault="00000000">
            <w:pPr>
              <w:pStyle w:val="TableParagraph"/>
              <w:spacing w:before="85"/>
              <w:ind w:left="51" w:right="52"/>
              <w:jc w:val="center"/>
              <w:rPr>
                <w:sz w:val="19"/>
              </w:rPr>
            </w:pPr>
            <w:r>
              <w:rPr>
                <w:spacing w:val="-10"/>
                <w:sz w:val="19"/>
              </w:rPr>
              <w:t>0</w:t>
            </w:r>
          </w:p>
        </w:tc>
        <w:tc>
          <w:tcPr>
            <w:tcW w:w="1134" w:type="dxa"/>
            <w:tcBorders>
              <w:top w:val="single" w:sz="2" w:space="0" w:color="000000"/>
              <w:left w:val="single" w:sz="2" w:space="0" w:color="000000"/>
              <w:bottom w:val="single" w:sz="2" w:space="0" w:color="000000"/>
              <w:right w:val="single" w:sz="2" w:space="0" w:color="000000"/>
            </w:tcBorders>
          </w:tcPr>
          <w:p w14:paraId="7EDAA737" w14:textId="77777777" w:rsidR="009D54AF" w:rsidRDefault="00000000">
            <w:pPr>
              <w:pStyle w:val="TableParagraph"/>
              <w:spacing w:before="85"/>
              <w:ind w:left="51" w:right="52"/>
              <w:jc w:val="center"/>
              <w:rPr>
                <w:sz w:val="19"/>
              </w:rPr>
            </w:pPr>
            <w:r>
              <w:rPr>
                <w:spacing w:val="-10"/>
                <w:sz w:val="19"/>
              </w:rPr>
              <w:t>0</w:t>
            </w:r>
          </w:p>
        </w:tc>
        <w:tc>
          <w:tcPr>
            <w:tcW w:w="1134" w:type="dxa"/>
            <w:tcBorders>
              <w:top w:val="single" w:sz="2" w:space="0" w:color="000000"/>
              <w:left w:val="single" w:sz="2" w:space="0" w:color="000000"/>
              <w:bottom w:val="single" w:sz="2" w:space="0" w:color="000000"/>
              <w:right w:val="single" w:sz="2" w:space="0" w:color="000000"/>
            </w:tcBorders>
          </w:tcPr>
          <w:p w14:paraId="254DD3E8" w14:textId="77777777" w:rsidR="009D54AF" w:rsidRDefault="00000000">
            <w:pPr>
              <w:pStyle w:val="TableParagraph"/>
              <w:spacing w:before="85"/>
              <w:ind w:left="51" w:right="51"/>
              <w:jc w:val="center"/>
              <w:rPr>
                <w:sz w:val="19"/>
              </w:rPr>
            </w:pPr>
            <w:r>
              <w:rPr>
                <w:spacing w:val="-10"/>
                <w:sz w:val="19"/>
              </w:rPr>
              <w:t>0</w:t>
            </w:r>
          </w:p>
        </w:tc>
        <w:tc>
          <w:tcPr>
            <w:tcW w:w="1134" w:type="dxa"/>
            <w:tcBorders>
              <w:top w:val="single" w:sz="2" w:space="0" w:color="000000"/>
              <w:left w:val="single" w:sz="2" w:space="0" w:color="000000"/>
              <w:bottom w:val="single" w:sz="2" w:space="0" w:color="000000"/>
              <w:right w:val="nil"/>
            </w:tcBorders>
          </w:tcPr>
          <w:p w14:paraId="35C7268D" w14:textId="77777777" w:rsidR="009D54AF" w:rsidRDefault="00000000">
            <w:pPr>
              <w:pStyle w:val="TableParagraph"/>
              <w:spacing w:before="42"/>
              <w:ind w:left="2" w:right="4"/>
              <w:jc w:val="center"/>
              <w:rPr>
                <w:b/>
                <w:sz w:val="19"/>
              </w:rPr>
            </w:pPr>
            <w:r>
              <w:rPr>
                <w:b/>
                <w:spacing w:val="-10"/>
                <w:sz w:val="19"/>
              </w:rPr>
              <w:t>0</w:t>
            </w:r>
          </w:p>
        </w:tc>
      </w:tr>
      <w:tr w:rsidR="009D54AF" w14:paraId="4ED9873F" w14:textId="77777777">
        <w:trPr>
          <w:trHeight w:val="391"/>
        </w:trPr>
        <w:tc>
          <w:tcPr>
            <w:tcW w:w="2268" w:type="dxa"/>
            <w:tcBorders>
              <w:top w:val="single" w:sz="2" w:space="0" w:color="000000"/>
              <w:left w:val="nil"/>
              <w:bottom w:val="single" w:sz="2" w:space="0" w:color="000000"/>
              <w:right w:val="single" w:sz="2" w:space="0" w:color="000000"/>
            </w:tcBorders>
          </w:tcPr>
          <w:p w14:paraId="1A39F1D3" w14:textId="77777777" w:rsidR="009D54AF" w:rsidRDefault="00000000">
            <w:pPr>
              <w:pStyle w:val="TableParagraph"/>
              <w:spacing w:before="85"/>
              <w:ind w:left="85"/>
              <w:rPr>
                <w:b/>
                <w:sz w:val="19"/>
              </w:rPr>
            </w:pPr>
            <w:r>
              <w:rPr>
                <w:b/>
                <w:spacing w:val="-2"/>
                <w:sz w:val="19"/>
              </w:rPr>
              <w:t>Total</w:t>
            </w:r>
          </w:p>
        </w:tc>
        <w:tc>
          <w:tcPr>
            <w:tcW w:w="1134" w:type="dxa"/>
            <w:tcBorders>
              <w:top w:val="single" w:sz="2" w:space="0" w:color="000000"/>
              <w:left w:val="single" w:sz="2" w:space="0" w:color="000000"/>
              <w:bottom w:val="single" w:sz="2" w:space="0" w:color="000000"/>
              <w:right w:val="single" w:sz="2" w:space="0" w:color="000000"/>
            </w:tcBorders>
          </w:tcPr>
          <w:p w14:paraId="3BFEFA7A" w14:textId="77777777" w:rsidR="009D54AF" w:rsidRDefault="00000000">
            <w:pPr>
              <w:pStyle w:val="TableParagraph"/>
              <w:spacing w:before="85"/>
              <w:ind w:left="51" w:right="51"/>
              <w:jc w:val="center"/>
              <w:rPr>
                <w:b/>
                <w:sz w:val="19"/>
              </w:rPr>
            </w:pPr>
            <w:r>
              <w:rPr>
                <w:b/>
                <w:spacing w:val="-10"/>
                <w:sz w:val="19"/>
              </w:rPr>
              <w:t>0</w:t>
            </w:r>
          </w:p>
        </w:tc>
        <w:tc>
          <w:tcPr>
            <w:tcW w:w="1134" w:type="dxa"/>
            <w:tcBorders>
              <w:top w:val="single" w:sz="2" w:space="0" w:color="000000"/>
              <w:left w:val="single" w:sz="2" w:space="0" w:color="000000"/>
              <w:bottom w:val="single" w:sz="2" w:space="0" w:color="000000"/>
              <w:right w:val="single" w:sz="2" w:space="0" w:color="000000"/>
            </w:tcBorders>
          </w:tcPr>
          <w:p w14:paraId="3FDBF775" w14:textId="77777777" w:rsidR="009D54AF" w:rsidRDefault="00000000">
            <w:pPr>
              <w:pStyle w:val="TableParagraph"/>
              <w:spacing w:before="85"/>
              <w:ind w:left="51" w:right="51"/>
              <w:jc w:val="center"/>
              <w:rPr>
                <w:b/>
                <w:sz w:val="19"/>
              </w:rPr>
            </w:pPr>
            <w:r>
              <w:rPr>
                <w:b/>
                <w:spacing w:val="-10"/>
                <w:sz w:val="19"/>
              </w:rPr>
              <w:t>0</w:t>
            </w:r>
          </w:p>
        </w:tc>
        <w:tc>
          <w:tcPr>
            <w:tcW w:w="1134" w:type="dxa"/>
            <w:tcBorders>
              <w:top w:val="single" w:sz="2" w:space="0" w:color="000000"/>
              <w:left w:val="single" w:sz="2" w:space="0" w:color="000000"/>
              <w:bottom w:val="single" w:sz="2" w:space="0" w:color="000000"/>
              <w:right w:val="single" w:sz="2" w:space="0" w:color="000000"/>
            </w:tcBorders>
          </w:tcPr>
          <w:p w14:paraId="74B114E0" w14:textId="77777777" w:rsidR="009D54AF" w:rsidRDefault="00000000">
            <w:pPr>
              <w:pStyle w:val="TableParagraph"/>
              <w:spacing w:before="85"/>
              <w:ind w:left="51" w:right="52"/>
              <w:jc w:val="center"/>
              <w:rPr>
                <w:b/>
                <w:sz w:val="19"/>
              </w:rPr>
            </w:pPr>
            <w:r>
              <w:rPr>
                <w:b/>
                <w:spacing w:val="-10"/>
                <w:sz w:val="19"/>
              </w:rPr>
              <w:t>0</w:t>
            </w:r>
          </w:p>
        </w:tc>
        <w:tc>
          <w:tcPr>
            <w:tcW w:w="1134" w:type="dxa"/>
            <w:tcBorders>
              <w:top w:val="single" w:sz="2" w:space="0" w:color="000000"/>
              <w:left w:val="single" w:sz="2" w:space="0" w:color="000000"/>
              <w:bottom w:val="single" w:sz="2" w:space="0" w:color="000000"/>
              <w:right w:val="single" w:sz="2" w:space="0" w:color="000000"/>
            </w:tcBorders>
          </w:tcPr>
          <w:p w14:paraId="487AB941" w14:textId="77777777" w:rsidR="009D54AF" w:rsidRDefault="00000000">
            <w:pPr>
              <w:pStyle w:val="TableParagraph"/>
              <w:spacing w:before="85"/>
              <w:ind w:left="51" w:right="52"/>
              <w:jc w:val="center"/>
              <w:rPr>
                <w:b/>
                <w:sz w:val="19"/>
              </w:rPr>
            </w:pPr>
            <w:r>
              <w:rPr>
                <w:b/>
                <w:spacing w:val="-10"/>
                <w:sz w:val="19"/>
              </w:rPr>
              <w:t>0</w:t>
            </w:r>
          </w:p>
        </w:tc>
        <w:tc>
          <w:tcPr>
            <w:tcW w:w="1134" w:type="dxa"/>
            <w:tcBorders>
              <w:top w:val="single" w:sz="2" w:space="0" w:color="000000"/>
              <w:left w:val="single" w:sz="2" w:space="0" w:color="000000"/>
              <w:bottom w:val="single" w:sz="2" w:space="0" w:color="000000"/>
              <w:right w:val="single" w:sz="2" w:space="0" w:color="000000"/>
            </w:tcBorders>
          </w:tcPr>
          <w:p w14:paraId="2721D166" w14:textId="77777777" w:rsidR="009D54AF" w:rsidRDefault="00000000">
            <w:pPr>
              <w:pStyle w:val="TableParagraph"/>
              <w:spacing w:before="85"/>
              <w:ind w:left="51" w:right="52"/>
              <w:jc w:val="center"/>
              <w:rPr>
                <w:b/>
                <w:sz w:val="19"/>
              </w:rPr>
            </w:pPr>
            <w:r>
              <w:rPr>
                <w:b/>
                <w:spacing w:val="-10"/>
                <w:sz w:val="19"/>
              </w:rPr>
              <w:t>0</w:t>
            </w:r>
          </w:p>
        </w:tc>
        <w:tc>
          <w:tcPr>
            <w:tcW w:w="1134" w:type="dxa"/>
            <w:tcBorders>
              <w:top w:val="single" w:sz="2" w:space="0" w:color="000000"/>
              <w:left w:val="single" w:sz="2" w:space="0" w:color="000000"/>
              <w:bottom w:val="single" w:sz="2" w:space="0" w:color="000000"/>
              <w:right w:val="single" w:sz="2" w:space="0" w:color="000000"/>
            </w:tcBorders>
          </w:tcPr>
          <w:p w14:paraId="576B0747" w14:textId="77777777" w:rsidR="009D54AF" w:rsidRDefault="00000000">
            <w:pPr>
              <w:pStyle w:val="TableParagraph"/>
              <w:spacing w:before="85"/>
              <w:ind w:left="51" w:right="51"/>
              <w:jc w:val="center"/>
              <w:rPr>
                <w:b/>
                <w:sz w:val="19"/>
              </w:rPr>
            </w:pPr>
            <w:r>
              <w:rPr>
                <w:b/>
                <w:spacing w:val="-10"/>
                <w:sz w:val="19"/>
              </w:rPr>
              <w:t>0</w:t>
            </w:r>
          </w:p>
        </w:tc>
        <w:tc>
          <w:tcPr>
            <w:tcW w:w="1134" w:type="dxa"/>
            <w:tcBorders>
              <w:top w:val="single" w:sz="2" w:space="0" w:color="000000"/>
              <w:left w:val="single" w:sz="2" w:space="0" w:color="000000"/>
              <w:bottom w:val="single" w:sz="2" w:space="0" w:color="000000"/>
              <w:right w:val="nil"/>
            </w:tcBorders>
          </w:tcPr>
          <w:p w14:paraId="400304BC" w14:textId="77777777" w:rsidR="009D54AF" w:rsidRDefault="00000000">
            <w:pPr>
              <w:pStyle w:val="TableParagraph"/>
              <w:spacing w:before="42"/>
              <w:ind w:left="2" w:right="4"/>
              <w:jc w:val="center"/>
              <w:rPr>
                <w:b/>
                <w:sz w:val="19"/>
              </w:rPr>
            </w:pPr>
            <w:r>
              <w:rPr>
                <w:b/>
                <w:spacing w:val="-10"/>
                <w:sz w:val="19"/>
              </w:rPr>
              <w:t>0</w:t>
            </w:r>
          </w:p>
        </w:tc>
      </w:tr>
    </w:tbl>
    <w:p w14:paraId="0A266BC2" w14:textId="77777777" w:rsidR="009D54AF" w:rsidRDefault="009D54AF">
      <w:pPr>
        <w:pStyle w:val="TableParagraph"/>
        <w:jc w:val="center"/>
        <w:rPr>
          <w:b/>
          <w:sz w:val="19"/>
        </w:rPr>
        <w:sectPr w:rsidR="009D54AF">
          <w:pgSz w:w="11910" w:h="16840"/>
          <w:pgMar w:top="720" w:right="708" w:bottom="280" w:left="708" w:header="720" w:footer="720" w:gutter="0"/>
          <w:cols w:space="720"/>
        </w:sectPr>
      </w:pPr>
    </w:p>
    <w:p w14:paraId="7F00AC38" w14:textId="77777777" w:rsidR="009D54AF" w:rsidRDefault="00000000">
      <w:pPr>
        <w:pStyle w:val="Heading1"/>
        <w:spacing w:before="63"/>
      </w:pPr>
      <w:bookmarkStart w:id="63" w:name="_TOC_250009"/>
      <w:bookmarkStart w:id="64" w:name="_Work_health_and"/>
      <w:bookmarkStart w:id="65" w:name="_Toc243037287"/>
      <w:bookmarkEnd w:id="64"/>
      <w:r>
        <w:lastRenderedPageBreak/>
        <w:t>Work</w:t>
      </w:r>
      <w:r>
        <w:rPr>
          <w:spacing w:val="-28"/>
        </w:rPr>
        <w:t xml:space="preserve"> </w:t>
      </w:r>
      <w:r>
        <w:t>health</w:t>
      </w:r>
      <w:r>
        <w:rPr>
          <w:spacing w:val="-28"/>
        </w:rPr>
        <w:t xml:space="preserve"> </w:t>
      </w:r>
      <w:r>
        <w:t>and</w:t>
      </w:r>
      <w:r>
        <w:rPr>
          <w:spacing w:val="-27"/>
        </w:rPr>
        <w:t xml:space="preserve"> </w:t>
      </w:r>
      <w:bookmarkEnd w:id="63"/>
      <w:r>
        <w:rPr>
          <w:spacing w:val="-2"/>
        </w:rPr>
        <w:t>safety</w:t>
      </w:r>
      <w:bookmarkEnd w:id="65"/>
    </w:p>
    <w:p w14:paraId="57DBC9C4" w14:textId="77777777" w:rsidR="009D54AF" w:rsidRDefault="00000000">
      <w:pPr>
        <w:spacing w:before="171" w:line="268" w:lineRule="auto"/>
        <w:ind w:left="142"/>
        <w:rPr>
          <w:sz w:val="24"/>
        </w:rPr>
      </w:pPr>
      <w:r>
        <w:rPr>
          <w:sz w:val="24"/>
        </w:rPr>
        <w:t xml:space="preserve">The Commission promotes a healthy and safe workplace and is committed to meeting its obligations under the </w:t>
      </w:r>
      <w:r>
        <w:rPr>
          <w:i/>
          <w:sz w:val="24"/>
        </w:rPr>
        <w:t xml:space="preserve">Work Health and Safety Act 2011 </w:t>
      </w:r>
      <w:r>
        <w:rPr>
          <w:sz w:val="24"/>
        </w:rPr>
        <w:t xml:space="preserve">and the </w:t>
      </w:r>
      <w:r>
        <w:rPr>
          <w:i/>
          <w:sz w:val="24"/>
        </w:rPr>
        <w:t>Safety, Rehabilitation and Compensation</w:t>
      </w:r>
      <w:r>
        <w:rPr>
          <w:i/>
          <w:spacing w:val="-8"/>
          <w:sz w:val="24"/>
        </w:rPr>
        <w:t xml:space="preserve"> </w:t>
      </w:r>
      <w:r>
        <w:rPr>
          <w:i/>
          <w:sz w:val="24"/>
        </w:rPr>
        <w:t>Act</w:t>
      </w:r>
      <w:r>
        <w:rPr>
          <w:i/>
          <w:spacing w:val="-8"/>
          <w:sz w:val="24"/>
        </w:rPr>
        <w:t xml:space="preserve"> </w:t>
      </w:r>
      <w:r>
        <w:rPr>
          <w:i/>
          <w:sz w:val="24"/>
        </w:rPr>
        <w:t>1988</w:t>
      </w:r>
      <w:r>
        <w:rPr>
          <w:sz w:val="24"/>
        </w:rPr>
        <w:t>.</w:t>
      </w:r>
      <w:r>
        <w:rPr>
          <w:spacing w:val="-8"/>
          <w:sz w:val="24"/>
        </w:rPr>
        <w:t xml:space="preserve"> </w:t>
      </w:r>
      <w:r>
        <w:rPr>
          <w:sz w:val="24"/>
        </w:rPr>
        <w:t>All</w:t>
      </w:r>
      <w:r>
        <w:rPr>
          <w:spacing w:val="-8"/>
          <w:sz w:val="24"/>
        </w:rPr>
        <w:t xml:space="preserve"> </w:t>
      </w:r>
      <w:r>
        <w:rPr>
          <w:sz w:val="24"/>
        </w:rPr>
        <w:t>new</w:t>
      </w:r>
      <w:r>
        <w:rPr>
          <w:spacing w:val="-8"/>
          <w:sz w:val="24"/>
        </w:rPr>
        <w:t xml:space="preserve"> </w:t>
      </w:r>
      <w:r>
        <w:rPr>
          <w:sz w:val="24"/>
        </w:rPr>
        <w:t>staff</w:t>
      </w:r>
      <w:r>
        <w:rPr>
          <w:spacing w:val="-8"/>
          <w:sz w:val="24"/>
        </w:rPr>
        <w:t xml:space="preserve"> </w:t>
      </w:r>
      <w:r>
        <w:rPr>
          <w:sz w:val="24"/>
        </w:rPr>
        <w:t>are</w:t>
      </w:r>
      <w:r>
        <w:rPr>
          <w:spacing w:val="-8"/>
          <w:sz w:val="24"/>
        </w:rPr>
        <w:t xml:space="preserve"> </w:t>
      </w:r>
      <w:r>
        <w:rPr>
          <w:sz w:val="24"/>
        </w:rPr>
        <w:t>required</w:t>
      </w:r>
      <w:r>
        <w:rPr>
          <w:spacing w:val="-8"/>
          <w:sz w:val="24"/>
        </w:rPr>
        <w:t xml:space="preserve"> </w:t>
      </w:r>
      <w:r>
        <w:rPr>
          <w:sz w:val="24"/>
        </w:rPr>
        <w:t>to</w:t>
      </w:r>
      <w:r>
        <w:rPr>
          <w:spacing w:val="-8"/>
          <w:sz w:val="24"/>
        </w:rPr>
        <w:t xml:space="preserve"> </w:t>
      </w:r>
      <w:r>
        <w:rPr>
          <w:sz w:val="24"/>
        </w:rPr>
        <w:t>complete</w:t>
      </w:r>
      <w:r>
        <w:rPr>
          <w:spacing w:val="-8"/>
          <w:sz w:val="24"/>
        </w:rPr>
        <w:t xml:space="preserve"> </w:t>
      </w:r>
      <w:r>
        <w:rPr>
          <w:sz w:val="24"/>
        </w:rPr>
        <w:t>online</w:t>
      </w:r>
      <w:r>
        <w:rPr>
          <w:spacing w:val="-8"/>
          <w:sz w:val="24"/>
        </w:rPr>
        <w:t xml:space="preserve"> </w:t>
      </w:r>
      <w:r>
        <w:rPr>
          <w:sz w:val="24"/>
        </w:rPr>
        <w:t>work</w:t>
      </w:r>
      <w:r>
        <w:rPr>
          <w:spacing w:val="-8"/>
          <w:sz w:val="24"/>
        </w:rPr>
        <w:t xml:space="preserve"> </w:t>
      </w:r>
      <w:r>
        <w:rPr>
          <w:sz w:val="24"/>
        </w:rPr>
        <w:t>health</w:t>
      </w:r>
      <w:r>
        <w:rPr>
          <w:spacing w:val="-8"/>
          <w:sz w:val="24"/>
        </w:rPr>
        <w:t xml:space="preserve"> </w:t>
      </w:r>
      <w:r>
        <w:rPr>
          <w:sz w:val="24"/>
        </w:rPr>
        <w:t>and</w:t>
      </w:r>
      <w:r>
        <w:rPr>
          <w:spacing w:val="-8"/>
          <w:sz w:val="24"/>
        </w:rPr>
        <w:t xml:space="preserve"> </w:t>
      </w:r>
      <w:r>
        <w:rPr>
          <w:sz w:val="24"/>
        </w:rPr>
        <w:t>safety training as part of their induction, as well as regular refresher training.</w:t>
      </w:r>
    </w:p>
    <w:p w14:paraId="25D853EC" w14:textId="77777777" w:rsidR="009D54AF" w:rsidRDefault="009D54AF">
      <w:pPr>
        <w:pStyle w:val="BodyText"/>
        <w:spacing w:before="43"/>
      </w:pPr>
    </w:p>
    <w:p w14:paraId="771857E7" w14:textId="77777777" w:rsidR="009D54AF" w:rsidRDefault="00000000">
      <w:pPr>
        <w:pStyle w:val="BodyText"/>
        <w:spacing w:line="278" w:lineRule="auto"/>
        <w:ind w:left="142"/>
      </w:pPr>
      <w:r>
        <w:t>The</w:t>
      </w:r>
      <w:r>
        <w:rPr>
          <w:spacing w:val="-1"/>
        </w:rPr>
        <w:t xml:space="preserve"> </w:t>
      </w:r>
      <w:r>
        <w:t>Commission</w:t>
      </w:r>
      <w:r>
        <w:rPr>
          <w:spacing w:val="-1"/>
        </w:rPr>
        <w:t xml:space="preserve"> </w:t>
      </w:r>
      <w:r>
        <w:t>undertook</w:t>
      </w:r>
      <w:r>
        <w:rPr>
          <w:spacing w:val="-1"/>
        </w:rPr>
        <w:t xml:space="preserve"> </w:t>
      </w:r>
      <w:r>
        <w:t>various</w:t>
      </w:r>
      <w:r>
        <w:rPr>
          <w:spacing w:val="-1"/>
        </w:rPr>
        <w:t xml:space="preserve"> </w:t>
      </w:r>
      <w:r>
        <w:t>activities</w:t>
      </w:r>
      <w:r>
        <w:rPr>
          <w:spacing w:val="-1"/>
        </w:rPr>
        <w:t xml:space="preserve"> </w:t>
      </w:r>
      <w:r>
        <w:t>during</w:t>
      </w:r>
      <w:r>
        <w:rPr>
          <w:spacing w:val="-1"/>
        </w:rPr>
        <w:t xml:space="preserve"> </w:t>
      </w:r>
      <w:r>
        <w:t>2025–26</w:t>
      </w:r>
      <w:r>
        <w:rPr>
          <w:spacing w:val="-1"/>
        </w:rPr>
        <w:t xml:space="preserve"> </w:t>
      </w:r>
      <w:r>
        <w:t>to</w:t>
      </w:r>
      <w:r>
        <w:rPr>
          <w:spacing w:val="-1"/>
        </w:rPr>
        <w:t xml:space="preserve"> </w:t>
      </w:r>
      <w:r>
        <w:t>encourage</w:t>
      </w:r>
      <w:r>
        <w:rPr>
          <w:spacing w:val="-1"/>
        </w:rPr>
        <w:t xml:space="preserve"> </w:t>
      </w:r>
      <w:r>
        <w:t>employees</w:t>
      </w:r>
      <w:r>
        <w:rPr>
          <w:spacing w:val="-1"/>
        </w:rPr>
        <w:t xml:space="preserve"> </w:t>
      </w:r>
      <w:r>
        <w:t>to</w:t>
      </w:r>
      <w:r>
        <w:rPr>
          <w:spacing w:val="-1"/>
        </w:rPr>
        <w:t xml:space="preserve"> </w:t>
      </w:r>
      <w:r>
        <w:t>adopt</w:t>
      </w:r>
      <w:r>
        <w:rPr>
          <w:spacing w:val="-1"/>
        </w:rPr>
        <w:t xml:space="preserve"> </w:t>
      </w:r>
      <w:r>
        <w:t>healthy</w:t>
      </w:r>
      <w:r>
        <w:rPr>
          <w:spacing w:val="-1"/>
        </w:rPr>
        <w:t xml:space="preserve"> </w:t>
      </w:r>
      <w:r>
        <w:t>work practices (see ‘Highlights’).</w:t>
      </w:r>
    </w:p>
    <w:p w14:paraId="7BF12A95" w14:textId="77777777" w:rsidR="009D54AF" w:rsidRDefault="009D54AF">
      <w:pPr>
        <w:pStyle w:val="BodyText"/>
        <w:spacing w:before="4"/>
        <w:rPr>
          <w:sz w:val="18"/>
        </w:rPr>
      </w:pPr>
    </w:p>
    <w:tbl>
      <w:tblPr>
        <w:tblW w:w="0" w:type="auto"/>
        <w:tblInd w:w="167" w:type="dxa"/>
        <w:tblBorders>
          <w:top w:val="single" w:sz="18" w:space="0" w:color="EAE0EF"/>
          <w:left w:val="single" w:sz="18" w:space="0" w:color="EAE0EF"/>
          <w:bottom w:val="single" w:sz="18" w:space="0" w:color="EAE0EF"/>
          <w:right w:val="single" w:sz="18" w:space="0" w:color="EAE0EF"/>
          <w:insideH w:val="single" w:sz="18" w:space="0" w:color="EAE0EF"/>
          <w:insideV w:val="single" w:sz="18" w:space="0" w:color="EAE0EF"/>
        </w:tblBorders>
        <w:tblLayout w:type="fixed"/>
        <w:tblCellMar>
          <w:left w:w="0" w:type="dxa"/>
          <w:right w:w="0" w:type="dxa"/>
        </w:tblCellMar>
        <w:tblLook w:val="01E0" w:firstRow="1" w:lastRow="1" w:firstColumn="1" w:lastColumn="1" w:noHBand="0" w:noVBand="0"/>
      </w:tblPr>
      <w:tblGrid>
        <w:gridCol w:w="10205"/>
      </w:tblGrid>
      <w:tr w:rsidR="009D54AF" w14:paraId="652DEA5E" w14:textId="77777777">
        <w:trPr>
          <w:trHeight w:val="935"/>
        </w:trPr>
        <w:tc>
          <w:tcPr>
            <w:tcW w:w="10205" w:type="dxa"/>
            <w:shd w:val="clear" w:color="auto" w:fill="EAE0EF"/>
          </w:tcPr>
          <w:p w14:paraId="6DFB8518" w14:textId="77777777" w:rsidR="009D54AF" w:rsidRDefault="00000000">
            <w:pPr>
              <w:pStyle w:val="TableParagraph"/>
              <w:spacing w:before="364"/>
              <w:ind w:left="280"/>
              <w:rPr>
                <w:sz w:val="32"/>
              </w:rPr>
            </w:pPr>
            <w:r>
              <w:rPr>
                <w:spacing w:val="-2"/>
                <w:sz w:val="32"/>
              </w:rPr>
              <w:t>Highlights</w:t>
            </w:r>
          </w:p>
        </w:tc>
      </w:tr>
      <w:tr w:rsidR="009D54AF" w14:paraId="2B58275F" w14:textId="77777777">
        <w:trPr>
          <w:trHeight w:val="4485"/>
        </w:trPr>
        <w:tc>
          <w:tcPr>
            <w:tcW w:w="10205" w:type="dxa"/>
          </w:tcPr>
          <w:p w14:paraId="2D8513B5" w14:textId="77777777" w:rsidR="009D54AF" w:rsidRDefault="00000000">
            <w:pPr>
              <w:pStyle w:val="TableParagraph"/>
              <w:numPr>
                <w:ilvl w:val="0"/>
                <w:numId w:val="15"/>
              </w:numPr>
              <w:tabs>
                <w:tab w:val="left" w:pos="449"/>
              </w:tabs>
              <w:spacing w:before="163"/>
              <w:ind w:left="449" w:hanging="169"/>
              <w:rPr>
                <w:sz w:val="21"/>
              </w:rPr>
            </w:pPr>
            <w:r>
              <w:rPr>
                <w:sz w:val="21"/>
              </w:rPr>
              <w:t>Ergonomic</w:t>
            </w:r>
            <w:r>
              <w:rPr>
                <w:spacing w:val="-1"/>
                <w:sz w:val="21"/>
              </w:rPr>
              <w:t xml:space="preserve"> </w:t>
            </w:r>
            <w:r>
              <w:rPr>
                <w:sz w:val="21"/>
              </w:rPr>
              <w:t>workstation</w:t>
            </w:r>
            <w:r>
              <w:rPr>
                <w:spacing w:val="-1"/>
                <w:sz w:val="21"/>
              </w:rPr>
              <w:t xml:space="preserve"> </w:t>
            </w:r>
            <w:r>
              <w:rPr>
                <w:sz w:val="21"/>
              </w:rPr>
              <w:t>assessments</w:t>
            </w:r>
            <w:r>
              <w:rPr>
                <w:spacing w:val="-1"/>
                <w:sz w:val="21"/>
              </w:rPr>
              <w:t xml:space="preserve"> </w:t>
            </w:r>
            <w:r>
              <w:rPr>
                <w:sz w:val="21"/>
              </w:rPr>
              <w:t>were</w:t>
            </w:r>
            <w:r>
              <w:rPr>
                <w:spacing w:val="-1"/>
                <w:sz w:val="21"/>
              </w:rPr>
              <w:t xml:space="preserve"> </w:t>
            </w:r>
            <w:r>
              <w:rPr>
                <w:sz w:val="21"/>
              </w:rPr>
              <w:t>conducted</w:t>
            </w:r>
            <w:r>
              <w:rPr>
                <w:spacing w:val="-1"/>
                <w:sz w:val="21"/>
              </w:rPr>
              <w:t xml:space="preserve"> </w:t>
            </w:r>
            <w:r>
              <w:rPr>
                <w:sz w:val="21"/>
              </w:rPr>
              <w:t>for</w:t>
            </w:r>
            <w:r>
              <w:rPr>
                <w:spacing w:val="-1"/>
                <w:sz w:val="21"/>
              </w:rPr>
              <w:t xml:space="preserve"> </w:t>
            </w:r>
            <w:r>
              <w:rPr>
                <w:sz w:val="21"/>
              </w:rPr>
              <w:t>all new</w:t>
            </w:r>
            <w:r>
              <w:rPr>
                <w:spacing w:val="-1"/>
                <w:sz w:val="21"/>
              </w:rPr>
              <w:t xml:space="preserve"> </w:t>
            </w:r>
            <w:r>
              <w:rPr>
                <w:sz w:val="21"/>
              </w:rPr>
              <w:t>staff</w:t>
            </w:r>
            <w:r>
              <w:rPr>
                <w:spacing w:val="-1"/>
                <w:sz w:val="21"/>
              </w:rPr>
              <w:t xml:space="preserve"> </w:t>
            </w:r>
            <w:r>
              <w:rPr>
                <w:sz w:val="21"/>
              </w:rPr>
              <w:t>and</w:t>
            </w:r>
            <w:r>
              <w:rPr>
                <w:spacing w:val="-1"/>
                <w:sz w:val="21"/>
              </w:rPr>
              <w:t xml:space="preserve"> </w:t>
            </w:r>
            <w:r>
              <w:rPr>
                <w:sz w:val="21"/>
              </w:rPr>
              <w:t>existing</w:t>
            </w:r>
            <w:r>
              <w:rPr>
                <w:spacing w:val="-1"/>
                <w:sz w:val="21"/>
              </w:rPr>
              <w:t xml:space="preserve"> </w:t>
            </w:r>
            <w:r>
              <w:rPr>
                <w:sz w:val="21"/>
              </w:rPr>
              <w:t>staff</w:t>
            </w:r>
            <w:r>
              <w:rPr>
                <w:spacing w:val="-1"/>
                <w:sz w:val="21"/>
              </w:rPr>
              <w:t xml:space="preserve"> </w:t>
            </w:r>
            <w:r>
              <w:rPr>
                <w:sz w:val="21"/>
              </w:rPr>
              <w:t xml:space="preserve">as </w:t>
            </w:r>
            <w:r>
              <w:rPr>
                <w:spacing w:val="-2"/>
                <w:sz w:val="21"/>
              </w:rPr>
              <w:t>required</w:t>
            </w:r>
          </w:p>
          <w:p w14:paraId="6551CE62" w14:textId="77777777" w:rsidR="009D54AF" w:rsidRDefault="00000000">
            <w:pPr>
              <w:pStyle w:val="TableParagraph"/>
              <w:numPr>
                <w:ilvl w:val="0"/>
                <w:numId w:val="15"/>
              </w:numPr>
              <w:tabs>
                <w:tab w:val="left" w:pos="449"/>
              </w:tabs>
              <w:spacing w:before="152"/>
              <w:ind w:left="449" w:hanging="169"/>
              <w:rPr>
                <w:sz w:val="21"/>
              </w:rPr>
            </w:pPr>
            <w:r>
              <w:rPr>
                <w:sz w:val="21"/>
              </w:rPr>
              <w:t>Access</w:t>
            </w:r>
            <w:r>
              <w:rPr>
                <w:spacing w:val="-4"/>
                <w:sz w:val="21"/>
              </w:rPr>
              <w:t xml:space="preserve"> </w:t>
            </w:r>
            <w:r>
              <w:rPr>
                <w:sz w:val="21"/>
              </w:rPr>
              <w:t>was</w:t>
            </w:r>
            <w:r>
              <w:rPr>
                <w:spacing w:val="-2"/>
                <w:sz w:val="21"/>
              </w:rPr>
              <w:t xml:space="preserve"> </w:t>
            </w:r>
            <w:r>
              <w:rPr>
                <w:sz w:val="21"/>
              </w:rPr>
              <w:t>provided</w:t>
            </w:r>
            <w:r>
              <w:rPr>
                <w:spacing w:val="-2"/>
                <w:sz w:val="21"/>
              </w:rPr>
              <w:t xml:space="preserve"> </w:t>
            </w:r>
            <w:r>
              <w:rPr>
                <w:sz w:val="21"/>
              </w:rPr>
              <w:t>to</w:t>
            </w:r>
            <w:r>
              <w:rPr>
                <w:spacing w:val="-2"/>
                <w:sz w:val="21"/>
              </w:rPr>
              <w:t xml:space="preserve"> </w:t>
            </w:r>
            <w:r>
              <w:rPr>
                <w:sz w:val="21"/>
              </w:rPr>
              <w:t>standing</w:t>
            </w:r>
            <w:r>
              <w:rPr>
                <w:spacing w:val="-2"/>
                <w:sz w:val="21"/>
              </w:rPr>
              <w:t xml:space="preserve"> </w:t>
            </w:r>
            <w:r>
              <w:rPr>
                <w:sz w:val="21"/>
              </w:rPr>
              <w:t>desks</w:t>
            </w:r>
            <w:r>
              <w:rPr>
                <w:spacing w:val="-2"/>
                <w:sz w:val="21"/>
              </w:rPr>
              <w:t xml:space="preserve"> </w:t>
            </w:r>
            <w:r>
              <w:rPr>
                <w:sz w:val="21"/>
              </w:rPr>
              <w:t>and</w:t>
            </w:r>
            <w:r>
              <w:rPr>
                <w:spacing w:val="-2"/>
                <w:sz w:val="21"/>
              </w:rPr>
              <w:t xml:space="preserve"> </w:t>
            </w:r>
            <w:r>
              <w:rPr>
                <w:sz w:val="21"/>
              </w:rPr>
              <w:t>ergonomic</w:t>
            </w:r>
            <w:r>
              <w:rPr>
                <w:spacing w:val="-2"/>
                <w:sz w:val="21"/>
              </w:rPr>
              <w:t xml:space="preserve"> </w:t>
            </w:r>
            <w:r>
              <w:rPr>
                <w:sz w:val="21"/>
              </w:rPr>
              <w:t>equipment</w:t>
            </w:r>
            <w:r>
              <w:rPr>
                <w:spacing w:val="-2"/>
                <w:sz w:val="21"/>
              </w:rPr>
              <w:t xml:space="preserve"> </w:t>
            </w:r>
            <w:r>
              <w:rPr>
                <w:sz w:val="21"/>
              </w:rPr>
              <w:t>where</w:t>
            </w:r>
            <w:r>
              <w:rPr>
                <w:spacing w:val="-2"/>
                <w:sz w:val="21"/>
              </w:rPr>
              <w:t xml:space="preserve"> required</w:t>
            </w:r>
          </w:p>
          <w:p w14:paraId="0E677852" w14:textId="77777777" w:rsidR="009D54AF" w:rsidRDefault="00000000">
            <w:pPr>
              <w:pStyle w:val="TableParagraph"/>
              <w:numPr>
                <w:ilvl w:val="0"/>
                <w:numId w:val="15"/>
              </w:numPr>
              <w:tabs>
                <w:tab w:val="left" w:pos="449"/>
              </w:tabs>
              <w:spacing w:before="152"/>
              <w:ind w:left="449" w:hanging="169"/>
              <w:rPr>
                <w:sz w:val="21"/>
              </w:rPr>
            </w:pPr>
            <w:r>
              <w:rPr>
                <w:sz w:val="21"/>
              </w:rPr>
              <w:t>Biannual</w:t>
            </w:r>
            <w:r>
              <w:rPr>
                <w:spacing w:val="-2"/>
                <w:sz w:val="21"/>
              </w:rPr>
              <w:t xml:space="preserve"> </w:t>
            </w:r>
            <w:r>
              <w:rPr>
                <w:sz w:val="21"/>
              </w:rPr>
              <w:t>workplace</w:t>
            </w:r>
            <w:r>
              <w:rPr>
                <w:spacing w:val="-2"/>
                <w:sz w:val="21"/>
              </w:rPr>
              <w:t xml:space="preserve"> </w:t>
            </w:r>
            <w:r>
              <w:rPr>
                <w:sz w:val="21"/>
              </w:rPr>
              <w:t>inspections</w:t>
            </w:r>
            <w:r>
              <w:rPr>
                <w:spacing w:val="-2"/>
                <w:sz w:val="21"/>
              </w:rPr>
              <w:t xml:space="preserve"> </w:t>
            </w:r>
            <w:r>
              <w:rPr>
                <w:sz w:val="21"/>
              </w:rPr>
              <w:t>were</w:t>
            </w:r>
            <w:r>
              <w:rPr>
                <w:spacing w:val="-1"/>
                <w:sz w:val="21"/>
              </w:rPr>
              <w:t xml:space="preserve"> </w:t>
            </w:r>
            <w:r>
              <w:rPr>
                <w:spacing w:val="-2"/>
                <w:sz w:val="21"/>
              </w:rPr>
              <w:t>conducted</w:t>
            </w:r>
          </w:p>
          <w:p w14:paraId="327F98CA" w14:textId="77777777" w:rsidR="009D54AF" w:rsidRDefault="00000000">
            <w:pPr>
              <w:pStyle w:val="TableParagraph"/>
              <w:numPr>
                <w:ilvl w:val="0"/>
                <w:numId w:val="15"/>
              </w:numPr>
              <w:tabs>
                <w:tab w:val="left" w:pos="449"/>
              </w:tabs>
              <w:spacing w:before="152"/>
              <w:ind w:left="449" w:hanging="169"/>
              <w:rPr>
                <w:sz w:val="21"/>
              </w:rPr>
            </w:pPr>
            <w:r>
              <w:rPr>
                <w:sz w:val="21"/>
              </w:rPr>
              <w:t>All</w:t>
            </w:r>
            <w:r>
              <w:rPr>
                <w:spacing w:val="-2"/>
                <w:sz w:val="21"/>
              </w:rPr>
              <w:t xml:space="preserve"> </w:t>
            </w:r>
            <w:r>
              <w:rPr>
                <w:sz w:val="21"/>
              </w:rPr>
              <w:t>staff</w:t>
            </w:r>
            <w:r>
              <w:rPr>
                <w:spacing w:val="1"/>
                <w:sz w:val="21"/>
              </w:rPr>
              <w:t xml:space="preserve"> </w:t>
            </w:r>
            <w:r>
              <w:rPr>
                <w:sz w:val="21"/>
              </w:rPr>
              <w:t>members</w:t>
            </w:r>
            <w:r>
              <w:rPr>
                <w:spacing w:val="1"/>
                <w:sz w:val="21"/>
              </w:rPr>
              <w:t xml:space="preserve"> </w:t>
            </w:r>
            <w:r>
              <w:rPr>
                <w:sz w:val="21"/>
              </w:rPr>
              <w:t>were encouraged</w:t>
            </w:r>
            <w:r>
              <w:rPr>
                <w:spacing w:val="1"/>
                <w:sz w:val="21"/>
              </w:rPr>
              <w:t xml:space="preserve"> </w:t>
            </w:r>
            <w:r>
              <w:rPr>
                <w:sz w:val="21"/>
              </w:rPr>
              <w:t>to</w:t>
            </w:r>
            <w:r>
              <w:rPr>
                <w:spacing w:val="1"/>
                <w:sz w:val="21"/>
              </w:rPr>
              <w:t xml:space="preserve"> </w:t>
            </w:r>
            <w:r>
              <w:rPr>
                <w:sz w:val="21"/>
              </w:rPr>
              <w:t>report incidents</w:t>
            </w:r>
            <w:r>
              <w:rPr>
                <w:spacing w:val="1"/>
                <w:sz w:val="21"/>
              </w:rPr>
              <w:t xml:space="preserve"> </w:t>
            </w:r>
            <w:r>
              <w:rPr>
                <w:sz w:val="21"/>
              </w:rPr>
              <w:t>and</w:t>
            </w:r>
            <w:r>
              <w:rPr>
                <w:spacing w:val="1"/>
                <w:sz w:val="21"/>
              </w:rPr>
              <w:t xml:space="preserve"> </w:t>
            </w:r>
            <w:r>
              <w:rPr>
                <w:sz w:val="21"/>
              </w:rPr>
              <w:t>hazards in</w:t>
            </w:r>
            <w:r>
              <w:rPr>
                <w:spacing w:val="1"/>
                <w:sz w:val="21"/>
              </w:rPr>
              <w:t xml:space="preserve"> </w:t>
            </w:r>
            <w:r>
              <w:rPr>
                <w:sz w:val="21"/>
              </w:rPr>
              <w:t>the</w:t>
            </w:r>
            <w:r>
              <w:rPr>
                <w:spacing w:val="1"/>
                <w:sz w:val="21"/>
              </w:rPr>
              <w:t xml:space="preserve"> </w:t>
            </w:r>
            <w:r>
              <w:rPr>
                <w:spacing w:val="-2"/>
                <w:sz w:val="21"/>
              </w:rPr>
              <w:t>workplace</w:t>
            </w:r>
          </w:p>
          <w:p w14:paraId="64153D4B" w14:textId="77777777" w:rsidR="009D54AF" w:rsidRDefault="00000000">
            <w:pPr>
              <w:pStyle w:val="TableParagraph"/>
              <w:numPr>
                <w:ilvl w:val="0"/>
                <w:numId w:val="15"/>
              </w:numPr>
              <w:tabs>
                <w:tab w:val="left" w:pos="449"/>
              </w:tabs>
              <w:spacing w:before="152"/>
              <w:ind w:left="449" w:hanging="169"/>
              <w:rPr>
                <w:sz w:val="21"/>
              </w:rPr>
            </w:pPr>
            <w:r>
              <w:rPr>
                <w:sz w:val="21"/>
              </w:rPr>
              <w:t>Access</w:t>
            </w:r>
            <w:r>
              <w:rPr>
                <w:spacing w:val="-3"/>
                <w:sz w:val="21"/>
              </w:rPr>
              <w:t xml:space="preserve"> </w:t>
            </w:r>
            <w:r>
              <w:rPr>
                <w:sz w:val="21"/>
              </w:rPr>
              <w:t>to</w:t>
            </w:r>
            <w:r>
              <w:rPr>
                <w:spacing w:val="-3"/>
                <w:sz w:val="21"/>
              </w:rPr>
              <w:t xml:space="preserve"> </w:t>
            </w:r>
            <w:r>
              <w:rPr>
                <w:sz w:val="21"/>
              </w:rPr>
              <w:t>an</w:t>
            </w:r>
            <w:r>
              <w:rPr>
                <w:spacing w:val="-2"/>
                <w:sz w:val="21"/>
              </w:rPr>
              <w:t xml:space="preserve"> </w:t>
            </w:r>
            <w:r>
              <w:rPr>
                <w:sz w:val="21"/>
              </w:rPr>
              <w:t>Employee</w:t>
            </w:r>
            <w:r>
              <w:rPr>
                <w:spacing w:val="-3"/>
                <w:sz w:val="21"/>
              </w:rPr>
              <w:t xml:space="preserve"> </w:t>
            </w:r>
            <w:r>
              <w:rPr>
                <w:sz w:val="21"/>
              </w:rPr>
              <w:t>Assistance</w:t>
            </w:r>
            <w:r>
              <w:rPr>
                <w:spacing w:val="-2"/>
                <w:sz w:val="21"/>
              </w:rPr>
              <w:t xml:space="preserve"> </w:t>
            </w:r>
            <w:r>
              <w:rPr>
                <w:sz w:val="21"/>
              </w:rPr>
              <w:t>Program</w:t>
            </w:r>
            <w:r>
              <w:rPr>
                <w:spacing w:val="-3"/>
                <w:sz w:val="21"/>
              </w:rPr>
              <w:t xml:space="preserve"> </w:t>
            </w:r>
            <w:r>
              <w:rPr>
                <w:sz w:val="21"/>
              </w:rPr>
              <w:t>(EAP)</w:t>
            </w:r>
            <w:r>
              <w:rPr>
                <w:spacing w:val="-3"/>
                <w:sz w:val="21"/>
              </w:rPr>
              <w:t xml:space="preserve"> </w:t>
            </w:r>
            <w:r>
              <w:rPr>
                <w:sz w:val="21"/>
              </w:rPr>
              <w:t>was</w:t>
            </w:r>
            <w:r>
              <w:rPr>
                <w:spacing w:val="-2"/>
                <w:sz w:val="21"/>
              </w:rPr>
              <w:t xml:space="preserve"> </w:t>
            </w:r>
            <w:r>
              <w:rPr>
                <w:sz w:val="21"/>
              </w:rPr>
              <w:t>made</w:t>
            </w:r>
            <w:r>
              <w:rPr>
                <w:spacing w:val="-3"/>
                <w:sz w:val="21"/>
              </w:rPr>
              <w:t xml:space="preserve"> </w:t>
            </w:r>
            <w:r>
              <w:rPr>
                <w:sz w:val="21"/>
              </w:rPr>
              <w:t>available</w:t>
            </w:r>
            <w:r>
              <w:rPr>
                <w:spacing w:val="-2"/>
                <w:sz w:val="21"/>
              </w:rPr>
              <w:t xml:space="preserve"> </w:t>
            </w:r>
            <w:r>
              <w:rPr>
                <w:sz w:val="21"/>
              </w:rPr>
              <w:t>to</w:t>
            </w:r>
            <w:r>
              <w:rPr>
                <w:spacing w:val="-3"/>
                <w:sz w:val="21"/>
              </w:rPr>
              <w:t xml:space="preserve"> </w:t>
            </w:r>
            <w:r>
              <w:rPr>
                <w:sz w:val="21"/>
              </w:rPr>
              <w:t>all</w:t>
            </w:r>
            <w:r>
              <w:rPr>
                <w:spacing w:val="-2"/>
                <w:sz w:val="21"/>
              </w:rPr>
              <w:t xml:space="preserve"> staff</w:t>
            </w:r>
          </w:p>
          <w:p w14:paraId="1DDD6421" w14:textId="77777777" w:rsidR="009D54AF" w:rsidRDefault="00000000">
            <w:pPr>
              <w:pStyle w:val="TableParagraph"/>
              <w:numPr>
                <w:ilvl w:val="0"/>
                <w:numId w:val="15"/>
              </w:numPr>
              <w:tabs>
                <w:tab w:val="left" w:pos="449"/>
                <w:tab w:val="left" w:pos="451"/>
              </w:tabs>
              <w:spacing w:before="151" w:line="278" w:lineRule="auto"/>
              <w:ind w:right="56"/>
              <w:rPr>
                <w:sz w:val="21"/>
              </w:rPr>
            </w:pPr>
            <w:r>
              <w:rPr>
                <w:sz w:val="21"/>
              </w:rPr>
              <w:t>Regular</w:t>
            </w:r>
            <w:r>
              <w:rPr>
                <w:spacing w:val="-3"/>
                <w:sz w:val="21"/>
              </w:rPr>
              <w:t xml:space="preserve"> </w:t>
            </w:r>
            <w:r>
              <w:rPr>
                <w:sz w:val="21"/>
              </w:rPr>
              <w:t>online</w:t>
            </w:r>
            <w:r>
              <w:rPr>
                <w:spacing w:val="-3"/>
                <w:sz w:val="21"/>
              </w:rPr>
              <w:t xml:space="preserve"> </w:t>
            </w:r>
            <w:r>
              <w:rPr>
                <w:sz w:val="21"/>
              </w:rPr>
              <w:t>webinar</w:t>
            </w:r>
            <w:r>
              <w:rPr>
                <w:spacing w:val="-3"/>
                <w:sz w:val="21"/>
              </w:rPr>
              <w:t xml:space="preserve"> </w:t>
            </w:r>
            <w:r>
              <w:rPr>
                <w:sz w:val="21"/>
              </w:rPr>
              <w:t>sessions</w:t>
            </w:r>
            <w:r>
              <w:rPr>
                <w:spacing w:val="-3"/>
                <w:sz w:val="21"/>
              </w:rPr>
              <w:t xml:space="preserve"> </w:t>
            </w:r>
            <w:r>
              <w:rPr>
                <w:sz w:val="21"/>
              </w:rPr>
              <w:t>on</w:t>
            </w:r>
            <w:r>
              <w:rPr>
                <w:spacing w:val="-3"/>
                <w:sz w:val="21"/>
              </w:rPr>
              <w:t xml:space="preserve"> </w:t>
            </w:r>
            <w:r>
              <w:rPr>
                <w:sz w:val="21"/>
              </w:rPr>
              <w:t>wellbeing</w:t>
            </w:r>
            <w:r>
              <w:rPr>
                <w:spacing w:val="-3"/>
                <w:sz w:val="21"/>
              </w:rPr>
              <w:t xml:space="preserve"> </w:t>
            </w:r>
            <w:r>
              <w:rPr>
                <w:sz w:val="21"/>
              </w:rPr>
              <w:t>were</w:t>
            </w:r>
            <w:r>
              <w:rPr>
                <w:spacing w:val="-3"/>
                <w:sz w:val="21"/>
              </w:rPr>
              <w:t xml:space="preserve"> </w:t>
            </w:r>
            <w:r>
              <w:rPr>
                <w:sz w:val="21"/>
              </w:rPr>
              <w:t>conducted</w:t>
            </w:r>
            <w:r>
              <w:rPr>
                <w:spacing w:val="-3"/>
                <w:sz w:val="21"/>
              </w:rPr>
              <w:t xml:space="preserve"> </w:t>
            </w:r>
            <w:r>
              <w:rPr>
                <w:sz w:val="21"/>
              </w:rPr>
              <w:t>by</w:t>
            </w:r>
            <w:r>
              <w:rPr>
                <w:spacing w:val="-3"/>
                <w:sz w:val="21"/>
              </w:rPr>
              <w:t xml:space="preserve"> </w:t>
            </w:r>
            <w:r>
              <w:rPr>
                <w:sz w:val="21"/>
              </w:rPr>
              <w:t>the</w:t>
            </w:r>
            <w:r>
              <w:rPr>
                <w:spacing w:val="-3"/>
                <w:sz w:val="21"/>
              </w:rPr>
              <w:t xml:space="preserve"> </w:t>
            </w:r>
            <w:r>
              <w:rPr>
                <w:sz w:val="21"/>
              </w:rPr>
              <w:t>Commission’s</w:t>
            </w:r>
            <w:r>
              <w:rPr>
                <w:spacing w:val="-3"/>
                <w:sz w:val="21"/>
              </w:rPr>
              <w:t xml:space="preserve"> </w:t>
            </w:r>
            <w:r>
              <w:rPr>
                <w:sz w:val="21"/>
              </w:rPr>
              <w:t>EAP</w:t>
            </w:r>
            <w:r>
              <w:rPr>
                <w:spacing w:val="-3"/>
                <w:sz w:val="21"/>
              </w:rPr>
              <w:t xml:space="preserve"> </w:t>
            </w:r>
            <w:r>
              <w:rPr>
                <w:sz w:val="21"/>
              </w:rPr>
              <w:t>provider</w:t>
            </w:r>
            <w:r>
              <w:rPr>
                <w:spacing w:val="-3"/>
                <w:sz w:val="21"/>
              </w:rPr>
              <w:t xml:space="preserve"> </w:t>
            </w:r>
            <w:r>
              <w:rPr>
                <w:sz w:val="21"/>
              </w:rPr>
              <w:t>for</w:t>
            </w:r>
            <w:r>
              <w:rPr>
                <w:spacing w:val="-3"/>
                <w:sz w:val="21"/>
              </w:rPr>
              <w:t xml:space="preserve"> </w:t>
            </w:r>
            <w:r>
              <w:rPr>
                <w:sz w:val="21"/>
              </w:rPr>
              <w:t>all staff, including for R U OK? Day</w:t>
            </w:r>
          </w:p>
          <w:p w14:paraId="5156FF75" w14:textId="77777777" w:rsidR="009D54AF" w:rsidRDefault="00000000">
            <w:pPr>
              <w:pStyle w:val="TableParagraph"/>
              <w:numPr>
                <w:ilvl w:val="0"/>
                <w:numId w:val="15"/>
              </w:numPr>
              <w:tabs>
                <w:tab w:val="left" w:pos="449"/>
              </w:tabs>
              <w:spacing w:before="114"/>
              <w:ind w:left="449" w:hanging="169"/>
              <w:rPr>
                <w:sz w:val="21"/>
              </w:rPr>
            </w:pPr>
            <w:r>
              <w:rPr>
                <w:sz w:val="21"/>
              </w:rPr>
              <w:t>Access</w:t>
            </w:r>
            <w:r>
              <w:rPr>
                <w:spacing w:val="-4"/>
                <w:sz w:val="21"/>
              </w:rPr>
              <w:t xml:space="preserve"> </w:t>
            </w:r>
            <w:r>
              <w:rPr>
                <w:sz w:val="21"/>
              </w:rPr>
              <w:t>to</w:t>
            </w:r>
            <w:r>
              <w:rPr>
                <w:spacing w:val="-2"/>
                <w:sz w:val="21"/>
              </w:rPr>
              <w:t xml:space="preserve"> </w:t>
            </w:r>
            <w:r>
              <w:rPr>
                <w:sz w:val="21"/>
              </w:rPr>
              <w:t>the</w:t>
            </w:r>
            <w:r>
              <w:rPr>
                <w:spacing w:val="-1"/>
                <w:sz w:val="21"/>
              </w:rPr>
              <w:t xml:space="preserve"> </w:t>
            </w:r>
            <w:r>
              <w:rPr>
                <w:sz w:val="21"/>
              </w:rPr>
              <w:t>Fitness</w:t>
            </w:r>
            <w:r>
              <w:rPr>
                <w:spacing w:val="-2"/>
                <w:sz w:val="21"/>
              </w:rPr>
              <w:t xml:space="preserve"> </w:t>
            </w:r>
            <w:r>
              <w:rPr>
                <w:sz w:val="21"/>
              </w:rPr>
              <w:t>Passport</w:t>
            </w:r>
            <w:r>
              <w:rPr>
                <w:spacing w:val="-1"/>
                <w:sz w:val="21"/>
              </w:rPr>
              <w:t xml:space="preserve"> </w:t>
            </w:r>
            <w:r>
              <w:rPr>
                <w:sz w:val="21"/>
              </w:rPr>
              <w:t>program</w:t>
            </w:r>
            <w:r>
              <w:rPr>
                <w:spacing w:val="-2"/>
                <w:sz w:val="21"/>
              </w:rPr>
              <w:t xml:space="preserve"> </w:t>
            </w:r>
            <w:r>
              <w:rPr>
                <w:sz w:val="21"/>
              </w:rPr>
              <w:t>was</w:t>
            </w:r>
            <w:r>
              <w:rPr>
                <w:spacing w:val="-1"/>
                <w:sz w:val="21"/>
              </w:rPr>
              <w:t xml:space="preserve"> </w:t>
            </w:r>
            <w:r>
              <w:rPr>
                <w:sz w:val="21"/>
              </w:rPr>
              <w:t>made</w:t>
            </w:r>
            <w:r>
              <w:rPr>
                <w:spacing w:val="-2"/>
                <w:sz w:val="21"/>
              </w:rPr>
              <w:t xml:space="preserve"> </w:t>
            </w:r>
            <w:r>
              <w:rPr>
                <w:sz w:val="21"/>
              </w:rPr>
              <w:t>available</w:t>
            </w:r>
            <w:r>
              <w:rPr>
                <w:spacing w:val="-1"/>
                <w:sz w:val="21"/>
              </w:rPr>
              <w:t xml:space="preserve"> </w:t>
            </w:r>
            <w:r>
              <w:rPr>
                <w:sz w:val="21"/>
              </w:rPr>
              <w:t>to</w:t>
            </w:r>
            <w:r>
              <w:rPr>
                <w:spacing w:val="-2"/>
                <w:sz w:val="21"/>
              </w:rPr>
              <w:t xml:space="preserve"> </w:t>
            </w:r>
            <w:r>
              <w:rPr>
                <w:sz w:val="21"/>
              </w:rPr>
              <w:t>all</w:t>
            </w:r>
            <w:r>
              <w:rPr>
                <w:spacing w:val="-1"/>
                <w:sz w:val="21"/>
              </w:rPr>
              <w:t xml:space="preserve"> </w:t>
            </w:r>
            <w:r>
              <w:rPr>
                <w:spacing w:val="-2"/>
                <w:sz w:val="21"/>
              </w:rPr>
              <w:t>staff</w:t>
            </w:r>
          </w:p>
          <w:p w14:paraId="1193118F" w14:textId="77777777" w:rsidR="009D54AF" w:rsidRDefault="00000000">
            <w:pPr>
              <w:pStyle w:val="TableParagraph"/>
              <w:numPr>
                <w:ilvl w:val="0"/>
                <w:numId w:val="15"/>
              </w:numPr>
              <w:tabs>
                <w:tab w:val="left" w:pos="449"/>
              </w:tabs>
              <w:spacing w:before="152"/>
              <w:ind w:left="449" w:hanging="169"/>
              <w:rPr>
                <w:sz w:val="21"/>
              </w:rPr>
            </w:pPr>
            <w:r>
              <w:rPr>
                <w:sz w:val="21"/>
              </w:rPr>
              <w:t>Influenza</w:t>
            </w:r>
            <w:r>
              <w:rPr>
                <w:spacing w:val="-4"/>
                <w:sz w:val="21"/>
              </w:rPr>
              <w:t xml:space="preserve"> </w:t>
            </w:r>
            <w:r>
              <w:rPr>
                <w:sz w:val="21"/>
              </w:rPr>
              <w:t>vaccinations</w:t>
            </w:r>
            <w:r>
              <w:rPr>
                <w:spacing w:val="-4"/>
                <w:sz w:val="21"/>
              </w:rPr>
              <w:t xml:space="preserve"> </w:t>
            </w:r>
            <w:r>
              <w:rPr>
                <w:sz w:val="21"/>
              </w:rPr>
              <w:t>were</w:t>
            </w:r>
            <w:r>
              <w:rPr>
                <w:spacing w:val="-4"/>
                <w:sz w:val="21"/>
              </w:rPr>
              <w:t xml:space="preserve"> </w:t>
            </w:r>
            <w:r>
              <w:rPr>
                <w:sz w:val="21"/>
              </w:rPr>
              <w:t>made</w:t>
            </w:r>
            <w:r>
              <w:rPr>
                <w:spacing w:val="-3"/>
                <w:sz w:val="21"/>
              </w:rPr>
              <w:t xml:space="preserve"> </w:t>
            </w:r>
            <w:r>
              <w:rPr>
                <w:sz w:val="21"/>
              </w:rPr>
              <w:t>available</w:t>
            </w:r>
            <w:r>
              <w:rPr>
                <w:spacing w:val="-4"/>
                <w:sz w:val="21"/>
              </w:rPr>
              <w:t xml:space="preserve"> </w:t>
            </w:r>
            <w:r>
              <w:rPr>
                <w:sz w:val="21"/>
              </w:rPr>
              <w:t>to</w:t>
            </w:r>
            <w:r>
              <w:rPr>
                <w:spacing w:val="-4"/>
                <w:sz w:val="21"/>
              </w:rPr>
              <w:t xml:space="preserve"> </w:t>
            </w:r>
            <w:r>
              <w:rPr>
                <w:sz w:val="21"/>
              </w:rPr>
              <w:t>all</w:t>
            </w:r>
            <w:r>
              <w:rPr>
                <w:spacing w:val="-3"/>
                <w:sz w:val="21"/>
              </w:rPr>
              <w:t xml:space="preserve"> </w:t>
            </w:r>
            <w:r>
              <w:rPr>
                <w:spacing w:val="-4"/>
                <w:sz w:val="21"/>
              </w:rPr>
              <w:t>staff</w:t>
            </w:r>
          </w:p>
          <w:p w14:paraId="52155D8F" w14:textId="77777777" w:rsidR="009D54AF" w:rsidRDefault="00000000">
            <w:pPr>
              <w:pStyle w:val="TableParagraph"/>
              <w:numPr>
                <w:ilvl w:val="0"/>
                <w:numId w:val="15"/>
              </w:numPr>
              <w:tabs>
                <w:tab w:val="left" w:pos="449"/>
              </w:tabs>
              <w:spacing w:before="151"/>
              <w:ind w:left="449" w:hanging="169"/>
              <w:rPr>
                <w:sz w:val="21"/>
              </w:rPr>
            </w:pPr>
            <w:r>
              <w:rPr>
                <w:sz w:val="21"/>
              </w:rPr>
              <w:t>Staff</w:t>
            </w:r>
            <w:r>
              <w:rPr>
                <w:spacing w:val="-1"/>
                <w:sz w:val="21"/>
              </w:rPr>
              <w:t xml:space="preserve"> </w:t>
            </w:r>
            <w:r>
              <w:rPr>
                <w:sz w:val="21"/>
              </w:rPr>
              <w:t>were</w:t>
            </w:r>
            <w:r>
              <w:rPr>
                <w:spacing w:val="-1"/>
                <w:sz w:val="21"/>
              </w:rPr>
              <w:t xml:space="preserve"> </w:t>
            </w:r>
            <w:r>
              <w:rPr>
                <w:sz w:val="21"/>
              </w:rPr>
              <w:t>able</w:t>
            </w:r>
            <w:r>
              <w:rPr>
                <w:spacing w:val="-1"/>
                <w:sz w:val="21"/>
              </w:rPr>
              <w:t xml:space="preserve"> </w:t>
            </w:r>
            <w:r>
              <w:rPr>
                <w:sz w:val="21"/>
              </w:rPr>
              <w:t>to</w:t>
            </w:r>
            <w:r>
              <w:rPr>
                <w:spacing w:val="-1"/>
                <w:sz w:val="21"/>
              </w:rPr>
              <w:t xml:space="preserve"> </w:t>
            </w:r>
            <w:r>
              <w:rPr>
                <w:sz w:val="21"/>
              </w:rPr>
              <w:t>take</w:t>
            </w:r>
            <w:r>
              <w:rPr>
                <w:spacing w:val="-1"/>
                <w:sz w:val="21"/>
              </w:rPr>
              <w:t xml:space="preserve"> </w:t>
            </w:r>
            <w:r>
              <w:rPr>
                <w:sz w:val="21"/>
              </w:rPr>
              <w:t>reasonable</w:t>
            </w:r>
            <w:r>
              <w:rPr>
                <w:spacing w:val="-1"/>
                <w:sz w:val="21"/>
              </w:rPr>
              <w:t xml:space="preserve"> </w:t>
            </w:r>
            <w:r>
              <w:rPr>
                <w:sz w:val="21"/>
              </w:rPr>
              <w:t>time</w:t>
            </w:r>
            <w:r>
              <w:rPr>
                <w:spacing w:val="-1"/>
                <w:sz w:val="21"/>
              </w:rPr>
              <w:t xml:space="preserve"> </w:t>
            </w:r>
            <w:r>
              <w:rPr>
                <w:sz w:val="21"/>
              </w:rPr>
              <w:t>away</w:t>
            </w:r>
            <w:r>
              <w:rPr>
                <w:spacing w:val="-1"/>
                <w:sz w:val="21"/>
              </w:rPr>
              <w:t xml:space="preserve"> </w:t>
            </w:r>
            <w:r>
              <w:rPr>
                <w:sz w:val="21"/>
              </w:rPr>
              <w:t>from</w:t>
            </w:r>
            <w:r>
              <w:rPr>
                <w:spacing w:val="-1"/>
                <w:sz w:val="21"/>
              </w:rPr>
              <w:t xml:space="preserve"> </w:t>
            </w:r>
            <w:r>
              <w:rPr>
                <w:sz w:val="21"/>
              </w:rPr>
              <w:t>duty</w:t>
            </w:r>
            <w:r>
              <w:rPr>
                <w:spacing w:val="-1"/>
                <w:sz w:val="21"/>
              </w:rPr>
              <w:t xml:space="preserve"> </w:t>
            </w:r>
            <w:r>
              <w:rPr>
                <w:sz w:val="21"/>
              </w:rPr>
              <w:t>during</w:t>
            </w:r>
            <w:r>
              <w:rPr>
                <w:spacing w:val="-1"/>
                <w:sz w:val="21"/>
              </w:rPr>
              <w:t xml:space="preserve"> </w:t>
            </w:r>
            <w:r>
              <w:rPr>
                <w:sz w:val="21"/>
              </w:rPr>
              <w:t>ordinary</w:t>
            </w:r>
            <w:r>
              <w:rPr>
                <w:spacing w:val="-1"/>
                <w:sz w:val="21"/>
              </w:rPr>
              <w:t xml:space="preserve"> </w:t>
            </w:r>
            <w:r>
              <w:rPr>
                <w:sz w:val="21"/>
              </w:rPr>
              <w:t>work</w:t>
            </w:r>
            <w:r>
              <w:rPr>
                <w:spacing w:val="-1"/>
                <w:sz w:val="21"/>
              </w:rPr>
              <w:t xml:space="preserve"> </w:t>
            </w:r>
            <w:r>
              <w:rPr>
                <w:sz w:val="21"/>
              </w:rPr>
              <w:t>hours</w:t>
            </w:r>
            <w:r>
              <w:rPr>
                <w:spacing w:val="-1"/>
                <w:sz w:val="21"/>
              </w:rPr>
              <w:t xml:space="preserve"> </w:t>
            </w:r>
            <w:r>
              <w:rPr>
                <w:sz w:val="21"/>
              </w:rPr>
              <w:t>to</w:t>
            </w:r>
            <w:r>
              <w:rPr>
                <w:spacing w:val="-1"/>
                <w:sz w:val="21"/>
              </w:rPr>
              <w:t xml:space="preserve"> </w:t>
            </w:r>
            <w:r>
              <w:rPr>
                <w:sz w:val="21"/>
              </w:rPr>
              <w:t xml:space="preserve">donate </w:t>
            </w:r>
            <w:r>
              <w:rPr>
                <w:spacing w:val="-2"/>
                <w:sz w:val="21"/>
              </w:rPr>
              <w:t>blood</w:t>
            </w:r>
          </w:p>
          <w:p w14:paraId="18B32326" w14:textId="77777777" w:rsidR="009D54AF" w:rsidRDefault="00000000">
            <w:pPr>
              <w:pStyle w:val="TableParagraph"/>
              <w:numPr>
                <w:ilvl w:val="0"/>
                <w:numId w:val="15"/>
              </w:numPr>
              <w:tabs>
                <w:tab w:val="left" w:pos="449"/>
              </w:tabs>
              <w:spacing w:before="152"/>
              <w:ind w:left="449" w:hanging="169"/>
              <w:rPr>
                <w:sz w:val="21"/>
              </w:rPr>
            </w:pPr>
            <w:r>
              <w:rPr>
                <w:sz w:val="21"/>
              </w:rPr>
              <w:t>Access</w:t>
            </w:r>
            <w:r>
              <w:rPr>
                <w:spacing w:val="-4"/>
                <w:sz w:val="21"/>
              </w:rPr>
              <w:t xml:space="preserve"> </w:t>
            </w:r>
            <w:r>
              <w:rPr>
                <w:sz w:val="21"/>
              </w:rPr>
              <w:t>was</w:t>
            </w:r>
            <w:r>
              <w:rPr>
                <w:spacing w:val="-1"/>
                <w:sz w:val="21"/>
              </w:rPr>
              <w:t xml:space="preserve"> </w:t>
            </w:r>
            <w:r>
              <w:rPr>
                <w:sz w:val="21"/>
              </w:rPr>
              <w:t>provided</w:t>
            </w:r>
            <w:r>
              <w:rPr>
                <w:spacing w:val="-2"/>
                <w:sz w:val="21"/>
              </w:rPr>
              <w:t xml:space="preserve"> </w:t>
            </w:r>
            <w:r>
              <w:rPr>
                <w:sz w:val="21"/>
              </w:rPr>
              <w:t>to</w:t>
            </w:r>
            <w:r>
              <w:rPr>
                <w:spacing w:val="-1"/>
                <w:sz w:val="21"/>
              </w:rPr>
              <w:t xml:space="preserve"> </w:t>
            </w:r>
            <w:r>
              <w:rPr>
                <w:sz w:val="21"/>
              </w:rPr>
              <w:t>reimbursement</w:t>
            </w:r>
            <w:r>
              <w:rPr>
                <w:spacing w:val="-2"/>
                <w:sz w:val="21"/>
              </w:rPr>
              <w:t xml:space="preserve"> </w:t>
            </w:r>
            <w:r>
              <w:rPr>
                <w:sz w:val="21"/>
              </w:rPr>
              <w:t>of</w:t>
            </w:r>
            <w:r>
              <w:rPr>
                <w:spacing w:val="-1"/>
                <w:sz w:val="21"/>
              </w:rPr>
              <w:t xml:space="preserve"> </w:t>
            </w:r>
            <w:r>
              <w:rPr>
                <w:sz w:val="21"/>
              </w:rPr>
              <w:t>eyewear</w:t>
            </w:r>
            <w:r>
              <w:rPr>
                <w:spacing w:val="-1"/>
                <w:sz w:val="21"/>
              </w:rPr>
              <w:t xml:space="preserve"> </w:t>
            </w:r>
            <w:r>
              <w:rPr>
                <w:sz w:val="21"/>
              </w:rPr>
              <w:t>costs</w:t>
            </w:r>
            <w:r>
              <w:rPr>
                <w:spacing w:val="-2"/>
                <w:sz w:val="21"/>
              </w:rPr>
              <w:t xml:space="preserve"> </w:t>
            </w:r>
            <w:r>
              <w:rPr>
                <w:sz w:val="21"/>
              </w:rPr>
              <w:t>for</w:t>
            </w:r>
            <w:r>
              <w:rPr>
                <w:spacing w:val="-1"/>
                <w:sz w:val="21"/>
              </w:rPr>
              <w:t xml:space="preserve"> </w:t>
            </w:r>
            <w:r>
              <w:rPr>
                <w:sz w:val="21"/>
              </w:rPr>
              <w:t>use</w:t>
            </w:r>
            <w:r>
              <w:rPr>
                <w:spacing w:val="-2"/>
                <w:sz w:val="21"/>
              </w:rPr>
              <w:t xml:space="preserve"> </w:t>
            </w:r>
            <w:r>
              <w:rPr>
                <w:sz w:val="21"/>
              </w:rPr>
              <w:t>with</w:t>
            </w:r>
            <w:r>
              <w:rPr>
                <w:spacing w:val="-1"/>
                <w:sz w:val="21"/>
              </w:rPr>
              <w:t xml:space="preserve"> </w:t>
            </w:r>
            <w:r>
              <w:rPr>
                <w:sz w:val="21"/>
              </w:rPr>
              <w:t>screen-based</w:t>
            </w:r>
            <w:r>
              <w:rPr>
                <w:spacing w:val="-1"/>
                <w:sz w:val="21"/>
              </w:rPr>
              <w:t xml:space="preserve"> </w:t>
            </w:r>
            <w:r>
              <w:rPr>
                <w:spacing w:val="-2"/>
                <w:sz w:val="21"/>
              </w:rPr>
              <w:t>equipment</w:t>
            </w:r>
          </w:p>
        </w:tc>
      </w:tr>
    </w:tbl>
    <w:p w14:paraId="6FEB34AF" w14:textId="77777777" w:rsidR="009D54AF" w:rsidRDefault="00000000">
      <w:pPr>
        <w:pStyle w:val="BodyText"/>
        <w:spacing w:before="185"/>
        <w:ind w:left="142"/>
      </w:pPr>
      <w:r>
        <w:t>Five</w:t>
      </w:r>
      <w:r>
        <w:rPr>
          <w:spacing w:val="-3"/>
        </w:rPr>
        <w:t xml:space="preserve"> </w:t>
      </w:r>
      <w:r>
        <w:t>work health and</w:t>
      </w:r>
      <w:r>
        <w:rPr>
          <w:spacing w:val="-1"/>
        </w:rPr>
        <w:t xml:space="preserve"> </w:t>
      </w:r>
      <w:r>
        <w:t>safety incidents were</w:t>
      </w:r>
      <w:r>
        <w:rPr>
          <w:spacing w:val="-1"/>
        </w:rPr>
        <w:t xml:space="preserve"> </w:t>
      </w:r>
      <w:r>
        <w:t>reported in 2025–26.</w:t>
      </w:r>
      <w:r>
        <w:rPr>
          <w:spacing w:val="-1"/>
        </w:rPr>
        <w:t xml:space="preserve"> </w:t>
      </w:r>
      <w:r>
        <w:t>There were no</w:t>
      </w:r>
      <w:r>
        <w:rPr>
          <w:spacing w:val="-1"/>
        </w:rPr>
        <w:t xml:space="preserve"> </w:t>
      </w:r>
      <w:r>
        <w:t xml:space="preserve">notifiable incidents in </w:t>
      </w:r>
      <w:r>
        <w:rPr>
          <w:spacing w:val="-2"/>
        </w:rPr>
        <w:t>2025–</w:t>
      </w:r>
    </w:p>
    <w:p w14:paraId="2D51213A" w14:textId="77777777" w:rsidR="009D54AF" w:rsidRDefault="00000000">
      <w:pPr>
        <w:spacing w:before="39" w:line="278" w:lineRule="auto"/>
        <w:ind w:left="142" w:right="285"/>
        <w:rPr>
          <w:sz w:val="21"/>
        </w:rPr>
      </w:pPr>
      <w:r>
        <w:rPr>
          <w:sz w:val="21"/>
        </w:rPr>
        <w:t>26.</w:t>
      </w:r>
      <w:r>
        <w:rPr>
          <w:spacing w:val="-2"/>
          <w:sz w:val="21"/>
        </w:rPr>
        <w:t xml:space="preserve"> </w:t>
      </w:r>
      <w:r>
        <w:rPr>
          <w:sz w:val="21"/>
        </w:rPr>
        <w:t>No</w:t>
      </w:r>
      <w:r>
        <w:rPr>
          <w:spacing w:val="-2"/>
          <w:sz w:val="21"/>
        </w:rPr>
        <w:t xml:space="preserve"> </w:t>
      </w:r>
      <w:r>
        <w:rPr>
          <w:sz w:val="21"/>
        </w:rPr>
        <w:t>notices</w:t>
      </w:r>
      <w:r>
        <w:rPr>
          <w:spacing w:val="-2"/>
          <w:sz w:val="21"/>
        </w:rPr>
        <w:t xml:space="preserve"> </w:t>
      </w:r>
      <w:r>
        <w:rPr>
          <w:sz w:val="21"/>
        </w:rPr>
        <w:t>were</w:t>
      </w:r>
      <w:r>
        <w:rPr>
          <w:spacing w:val="-2"/>
          <w:sz w:val="21"/>
        </w:rPr>
        <w:t xml:space="preserve"> </w:t>
      </w:r>
      <w:r>
        <w:rPr>
          <w:sz w:val="21"/>
        </w:rPr>
        <w:t>issued</w:t>
      </w:r>
      <w:r>
        <w:rPr>
          <w:spacing w:val="-2"/>
          <w:sz w:val="21"/>
        </w:rPr>
        <w:t xml:space="preserve"> </w:t>
      </w:r>
      <w:r>
        <w:rPr>
          <w:sz w:val="21"/>
        </w:rPr>
        <w:t>to</w:t>
      </w:r>
      <w:r>
        <w:rPr>
          <w:spacing w:val="-2"/>
          <w:sz w:val="21"/>
        </w:rPr>
        <w:t xml:space="preserve"> </w:t>
      </w:r>
      <w:r>
        <w:rPr>
          <w:sz w:val="21"/>
        </w:rPr>
        <w:t>the</w:t>
      </w:r>
      <w:r>
        <w:rPr>
          <w:spacing w:val="-2"/>
          <w:sz w:val="21"/>
        </w:rPr>
        <w:t xml:space="preserve"> </w:t>
      </w:r>
      <w:r>
        <w:rPr>
          <w:sz w:val="21"/>
        </w:rPr>
        <w:t>Commission,</w:t>
      </w:r>
      <w:r>
        <w:rPr>
          <w:spacing w:val="-2"/>
          <w:sz w:val="21"/>
        </w:rPr>
        <w:t xml:space="preserve"> </w:t>
      </w:r>
      <w:r>
        <w:rPr>
          <w:sz w:val="21"/>
        </w:rPr>
        <w:t>and</w:t>
      </w:r>
      <w:r>
        <w:rPr>
          <w:spacing w:val="-2"/>
          <w:sz w:val="21"/>
        </w:rPr>
        <w:t xml:space="preserve"> </w:t>
      </w:r>
      <w:r>
        <w:rPr>
          <w:sz w:val="21"/>
        </w:rPr>
        <w:t>no</w:t>
      </w:r>
      <w:r>
        <w:rPr>
          <w:spacing w:val="-2"/>
          <w:sz w:val="21"/>
        </w:rPr>
        <w:t xml:space="preserve"> </w:t>
      </w:r>
      <w:r>
        <w:rPr>
          <w:sz w:val="21"/>
        </w:rPr>
        <w:t>investigations</w:t>
      </w:r>
      <w:r>
        <w:rPr>
          <w:spacing w:val="-2"/>
          <w:sz w:val="21"/>
        </w:rPr>
        <w:t xml:space="preserve"> </w:t>
      </w:r>
      <w:r>
        <w:rPr>
          <w:sz w:val="21"/>
        </w:rPr>
        <w:t>were</w:t>
      </w:r>
      <w:r>
        <w:rPr>
          <w:spacing w:val="-2"/>
          <w:sz w:val="21"/>
        </w:rPr>
        <w:t xml:space="preserve"> </w:t>
      </w:r>
      <w:r>
        <w:rPr>
          <w:sz w:val="21"/>
        </w:rPr>
        <w:t>initiated</w:t>
      </w:r>
      <w:r>
        <w:rPr>
          <w:spacing w:val="-2"/>
          <w:sz w:val="21"/>
        </w:rPr>
        <w:t xml:space="preserve"> </w:t>
      </w:r>
      <w:r>
        <w:rPr>
          <w:sz w:val="21"/>
        </w:rPr>
        <w:t>under</w:t>
      </w:r>
      <w:r>
        <w:rPr>
          <w:spacing w:val="-2"/>
          <w:sz w:val="21"/>
        </w:rPr>
        <w:t xml:space="preserve"> </w:t>
      </w:r>
      <w:r>
        <w:rPr>
          <w:sz w:val="21"/>
        </w:rPr>
        <w:t>the</w:t>
      </w:r>
      <w:r>
        <w:rPr>
          <w:spacing w:val="-3"/>
          <w:sz w:val="21"/>
        </w:rPr>
        <w:t xml:space="preserve"> </w:t>
      </w:r>
      <w:r>
        <w:rPr>
          <w:i/>
          <w:sz w:val="21"/>
        </w:rPr>
        <w:t>Work</w:t>
      </w:r>
      <w:r>
        <w:rPr>
          <w:i/>
          <w:spacing w:val="-2"/>
          <w:sz w:val="21"/>
        </w:rPr>
        <w:t xml:space="preserve"> </w:t>
      </w:r>
      <w:r>
        <w:rPr>
          <w:i/>
          <w:sz w:val="21"/>
        </w:rPr>
        <w:t>Health and Safety Act 2011</w:t>
      </w:r>
      <w:r>
        <w:rPr>
          <w:sz w:val="21"/>
        </w:rPr>
        <w:t>.</w:t>
      </w:r>
    </w:p>
    <w:p w14:paraId="1C746718" w14:textId="77777777" w:rsidR="009D54AF" w:rsidRDefault="00000000">
      <w:pPr>
        <w:pStyle w:val="Heading1"/>
      </w:pPr>
      <w:bookmarkStart w:id="66" w:name="_TOC_250008"/>
      <w:bookmarkStart w:id="67" w:name="_Capability"/>
      <w:bookmarkStart w:id="68" w:name="_Toc243037288"/>
      <w:bookmarkEnd w:id="66"/>
      <w:bookmarkEnd w:id="67"/>
      <w:r>
        <w:rPr>
          <w:spacing w:val="-2"/>
        </w:rPr>
        <w:t>Capability</w:t>
      </w:r>
      <w:bookmarkEnd w:id="68"/>
    </w:p>
    <w:p w14:paraId="38A3BFF6" w14:textId="77777777" w:rsidR="009D54AF" w:rsidRDefault="00000000">
      <w:pPr>
        <w:pStyle w:val="Heading9"/>
        <w:spacing w:line="268" w:lineRule="auto"/>
      </w:pPr>
      <w:r>
        <w:t>The</w:t>
      </w:r>
      <w:r>
        <w:rPr>
          <w:spacing w:val="-8"/>
        </w:rPr>
        <w:t xml:space="preserve"> </w:t>
      </w:r>
      <w:r>
        <w:t>Commission</w:t>
      </w:r>
      <w:r>
        <w:rPr>
          <w:spacing w:val="-8"/>
        </w:rPr>
        <w:t xml:space="preserve"> </w:t>
      </w:r>
      <w:r>
        <w:t>values</w:t>
      </w:r>
      <w:r>
        <w:rPr>
          <w:spacing w:val="-8"/>
        </w:rPr>
        <w:t xml:space="preserve"> </w:t>
      </w:r>
      <w:r>
        <w:t>the</w:t>
      </w:r>
      <w:r>
        <w:rPr>
          <w:spacing w:val="-8"/>
        </w:rPr>
        <w:t xml:space="preserve"> </w:t>
      </w:r>
      <w:r>
        <w:t>skills,</w:t>
      </w:r>
      <w:r>
        <w:rPr>
          <w:spacing w:val="-8"/>
        </w:rPr>
        <w:t xml:space="preserve"> </w:t>
      </w:r>
      <w:r>
        <w:t>expertise</w:t>
      </w:r>
      <w:r>
        <w:rPr>
          <w:spacing w:val="-8"/>
        </w:rPr>
        <w:t xml:space="preserve"> </w:t>
      </w:r>
      <w:r>
        <w:t>and</w:t>
      </w:r>
      <w:r>
        <w:rPr>
          <w:spacing w:val="-8"/>
        </w:rPr>
        <w:t xml:space="preserve"> </w:t>
      </w:r>
      <w:r>
        <w:t>contributions</w:t>
      </w:r>
      <w:r>
        <w:rPr>
          <w:spacing w:val="-8"/>
        </w:rPr>
        <w:t xml:space="preserve"> </w:t>
      </w:r>
      <w:r>
        <w:t>of</w:t>
      </w:r>
      <w:r>
        <w:rPr>
          <w:spacing w:val="-8"/>
        </w:rPr>
        <w:t xml:space="preserve"> </w:t>
      </w:r>
      <w:r>
        <w:t>its</w:t>
      </w:r>
      <w:r>
        <w:rPr>
          <w:spacing w:val="-8"/>
        </w:rPr>
        <w:t xml:space="preserve"> </w:t>
      </w:r>
      <w:r>
        <w:t>staff</w:t>
      </w:r>
      <w:r>
        <w:rPr>
          <w:spacing w:val="-8"/>
        </w:rPr>
        <w:t xml:space="preserve"> </w:t>
      </w:r>
      <w:r>
        <w:t>and</w:t>
      </w:r>
      <w:r>
        <w:rPr>
          <w:spacing w:val="-8"/>
        </w:rPr>
        <w:t xml:space="preserve"> </w:t>
      </w:r>
      <w:proofErr w:type="spellStart"/>
      <w:r>
        <w:t>recognises</w:t>
      </w:r>
      <w:proofErr w:type="spellEnd"/>
      <w:r>
        <w:rPr>
          <w:spacing w:val="-8"/>
        </w:rPr>
        <w:t xml:space="preserve"> </w:t>
      </w:r>
      <w:r>
        <w:t xml:space="preserve">the importance of continuously building capability across the </w:t>
      </w:r>
      <w:proofErr w:type="spellStart"/>
      <w:r>
        <w:t>organisation</w:t>
      </w:r>
      <w:proofErr w:type="spellEnd"/>
      <w:r>
        <w:t>.</w:t>
      </w:r>
    </w:p>
    <w:p w14:paraId="7D081BB4" w14:textId="77777777" w:rsidR="009D54AF" w:rsidRDefault="009D54AF">
      <w:pPr>
        <w:pStyle w:val="BodyText"/>
        <w:spacing w:before="7"/>
        <w:rPr>
          <w:sz w:val="24"/>
        </w:rPr>
      </w:pPr>
    </w:p>
    <w:p w14:paraId="3B1BB257" w14:textId="77777777" w:rsidR="009D54AF" w:rsidRDefault="00000000">
      <w:pPr>
        <w:pStyle w:val="BodyText"/>
        <w:spacing w:before="1" w:line="278" w:lineRule="auto"/>
        <w:ind w:left="142"/>
      </w:pPr>
      <w:r>
        <w:t>In 2026, the Commission undertook a capability review to assess leadership capability and identify gaps to support delivery of the Strategic Plan 2025–2030. The review informed the commencement of a Leadership Development</w:t>
      </w:r>
      <w:r>
        <w:rPr>
          <w:spacing w:val="-4"/>
        </w:rPr>
        <w:t xml:space="preserve"> </w:t>
      </w:r>
      <w:r>
        <w:t>and</w:t>
      </w:r>
      <w:r>
        <w:rPr>
          <w:spacing w:val="-4"/>
        </w:rPr>
        <w:t xml:space="preserve"> </w:t>
      </w:r>
      <w:r>
        <w:t>Alignment</w:t>
      </w:r>
      <w:r>
        <w:rPr>
          <w:spacing w:val="-4"/>
        </w:rPr>
        <w:t xml:space="preserve"> </w:t>
      </w:r>
      <w:r>
        <w:t>program</w:t>
      </w:r>
      <w:r>
        <w:rPr>
          <w:spacing w:val="-4"/>
        </w:rPr>
        <w:t xml:space="preserve"> </w:t>
      </w:r>
      <w:r>
        <w:t>focused</w:t>
      </w:r>
      <w:r>
        <w:rPr>
          <w:spacing w:val="-4"/>
        </w:rPr>
        <w:t xml:space="preserve"> </w:t>
      </w:r>
      <w:r>
        <w:t>on</w:t>
      </w:r>
      <w:r>
        <w:rPr>
          <w:spacing w:val="-4"/>
        </w:rPr>
        <w:t xml:space="preserve"> </w:t>
      </w:r>
      <w:r>
        <w:t>systems</w:t>
      </w:r>
      <w:r>
        <w:rPr>
          <w:spacing w:val="-4"/>
        </w:rPr>
        <w:t xml:space="preserve"> </w:t>
      </w:r>
      <w:r>
        <w:t>thinking,</w:t>
      </w:r>
      <w:r>
        <w:rPr>
          <w:spacing w:val="-4"/>
        </w:rPr>
        <w:t xml:space="preserve"> </w:t>
      </w:r>
      <w:r>
        <w:t>adaptive</w:t>
      </w:r>
      <w:r>
        <w:rPr>
          <w:spacing w:val="-4"/>
        </w:rPr>
        <w:t xml:space="preserve"> </w:t>
      </w:r>
      <w:r>
        <w:t>leadership,</w:t>
      </w:r>
      <w:r>
        <w:rPr>
          <w:spacing w:val="-4"/>
        </w:rPr>
        <w:t xml:space="preserve"> </w:t>
      </w:r>
      <w:r>
        <w:t>and</w:t>
      </w:r>
      <w:r>
        <w:rPr>
          <w:spacing w:val="-4"/>
        </w:rPr>
        <w:t xml:space="preserve"> </w:t>
      </w:r>
      <w:r>
        <w:t>leading</w:t>
      </w:r>
      <w:r>
        <w:rPr>
          <w:spacing w:val="-4"/>
        </w:rPr>
        <w:t xml:space="preserve"> </w:t>
      </w:r>
      <w:r>
        <w:t>change.</w:t>
      </w:r>
    </w:p>
    <w:p w14:paraId="30958774" w14:textId="77777777" w:rsidR="009D54AF" w:rsidRDefault="00000000">
      <w:pPr>
        <w:pStyle w:val="BodyText"/>
        <w:spacing w:before="141" w:line="278" w:lineRule="auto"/>
        <w:ind w:left="142"/>
      </w:pPr>
      <w:r>
        <w:t xml:space="preserve">The next phase of work will focus on identifying </w:t>
      </w:r>
      <w:proofErr w:type="spellStart"/>
      <w:r>
        <w:t>organisational</w:t>
      </w:r>
      <w:proofErr w:type="spellEnd"/>
      <w:r>
        <w:t xml:space="preserve"> and leadership capability priorities to inform future capacity development.</w:t>
      </w:r>
    </w:p>
    <w:p w14:paraId="737A2A6E" w14:textId="77777777" w:rsidR="009D54AF" w:rsidRDefault="009D54AF">
      <w:pPr>
        <w:pStyle w:val="BodyText"/>
        <w:spacing w:before="63"/>
      </w:pPr>
    </w:p>
    <w:p w14:paraId="30BAAE21" w14:textId="77777777" w:rsidR="009D54AF" w:rsidRDefault="00000000">
      <w:pPr>
        <w:pStyle w:val="Heading7"/>
      </w:pPr>
      <w:r>
        <w:t>Strategic</w:t>
      </w:r>
      <w:r>
        <w:rPr>
          <w:spacing w:val="-6"/>
        </w:rPr>
        <w:t xml:space="preserve"> </w:t>
      </w:r>
      <w:r>
        <w:t>Commissioning</w:t>
      </w:r>
      <w:r>
        <w:rPr>
          <w:spacing w:val="-5"/>
        </w:rPr>
        <w:t xml:space="preserve"> </w:t>
      </w:r>
      <w:r>
        <w:rPr>
          <w:spacing w:val="-2"/>
        </w:rPr>
        <w:t>Framework</w:t>
      </w:r>
    </w:p>
    <w:p w14:paraId="04B6FEAF" w14:textId="77777777" w:rsidR="009D54AF" w:rsidRDefault="00000000">
      <w:pPr>
        <w:pStyle w:val="BodyText"/>
        <w:spacing w:before="141" w:line="278" w:lineRule="auto"/>
        <w:ind w:left="142" w:right="214"/>
      </w:pPr>
      <w:r>
        <w:t>The Commission operates in line with the APS Strategic Commissioning Framework and took steps during 2025–26 to bring core work in-house. The Commission’s target for 2025–26 was to bring $920,538 (GST exclusive) of core work in house in the Portfolio, Program and Project Management Job Family. This target was</w:t>
      </w:r>
      <w:r>
        <w:rPr>
          <w:spacing w:val="-7"/>
        </w:rPr>
        <w:t xml:space="preserve"> </w:t>
      </w:r>
      <w:r>
        <w:t>partially</w:t>
      </w:r>
      <w:r>
        <w:rPr>
          <w:spacing w:val="-7"/>
        </w:rPr>
        <w:t xml:space="preserve"> </w:t>
      </w:r>
      <w:r>
        <w:t>achieved,</w:t>
      </w:r>
      <w:r>
        <w:rPr>
          <w:spacing w:val="-7"/>
        </w:rPr>
        <w:t xml:space="preserve"> </w:t>
      </w:r>
      <w:r>
        <w:t>with</w:t>
      </w:r>
      <w:r>
        <w:rPr>
          <w:spacing w:val="-7"/>
        </w:rPr>
        <w:t xml:space="preserve"> </w:t>
      </w:r>
      <w:r>
        <w:t>an</w:t>
      </w:r>
      <w:r>
        <w:rPr>
          <w:spacing w:val="-7"/>
        </w:rPr>
        <w:t xml:space="preserve"> </w:t>
      </w:r>
      <w:r>
        <w:t>actual</w:t>
      </w:r>
      <w:r>
        <w:rPr>
          <w:spacing w:val="-7"/>
        </w:rPr>
        <w:t xml:space="preserve"> </w:t>
      </w:r>
      <w:r>
        <w:t>reduction</w:t>
      </w:r>
      <w:r>
        <w:rPr>
          <w:spacing w:val="-7"/>
        </w:rPr>
        <w:t xml:space="preserve"> </w:t>
      </w:r>
      <w:r>
        <w:t>of</w:t>
      </w:r>
      <w:r>
        <w:rPr>
          <w:spacing w:val="-7"/>
        </w:rPr>
        <w:t xml:space="preserve"> </w:t>
      </w:r>
      <w:r>
        <w:t>$761,593</w:t>
      </w:r>
      <w:r>
        <w:rPr>
          <w:spacing w:val="-7"/>
        </w:rPr>
        <w:t xml:space="preserve"> </w:t>
      </w:r>
      <w:r>
        <w:t>(GST</w:t>
      </w:r>
      <w:r>
        <w:rPr>
          <w:spacing w:val="-7"/>
        </w:rPr>
        <w:t xml:space="preserve"> </w:t>
      </w:r>
      <w:r>
        <w:t>exclusive)</w:t>
      </w:r>
      <w:r>
        <w:rPr>
          <w:spacing w:val="-7"/>
        </w:rPr>
        <w:t xml:space="preserve"> </w:t>
      </w:r>
      <w:r>
        <w:t>in</w:t>
      </w:r>
      <w:r>
        <w:rPr>
          <w:spacing w:val="-7"/>
        </w:rPr>
        <w:t xml:space="preserve"> </w:t>
      </w:r>
      <w:r>
        <w:t>relevant</w:t>
      </w:r>
      <w:r>
        <w:rPr>
          <w:spacing w:val="-7"/>
        </w:rPr>
        <w:t xml:space="preserve"> </w:t>
      </w:r>
      <w:r>
        <w:t>supplier</w:t>
      </w:r>
      <w:r>
        <w:rPr>
          <w:spacing w:val="-7"/>
        </w:rPr>
        <w:t xml:space="preserve"> </w:t>
      </w:r>
      <w:r>
        <w:t>expenditure.</w:t>
      </w:r>
    </w:p>
    <w:p w14:paraId="7B55391E" w14:textId="77777777" w:rsidR="009D54AF" w:rsidRDefault="009D54AF">
      <w:pPr>
        <w:pStyle w:val="BodyText"/>
        <w:spacing w:before="63"/>
      </w:pPr>
    </w:p>
    <w:p w14:paraId="68FE1000" w14:textId="77777777" w:rsidR="00B06B37" w:rsidRDefault="00B06B37">
      <w:pPr>
        <w:rPr>
          <w:b/>
          <w:bCs/>
          <w:sz w:val="26"/>
          <w:szCs w:val="26"/>
        </w:rPr>
      </w:pPr>
      <w:r>
        <w:br w:type="page"/>
      </w:r>
    </w:p>
    <w:p w14:paraId="0F7D20EC" w14:textId="02AAAEBC" w:rsidR="009D54AF" w:rsidRDefault="00000000">
      <w:pPr>
        <w:pStyle w:val="Heading7"/>
      </w:pPr>
      <w:r>
        <w:lastRenderedPageBreak/>
        <w:t>Learning</w:t>
      </w:r>
      <w:r>
        <w:rPr>
          <w:spacing w:val="-3"/>
        </w:rPr>
        <w:t xml:space="preserve"> </w:t>
      </w:r>
      <w:r>
        <w:t>and</w:t>
      </w:r>
      <w:r>
        <w:rPr>
          <w:spacing w:val="-3"/>
        </w:rPr>
        <w:t xml:space="preserve"> </w:t>
      </w:r>
      <w:r>
        <w:rPr>
          <w:spacing w:val="-2"/>
        </w:rPr>
        <w:t>development</w:t>
      </w:r>
    </w:p>
    <w:p w14:paraId="0998A327" w14:textId="77777777" w:rsidR="009D54AF" w:rsidRDefault="00000000">
      <w:pPr>
        <w:pStyle w:val="BodyText"/>
        <w:spacing w:before="66" w:line="278" w:lineRule="auto"/>
        <w:ind w:left="142" w:right="285"/>
      </w:pPr>
      <w:r>
        <w:t>Learning and development opportunities are primarily identified through the performance development scheme.</w:t>
      </w:r>
      <w:r>
        <w:rPr>
          <w:spacing w:val="-1"/>
        </w:rPr>
        <w:t xml:space="preserve"> </w:t>
      </w:r>
      <w:r>
        <w:t>The</w:t>
      </w:r>
      <w:r>
        <w:rPr>
          <w:spacing w:val="-1"/>
        </w:rPr>
        <w:t xml:space="preserve"> </w:t>
      </w:r>
      <w:r>
        <w:t>Commission</w:t>
      </w:r>
      <w:r>
        <w:rPr>
          <w:spacing w:val="-1"/>
        </w:rPr>
        <w:t xml:space="preserve"> </w:t>
      </w:r>
      <w:r>
        <w:t>supports</w:t>
      </w:r>
      <w:r>
        <w:rPr>
          <w:spacing w:val="-1"/>
        </w:rPr>
        <w:t xml:space="preserve"> </w:t>
      </w:r>
      <w:r>
        <w:t>ongoing</w:t>
      </w:r>
      <w:r>
        <w:rPr>
          <w:spacing w:val="-1"/>
        </w:rPr>
        <w:t xml:space="preserve"> </w:t>
      </w:r>
      <w:r>
        <w:t>learning</w:t>
      </w:r>
      <w:r>
        <w:rPr>
          <w:spacing w:val="-1"/>
        </w:rPr>
        <w:t xml:space="preserve"> </w:t>
      </w:r>
      <w:r>
        <w:t>and</w:t>
      </w:r>
      <w:r>
        <w:rPr>
          <w:spacing w:val="-1"/>
        </w:rPr>
        <w:t xml:space="preserve"> </w:t>
      </w:r>
      <w:r>
        <w:t>professional</w:t>
      </w:r>
      <w:r>
        <w:rPr>
          <w:spacing w:val="-1"/>
        </w:rPr>
        <w:t xml:space="preserve"> </w:t>
      </w:r>
      <w:r>
        <w:t>growth</w:t>
      </w:r>
      <w:r>
        <w:rPr>
          <w:spacing w:val="-1"/>
        </w:rPr>
        <w:t xml:space="preserve"> </w:t>
      </w:r>
      <w:r>
        <w:t>through</w:t>
      </w:r>
      <w:r>
        <w:rPr>
          <w:spacing w:val="-1"/>
        </w:rPr>
        <w:t xml:space="preserve"> </w:t>
      </w:r>
      <w:r>
        <w:t>regular</w:t>
      </w:r>
      <w:r>
        <w:rPr>
          <w:spacing w:val="-1"/>
        </w:rPr>
        <w:t xml:space="preserve"> </w:t>
      </w:r>
      <w:r>
        <w:t xml:space="preserve">continuing professional development sessions and by providing all staff members with access to online learning </w:t>
      </w:r>
      <w:r>
        <w:rPr>
          <w:spacing w:val="-2"/>
        </w:rPr>
        <w:t>platforms.</w:t>
      </w:r>
    </w:p>
    <w:p w14:paraId="3FB7C617" w14:textId="77777777" w:rsidR="009D54AF" w:rsidRDefault="00000000">
      <w:pPr>
        <w:pStyle w:val="BodyText"/>
        <w:spacing w:before="141" w:line="278" w:lineRule="auto"/>
        <w:ind w:left="142" w:right="165"/>
      </w:pPr>
      <w:r>
        <w:t>During 2025–26, the Commission’s study support and training arrangements continued to support the development of staff skills and capabilities. Five staff accessed study support assistance to study a range of tertiary</w:t>
      </w:r>
      <w:r>
        <w:rPr>
          <w:spacing w:val="-1"/>
        </w:rPr>
        <w:t xml:space="preserve"> </w:t>
      </w:r>
      <w:r>
        <w:t>courses.</w:t>
      </w:r>
      <w:r>
        <w:rPr>
          <w:spacing w:val="-1"/>
        </w:rPr>
        <w:t xml:space="preserve"> </w:t>
      </w:r>
      <w:r>
        <w:t>These</w:t>
      </w:r>
      <w:r>
        <w:rPr>
          <w:spacing w:val="-1"/>
        </w:rPr>
        <w:t xml:space="preserve"> </w:t>
      </w:r>
      <w:r>
        <w:t>included</w:t>
      </w:r>
      <w:r>
        <w:rPr>
          <w:spacing w:val="-1"/>
        </w:rPr>
        <w:t xml:space="preserve"> </w:t>
      </w:r>
      <w:r>
        <w:t>Master</w:t>
      </w:r>
      <w:r>
        <w:rPr>
          <w:spacing w:val="-1"/>
        </w:rPr>
        <w:t xml:space="preserve"> </w:t>
      </w:r>
      <w:r>
        <w:t>of</w:t>
      </w:r>
      <w:r>
        <w:rPr>
          <w:spacing w:val="-1"/>
        </w:rPr>
        <w:t xml:space="preserve"> </w:t>
      </w:r>
      <w:r>
        <w:t>Public</w:t>
      </w:r>
      <w:r>
        <w:rPr>
          <w:spacing w:val="-1"/>
        </w:rPr>
        <w:t xml:space="preserve"> </w:t>
      </w:r>
      <w:r>
        <w:t>Health,</w:t>
      </w:r>
      <w:r>
        <w:rPr>
          <w:spacing w:val="-1"/>
        </w:rPr>
        <w:t xml:space="preserve"> </w:t>
      </w:r>
      <w:r>
        <w:t>Master</w:t>
      </w:r>
      <w:r>
        <w:rPr>
          <w:spacing w:val="-1"/>
        </w:rPr>
        <w:t xml:space="preserve"> </w:t>
      </w:r>
      <w:r>
        <w:t>of</w:t>
      </w:r>
      <w:r>
        <w:rPr>
          <w:spacing w:val="-1"/>
        </w:rPr>
        <w:t xml:space="preserve"> </w:t>
      </w:r>
      <w:r>
        <w:t>Health</w:t>
      </w:r>
      <w:r>
        <w:rPr>
          <w:spacing w:val="-1"/>
        </w:rPr>
        <w:t xml:space="preserve"> </w:t>
      </w:r>
      <w:r>
        <w:t>Administration,</w:t>
      </w:r>
      <w:r>
        <w:rPr>
          <w:spacing w:val="-1"/>
        </w:rPr>
        <w:t xml:space="preserve"> </w:t>
      </w:r>
      <w:r>
        <w:t>Master</w:t>
      </w:r>
      <w:r>
        <w:rPr>
          <w:spacing w:val="-1"/>
        </w:rPr>
        <w:t xml:space="preserve"> </w:t>
      </w:r>
      <w:r>
        <w:t>of</w:t>
      </w:r>
      <w:r>
        <w:rPr>
          <w:spacing w:val="-1"/>
        </w:rPr>
        <w:t xml:space="preserve"> </w:t>
      </w:r>
      <w:r>
        <w:t>Business Administration and Master of Global Health. Sixty-three staff completed external training courses. In addition to</w:t>
      </w:r>
      <w:r>
        <w:rPr>
          <w:spacing w:val="-2"/>
        </w:rPr>
        <w:t xml:space="preserve"> </w:t>
      </w:r>
      <w:r>
        <w:t>mandatory</w:t>
      </w:r>
      <w:r>
        <w:rPr>
          <w:spacing w:val="-2"/>
        </w:rPr>
        <w:t xml:space="preserve"> </w:t>
      </w:r>
      <w:r>
        <w:t>training</w:t>
      </w:r>
      <w:r>
        <w:rPr>
          <w:spacing w:val="-2"/>
        </w:rPr>
        <w:t xml:space="preserve"> </w:t>
      </w:r>
      <w:r>
        <w:t>such</w:t>
      </w:r>
      <w:r>
        <w:rPr>
          <w:spacing w:val="-2"/>
        </w:rPr>
        <w:t xml:space="preserve"> </w:t>
      </w:r>
      <w:r>
        <w:t>as</w:t>
      </w:r>
      <w:r>
        <w:rPr>
          <w:spacing w:val="-2"/>
        </w:rPr>
        <w:t xml:space="preserve"> </w:t>
      </w:r>
      <w:r>
        <w:t>privacy,</w:t>
      </w:r>
      <w:r>
        <w:rPr>
          <w:spacing w:val="-2"/>
        </w:rPr>
        <w:t xml:space="preserve"> </w:t>
      </w:r>
      <w:r>
        <w:t>security</w:t>
      </w:r>
      <w:r>
        <w:rPr>
          <w:spacing w:val="-2"/>
        </w:rPr>
        <w:t xml:space="preserve"> </w:t>
      </w:r>
      <w:r>
        <w:t>and</w:t>
      </w:r>
      <w:r>
        <w:rPr>
          <w:spacing w:val="-2"/>
        </w:rPr>
        <w:t xml:space="preserve"> </w:t>
      </w:r>
      <w:r>
        <w:t>fraud</w:t>
      </w:r>
      <w:r>
        <w:rPr>
          <w:spacing w:val="-2"/>
        </w:rPr>
        <w:t xml:space="preserve"> </w:t>
      </w:r>
      <w:r>
        <w:t>awareness,</w:t>
      </w:r>
      <w:r>
        <w:rPr>
          <w:spacing w:val="-2"/>
        </w:rPr>
        <w:t xml:space="preserve"> </w:t>
      </w:r>
      <w:r>
        <w:t>internal</w:t>
      </w:r>
      <w:r>
        <w:rPr>
          <w:spacing w:val="-2"/>
        </w:rPr>
        <w:t xml:space="preserve"> </w:t>
      </w:r>
      <w:r>
        <w:t>training</w:t>
      </w:r>
      <w:r>
        <w:rPr>
          <w:spacing w:val="-2"/>
        </w:rPr>
        <w:t xml:space="preserve"> </w:t>
      </w:r>
      <w:r>
        <w:t>was</w:t>
      </w:r>
      <w:r>
        <w:rPr>
          <w:spacing w:val="-2"/>
        </w:rPr>
        <w:t xml:space="preserve"> </w:t>
      </w:r>
      <w:r>
        <w:t>provided</w:t>
      </w:r>
      <w:r>
        <w:rPr>
          <w:spacing w:val="-2"/>
        </w:rPr>
        <w:t xml:space="preserve"> </w:t>
      </w:r>
      <w:r>
        <w:t>to</w:t>
      </w:r>
      <w:r>
        <w:rPr>
          <w:spacing w:val="-2"/>
        </w:rPr>
        <w:t xml:space="preserve"> </w:t>
      </w:r>
      <w:r>
        <w:t>staff</w:t>
      </w:r>
      <w:r>
        <w:rPr>
          <w:spacing w:val="-2"/>
        </w:rPr>
        <w:t xml:space="preserve"> </w:t>
      </w:r>
      <w:r>
        <w:t xml:space="preserve">on appropriate workplace </w:t>
      </w:r>
      <w:proofErr w:type="spellStart"/>
      <w:r>
        <w:t>behaviour</w:t>
      </w:r>
      <w:proofErr w:type="spellEnd"/>
      <w:r>
        <w:t xml:space="preserve"> and leadership development.</w:t>
      </w:r>
    </w:p>
    <w:p w14:paraId="08373FAB" w14:textId="77777777" w:rsidR="009D54AF" w:rsidRDefault="00000000">
      <w:pPr>
        <w:pStyle w:val="Heading1"/>
      </w:pPr>
      <w:bookmarkStart w:id="69" w:name="_TOC_250007"/>
      <w:bookmarkStart w:id="70" w:name="_Workplace_diversity"/>
      <w:bookmarkStart w:id="71" w:name="_Toc243037289"/>
      <w:bookmarkEnd w:id="70"/>
      <w:r>
        <w:rPr>
          <w:spacing w:val="-2"/>
        </w:rPr>
        <w:t>Workplace</w:t>
      </w:r>
      <w:r>
        <w:rPr>
          <w:spacing w:val="-18"/>
        </w:rPr>
        <w:t xml:space="preserve"> </w:t>
      </w:r>
      <w:bookmarkEnd w:id="69"/>
      <w:r>
        <w:rPr>
          <w:spacing w:val="-2"/>
        </w:rPr>
        <w:t>diversity</w:t>
      </w:r>
      <w:bookmarkEnd w:id="71"/>
    </w:p>
    <w:p w14:paraId="4A923865" w14:textId="77777777" w:rsidR="009D54AF" w:rsidRDefault="00000000">
      <w:pPr>
        <w:pStyle w:val="Heading9"/>
        <w:spacing w:line="268" w:lineRule="auto"/>
        <w:ind w:right="682"/>
        <w:jc w:val="both"/>
      </w:pPr>
      <w:r>
        <w:t>The</w:t>
      </w:r>
      <w:r>
        <w:rPr>
          <w:spacing w:val="-9"/>
        </w:rPr>
        <w:t xml:space="preserve"> </w:t>
      </w:r>
      <w:r>
        <w:t>Commission</w:t>
      </w:r>
      <w:r>
        <w:rPr>
          <w:spacing w:val="-9"/>
        </w:rPr>
        <w:t xml:space="preserve"> </w:t>
      </w:r>
      <w:r>
        <w:t>is</w:t>
      </w:r>
      <w:r>
        <w:rPr>
          <w:spacing w:val="-9"/>
        </w:rPr>
        <w:t xml:space="preserve"> </w:t>
      </w:r>
      <w:r>
        <w:t>committed</w:t>
      </w:r>
      <w:r>
        <w:rPr>
          <w:spacing w:val="-9"/>
        </w:rPr>
        <w:t xml:space="preserve"> </w:t>
      </w:r>
      <w:r>
        <w:t>to</w:t>
      </w:r>
      <w:r>
        <w:rPr>
          <w:spacing w:val="-9"/>
        </w:rPr>
        <w:t xml:space="preserve"> </w:t>
      </w:r>
      <w:r>
        <w:t>fostering</w:t>
      </w:r>
      <w:r>
        <w:rPr>
          <w:spacing w:val="-9"/>
        </w:rPr>
        <w:t xml:space="preserve"> </w:t>
      </w:r>
      <w:r>
        <w:t>a</w:t>
      </w:r>
      <w:r>
        <w:rPr>
          <w:spacing w:val="-9"/>
        </w:rPr>
        <w:t xml:space="preserve"> </w:t>
      </w:r>
      <w:r>
        <w:t>diverse</w:t>
      </w:r>
      <w:r>
        <w:rPr>
          <w:spacing w:val="-9"/>
        </w:rPr>
        <w:t xml:space="preserve"> </w:t>
      </w:r>
      <w:r>
        <w:t>and</w:t>
      </w:r>
      <w:r>
        <w:rPr>
          <w:spacing w:val="-9"/>
        </w:rPr>
        <w:t xml:space="preserve"> </w:t>
      </w:r>
      <w:r>
        <w:t>inclusive</w:t>
      </w:r>
      <w:r>
        <w:rPr>
          <w:spacing w:val="-9"/>
        </w:rPr>
        <w:t xml:space="preserve"> </w:t>
      </w:r>
      <w:r>
        <w:t>workplace</w:t>
      </w:r>
      <w:r>
        <w:rPr>
          <w:spacing w:val="-9"/>
        </w:rPr>
        <w:t xml:space="preserve"> </w:t>
      </w:r>
      <w:r>
        <w:t>that</w:t>
      </w:r>
      <w:r>
        <w:rPr>
          <w:spacing w:val="-9"/>
        </w:rPr>
        <w:t xml:space="preserve"> </w:t>
      </w:r>
      <w:r>
        <w:t>values</w:t>
      </w:r>
      <w:r>
        <w:rPr>
          <w:spacing w:val="-9"/>
        </w:rPr>
        <w:t xml:space="preserve"> </w:t>
      </w:r>
      <w:r>
        <w:t>the skills,</w:t>
      </w:r>
      <w:r>
        <w:rPr>
          <w:spacing w:val="-5"/>
        </w:rPr>
        <w:t xml:space="preserve"> </w:t>
      </w:r>
      <w:r>
        <w:t>expertise</w:t>
      </w:r>
      <w:r>
        <w:rPr>
          <w:spacing w:val="-5"/>
        </w:rPr>
        <w:t xml:space="preserve"> </w:t>
      </w:r>
      <w:r>
        <w:t>and</w:t>
      </w:r>
      <w:r>
        <w:rPr>
          <w:spacing w:val="-5"/>
        </w:rPr>
        <w:t xml:space="preserve"> </w:t>
      </w:r>
      <w:r>
        <w:t>perspectives</w:t>
      </w:r>
      <w:r>
        <w:rPr>
          <w:spacing w:val="-5"/>
        </w:rPr>
        <w:t xml:space="preserve"> </w:t>
      </w:r>
      <w:r>
        <w:t>of</w:t>
      </w:r>
      <w:r>
        <w:rPr>
          <w:spacing w:val="-5"/>
        </w:rPr>
        <w:t xml:space="preserve"> </w:t>
      </w:r>
      <w:r>
        <w:t>all</w:t>
      </w:r>
      <w:r>
        <w:rPr>
          <w:spacing w:val="-5"/>
        </w:rPr>
        <w:t xml:space="preserve"> </w:t>
      </w:r>
      <w:r>
        <w:t>staff.</w:t>
      </w:r>
      <w:r>
        <w:rPr>
          <w:spacing w:val="-5"/>
        </w:rPr>
        <w:t xml:space="preserve"> </w:t>
      </w:r>
      <w:r>
        <w:t>Through</w:t>
      </w:r>
      <w:r>
        <w:rPr>
          <w:spacing w:val="-5"/>
        </w:rPr>
        <w:t xml:space="preserve"> </w:t>
      </w:r>
      <w:r>
        <w:t>a</w:t>
      </w:r>
      <w:r>
        <w:rPr>
          <w:spacing w:val="-5"/>
        </w:rPr>
        <w:t xml:space="preserve"> </w:t>
      </w:r>
      <w:r>
        <w:t>range</w:t>
      </w:r>
      <w:r>
        <w:rPr>
          <w:spacing w:val="-5"/>
        </w:rPr>
        <w:t xml:space="preserve"> </w:t>
      </w:r>
      <w:r>
        <w:t>of</w:t>
      </w:r>
      <w:r>
        <w:rPr>
          <w:spacing w:val="-5"/>
        </w:rPr>
        <w:t xml:space="preserve"> </w:t>
      </w:r>
      <w:r>
        <w:t>initiatives,</w:t>
      </w:r>
      <w:r>
        <w:rPr>
          <w:spacing w:val="-5"/>
        </w:rPr>
        <w:t xml:space="preserve"> </w:t>
      </w:r>
      <w:r>
        <w:t>the</w:t>
      </w:r>
      <w:r>
        <w:rPr>
          <w:spacing w:val="-5"/>
        </w:rPr>
        <w:t xml:space="preserve"> </w:t>
      </w:r>
      <w:r>
        <w:t>Commission supports</w:t>
      </w:r>
      <w:r>
        <w:rPr>
          <w:spacing w:val="-13"/>
        </w:rPr>
        <w:t xml:space="preserve"> </w:t>
      </w:r>
      <w:r>
        <w:t>greater</w:t>
      </w:r>
      <w:r>
        <w:rPr>
          <w:spacing w:val="-13"/>
        </w:rPr>
        <w:t xml:space="preserve"> </w:t>
      </w:r>
      <w:r>
        <w:t>representation</w:t>
      </w:r>
      <w:r>
        <w:rPr>
          <w:spacing w:val="-13"/>
        </w:rPr>
        <w:t xml:space="preserve"> </w:t>
      </w:r>
      <w:r>
        <w:t>of</w:t>
      </w:r>
      <w:r>
        <w:rPr>
          <w:spacing w:val="-13"/>
        </w:rPr>
        <w:t xml:space="preserve"> </w:t>
      </w:r>
      <w:r>
        <w:t>under-represented</w:t>
      </w:r>
      <w:r>
        <w:rPr>
          <w:spacing w:val="-13"/>
        </w:rPr>
        <w:t xml:space="preserve"> </w:t>
      </w:r>
      <w:r>
        <w:t>groups,</w:t>
      </w:r>
      <w:r>
        <w:rPr>
          <w:spacing w:val="-13"/>
        </w:rPr>
        <w:t xml:space="preserve"> </w:t>
      </w:r>
      <w:r>
        <w:t>develops</w:t>
      </w:r>
      <w:r>
        <w:rPr>
          <w:spacing w:val="-13"/>
        </w:rPr>
        <w:t xml:space="preserve"> </w:t>
      </w:r>
      <w:r>
        <w:t>emerging</w:t>
      </w:r>
      <w:r>
        <w:rPr>
          <w:spacing w:val="-13"/>
        </w:rPr>
        <w:t xml:space="preserve"> </w:t>
      </w:r>
      <w:r>
        <w:t>talent</w:t>
      </w:r>
      <w:r>
        <w:rPr>
          <w:spacing w:val="-13"/>
        </w:rPr>
        <w:t xml:space="preserve"> </w:t>
      </w:r>
      <w:r>
        <w:t>and builds staff awareness and capability to contribute to an inclusive workplace culture.</w:t>
      </w:r>
    </w:p>
    <w:p w14:paraId="668A5A26" w14:textId="77777777" w:rsidR="009D54AF" w:rsidRDefault="009D54AF">
      <w:pPr>
        <w:pStyle w:val="BodyText"/>
        <w:spacing w:before="9"/>
        <w:rPr>
          <w:sz w:val="24"/>
        </w:rPr>
      </w:pPr>
    </w:p>
    <w:p w14:paraId="64B14D60" w14:textId="77777777" w:rsidR="009D54AF" w:rsidRDefault="00000000">
      <w:pPr>
        <w:pStyle w:val="BodyText"/>
        <w:spacing w:line="278" w:lineRule="auto"/>
        <w:ind w:left="142"/>
      </w:pPr>
      <w:r>
        <w:t>The Commission renewed its membership with ACON Pride in Health + Wellbeing and the Diversity Council Australia. Staff also participated in a range of awareness-building activities including learning opportunities focused</w:t>
      </w:r>
      <w:r>
        <w:rPr>
          <w:spacing w:val="-3"/>
        </w:rPr>
        <w:t xml:space="preserve"> </w:t>
      </w:r>
      <w:r>
        <w:t>on</w:t>
      </w:r>
      <w:r>
        <w:rPr>
          <w:spacing w:val="-3"/>
        </w:rPr>
        <w:t xml:space="preserve"> </w:t>
      </w:r>
      <w:r>
        <w:t>LGBTQIA+</w:t>
      </w:r>
      <w:r>
        <w:rPr>
          <w:spacing w:val="-3"/>
        </w:rPr>
        <w:t xml:space="preserve"> </w:t>
      </w:r>
      <w:r>
        <w:t>inclusion</w:t>
      </w:r>
      <w:r>
        <w:rPr>
          <w:spacing w:val="-3"/>
        </w:rPr>
        <w:t xml:space="preserve"> </w:t>
      </w:r>
      <w:r>
        <w:t>and</w:t>
      </w:r>
      <w:r>
        <w:rPr>
          <w:spacing w:val="-3"/>
        </w:rPr>
        <w:t xml:space="preserve"> </w:t>
      </w:r>
      <w:r>
        <w:t>cultural</w:t>
      </w:r>
      <w:r>
        <w:rPr>
          <w:spacing w:val="-3"/>
        </w:rPr>
        <w:t xml:space="preserve"> </w:t>
      </w:r>
      <w:r>
        <w:t>safety.</w:t>
      </w:r>
      <w:r>
        <w:rPr>
          <w:spacing w:val="-3"/>
        </w:rPr>
        <w:t xml:space="preserve"> </w:t>
      </w:r>
      <w:r>
        <w:t>In</w:t>
      </w:r>
      <w:r>
        <w:rPr>
          <w:spacing w:val="-3"/>
        </w:rPr>
        <w:t xml:space="preserve"> </w:t>
      </w:r>
      <w:r>
        <w:t>addition,</w:t>
      </w:r>
      <w:r>
        <w:rPr>
          <w:spacing w:val="-3"/>
        </w:rPr>
        <w:t xml:space="preserve"> </w:t>
      </w:r>
      <w:r>
        <w:t>all</w:t>
      </w:r>
      <w:r>
        <w:rPr>
          <w:spacing w:val="-3"/>
        </w:rPr>
        <w:t xml:space="preserve"> </w:t>
      </w:r>
      <w:r>
        <w:t>Commission</w:t>
      </w:r>
      <w:r>
        <w:rPr>
          <w:spacing w:val="-3"/>
        </w:rPr>
        <w:t xml:space="preserve"> </w:t>
      </w:r>
      <w:r>
        <w:t>staff</w:t>
      </w:r>
      <w:r>
        <w:rPr>
          <w:spacing w:val="-3"/>
        </w:rPr>
        <w:t xml:space="preserve"> </w:t>
      </w:r>
      <w:r>
        <w:t>complete</w:t>
      </w:r>
      <w:r>
        <w:rPr>
          <w:spacing w:val="-3"/>
        </w:rPr>
        <w:t xml:space="preserve"> </w:t>
      </w:r>
      <w:r>
        <w:t>the</w:t>
      </w:r>
      <w:r>
        <w:rPr>
          <w:spacing w:val="-3"/>
        </w:rPr>
        <w:t xml:space="preserve"> </w:t>
      </w:r>
      <w:r>
        <w:t>Australian Institute</w:t>
      </w:r>
      <w:r>
        <w:rPr>
          <w:spacing w:val="-1"/>
        </w:rPr>
        <w:t xml:space="preserve"> </w:t>
      </w:r>
      <w:r>
        <w:t>of</w:t>
      </w:r>
      <w:r>
        <w:rPr>
          <w:spacing w:val="-1"/>
        </w:rPr>
        <w:t xml:space="preserve"> </w:t>
      </w:r>
      <w:r>
        <w:t>Aboriginal</w:t>
      </w:r>
      <w:r>
        <w:rPr>
          <w:spacing w:val="-1"/>
        </w:rPr>
        <w:t xml:space="preserve"> </w:t>
      </w:r>
      <w:r>
        <w:t>and</w:t>
      </w:r>
      <w:r>
        <w:rPr>
          <w:spacing w:val="-1"/>
        </w:rPr>
        <w:t xml:space="preserve"> </w:t>
      </w:r>
      <w:r>
        <w:t>Torres</w:t>
      </w:r>
      <w:r>
        <w:rPr>
          <w:spacing w:val="-1"/>
        </w:rPr>
        <w:t xml:space="preserve"> </w:t>
      </w:r>
      <w:r>
        <w:t>Strait</w:t>
      </w:r>
      <w:r>
        <w:rPr>
          <w:spacing w:val="-1"/>
        </w:rPr>
        <w:t xml:space="preserve"> </w:t>
      </w:r>
      <w:r>
        <w:t>Islander</w:t>
      </w:r>
      <w:r>
        <w:rPr>
          <w:spacing w:val="-1"/>
        </w:rPr>
        <w:t xml:space="preserve"> </w:t>
      </w:r>
      <w:r>
        <w:t>Studies</w:t>
      </w:r>
      <w:r>
        <w:rPr>
          <w:spacing w:val="-1"/>
        </w:rPr>
        <w:t xml:space="preserve"> </w:t>
      </w:r>
      <w:r>
        <w:t>online</w:t>
      </w:r>
      <w:r>
        <w:rPr>
          <w:spacing w:val="-1"/>
        </w:rPr>
        <w:t xml:space="preserve"> </w:t>
      </w:r>
      <w:r>
        <w:t>Core</w:t>
      </w:r>
      <w:r>
        <w:rPr>
          <w:spacing w:val="-1"/>
        </w:rPr>
        <w:t xml:space="preserve"> </w:t>
      </w:r>
      <w:r>
        <w:t>Cultural</w:t>
      </w:r>
      <w:r>
        <w:rPr>
          <w:spacing w:val="-1"/>
        </w:rPr>
        <w:t xml:space="preserve"> </w:t>
      </w:r>
      <w:r>
        <w:t>Learning:</w:t>
      </w:r>
      <w:r>
        <w:rPr>
          <w:spacing w:val="-1"/>
        </w:rPr>
        <w:t xml:space="preserve"> </w:t>
      </w:r>
      <w:r>
        <w:t>Aboriginal</w:t>
      </w:r>
      <w:r>
        <w:rPr>
          <w:spacing w:val="-1"/>
        </w:rPr>
        <w:t xml:space="preserve"> </w:t>
      </w:r>
      <w:r>
        <w:t>and</w:t>
      </w:r>
      <w:r>
        <w:rPr>
          <w:spacing w:val="-1"/>
        </w:rPr>
        <w:t xml:space="preserve"> </w:t>
      </w:r>
      <w:r>
        <w:t>Torres Strait Islander Australia (CORE) Foundation Course.</w:t>
      </w:r>
    </w:p>
    <w:p w14:paraId="00F25976" w14:textId="77777777" w:rsidR="009D54AF" w:rsidRDefault="00000000">
      <w:pPr>
        <w:pStyle w:val="BodyText"/>
        <w:spacing w:before="141" w:line="278" w:lineRule="auto"/>
        <w:ind w:left="142" w:right="141"/>
      </w:pPr>
      <w:r>
        <w:t>The Commission marked NAIDOC Week 2025 by hosting internal presentations on First Nations Cultural Safety Standards, a CPD session featuring Purple House’s work in remote health care, and a staff afternoon tea</w:t>
      </w:r>
      <w:r>
        <w:rPr>
          <w:spacing w:val="-1"/>
        </w:rPr>
        <w:t xml:space="preserve"> </w:t>
      </w:r>
      <w:r>
        <w:t>with</w:t>
      </w:r>
      <w:r>
        <w:rPr>
          <w:spacing w:val="-1"/>
        </w:rPr>
        <w:t xml:space="preserve"> </w:t>
      </w:r>
      <w:r>
        <w:t>a</w:t>
      </w:r>
      <w:r>
        <w:rPr>
          <w:spacing w:val="-1"/>
        </w:rPr>
        <w:t xml:space="preserve"> </w:t>
      </w:r>
      <w:r>
        <w:t>fundraising</w:t>
      </w:r>
      <w:r>
        <w:rPr>
          <w:spacing w:val="-1"/>
        </w:rPr>
        <w:t xml:space="preserve"> </w:t>
      </w:r>
      <w:r>
        <w:t>initiative</w:t>
      </w:r>
      <w:r>
        <w:rPr>
          <w:spacing w:val="-1"/>
        </w:rPr>
        <w:t xml:space="preserve"> </w:t>
      </w:r>
      <w:r>
        <w:t>supporting</w:t>
      </w:r>
      <w:r>
        <w:rPr>
          <w:spacing w:val="-1"/>
        </w:rPr>
        <w:t xml:space="preserve"> </w:t>
      </w:r>
      <w:r>
        <w:t>emerging First</w:t>
      </w:r>
      <w:r>
        <w:rPr>
          <w:spacing w:val="-1"/>
        </w:rPr>
        <w:t xml:space="preserve"> </w:t>
      </w:r>
      <w:r>
        <w:t>Nations</w:t>
      </w:r>
      <w:r>
        <w:rPr>
          <w:spacing w:val="-1"/>
        </w:rPr>
        <w:t xml:space="preserve"> </w:t>
      </w:r>
      <w:r>
        <w:t>leaders,</w:t>
      </w:r>
      <w:r>
        <w:rPr>
          <w:spacing w:val="-1"/>
        </w:rPr>
        <w:t xml:space="preserve"> </w:t>
      </w:r>
      <w:r>
        <w:t>alongside</w:t>
      </w:r>
      <w:r>
        <w:rPr>
          <w:spacing w:val="-1"/>
        </w:rPr>
        <w:t xml:space="preserve"> </w:t>
      </w:r>
      <w:r>
        <w:t>encouraging</w:t>
      </w:r>
      <w:r>
        <w:rPr>
          <w:spacing w:val="-1"/>
        </w:rPr>
        <w:t xml:space="preserve"> </w:t>
      </w:r>
      <w:r>
        <w:t>participation in community events.</w:t>
      </w:r>
    </w:p>
    <w:p w14:paraId="6C5EA176" w14:textId="77777777" w:rsidR="009D54AF" w:rsidRDefault="00000000">
      <w:pPr>
        <w:pStyle w:val="BodyText"/>
        <w:spacing w:before="142" w:line="278" w:lineRule="auto"/>
        <w:ind w:left="142" w:right="285"/>
      </w:pPr>
      <w:r>
        <w:t>During</w:t>
      </w:r>
      <w:r>
        <w:rPr>
          <w:spacing w:val="-1"/>
        </w:rPr>
        <w:t xml:space="preserve"> </w:t>
      </w:r>
      <w:r>
        <w:t>National</w:t>
      </w:r>
      <w:r>
        <w:rPr>
          <w:spacing w:val="-1"/>
        </w:rPr>
        <w:t xml:space="preserve"> </w:t>
      </w:r>
      <w:r>
        <w:t>Reconciliation</w:t>
      </w:r>
      <w:r>
        <w:rPr>
          <w:spacing w:val="-1"/>
        </w:rPr>
        <w:t xml:space="preserve"> </w:t>
      </w:r>
      <w:r>
        <w:t>Week</w:t>
      </w:r>
      <w:r>
        <w:rPr>
          <w:spacing w:val="-1"/>
        </w:rPr>
        <w:t xml:space="preserve"> </w:t>
      </w:r>
      <w:r>
        <w:t>2026,</w:t>
      </w:r>
      <w:r>
        <w:rPr>
          <w:spacing w:val="-1"/>
        </w:rPr>
        <w:t xml:space="preserve"> </w:t>
      </w:r>
      <w:r>
        <w:t>the</w:t>
      </w:r>
      <w:r>
        <w:rPr>
          <w:spacing w:val="-1"/>
        </w:rPr>
        <w:t xml:space="preserve"> </w:t>
      </w:r>
      <w:r>
        <w:t>Commission</w:t>
      </w:r>
      <w:r>
        <w:rPr>
          <w:spacing w:val="-1"/>
        </w:rPr>
        <w:t xml:space="preserve"> </w:t>
      </w:r>
      <w:r>
        <w:t>advanced</w:t>
      </w:r>
      <w:r>
        <w:rPr>
          <w:spacing w:val="-1"/>
        </w:rPr>
        <w:t xml:space="preserve"> </w:t>
      </w:r>
      <w:r>
        <w:t>its</w:t>
      </w:r>
      <w:r>
        <w:rPr>
          <w:spacing w:val="-1"/>
        </w:rPr>
        <w:t xml:space="preserve"> </w:t>
      </w:r>
      <w:r>
        <w:t>commitment</w:t>
      </w:r>
      <w:r>
        <w:rPr>
          <w:spacing w:val="-1"/>
        </w:rPr>
        <w:t xml:space="preserve"> </w:t>
      </w:r>
      <w:r>
        <w:t>to</w:t>
      </w:r>
      <w:r>
        <w:rPr>
          <w:spacing w:val="-1"/>
        </w:rPr>
        <w:t xml:space="preserve"> </w:t>
      </w:r>
      <w:r>
        <w:t>reconciliation through staff engagement in learning events, webinars and discussions that increased awareness and understanding of First Nations histories, cultures, truth-telling and cultural knowledge.</w:t>
      </w:r>
    </w:p>
    <w:p w14:paraId="05652269" w14:textId="77777777" w:rsidR="009D54AF" w:rsidRDefault="00000000">
      <w:pPr>
        <w:pStyle w:val="BodyText"/>
        <w:spacing w:before="141" w:line="278" w:lineRule="auto"/>
        <w:ind w:left="142"/>
      </w:pPr>
      <w:r>
        <w:t>Commission staff have access to the Department’s staff diversity networks, which provide networking opportunities, information, and valuable workplace and peer support. These networks include:</w:t>
      </w:r>
    </w:p>
    <w:p w14:paraId="13E5BC70" w14:textId="77777777" w:rsidR="009D54AF" w:rsidRDefault="00000000">
      <w:pPr>
        <w:pStyle w:val="ListParagraph"/>
        <w:numPr>
          <w:ilvl w:val="0"/>
          <w:numId w:val="14"/>
        </w:numPr>
        <w:tabs>
          <w:tab w:val="left" w:pos="424"/>
        </w:tabs>
        <w:spacing w:before="56"/>
        <w:ind w:left="424" w:hanging="268"/>
        <w:rPr>
          <w:sz w:val="21"/>
        </w:rPr>
      </w:pPr>
      <w:r>
        <w:rPr>
          <w:sz w:val="21"/>
        </w:rPr>
        <w:t>Culturally</w:t>
      </w:r>
      <w:r>
        <w:rPr>
          <w:spacing w:val="-4"/>
          <w:sz w:val="21"/>
        </w:rPr>
        <w:t xml:space="preserve"> </w:t>
      </w:r>
      <w:r>
        <w:rPr>
          <w:sz w:val="21"/>
        </w:rPr>
        <w:t>and</w:t>
      </w:r>
      <w:r>
        <w:rPr>
          <w:spacing w:val="-4"/>
          <w:sz w:val="21"/>
        </w:rPr>
        <w:t xml:space="preserve"> </w:t>
      </w:r>
      <w:r>
        <w:rPr>
          <w:sz w:val="21"/>
        </w:rPr>
        <w:t>Linguistically</w:t>
      </w:r>
      <w:r>
        <w:rPr>
          <w:spacing w:val="-4"/>
          <w:sz w:val="21"/>
        </w:rPr>
        <w:t xml:space="preserve"> </w:t>
      </w:r>
      <w:r>
        <w:rPr>
          <w:sz w:val="21"/>
        </w:rPr>
        <w:t>Diverse</w:t>
      </w:r>
      <w:r>
        <w:rPr>
          <w:spacing w:val="-3"/>
          <w:sz w:val="21"/>
        </w:rPr>
        <w:t xml:space="preserve"> </w:t>
      </w:r>
      <w:r>
        <w:rPr>
          <w:spacing w:val="-2"/>
          <w:sz w:val="21"/>
        </w:rPr>
        <w:t>Network</w:t>
      </w:r>
    </w:p>
    <w:p w14:paraId="6F7AC131" w14:textId="77777777" w:rsidR="009D54AF" w:rsidRDefault="00000000">
      <w:pPr>
        <w:pStyle w:val="ListParagraph"/>
        <w:numPr>
          <w:ilvl w:val="0"/>
          <w:numId w:val="14"/>
        </w:numPr>
        <w:tabs>
          <w:tab w:val="left" w:pos="424"/>
        </w:tabs>
        <w:spacing w:before="96"/>
        <w:ind w:left="424" w:hanging="268"/>
        <w:rPr>
          <w:sz w:val="21"/>
        </w:rPr>
      </w:pPr>
      <w:r>
        <w:rPr>
          <w:sz w:val="21"/>
        </w:rPr>
        <w:t>Disability</w:t>
      </w:r>
      <w:r>
        <w:rPr>
          <w:spacing w:val="-1"/>
          <w:sz w:val="21"/>
        </w:rPr>
        <w:t xml:space="preserve"> </w:t>
      </w:r>
      <w:r>
        <w:rPr>
          <w:sz w:val="21"/>
        </w:rPr>
        <w:t xml:space="preserve">and Carers </w:t>
      </w:r>
      <w:r>
        <w:rPr>
          <w:spacing w:val="-2"/>
          <w:sz w:val="21"/>
        </w:rPr>
        <w:t>Network</w:t>
      </w:r>
    </w:p>
    <w:p w14:paraId="535270F5" w14:textId="77777777" w:rsidR="009D54AF" w:rsidRDefault="00000000">
      <w:pPr>
        <w:pStyle w:val="ListParagraph"/>
        <w:numPr>
          <w:ilvl w:val="0"/>
          <w:numId w:val="14"/>
        </w:numPr>
        <w:tabs>
          <w:tab w:val="left" w:pos="424"/>
        </w:tabs>
        <w:ind w:left="424" w:hanging="268"/>
        <w:rPr>
          <w:sz w:val="21"/>
        </w:rPr>
      </w:pPr>
      <w:r>
        <w:rPr>
          <w:sz w:val="21"/>
        </w:rPr>
        <w:t>Gender</w:t>
      </w:r>
      <w:r>
        <w:rPr>
          <w:spacing w:val="-2"/>
          <w:sz w:val="21"/>
        </w:rPr>
        <w:t xml:space="preserve"> </w:t>
      </w:r>
      <w:r>
        <w:rPr>
          <w:sz w:val="21"/>
        </w:rPr>
        <w:t>Equality</w:t>
      </w:r>
      <w:r>
        <w:rPr>
          <w:spacing w:val="-2"/>
          <w:sz w:val="21"/>
        </w:rPr>
        <w:t xml:space="preserve"> Network</w:t>
      </w:r>
    </w:p>
    <w:p w14:paraId="1CC44019" w14:textId="77777777" w:rsidR="009D54AF" w:rsidRDefault="00000000">
      <w:pPr>
        <w:pStyle w:val="ListParagraph"/>
        <w:numPr>
          <w:ilvl w:val="0"/>
          <w:numId w:val="14"/>
        </w:numPr>
        <w:tabs>
          <w:tab w:val="left" w:pos="424"/>
        </w:tabs>
        <w:ind w:left="424" w:hanging="268"/>
        <w:rPr>
          <w:sz w:val="21"/>
        </w:rPr>
      </w:pPr>
      <w:r>
        <w:rPr>
          <w:sz w:val="21"/>
        </w:rPr>
        <w:t>Health</w:t>
      </w:r>
      <w:r>
        <w:rPr>
          <w:spacing w:val="-12"/>
          <w:sz w:val="21"/>
        </w:rPr>
        <w:t xml:space="preserve"> </w:t>
      </w:r>
      <w:r>
        <w:rPr>
          <w:sz w:val="21"/>
        </w:rPr>
        <w:t>Pride</w:t>
      </w:r>
      <w:r>
        <w:rPr>
          <w:spacing w:val="-12"/>
          <w:sz w:val="21"/>
        </w:rPr>
        <w:t xml:space="preserve"> </w:t>
      </w:r>
      <w:r>
        <w:rPr>
          <w:sz w:val="21"/>
        </w:rPr>
        <w:t>(LGBTQIA+)</w:t>
      </w:r>
      <w:r>
        <w:rPr>
          <w:spacing w:val="-12"/>
          <w:sz w:val="21"/>
        </w:rPr>
        <w:t xml:space="preserve"> </w:t>
      </w:r>
      <w:r>
        <w:rPr>
          <w:spacing w:val="-2"/>
          <w:sz w:val="21"/>
        </w:rPr>
        <w:t>Network</w:t>
      </w:r>
    </w:p>
    <w:p w14:paraId="2FDBB16F" w14:textId="77777777" w:rsidR="009D54AF" w:rsidRDefault="00000000">
      <w:pPr>
        <w:pStyle w:val="ListParagraph"/>
        <w:numPr>
          <w:ilvl w:val="0"/>
          <w:numId w:val="14"/>
        </w:numPr>
        <w:tabs>
          <w:tab w:val="left" w:pos="424"/>
        </w:tabs>
        <w:ind w:left="424" w:hanging="268"/>
        <w:rPr>
          <w:sz w:val="21"/>
        </w:rPr>
      </w:pPr>
      <w:r>
        <w:rPr>
          <w:sz w:val="21"/>
        </w:rPr>
        <w:t>Neurodiversity</w:t>
      </w:r>
      <w:r>
        <w:rPr>
          <w:spacing w:val="-1"/>
          <w:sz w:val="21"/>
        </w:rPr>
        <w:t xml:space="preserve"> </w:t>
      </w:r>
      <w:r>
        <w:rPr>
          <w:spacing w:val="-2"/>
          <w:sz w:val="21"/>
        </w:rPr>
        <w:t>Network</w:t>
      </w:r>
    </w:p>
    <w:p w14:paraId="1A32CB90" w14:textId="77777777" w:rsidR="009D54AF" w:rsidRDefault="00000000">
      <w:pPr>
        <w:pStyle w:val="ListParagraph"/>
        <w:numPr>
          <w:ilvl w:val="0"/>
          <w:numId w:val="14"/>
        </w:numPr>
        <w:tabs>
          <w:tab w:val="left" w:pos="424"/>
          <w:tab w:val="left" w:pos="440"/>
        </w:tabs>
        <w:spacing w:before="96" w:line="278" w:lineRule="auto"/>
        <w:ind w:right="511" w:hanging="284"/>
        <w:rPr>
          <w:sz w:val="21"/>
        </w:rPr>
      </w:pPr>
      <w:r>
        <w:rPr>
          <w:sz w:val="21"/>
        </w:rPr>
        <w:t>National</w:t>
      </w:r>
      <w:r>
        <w:rPr>
          <w:spacing w:val="-2"/>
          <w:sz w:val="21"/>
        </w:rPr>
        <w:t xml:space="preserve"> </w:t>
      </w:r>
      <w:r>
        <w:rPr>
          <w:sz w:val="21"/>
        </w:rPr>
        <w:t>Aboriginal</w:t>
      </w:r>
      <w:r>
        <w:rPr>
          <w:spacing w:val="-2"/>
          <w:sz w:val="21"/>
        </w:rPr>
        <w:t xml:space="preserve"> </w:t>
      </w:r>
      <w:r>
        <w:rPr>
          <w:sz w:val="21"/>
        </w:rPr>
        <w:t>and</w:t>
      </w:r>
      <w:r>
        <w:rPr>
          <w:spacing w:val="-2"/>
          <w:sz w:val="21"/>
        </w:rPr>
        <w:t xml:space="preserve"> </w:t>
      </w:r>
      <w:r>
        <w:rPr>
          <w:sz w:val="21"/>
        </w:rPr>
        <w:t>Torres</w:t>
      </w:r>
      <w:r>
        <w:rPr>
          <w:spacing w:val="-2"/>
          <w:sz w:val="21"/>
        </w:rPr>
        <w:t xml:space="preserve"> </w:t>
      </w:r>
      <w:r>
        <w:rPr>
          <w:sz w:val="21"/>
        </w:rPr>
        <w:t>Strait</w:t>
      </w:r>
      <w:r>
        <w:rPr>
          <w:spacing w:val="-2"/>
          <w:sz w:val="21"/>
        </w:rPr>
        <w:t xml:space="preserve"> </w:t>
      </w:r>
      <w:r>
        <w:rPr>
          <w:sz w:val="21"/>
        </w:rPr>
        <w:t>Islander</w:t>
      </w:r>
      <w:r>
        <w:rPr>
          <w:spacing w:val="-2"/>
          <w:sz w:val="21"/>
        </w:rPr>
        <w:t xml:space="preserve"> </w:t>
      </w:r>
      <w:r>
        <w:rPr>
          <w:sz w:val="21"/>
        </w:rPr>
        <w:t>Network,</w:t>
      </w:r>
      <w:r>
        <w:rPr>
          <w:spacing w:val="-2"/>
          <w:sz w:val="21"/>
        </w:rPr>
        <w:t xml:space="preserve"> </w:t>
      </w:r>
      <w:r>
        <w:rPr>
          <w:sz w:val="21"/>
        </w:rPr>
        <w:t>including</w:t>
      </w:r>
      <w:r>
        <w:rPr>
          <w:spacing w:val="-2"/>
          <w:sz w:val="21"/>
        </w:rPr>
        <w:t xml:space="preserve"> </w:t>
      </w:r>
      <w:r>
        <w:rPr>
          <w:sz w:val="21"/>
        </w:rPr>
        <w:t>Friends</w:t>
      </w:r>
      <w:r>
        <w:rPr>
          <w:spacing w:val="-2"/>
          <w:sz w:val="21"/>
        </w:rPr>
        <w:t xml:space="preserve"> </w:t>
      </w:r>
      <w:r>
        <w:rPr>
          <w:sz w:val="21"/>
        </w:rPr>
        <w:t>of</w:t>
      </w:r>
      <w:r>
        <w:rPr>
          <w:spacing w:val="-2"/>
          <w:sz w:val="21"/>
        </w:rPr>
        <w:t xml:space="preserve"> </w:t>
      </w:r>
      <w:r>
        <w:rPr>
          <w:sz w:val="21"/>
        </w:rPr>
        <w:t>the</w:t>
      </w:r>
      <w:r>
        <w:rPr>
          <w:spacing w:val="-2"/>
          <w:sz w:val="21"/>
        </w:rPr>
        <w:t xml:space="preserve"> </w:t>
      </w:r>
      <w:r>
        <w:rPr>
          <w:sz w:val="21"/>
        </w:rPr>
        <w:t>National</w:t>
      </w:r>
      <w:r>
        <w:rPr>
          <w:spacing w:val="-2"/>
          <w:sz w:val="21"/>
        </w:rPr>
        <w:t xml:space="preserve"> </w:t>
      </w:r>
      <w:r>
        <w:rPr>
          <w:sz w:val="21"/>
        </w:rPr>
        <w:t>Aboriginal</w:t>
      </w:r>
      <w:r>
        <w:rPr>
          <w:spacing w:val="-2"/>
          <w:sz w:val="21"/>
        </w:rPr>
        <w:t xml:space="preserve"> </w:t>
      </w:r>
      <w:r>
        <w:rPr>
          <w:sz w:val="21"/>
        </w:rPr>
        <w:t>and Torres Strait Islander Network.</w:t>
      </w:r>
    </w:p>
    <w:p w14:paraId="4CF310C2" w14:textId="77777777" w:rsidR="00B06B37" w:rsidRDefault="00B06B37">
      <w:pPr>
        <w:rPr>
          <w:b/>
          <w:bCs/>
          <w:spacing w:val="-2"/>
          <w:sz w:val="40"/>
          <w:szCs w:val="40"/>
        </w:rPr>
      </w:pPr>
      <w:bookmarkStart w:id="72" w:name="_TOC_250006"/>
      <w:bookmarkStart w:id="73" w:name="_First_Nations_employment"/>
      <w:bookmarkEnd w:id="73"/>
      <w:r>
        <w:rPr>
          <w:spacing w:val="-2"/>
        </w:rPr>
        <w:br w:type="page"/>
      </w:r>
    </w:p>
    <w:p w14:paraId="29B81DCB" w14:textId="75B8C88F" w:rsidR="009D54AF" w:rsidRDefault="00000000">
      <w:pPr>
        <w:pStyle w:val="Heading1"/>
        <w:spacing w:before="38"/>
        <w:jc w:val="both"/>
      </w:pPr>
      <w:bookmarkStart w:id="74" w:name="_Toc243037290"/>
      <w:r>
        <w:rPr>
          <w:spacing w:val="-2"/>
        </w:rPr>
        <w:lastRenderedPageBreak/>
        <w:t>First</w:t>
      </w:r>
      <w:r>
        <w:rPr>
          <w:spacing w:val="-21"/>
        </w:rPr>
        <w:t xml:space="preserve"> </w:t>
      </w:r>
      <w:r>
        <w:rPr>
          <w:spacing w:val="-2"/>
        </w:rPr>
        <w:t>Nations</w:t>
      </w:r>
      <w:r>
        <w:rPr>
          <w:spacing w:val="-20"/>
        </w:rPr>
        <w:t xml:space="preserve"> </w:t>
      </w:r>
      <w:bookmarkEnd w:id="72"/>
      <w:r>
        <w:rPr>
          <w:spacing w:val="-2"/>
        </w:rPr>
        <w:t>employment</w:t>
      </w:r>
      <w:bookmarkEnd w:id="74"/>
    </w:p>
    <w:p w14:paraId="175BBD5B" w14:textId="77777777" w:rsidR="009D54AF" w:rsidRDefault="00000000">
      <w:pPr>
        <w:pStyle w:val="Heading9"/>
        <w:spacing w:line="268" w:lineRule="auto"/>
        <w:ind w:right="285"/>
      </w:pPr>
      <w:r>
        <w:t>The</w:t>
      </w:r>
      <w:r>
        <w:rPr>
          <w:spacing w:val="-9"/>
        </w:rPr>
        <w:t xml:space="preserve"> </w:t>
      </w:r>
      <w:r>
        <w:t>average</w:t>
      </w:r>
      <w:r>
        <w:rPr>
          <w:spacing w:val="-9"/>
        </w:rPr>
        <w:t xml:space="preserve"> </w:t>
      </w:r>
      <w:r>
        <w:t>proportion</w:t>
      </w:r>
      <w:r>
        <w:rPr>
          <w:spacing w:val="-9"/>
        </w:rPr>
        <w:t xml:space="preserve"> </w:t>
      </w:r>
      <w:r>
        <w:t>of</w:t>
      </w:r>
      <w:r>
        <w:rPr>
          <w:spacing w:val="-9"/>
        </w:rPr>
        <w:t xml:space="preserve"> </w:t>
      </w:r>
      <w:r>
        <w:t>the</w:t>
      </w:r>
      <w:r>
        <w:rPr>
          <w:spacing w:val="-9"/>
        </w:rPr>
        <w:t xml:space="preserve"> </w:t>
      </w:r>
      <w:r>
        <w:t>Commission’s</w:t>
      </w:r>
      <w:r>
        <w:rPr>
          <w:spacing w:val="-9"/>
        </w:rPr>
        <w:t xml:space="preserve"> </w:t>
      </w:r>
      <w:r>
        <w:t>workforce</w:t>
      </w:r>
      <w:r>
        <w:rPr>
          <w:spacing w:val="-9"/>
        </w:rPr>
        <w:t xml:space="preserve"> </w:t>
      </w:r>
      <w:r>
        <w:t>who</w:t>
      </w:r>
      <w:r>
        <w:rPr>
          <w:spacing w:val="-9"/>
        </w:rPr>
        <w:t xml:space="preserve"> </w:t>
      </w:r>
      <w:r>
        <w:t>identified</w:t>
      </w:r>
      <w:r>
        <w:rPr>
          <w:spacing w:val="-9"/>
        </w:rPr>
        <w:t xml:space="preserve"> </w:t>
      </w:r>
      <w:r>
        <w:t>as</w:t>
      </w:r>
      <w:r>
        <w:rPr>
          <w:spacing w:val="-9"/>
        </w:rPr>
        <w:t xml:space="preserve"> </w:t>
      </w:r>
      <w:r>
        <w:t>being</w:t>
      </w:r>
      <w:r>
        <w:rPr>
          <w:spacing w:val="-9"/>
        </w:rPr>
        <w:t xml:space="preserve"> </w:t>
      </w:r>
      <w:r>
        <w:t>of</w:t>
      </w:r>
      <w:r>
        <w:rPr>
          <w:spacing w:val="-9"/>
        </w:rPr>
        <w:t xml:space="preserve"> </w:t>
      </w:r>
      <w:r>
        <w:t>First</w:t>
      </w:r>
      <w:r>
        <w:rPr>
          <w:spacing w:val="-9"/>
        </w:rPr>
        <w:t xml:space="preserve"> </w:t>
      </w:r>
      <w:r>
        <w:t>Nation origin during 2025–26 was 2.72% full time equivalent employees.</w:t>
      </w:r>
    </w:p>
    <w:p w14:paraId="357BFFE9" w14:textId="77777777" w:rsidR="009D54AF" w:rsidRDefault="009D54AF">
      <w:pPr>
        <w:pStyle w:val="BodyText"/>
        <w:spacing w:before="7"/>
        <w:rPr>
          <w:sz w:val="24"/>
        </w:rPr>
      </w:pPr>
    </w:p>
    <w:p w14:paraId="71155BCB" w14:textId="77777777" w:rsidR="009D54AF" w:rsidRDefault="00000000">
      <w:pPr>
        <w:pStyle w:val="BodyText"/>
        <w:spacing w:line="278" w:lineRule="auto"/>
        <w:ind w:left="142" w:right="195"/>
      </w:pPr>
      <w:r>
        <w:t>The Commission is committed to improving the recruitment, retention and career development of First</w:t>
      </w:r>
      <w:r>
        <w:rPr>
          <w:spacing w:val="40"/>
        </w:rPr>
        <w:t xml:space="preserve"> </w:t>
      </w:r>
      <w:r>
        <w:t>Nations</w:t>
      </w:r>
      <w:r>
        <w:rPr>
          <w:spacing w:val="-5"/>
        </w:rPr>
        <w:t xml:space="preserve"> </w:t>
      </w:r>
      <w:r>
        <w:t>employees.</w:t>
      </w:r>
      <w:r>
        <w:rPr>
          <w:spacing w:val="-5"/>
        </w:rPr>
        <w:t xml:space="preserve"> </w:t>
      </w:r>
      <w:r>
        <w:t>The</w:t>
      </w:r>
      <w:r>
        <w:rPr>
          <w:spacing w:val="-5"/>
        </w:rPr>
        <w:t xml:space="preserve"> </w:t>
      </w:r>
      <w:r>
        <w:t>Commission</w:t>
      </w:r>
      <w:r>
        <w:rPr>
          <w:spacing w:val="-5"/>
        </w:rPr>
        <w:t xml:space="preserve"> </w:t>
      </w:r>
      <w:r>
        <w:t>undertook</w:t>
      </w:r>
      <w:r>
        <w:rPr>
          <w:spacing w:val="-5"/>
        </w:rPr>
        <w:t xml:space="preserve"> </w:t>
      </w:r>
      <w:r>
        <w:t>a</w:t>
      </w:r>
      <w:r>
        <w:rPr>
          <w:spacing w:val="-5"/>
        </w:rPr>
        <w:t xml:space="preserve"> </w:t>
      </w:r>
      <w:r>
        <w:t>number</w:t>
      </w:r>
      <w:r>
        <w:rPr>
          <w:spacing w:val="-5"/>
        </w:rPr>
        <w:t xml:space="preserve"> </w:t>
      </w:r>
      <w:r>
        <w:t>of</w:t>
      </w:r>
      <w:r>
        <w:rPr>
          <w:spacing w:val="-5"/>
        </w:rPr>
        <w:t xml:space="preserve"> </w:t>
      </w:r>
      <w:r>
        <w:t>recruitment</w:t>
      </w:r>
      <w:r>
        <w:rPr>
          <w:spacing w:val="-5"/>
        </w:rPr>
        <w:t xml:space="preserve"> </w:t>
      </w:r>
      <w:r>
        <w:t>processes</w:t>
      </w:r>
      <w:r>
        <w:rPr>
          <w:spacing w:val="-5"/>
        </w:rPr>
        <w:t xml:space="preserve"> </w:t>
      </w:r>
      <w:r>
        <w:t>to</w:t>
      </w:r>
      <w:r>
        <w:rPr>
          <w:spacing w:val="-5"/>
        </w:rPr>
        <w:t xml:space="preserve"> </w:t>
      </w:r>
      <w:r>
        <w:t>fill</w:t>
      </w:r>
      <w:r>
        <w:rPr>
          <w:spacing w:val="-5"/>
        </w:rPr>
        <w:t xml:space="preserve"> </w:t>
      </w:r>
      <w:r>
        <w:t>Affirmative</w:t>
      </w:r>
      <w:r>
        <w:rPr>
          <w:spacing w:val="-13"/>
        </w:rPr>
        <w:t xml:space="preserve"> </w:t>
      </w:r>
      <w:r>
        <w:t>Measure –</w:t>
      </w:r>
      <w:r>
        <w:rPr>
          <w:spacing w:val="-4"/>
        </w:rPr>
        <w:t xml:space="preserve"> </w:t>
      </w:r>
      <w:r>
        <w:t>Indigenous</w:t>
      </w:r>
      <w:r>
        <w:rPr>
          <w:spacing w:val="-4"/>
        </w:rPr>
        <w:t xml:space="preserve"> </w:t>
      </w:r>
      <w:r>
        <w:t>positions</w:t>
      </w:r>
      <w:r>
        <w:rPr>
          <w:spacing w:val="-4"/>
        </w:rPr>
        <w:t xml:space="preserve"> </w:t>
      </w:r>
      <w:r>
        <w:t>during 2025–26 and was successful in filling 3 of these positions.</w:t>
      </w:r>
    </w:p>
    <w:p w14:paraId="5B6F65E4" w14:textId="77777777" w:rsidR="009D54AF" w:rsidRDefault="00000000">
      <w:pPr>
        <w:pStyle w:val="BodyText"/>
        <w:spacing w:before="142" w:line="278" w:lineRule="auto"/>
        <w:ind w:left="142" w:right="285"/>
      </w:pPr>
      <w:r>
        <w:t>During 2025–26, the Commission established a dedicated First Nations Health team to lead the Cultural Safety</w:t>
      </w:r>
      <w:r>
        <w:rPr>
          <w:spacing w:val="-2"/>
        </w:rPr>
        <w:t xml:space="preserve"> </w:t>
      </w:r>
      <w:r>
        <w:t>Standards</w:t>
      </w:r>
      <w:r>
        <w:rPr>
          <w:spacing w:val="-2"/>
        </w:rPr>
        <w:t xml:space="preserve"> </w:t>
      </w:r>
      <w:r>
        <w:t>Review</w:t>
      </w:r>
      <w:r>
        <w:rPr>
          <w:spacing w:val="-2"/>
        </w:rPr>
        <w:t xml:space="preserve"> </w:t>
      </w:r>
      <w:r>
        <w:t>Project,</w:t>
      </w:r>
      <w:r>
        <w:rPr>
          <w:spacing w:val="-2"/>
        </w:rPr>
        <w:t xml:space="preserve"> </w:t>
      </w:r>
      <w:r>
        <w:t>a</w:t>
      </w:r>
      <w:r>
        <w:rPr>
          <w:spacing w:val="-2"/>
        </w:rPr>
        <w:t xml:space="preserve"> </w:t>
      </w:r>
      <w:r>
        <w:t>First</w:t>
      </w:r>
      <w:r>
        <w:rPr>
          <w:spacing w:val="-2"/>
        </w:rPr>
        <w:t xml:space="preserve"> </w:t>
      </w:r>
      <w:r>
        <w:t>Nations-led</w:t>
      </w:r>
      <w:r>
        <w:rPr>
          <w:spacing w:val="-2"/>
        </w:rPr>
        <w:t xml:space="preserve"> </w:t>
      </w:r>
      <w:r>
        <w:t>initiative</w:t>
      </w:r>
      <w:r>
        <w:rPr>
          <w:spacing w:val="-2"/>
        </w:rPr>
        <w:t xml:space="preserve"> </w:t>
      </w:r>
      <w:r>
        <w:t>to</w:t>
      </w:r>
      <w:r>
        <w:rPr>
          <w:spacing w:val="-2"/>
        </w:rPr>
        <w:t xml:space="preserve"> </w:t>
      </w:r>
      <w:proofErr w:type="spellStart"/>
      <w:r>
        <w:t>analyse</w:t>
      </w:r>
      <w:proofErr w:type="spellEnd"/>
      <w:r>
        <w:rPr>
          <w:spacing w:val="-2"/>
        </w:rPr>
        <w:t xml:space="preserve"> </w:t>
      </w:r>
      <w:r>
        <w:t>evidence</w:t>
      </w:r>
      <w:r>
        <w:rPr>
          <w:spacing w:val="-2"/>
        </w:rPr>
        <w:t xml:space="preserve"> </w:t>
      </w:r>
      <w:r>
        <w:t>on</w:t>
      </w:r>
      <w:r>
        <w:rPr>
          <w:spacing w:val="-2"/>
        </w:rPr>
        <w:t xml:space="preserve"> </w:t>
      </w:r>
      <w:r>
        <w:t>standards</w:t>
      </w:r>
      <w:r>
        <w:rPr>
          <w:spacing w:val="-2"/>
        </w:rPr>
        <w:t xml:space="preserve"> </w:t>
      </w:r>
      <w:r>
        <w:t>and</w:t>
      </w:r>
      <w:r>
        <w:rPr>
          <w:spacing w:val="-2"/>
        </w:rPr>
        <w:t xml:space="preserve"> </w:t>
      </w:r>
      <w:r>
        <w:t>inform recommendations for national standards for cultural safety in hospitals.</w:t>
      </w:r>
    </w:p>
    <w:p w14:paraId="5BA4D270" w14:textId="77777777" w:rsidR="009D54AF" w:rsidRDefault="009D54AF">
      <w:pPr>
        <w:pStyle w:val="BodyText"/>
        <w:spacing w:line="278" w:lineRule="auto"/>
        <w:sectPr w:rsidR="009D54AF">
          <w:pgSz w:w="11910" w:h="16840"/>
          <w:pgMar w:top="720" w:right="708" w:bottom="280" w:left="708" w:header="720" w:footer="720" w:gutter="0"/>
          <w:cols w:space="720"/>
        </w:sectPr>
      </w:pPr>
    </w:p>
    <w:p w14:paraId="5D2A0121" w14:textId="77777777" w:rsidR="009D54AF" w:rsidRDefault="00000000">
      <w:pPr>
        <w:pStyle w:val="ListParagraph"/>
        <w:numPr>
          <w:ilvl w:val="0"/>
          <w:numId w:val="38"/>
        </w:numPr>
        <w:tabs>
          <w:tab w:val="left" w:pos="714"/>
        </w:tabs>
        <w:spacing w:before="57"/>
        <w:ind w:left="714" w:hanging="572"/>
        <w:rPr>
          <w:sz w:val="52"/>
        </w:rPr>
      </w:pPr>
      <w:r>
        <w:rPr>
          <w:spacing w:val="-2"/>
          <w:sz w:val="52"/>
        </w:rPr>
        <w:lastRenderedPageBreak/>
        <w:t>Financial</w:t>
      </w:r>
      <w:r>
        <w:rPr>
          <w:spacing w:val="-33"/>
          <w:sz w:val="52"/>
        </w:rPr>
        <w:t xml:space="preserve"> </w:t>
      </w:r>
      <w:r>
        <w:rPr>
          <w:spacing w:val="-2"/>
          <w:sz w:val="52"/>
        </w:rPr>
        <w:t>statements</w:t>
      </w:r>
    </w:p>
    <w:p w14:paraId="2F7A4527" w14:textId="02345D2A" w:rsidR="009D54AF" w:rsidRDefault="00000000">
      <w:pPr>
        <w:tabs>
          <w:tab w:val="right" w:pos="5528"/>
        </w:tabs>
        <w:spacing w:before="322"/>
        <w:ind w:left="142"/>
        <w:rPr>
          <w:sz w:val="20"/>
        </w:rPr>
      </w:pPr>
      <w:r>
        <w:rPr>
          <w:sz w:val="20"/>
        </w:rPr>
        <w:t>Independent</w:t>
      </w:r>
      <w:r>
        <w:rPr>
          <w:spacing w:val="-3"/>
          <w:sz w:val="20"/>
        </w:rPr>
        <w:t xml:space="preserve"> </w:t>
      </w:r>
      <w:r>
        <w:rPr>
          <w:sz w:val="20"/>
        </w:rPr>
        <w:t>auditor’s</w:t>
      </w:r>
      <w:r>
        <w:rPr>
          <w:spacing w:val="-3"/>
          <w:sz w:val="20"/>
        </w:rPr>
        <w:t xml:space="preserve"> </w:t>
      </w:r>
      <w:r>
        <w:rPr>
          <w:spacing w:val="-2"/>
          <w:sz w:val="20"/>
        </w:rPr>
        <w:t>report</w:t>
      </w:r>
    </w:p>
    <w:p w14:paraId="00BBADCE" w14:textId="4E790A47" w:rsidR="009D54AF" w:rsidRDefault="00000000">
      <w:pPr>
        <w:tabs>
          <w:tab w:val="right" w:pos="5528"/>
        </w:tabs>
        <w:spacing w:before="220"/>
        <w:ind w:left="142"/>
        <w:rPr>
          <w:sz w:val="20"/>
        </w:rPr>
      </w:pPr>
      <w:r>
        <w:rPr>
          <w:sz w:val="20"/>
        </w:rPr>
        <w:t xml:space="preserve">Financial </w:t>
      </w:r>
      <w:r>
        <w:rPr>
          <w:spacing w:val="-2"/>
          <w:sz w:val="20"/>
        </w:rPr>
        <w:t>statements</w:t>
      </w:r>
    </w:p>
    <w:p w14:paraId="3B077A00" w14:textId="40B2955F" w:rsidR="009D54AF" w:rsidRDefault="00000000">
      <w:pPr>
        <w:tabs>
          <w:tab w:val="right" w:pos="5528"/>
        </w:tabs>
        <w:spacing w:before="220"/>
        <w:ind w:left="142"/>
        <w:rPr>
          <w:sz w:val="20"/>
        </w:rPr>
      </w:pPr>
      <w:r>
        <w:rPr>
          <w:sz w:val="20"/>
        </w:rPr>
        <w:t>Overview</w:t>
      </w:r>
      <w:r>
        <w:rPr>
          <w:spacing w:val="1"/>
          <w:sz w:val="20"/>
        </w:rPr>
        <w:t xml:space="preserve"> </w:t>
      </w:r>
      <w:r>
        <w:rPr>
          <w:sz w:val="20"/>
        </w:rPr>
        <w:t>and</w:t>
      </w:r>
      <w:r>
        <w:rPr>
          <w:spacing w:val="2"/>
          <w:sz w:val="20"/>
        </w:rPr>
        <w:t xml:space="preserve"> </w:t>
      </w:r>
      <w:r>
        <w:rPr>
          <w:sz w:val="20"/>
        </w:rPr>
        <w:t>notes</w:t>
      </w:r>
      <w:r>
        <w:rPr>
          <w:spacing w:val="2"/>
          <w:sz w:val="20"/>
        </w:rPr>
        <w:t xml:space="preserve"> </w:t>
      </w:r>
      <w:r>
        <w:rPr>
          <w:sz w:val="20"/>
        </w:rPr>
        <w:t>to</w:t>
      </w:r>
      <w:r>
        <w:rPr>
          <w:spacing w:val="2"/>
          <w:sz w:val="20"/>
        </w:rPr>
        <w:t xml:space="preserve"> </w:t>
      </w:r>
      <w:r>
        <w:rPr>
          <w:sz w:val="20"/>
        </w:rPr>
        <w:t>the</w:t>
      </w:r>
      <w:r>
        <w:rPr>
          <w:spacing w:val="2"/>
          <w:sz w:val="20"/>
        </w:rPr>
        <w:t xml:space="preserve"> </w:t>
      </w:r>
      <w:r>
        <w:rPr>
          <w:sz w:val="20"/>
        </w:rPr>
        <w:t>financial</w:t>
      </w:r>
      <w:r>
        <w:rPr>
          <w:spacing w:val="2"/>
          <w:sz w:val="20"/>
        </w:rPr>
        <w:t xml:space="preserve"> </w:t>
      </w:r>
      <w:r>
        <w:rPr>
          <w:spacing w:val="-2"/>
          <w:sz w:val="20"/>
        </w:rPr>
        <w:t>statements</w:t>
      </w:r>
    </w:p>
    <w:p w14:paraId="570FCB4A" w14:textId="77777777" w:rsidR="00FA2CB1" w:rsidRDefault="00B06B37">
      <w:pPr>
        <w:rPr>
          <w:spacing w:val="-2"/>
          <w:sz w:val="52"/>
        </w:rPr>
      </w:pPr>
      <w:bookmarkStart w:id="75" w:name="Ind"/>
      <w:r>
        <w:rPr>
          <w:noProof/>
          <w:spacing w:val="-2"/>
          <w:sz w:val="52"/>
        </w:rPr>
        <w:lastRenderedPageBreak/>
        <w:drawing>
          <wp:inline distT="0" distB="0" distL="0" distR="0" wp14:anchorId="1821B86E" wp14:editId="408A829E">
            <wp:extent cx="6663540" cy="9429750"/>
            <wp:effectExtent l="0" t="0" r="4445" b="0"/>
            <wp:docPr id="1682112795" name="Picture 19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2112795" name="Picture 199">
                      <a:extLst>
                        <a:ext uri="{C183D7F6-B498-43B3-948B-1728B52AA6E4}">
                          <adec:decorative xmlns:adec="http://schemas.microsoft.com/office/drawing/2017/decorative" val="1"/>
                        </a:ext>
                      </a:extLst>
                    </pic:cNvPr>
                    <pic:cNvPicPr/>
                  </pic:nvPicPr>
                  <pic:blipFill>
                    <a:blip r:embed="rId88"/>
                    <a:stretch>
                      <a:fillRect/>
                    </a:stretch>
                  </pic:blipFill>
                  <pic:spPr>
                    <a:xfrm>
                      <a:off x="0" y="0"/>
                      <a:ext cx="6663540" cy="9429750"/>
                    </a:xfrm>
                    <a:prstGeom prst="rect">
                      <a:avLst/>
                    </a:prstGeom>
                  </pic:spPr>
                </pic:pic>
              </a:graphicData>
            </a:graphic>
          </wp:inline>
        </w:drawing>
      </w:r>
      <w:r>
        <w:rPr>
          <w:spacing w:val="-2"/>
          <w:sz w:val="52"/>
        </w:rPr>
        <w:br w:type="page"/>
      </w:r>
      <w:bookmarkEnd w:id="75"/>
      <w:r>
        <w:rPr>
          <w:noProof/>
          <w:spacing w:val="-2"/>
          <w:sz w:val="52"/>
        </w:rPr>
        <w:lastRenderedPageBreak/>
        <w:drawing>
          <wp:inline distT="0" distB="0" distL="0" distR="0" wp14:anchorId="42F335B2" wp14:editId="120847CC">
            <wp:extent cx="6663540" cy="9429750"/>
            <wp:effectExtent l="0" t="0" r="0" b="0"/>
            <wp:docPr id="1890177761" name="Picture 20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0177761" name="Picture 200">
                      <a:extLst>
                        <a:ext uri="{C183D7F6-B498-43B3-948B-1728B52AA6E4}">
                          <adec:decorative xmlns:adec="http://schemas.microsoft.com/office/drawing/2017/decorative" val="1"/>
                        </a:ext>
                      </a:extLst>
                    </pic:cNvPr>
                    <pic:cNvPicPr/>
                  </pic:nvPicPr>
                  <pic:blipFill>
                    <a:blip r:embed="rId89"/>
                    <a:stretch>
                      <a:fillRect/>
                    </a:stretch>
                  </pic:blipFill>
                  <pic:spPr>
                    <a:xfrm>
                      <a:off x="0" y="0"/>
                      <a:ext cx="6663540" cy="9429750"/>
                    </a:xfrm>
                    <a:prstGeom prst="rect">
                      <a:avLst/>
                    </a:prstGeom>
                  </pic:spPr>
                </pic:pic>
              </a:graphicData>
            </a:graphic>
          </wp:inline>
        </w:drawing>
      </w:r>
    </w:p>
    <w:p w14:paraId="78A0AACF" w14:textId="2AF2DE03" w:rsidR="00FA2CB1" w:rsidRDefault="00FA2CB1">
      <w:pPr>
        <w:rPr>
          <w:spacing w:val="-2"/>
          <w:sz w:val="52"/>
        </w:rPr>
      </w:pPr>
      <w:bookmarkStart w:id="76" w:name="Fin"/>
      <w:r>
        <w:rPr>
          <w:noProof/>
          <w:spacing w:val="-2"/>
          <w:sz w:val="52"/>
        </w:rPr>
        <w:lastRenderedPageBreak/>
        <w:drawing>
          <wp:inline distT="0" distB="0" distL="0" distR="0" wp14:anchorId="423BF2B4" wp14:editId="4D5912C6">
            <wp:extent cx="6663690" cy="9429750"/>
            <wp:effectExtent l="0" t="0" r="3810" b="6350"/>
            <wp:docPr id="2045662424" name="Picture 20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5662424" name="Picture 201">
                      <a:extLst>
                        <a:ext uri="{C183D7F6-B498-43B3-948B-1728B52AA6E4}">
                          <adec:decorative xmlns:adec="http://schemas.microsoft.com/office/drawing/2017/decorative" val="1"/>
                        </a:ext>
                      </a:extLst>
                    </pic:cNvPr>
                    <pic:cNvPicPr/>
                  </pic:nvPicPr>
                  <pic:blipFill>
                    <a:blip r:embed="rId90"/>
                    <a:stretch>
                      <a:fillRect/>
                    </a:stretch>
                  </pic:blipFill>
                  <pic:spPr>
                    <a:xfrm>
                      <a:off x="0" y="0"/>
                      <a:ext cx="6663690" cy="9429750"/>
                    </a:xfrm>
                    <a:prstGeom prst="rect">
                      <a:avLst/>
                    </a:prstGeom>
                  </pic:spPr>
                </pic:pic>
              </a:graphicData>
            </a:graphic>
          </wp:inline>
        </w:drawing>
      </w:r>
      <w:r>
        <w:rPr>
          <w:spacing w:val="-2"/>
          <w:sz w:val="52"/>
        </w:rPr>
        <w:br w:type="page"/>
      </w:r>
    </w:p>
    <w:bookmarkEnd w:id="76"/>
    <w:p w14:paraId="6722D33F" w14:textId="2E9C0C49" w:rsidR="00FA2CB1" w:rsidRDefault="00FA2CB1">
      <w:pPr>
        <w:rPr>
          <w:spacing w:val="-2"/>
          <w:sz w:val="52"/>
        </w:rPr>
      </w:pPr>
      <w:r>
        <w:rPr>
          <w:noProof/>
          <w:spacing w:val="-2"/>
          <w:sz w:val="52"/>
        </w:rPr>
        <w:lastRenderedPageBreak/>
        <w:drawing>
          <wp:inline distT="0" distB="0" distL="0" distR="0" wp14:anchorId="7CA38628" wp14:editId="379347B6">
            <wp:extent cx="6337300" cy="9004300"/>
            <wp:effectExtent l="0" t="0" r="0" b="0"/>
            <wp:docPr id="1726894712" name="Picture 20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6894712" name="Picture 202">
                      <a:extLst>
                        <a:ext uri="{C183D7F6-B498-43B3-948B-1728B52AA6E4}">
                          <adec:decorative xmlns:adec="http://schemas.microsoft.com/office/drawing/2017/decorative" val="1"/>
                        </a:ext>
                      </a:extLst>
                    </pic:cNvPr>
                    <pic:cNvPicPr/>
                  </pic:nvPicPr>
                  <pic:blipFill>
                    <a:blip r:embed="rId91"/>
                    <a:stretch>
                      <a:fillRect/>
                    </a:stretch>
                  </pic:blipFill>
                  <pic:spPr>
                    <a:xfrm>
                      <a:off x="0" y="0"/>
                      <a:ext cx="6337300" cy="9004300"/>
                    </a:xfrm>
                    <a:prstGeom prst="rect">
                      <a:avLst/>
                    </a:prstGeom>
                  </pic:spPr>
                </pic:pic>
              </a:graphicData>
            </a:graphic>
          </wp:inline>
        </w:drawing>
      </w:r>
      <w:r w:rsidR="00B06B37">
        <w:rPr>
          <w:spacing w:val="-2"/>
          <w:sz w:val="52"/>
        </w:rPr>
        <w:br w:type="page"/>
      </w:r>
      <w:r>
        <w:rPr>
          <w:noProof/>
          <w:spacing w:val="-2"/>
          <w:sz w:val="52"/>
        </w:rPr>
        <w:lastRenderedPageBreak/>
        <w:drawing>
          <wp:inline distT="0" distB="0" distL="0" distR="0" wp14:anchorId="339011AE" wp14:editId="188DFEBC">
            <wp:extent cx="6337300" cy="9004300"/>
            <wp:effectExtent l="0" t="0" r="0" b="0"/>
            <wp:docPr id="1716183749" name="Picture 20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6183749" name="Picture 203">
                      <a:extLst>
                        <a:ext uri="{C183D7F6-B498-43B3-948B-1728B52AA6E4}">
                          <adec:decorative xmlns:adec="http://schemas.microsoft.com/office/drawing/2017/decorative" val="1"/>
                        </a:ext>
                      </a:extLst>
                    </pic:cNvPr>
                    <pic:cNvPicPr/>
                  </pic:nvPicPr>
                  <pic:blipFill>
                    <a:blip r:embed="rId92"/>
                    <a:stretch>
                      <a:fillRect/>
                    </a:stretch>
                  </pic:blipFill>
                  <pic:spPr>
                    <a:xfrm>
                      <a:off x="0" y="0"/>
                      <a:ext cx="6337300" cy="9004300"/>
                    </a:xfrm>
                    <a:prstGeom prst="rect">
                      <a:avLst/>
                    </a:prstGeom>
                  </pic:spPr>
                </pic:pic>
              </a:graphicData>
            </a:graphic>
          </wp:inline>
        </w:drawing>
      </w:r>
      <w:r>
        <w:rPr>
          <w:spacing w:val="-2"/>
          <w:sz w:val="52"/>
        </w:rPr>
        <w:br w:type="page"/>
      </w:r>
    </w:p>
    <w:p w14:paraId="6CE105CB" w14:textId="2C8A71F7" w:rsidR="00FA2CB1" w:rsidRDefault="00FA2CB1">
      <w:pPr>
        <w:rPr>
          <w:spacing w:val="-2"/>
          <w:sz w:val="52"/>
        </w:rPr>
      </w:pPr>
      <w:r>
        <w:rPr>
          <w:noProof/>
          <w:spacing w:val="-2"/>
          <w:sz w:val="52"/>
        </w:rPr>
        <w:lastRenderedPageBreak/>
        <w:drawing>
          <wp:inline distT="0" distB="0" distL="0" distR="0" wp14:anchorId="5642E5FF" wp14:editId="2285CD5E">
            <wp:extent cx="6337300" cy="9004300"/>
            <wp:effectExtent l="0" t="0" r="0" b="0"/>
            <wp:docPr id="349446911" name="Picture 20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9446911" name="Picture 204">
                      <a:extLst>
                        <a:ext uri="{C183D7F6-B498-43B3-948B-1728B52AA6E4}">
                          <adec:decorative xmlns:adec="http://schemas.microsoft.com/office/drawing/2017/decorative" val="1"/>
                        </a:ext>
                      </a:extLst>
                    </pic:cNvPr>
                    <pic:cNvPicPr/>
                  </pic:nvPicPr>
                  <pic:blipFill>
                    <a:blip r:embed="rId93"/>
                    <a:stretch>
                      <a:fillRect/>
                    </a:stretch>
                  </pic:blipFill>
                  <pic:spPr>
                    <a:xfrm>
                      <a:off x="0" y="0"/>
                      <a:ext cx="6337300" cy="9004300"/>
                    </a:xfrm>
                    <a:prstGeom prst="rect">
                      <a:avLst/>
                    </a:prstGeom>
                  </pic:spPr>
                </pic:pic>
              </a:graphicData>
            </a:graphic>
          </wp:inline>
        </w:drawing>
      </w:r>
      <w:r>
        <w:rPr>
          <w:spacing w:val="-2"/>
          <w:sz w:val="52"/>
        </w:rPr>
        <w:br w:type="page"/>
      </w:r>
    </w:p>
    <w:p w14:paraId="44DAE094" w14:textId="30433C63" w:rsidR="00FA2CB1" w:rsidRDefault="00FA2CB1">
      <w:pPr>
        <w:rPr>
          <w:spacing w:val="-2"/>
          <w:sz w:val="52"/>
        </w:rPr>
      </w:pPr>
      <w:r>
        <w:rPr>
          <w:noProof/>
          <w:spacing w:val="-2"/>
          <w:sz w:val="52"/>
        </w:rPr>
        <w:lastRenderedPageBreak/>
        <w:drawing>
          <wp:inline distT="0" distB="0" distL="0" distR="0" wp14:anchorId="1E7064E1" wp14:editId="4072F875">
            <wp:extent cx="6337300" cy="9004300"/>
            <wp:effectExtent l="0" t="0" r="0" b="0"/>
            <wp:docPr id="680243039" name="Picture 20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0243039" name="Picture 205">
                      <a:extLst>
                        <a:ext uri="{C183D7F6-B498-43B3-948B-1728B52AA6E4}">
                          <adec:decorative xmlns:adec="http://schemas.microsoft.com/office/drawing/2017/decorative" val="1"/>
                        </a:ext>
                      </a:extLst>
                    </pic:cNvPr>
                    <pic:cNvPicPr/>
                  </pic:nvPicPr>
                  <pic:blipFill>
                    <a:blip r:embed="rId94"/>
                    <a:stretch>
                      <a:fillRect/>
                    </a:stretch>
                  </pic:blipFill>
                  <pic:spPr>
                    <a:xfrm>
                      <a:off x="0" y="0"/>
                      <a:ext cx="6337300" cy="9004300"/>
                    </a:xfrm>
                    <a:prstGeom prst="rect">
                      <a:avLst/>
                    </a:prstGeom>
                  </pic:spPr>
                </pic:pic>
              </a:graphicData>
            </a:graphic>
          </wp:inline>
        </w:drawing>
      </w:r>
      <w:r>
        <w:rPr>
          <w:spacing w:val="-2"/>
          <w:sz w:val="52"/>
        </w:rPr>
        <w:br w:type="page"/>
      </w:r>
    </w:p>
    <w:p w14:paraId="705B1FE7" w14:textId="0077D4F8" w:rsidR="00FA2CB1" w:rsidRDefault="00FA2CB1">
      <w:pPr>
        <w:rPr>
          <w:spacing w:val="-2"/>
          <w:sz w:val="52"/>
        </w:rPr>
      </w:pPr>
      <w:r>
        <w:rPr>
          <w:noProof/>
          <w:spacing w:val="-2"/>
          <w:sz w:val="52"/>
        </w:rPr>
        <w:lastRenderedPageBreak/>
        <w:drawing>
          <wp:inline distT="0" distB="0" distL="0" distR="0" wp14:anchorId="1031E159" wp14:editId="4010E027">
            <wp:extent cx="6337300" cy="9004300"/>
            <wp:effectExtent l="0" t="0" r="0" b="0"/>
            <wp:docPr id="1762695928" name="Picture 20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2695928" name="Picture 206">
                      <a:extLst>
                        <a:ext uri="{C183D7F6-B498-43B3-948B-1728B52AA6E4}">
                          <adec:decorative xmlns:adec="http://schemas.microsoft.com/office/drawing/2017/decorative" val="1"/>
                        </a:ext>
                      </a:extLst>
                    </pic:cNvPr>
                    <pic:cNvPicPr/>
                  </pic:nvPicPr>
                  <pic:blipFill>
                    <a:blip r:embed="rId95"/>
                    <a:stretch>
                      <a:fillRect/>
                    </a:stretch>
                  </pic:blipFill>
                  <pic:spPr>
                    <a:xfrm>
                      <a:off x="0" y="0"/>
                      <a:ext cx="6337300" cy="9004300"/>
                    </a:xfrm>
                    <a:prstGeom prst="rect">
                      <a:avLst/>
                    </a:prstGeom>
                  </pic:spPr>
                </pic:pic>
              </a:graphicData>
            </a:graphic>
          </wp:inline>
        </w:drawing>
      </w:r>
      <w:r>
        <w:rPr>
          <w:spacing w:val="-2"/>
          <w:sz w:val="52"/>
        </w:rPr>
        <w:br w:type="page"/>
      </w:r>
    </w:p>
    <w:p w14:paraId="27CDBBA3" w14:textId="401D9BB4" w:rsidR="00FA2CB1" w:rsidRDefault="00472856">
      <w:pPr>
        <w:rPr>
          <w:spacing w:val="-2"/>
          <w:sz w:val="52"/>
        </w:rPr>
      </w:pPr>
      <w:r>
        <w:rPr>
          <w:noProof/>
          <w:spacing w:val="-2"/>
          <w:sz w:val="52"/>
        </w:rPr>
        <w:lastRenderedPageBreak/>
        <w:drawing>
          <wp:inline distT="0" distB="0" distL="0" distR="0" wp14:anchorId="4AEB2560" wp14:editId="7B23529A">
            <wp:extent cx="6337300" cy="9004300"/>
            <wp:effectExtent l="0" t="0" r="0" b="0"/>
            <wp:docPr id="1743389456" name="Picture 20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3389456" name="Picture 207">
                      <a:extLst>
                        <a:ext uri="{C183D7F6-B498-43B3-948B-1728B52AA6E4}">
                          <adec:decorative xmlns:adec="http://schemas.microsoft.com/office/drawing/2017/decorative" val="1"/>
                        </a:ext>
                      </a:extLst>
                    </pic:cNvPr>
                    <pic:cNvPicPr/>
                  </pic:nvPicPr>
                  <pic:blipFill>
                    <a:blip r:embed="rId96"/>
                    <a:stretch>
                      <a:fillRect/>
                    </a:stretch>
                  </pic:blipFill>
                  <pic:spPr>
                    <a:xfrm>
                      <a:off x="0" y="0"/>
                      <a:ext cx="6337300" cy="9004300"/>
                    </a:xfrm>
                    <a:prstGeom prst="rect">
                      <a:avLst/>
                    </a:prstGeom>
                  </pic:spPr>
                </pic:pic>
              </a:graphicData>
            </a:graphic>
          </wp:inline>
        </w:drawing>
      </w:r>
      <w:r w:rsidR="00FA2CB1">
        <w:rPr>
          <w:spacing w:val="-2"/>
          <w:sz w:val="52"/>
        </w:rPr>
        <w:br w:type="page"/>
      </w:r>
    </w:p>
    <w:p w14:paraId="288C8AD4" w14:textId="41562D90" w:rsidR="00FA2CB1" w:rsidRDefault="00472856">
      <w:pPr>
        <w:rPr>
          <w:spacing w:val="-2"/>
          <w:sz w:val="52"/>
        </w:rPr>
      </w:pPr>
      <w:r>
        <w:rPr>
          <w:noProof/>
          <w:spacing w:val="-2"/>
          <w:sz w:val="52"/>
        </w:rPr>
        <w:lastRenderedPageBreak/>
        <w:drawing>
          <wp:inline distT="0" distB="0" distL="0" distR="0" wp14:anchorId="221EBACA" wp14:editId="45B21390">
            <wp:extent cx="6337300" cy="9004300"/>
            <wp:effectExtent l="0" t="0" r="0" b="0"/>
            <wp:docPr id="807232153" name="Picture 20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7232153" name="Picture 208">
                      <a:extLst>
                        <a:ext uri="{C183D7F6-B498-43B3-948B-1728B52AA6E4}">
                          <adec:decorative xmlns:adec="http://schemas.microsoft.com/office/drawing/2017/decorative" val="1"/>
                        </a:ext>
                      </a:extLst>
                    </pic:cNvPr>
                    <pic:cNvPicPr/>
                  </pic:nvPicPr>
                  <pic:blipFill>
                    <a:blip r:embed="rId97"/>
                    <a:stretch>
                      <a:fillRect/>
                    </a:stretch>
                  </pic:blipFill>
                  <pic:spPr>
                    <a:xfrm>
                      <a:off x="0" y="0"/>
                      <a:ext cx="6337300" cy="9004300"/>
                    </a:xfrm>
                    <a:prstGeom prst="rect">
                      <a:avLst/>
                    </a:prstGeom>
                  </pic:spPr>
                </pic:pic>
              </a:graphicData>
            </a:graphic>
          </wp:inline>
        </w:drawing>
      </w:r>
      <w:r w:rsidR="00FA2CB1">
        <w:rPr>
          <w:spacing w:val="-2"/>
          <w:sz w:val="52"/>
        </w:rPr>
        <w:br w:type="page"/>
      </w:r>
    </w:p>
    <w:p w14:paraId="266236A2" w14:textId="384AC6A7" w:rsidR="00FA2CB1" w:rsidRDefault="00472856">
      <w:pPr>
        <w:rPr>
          <w:spacing w:val="-2"/>
          <w:sz w:val="52"/>
        </w:rPr>
      </w:pPr>
      <w:r>
        <w:rPr>
          <w:noProof/>
          <w:spacing w:val="-2"/>
          <w:sz w:val="52"/>
        </w:rPr>
        <w:lastRenderedPageBreak/>
        <w:drawing>
          <wp:inline distT="0" distB="0" distL="0" distR="0" wp14:anchorId="27B3D88D" wp14:editId="4328E104">
            <wp:extent cx="6337300" cy="9004300"/>
            <wp:effectExtent l="0" t="0" r="0" b="0"/>
            <wp:docPr id="1849784636" name="Picture 20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9784636" name="Picture 209">
                      <a:extLst>
                        <a:ext uri="{C183D7F6-B498-43B3-948B-1728B52AA6E4}">
                          <adec:decorative xmlns:adec="http://schemas.microsoft.com/office/drawing/2017/decorative" val="1"/>
                        </a:ext>
                      </a:extLst>
                    </pic:cNvPr>
                    <pic:cNvPicPr/>
                  </pic:nvPicPr>
                  <pic:blipFill>
                    <a:blip r:embed="rId98"/>
                    <a:stretch>
                      <a:fillRect/>
                    </a:stretch>
                  </pic:blipFill>
                  <pic:spPr>
                    <a:xfrm>
                      <a:off x="0" y="0"/>
                      <a:ext cx="6337300" cy="9004300"/>
                    </a:xfrm>
                    <a:prstGeom prst="rect">
                      <a:avLst/>
                    </a:prstGeom>
                  </pic:spPr>
                </pic:pic>
              </a:graphicData>
            </a:graphic>
          </wp:inline>
        </w:drawing>
      </w:r>
      <w:r w:rsidR="00FA2CB1">
        <w:rPr>
          <w:spacing w:val="-2"/>
          <w:sz w:val="52"/>
        </w:rPr>
        <w:br w:type="page"/>
      </w:r>
    </w:p>
    <w:p w14:paraId="64341976" w14:textId="1BA6F047" w:rsidR="00FA2CB1" w:rsidRDefault="00472856">
      <w:pPr>
        <w:rPr>
          <w:spacing w:val="-2"/>
          <w:sz w:val="52"/>
        </w:rPr>
      </w:pPr>
      <w:r>
        <w:rPr>
          <w:noProof/>
          <w:spacing w:val="-2"/>
          <w:sz w:val="52"/>
        </w:rPr>
        <w:lastRenderedPageBreak/>
        <w:drawing>
          <wp:inline distT="0" distB="0" distL="0" distR="0" wp14:anchorId="6E5CA0D1" wp14:editId="2A64947B">
            <wp:extent cx="6337300" cy="9004300"/>
            <wp:effectExtent l="0" t="0" r="0" b="0"/>
            <wp:docPr id="750598149" name="Picture 2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0598149" name="Picture 210">
                      <a:extLst>
                        <a:ext uri="{C183D7F6-B498-43B3-948B-1728B52AA6E4}">
                          <adec:decorative xmlns:adec="http://schemas.microsoft.com/office/drawing/2017/decorative" val="1"/>
                        </a:ext>
                      </a:extLst>
                    </pic:cNvPr>
                    <pic:cNvPicPr/>
                  </pic:nvPicPr>
                  <pic:blipFill>
                    <a:blip r:embed="rId99"/>
                    <a:stretch>
                      <a:fillRect/>
                    </a:stretch>
                  </pic:blipFill>
                  <pic:spPr>
                    <a:xfrm>
                      <a:off x="0" y="0"/>
                      <a:ext cx="6337300" cy="9004300"/>
                    </a:xfrm>
                    <a:prstGeom prst="rect">
                      <a:avLst/>
                    </a:prstGeom>
                  </pic:spPr>
                </pic:pic>
              </a:graphicData>
            </a:graphic>
          </wp:inline>
        </w:drawing>
      </w:r>
      <w:r w:rsidR="00FA2CB1">
        <w:rPr>
          <w:spacing w:val="-2"/>
          <w:sz w:val="52"/>
        </w:rPr>
        <w:br w:type="page"/>
      </w:r>
    </w:p>
    <w:p w14:paraId="4A1C1FC9" w14:textId="39F3ABB2" w:rsidR="00FA2CB1" w:rsidRDefault="00472856">
      <w:pPr>
        <w:rPr>
          <w:spacing w:val="-2"/>
          <w:sz w:val="52"/>
        </w:rPr>
      </w:pPr>
      <w:r>
        <w:rPr>
          <w:noProof/>
          <w:spacing w:val="-2"/>
          <w:sz w:val="52"/>
        </w:rPr>
        <w:lastRenderedPageBreak/>
        <w:drawing>
          <wp:inline distT="0" distB="0" distL="0" distR="0" wp14:anchorId="540E94F1" wp14:editId="36B8599E">
            <wp:extent cx="6337300" cy="9004300"/>
            <wp:effectExtent l="0" t="0" r="0" b="0"/>
            <wp:docPr id="1764459391" name="Picture 2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4459391" name="Picture 211">
                      <a:extLst>
                        <a:ext uri="{C183D7F6-B498-43B3-948B-1728B52AA6E4}">
                          <adec:decorative xmlns:adec="http://schemas.microsoft.com/office/drawing/2017/decorative" val="1"/>
                        </a:ext>
                      </a:extLst>
                    </pic:cNvPr>
                    <pic:cNvPicPr/>
                  </pic:nvPicPr>
                  <pic:blipFill>
                    <a:blip r:embed="rId100"/>
                    <a:stretch>
                      <a:fillRect/>
                    </a:stretch>
                  </pic:blipFill>
                  <pic:spPr>
                    <a:xfrm>
                      <a:off x="0" y="0"/>
                      <a:ext cx="6337300" cy="9004300"/>
                    </a:xfrm>
                    <a:prstGeom prst="rect">
                      <a:avLst/>
                    </a:prstGeom>
                  </pic:spPr>
                </pic:pic>
              </a:graphicData>
            </a:graphic>
          </wp:inline>
        </w:drawing>
      </w:r>
      <w:r w:rsidR="00FA2CB1">
        <w:rPr>
          <w:spacing w:val="-2"/>
          <w:sz w:val="52"/>
        </w:rPr>
        <w:br w:type="page"/>
      </w:r>
    </w:p>
    <w:p w14:paraId="6DC241E7" w14:textId="74A6678A" w:rsidR="00FA2CB1" w:rsidRDefault="00472856">
      <w:pPr>
        <w:rPr>
          <w:spacing w:val="-2"/>
          <w:sz w:val="52"/>
        </w:rPr>
      </w:pPr>
      <w:r>
        <w:rPr>
          <w:noProof/>
          <w:spacing w:val="-2"/>
          <w:sz w:val="52"/>
        </w:rPr>
        <w:lastRenderedPageBreak/>
        <w:drawing>
          <wp:inline distT="0" distB="0" distL="0" distR="0" wp14:anchorId="2EDF06FB" wp14:editId="6FD7CC51">
            <wp:extent cx="6337300" cy="9004300"/>
            <wp:effectExtent l="0" t="0" r="0" b="0"/>
            <wp:docPr id="1409353988" name="Picture 2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9353988" name="Picture 212">
                      <a:extLst>
                        <a:ext uri="{C183D7F6-B498-43B3-948B-1728B52AA6E4}">
                          <adec:decorative xmlns:adec="http://schemas.microsoft.com/office/drawing/2017/decorative" val="1"/>
                        </a:ext>
                      </a:extLst>
                    </pic:cNvPr>
                    <pic:cNvPicPr/>
                  </pic:nvPicPr>
                  <pic:blipFill>
                    <a:blip r:embed="rId101"/>
                    <a:stretch>
                      <a:fillRect/>
                    </a:stretch>
                  </pic:blipFill>
                  <pic:spPr>
                    <a:xfrm>
                      <a:off x="0" y="0"/>
                      <a:ext cx="6337300" cy="9004300"/>
                    </a:xfrm>
                    <a:prstGeom prst="rect">
                      <a:avLst/>
                    </a:prstGeom>
                  </pic:spPr>
                </pic:pic>
              </a:graphicData>
            </a:graphic>
          </wp:inline>
        </w:drawing>
      </w:r>
      <w:r w:rsidR="00FA2CB1">
        <w:rPr>
          <w:spacing w:val="-2"/>
          <w:sz w:val="52"/>
        </w:rPr>
        <w:br w:type="page"/>
      </w:r>
    </w:p>
    <w:p w14:paraId="21BBB860" w14:textId="3C141AE9" w:rsidR="00FA2CB1" w:rsidRDefault="00472856">
      <w:pPr>
        <w:rPr>
          <w:spacing w:val="-2"/>
          <w:sz w:val="52"/>
        </w:rPr>
      </w:pPr>
      <w:r>
        <w:rPr>
          <w:noProof/>
          <w:spacing w:val="-2"/>
          <w:sz w:val="52"/>
        </w:rPr>
        <w:lastRenderedPageBreak/>
        <w:drawing>
          <wp:inline distT="0" distB="0" distL="0" distR="0" wp14:anchorId="6A593848" wp14:editId="58739D61">
            <wp:extent cx="6337300" cy="9004300"/>
            <wp:effectExtent l="0" t="0" r="0" b="0"/>
            <wp:docPr id="1386352989" name="Picture 21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6352989" name="Picture 213">
                      <a:extLst>
                        <a:ext uri="{C183D7F6-B498-43B3-948B-1728B52AA6E4}">
                          <adec:decorative xmlns:adec="http://schemas.microsoft.com/office/drawing/2017/decorative" val="1"/>
                        </a:ext>
                      </a:extLst>
                    </pic:cNvPr>
                    <pic:cNvPicPr/>
                  </pic:nvPicPr>
                  <pic:blipFill>
                    <a:blip r:embed="rId102"/>
                    <a:stretch>
                      <a:fillRect/>
                    </a:stretch>
                  </pic:blipFill>
                  <pic:spPr>
                    <a:xfrm>
                      <a:off x="0" y="0"/>
                      <a:ext cx="6337300" cy="9004300"/>
                    </a:xfrm>
                    <a:prstGeom prst="rect">
                      <a:avLst/>
                    </a:prstGeom>
                  </pic:spPr>
                </pic:pic>
              </a:graphicData>
            </a:graphic>
          </wp:inline>
        </w:drawing>
      </w:r>
      <w:r w:rsidR="00FA2CB1">
        <w:rPr>
          <w:spacing w:val="-2"/>
          <w:sz w:val="52"/>
        </w:rPr>
        <w:br w:type="page"/>
      </w:r>
    </w:p>
    <w:p w14:paraId="56E0884D" w14:textId="24ACBEA9" w:rsidR="00FA2CB1" w:rsidRDefault="00472856">
      <w:pPr>
        <w:rPr>
          <w:spacing w:val="-2"/>
          <w:sz w:val="52"/>
        </w:rPr>
      </w:pPr>
      <w:r>
        <w:rPr>
          <w:noProof/>
          <w:spacing w:val="-2"/>
          <w:sz w:val="52"/>
        </w:rPr>
        <w:lastRenderedPageBreak/>
        <w:drawing>
          <wp:inline distT="0" distB="0" distL="0" distR="0" wp14:anchorId="121B2573" wp14:editId="44863434">
            <wp:extent cx="6337300" cy="9004300"/>
            <wp:effectExtent l="0" t="0" r="0" b="0"/>
            <wp:docPr id="989556478" name="Picture 21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9556478" name="Picture 214">
                      <a:extLst>
                        <a:ext uri="{C183D7F6-B498-43B3-948B-1728B52AA6E4}">
                          <adec:decorative xmlns:adec="http://schemas.microsoft.com/office/drawing/2017/decorative" val="1"/>
                        </a:ext>
                      </a:extLst>
                    </pic:cNvPr>
                    <pic:cNvPicPr/>
                  </pic:nvPicPr>
                  <pic:blipFill>
                    <a:blip r:embed="rId103"/>
                    <a:stretch>
                      <a:fillRect/>
                    </a:stretch>
                  </pic:blipFill>
                  <pic:spPr>
                    <a:xfrm>
                      <a:off x="0" y="0"/>
                      <a:ext cx="6337300" cy="9004300"/>
                    </a:xfrm>
                    <a:prstGeom prst="rect">
                      <a:avLst/>
                    </a:prstGeom>
                  </pic:spPr>
                </pic:pic>
              </a:graphicData>
            </a:graphic>
          </wp:inline>
        </w:drawing>
      </w:r>
      <w:r w:rsidR="00FA2CB1">
        <w:rPr>
          <w:spacing w:val="-2"/>
          <w:sz w:val="52"/>
        </w:rPr>
        <w:br w:type="page"/>
      </w:r>
    </w:p>
    <w:p w14:paraId="08522F5D" w14:textId="3C0B7ACA" w:rsidR="00FA2CB1" w:rsidRDefault="00472856">
      <w:pPr>
        <w:rPr>
          <w:spacing w:val="-2"/>
          <w:sz w:val="52"/>
        </w:rPr>
      </w:pPr>
      <w:r>
        <w:rPr>
          <w:noProof/>
          <w:spacing w:val="-2"/>
          <w:sz w:val="52"/>
        </w:rPr>
        <w:lastRenderedPageBreak/>
        <w:drawing>
          <wp:inline distT="0" distB="0" distL="0" distR="0" wp14:anchorId="1F725CC5" wp14:editId="74A37599">
            <wp:extent cx="6337300" cy="9004300"/>
            <wp:effectExtent l="0" t="0" r="0" b="0"/>
            <wp:docPr id="1022174262" name="Picture 21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174262" name="Picture 215">
                      <a:extLst>
                        <a:ext uri="{C183D7F6-B498-43B3-948B-1728B52AA6E4}">
                          <adec:decorative xmlns:adec="http://schemas.microsoft.com/office/drawing/2017/decorative" val="1"/>
                        </a:ext>
                      </a:extLst>
                    </pic:cNvPr>
                    <pic:cNvPicPr/>
                  </pic:nvPicPr>
                  <pic:blipFill>
                    <a:blip r:embed="rId104"/>
                    <a:stretch>
                      <a:fillRect/>
                    </a:stretch>
                  </pic:blipFill>
                  <pic:spPr>
                    <a:xfrm>
                      <a:off x="0" y="0"/>
                      <a:ext cx="6337300" cy="9004300"/>
                    </a:xfrm>
                    <a:prstGeom prst="rect">
                      <a:avLst/>
                    </a:prstGeom>
                  </pic:spPr>
                </pic:pic>
              </a:graphicData>
            </a:graphic>
          </wp:inline>
        </w:drawing>
      </w:r>
      <w:r w:rsidR="00FA2CB1">
        <w:rPr>
          <w:spacing w:val="-2"/>
          <w:sz w:val="52"/>
        </w:rPr>
        <w:br w:type="page"/>
      </w:r>
    </w:p>
    <w:p w14:paraId="2C8C4CE5" w14:textId="626B0CFF" w:rsidR="00FA2CB1" w:rsidRDefault="00472856">
      <w:pPr>
        <w:rPr>
          <w:spacing w:val="-2"/>
          <w:sz w:val="52"/>
        </w:rPr>
      </w:pPr>
      <w:r>
        <w:rPr>
          <w:noProof/>
          <w:spacing w:val="-2"/>
          <w:sz w:val="52"/>
        </w:rPr>
        <w:lastRenderedPageBreak/>
        <w:drawing>
          <wp:inline distT="0" distB="0" distL="0" distR="0" wp14:anchorId="3FDE6E80" wp14:editId="015EF973">
            <wp:extent cx="6337300" cy="9004300"/>
            <wp:effectExtent l="0" t="0" r="0" b="0"/>
            <wp:docPr id="959214507" name="Picture 21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9214507" name="Picture 216">
                      <a:extLst>
                        <a:ext uri="{C183D7F6-B498-43B3-948B-1728B52AA6E4}">
                          <adec:decorative xmlns:adec="http://schemas.microsoft.com/office/drawing/2017/decorative" val="1"/>
                        </a:ext>
                      </a:extLst>
                    </pic:cNvPr>
                    <pic:cNvPicPr/>
                  </pic:nvPicPr>
                  <pic:blipFill>
                    <a:blip r:embed="rId105"/>
                    <a:stretch>
                      <a:fillRect/>
                    </a:stretch>
                  </pic:blipFill>
                  <pic:spPr>
                    <a:xfrm>
                      <a:off x="0" y="0"/>
                      <a:ext cx="6337300" cy="9004300"/>
                    </a:xfrm>
                    <a:prstGeom prst="rect">
                      <a:avLst/>
                    </a:prstGeom>
                  </pic:spPr>
                </pic:pic>
              </a:graphicData>
            </a:graphic>
          </wp:inline>
        </w:drawing>
      </w:r>
      <w:r w:rsidR="00FA2CB1">
        <w:rPr>
          <w:spacing w:val="-2"/>
          <w:sz w:val="52"/>
        </w:rPr>
        <w:br w:type="page"/>
      </w:r>
    </w:p>
    <w:p w14:paraId="3BF3654E" w14:textId="31C6AB43" w:rsidR="00FA2CB1" w:rsidRDefault="00472856">
      <w:pPr>
        <w:rPr>
          <w:spacing w:val="-2"/>
          <w:sz w:val="52"/>
        </w:rPr>
      </w:pPr>
      <w:r>
        <w:rPr>
          <w:noProof/>
          <w:spacing w:val="-2"/>
          <w:sz w:val="52"/>
        </w:rPr>
        <w:lastRenderedPageBreak/>
        <w:drawing>
          <wp:inline distT="0" distB="0" distL="0" distR="0" wp14:anchorId="2DA5086D" wp14:editId="5A2EFA8E">
            <wp:extent cx="6337300" cy="9004300"/>
            <wp:effectExtent l="0" t="0" r="0" b="0"/>
            <wp:docPr id="163920805" name="Picture 21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920805" name="Picture 217">
                      <a:extLst>
                        <a:ext uri="{C183D7F6-B498-43B3-948B-1728B52AA6E4}">
                          <adec:decorative xmlns:adec="http://schemas.microsoft.com/office/drawing/2017/decorative" val="1"/>
                        </a:ext>
                      </a:extLst>
                    </pic:cNvPr>
                    <pic:cNvPicPr/>
                  </pic:nvPicPr>
                  <pic:blipFill>
                    <a:blip r:embed="rId106"/>
                    <a:stretch>
                      <a:fillRect/>
                    </a:stretch>
                  </pic:blipFill>
                  <pic:spPr>
                    <a:xfrm>
                      <a:off x="0" y="0"/>
                      <a:ext cx="6337300" cy="9004300"/>
                    </a:xfrm>
                    <a:prstGeom prst="rect">
                      <a:avLst/>
                    </a:prstGeom>
                  </pic:spPr>
                </pic:pic>
              </a:graphicData>
            </a:graphic>
          </wp:inline>
        </w:drawing>
      </w:r>
      <w:r w:rsidR="00FA2CB1">
        <w:rPr>
          <w:spacing w:val="-2"/>
          <w:sz w:val="52"/>
        </w:rPr>
        <w:br w:type="page"/>
      </w:r>
    </w:p>
    <w:p w14:paraId="3658BCB1" w14:textId="650E4D3B" w:rsidR="00FA2CB1" w:rsidRDefault="00472856">
      <w:pPr>
        <w:rPr>
          <w:spacing w:val="-2"/>
          <w:sz w:val="52"/>
        </w:rPr>
      </w:pPr>
      <w:r>
        <w:rPr>
          <w:noProof/>
          <w:spacing w:val="-2"/>
          <w:sz w:val="52"/>
        </w:rPr>
        <w:lastRenderedPageBreak/>
        <w:drawing>
          <wp:inline distT="0" distB="0" distL="0" distR="0" wp14:anchorId="70B5B9C8" wp14:editId="0C53F16E">
            <wp:extent cx="6337300" cy="9004300"/>
            <wp:effectExtent l="0" t="0" r="0" b="0"/>
            <wp:docPr id="512034153" name="Picture 21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034153" name="Picture 218">
                      <a:extLst>
                        <a:ext uri="{C183D7F6-B498-43B3-948B-1728B52AA6E4}">
                          <adec:decorative xmlns:adec="http://schemas.microsoft.com/office/drawing/2017/decorative" val="1"/>
                        </a:ext>
                      </a:extLst>
                    </pic:cNvPr>
                    <pic:cNvPicPr/>
                  </pic:nvPicPr>
                  <pic:blipFill>
                    <a:blip r:embed="rId107"/>
                    <a:stretch>
                      <a:fillRect/>
                    </a:stretch>
                  </pic:blipFill>
                  <pic:spPr>
                    <a:xfrm>
                      <a:off x="0" y="0"/>
                      <a:ext cx="6337300" cy="9004300"/>
                    </a:xfrm>
                    <a:prstGeom prst="rect">
                      <a:avLst/>
                    </a:prstGeom>
                  </pic:spPr>
                </pic:pic>
              </a:graphicData>
            </a:graphic>
          </wp:inline>
        </w:drawing>
      </w:r>
      <w:r w:rsidR="00FA2CB1">
        <w:rPr>
          <w:spacing w:val="-2"/>
          <w:sz w:val="52"/>
        </w:rPr>
        <w:br w:type="page"/>
      </w:r>
    </w:p>
    <w:p w14:paraId="43682F21" w14:textId="023B0B20" w:rsidR="00FA2CB1" w:rsidRDefault="00472856">
      <w:pPr>
        <w:rPr>
          <w:spacing w:val="-2"/>
          <w:sz w:val="52"/>
        </w:rPr>
      </w:pPr>
      <w:r>
        <w:rPr>
          <w:noProof/>
          <w:spacing w:val="-2"/>
          <w:sz w:val="52"/>
        </w:rPr>
        <w:lastRenderedPageBreak/>
        <w:drawing>
          <wp:inline distT="0" distB="0" distL="0" distR="0" wp14:anchorId="2E2669A6" wp14:editId="0BB50493">
            <wp:extent cx="6337300" cy="9004300"/>
            <wp:effectExtent l="0" t="0" r="0" b="0"/>
            <wp:docPr id="1679309377" name="Picture 21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9309377" name="Picture 219">
                      <a:extLst>
                        <a:ext uri="{C183D7F6-B498-43B3-948B-1728B52AA6E4}">
                          <adec:decorative xmlns:adec="http://schemas.microsoft.com/office/drawing/2017/decorative" val="1"/>
                        </a:ext>
                      </a:extLst>
                    </pic:cNvPr>
                    <pic:cNvPicPr/>
                  </pic:nvPicPr>
                  <pic:blipFill>
                    <a:blip r:embed="rId108"/>
                    <a:stretch>
                      <a:fillRect/>
                    </a:stretch>
                  </pic:blipFill>
                  <pic:spPr>
                    <a:xfrm>
                      <a:off x="0" y="0"/>
                      <a:ext cx="6337300" cy="9004300"/>
                    </a:xfrm>
                    <a:prstGeom prst="rect">
                      <a:avLst/>
                    </a:prstGeom>
                  </pic:spPr>
                </pic:pic>
              </a:graphicData>
            </a:graphic>
          </wp:inline>
        </w:drawing>
      </w:r>
      <w:r w:rsidR="00FA2CB1">
        <w:rPr>
          <w:spacing w:val="-2"/>
          <w:sz w:val="52"/>
        </w:rPr>
        <w:br w:type="page"/>
      </w:r>
    </w:p>
    <w:p w14:paraId="7D287DFA" w14:textId="37A908C6" w:rsidR="00FA2CB1" w:rsidRDefault="00472856">
      <w:pPr>
        <w:rPr>
          <w:spacing w:val="-2"/>
          <w:sz w:val="52"/>
        </w:rPr>
      </w:pPr>
      <w:r>
        <w:rPr>
          <w:noProof/>
          <w:spacing w:val="-2"/>
          <w:sz w:val="52"/>
        </w:rPr>
        <w:lastRenderedPageBreak/>
        <w:drawing>
          <wp:inline distT="0" distB="0" distL="0" distR="0" wp14:anchorId="6AC25FAE" wp14:editId="18EC7386">
            <wp:extent cx="6337300" cy="9004300"/>
            <wp:effectExtent l="0" t="0" r="0" b="0"/>
            <wp:docPr id="172689207" name="Picture 22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689207" name="Picture 220">
                      <a:extLst>
                        <a:ext uri="{C183D7F6-B498-43B3-948B-1728B52AA6E4}">
                          <adec:decorative xmlns:adec="http://schemas.microsoft.com/office/drawing/2017/decorative" val="1"/>
                        </a:ext>
                      </a:extLst>
                    </pic:cNvPr>
                    <pic:cNvPicPr/>
                  </pic:nvPicPr>
                  <pic:blipFill>
                    <a:blip r:embed="rId109"/>
                    <a:stretch>
                      <a:fillRect/>
                    </a:stretch>
                  </pic:blipFill>
                  <pic:spPr>
                    <a:xfrm>
                      <a:off x="0" y="0"/>
                      <a:ext cx="6337300" cy="9004300"/>
                    </a:xfrm>
                    <a:prstGeom prst="rect">
                      <a:avLst/>
                    </a:prstGeom>
                  </pic:spPr>
                </pic:pic>
              </a:graphicData>
            </a:graphic>
          </wp:inline>
        </w:drawing>
      </w:r>
      <w:r w:rsidR="00FA2CB1">
        <w:rPr>
          <w:spacing w:val="-2"/>
          <w:sz w:val="52"/>
        </w:rPr>
        <w:br w:type="page"/>
      </w:r>
    </w:p>
    <w:p w14:paraId="667C13C9" w14:textId="728C3376" w:rsidR="00FA2CB1" w:rsidRDefault="003C630B">
      <w:pPr>
        <w:rPr>
          <w:spacing w:val="-2"/>
          <w:sz w:val="52"/>
        </w:rPr>
      </w:pPr>
      <w:r>
        <w:rPr>
          <w:noProof/>
          <w:spacing w:val="-2"/>
          <w:sz w:val="52"/>
        </w:rPr>
        <w:lastRenderedPageBreak/>
        <w:drawing>
          <wp:inline distT="0" distB="0" distL="0" distR="0" wp14:anchorId="079F2597" wp14:editId="6F17A3EF">
            <wp:extent cx="6337300" cy="9004300"/>
            <wp:effectExtent l="0" t="0" r="0" b="0"/>
            <wp:docPr id="290473937" name="Picture 22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473937" name="Picture 221">
                      <a:extLst>
                        <a:ext uri="{C183D7F6-B498-43B3-948B-1728B52AA6E4}">
                          <adec:decorative xmlns:adec="http://schemas.microsoft.com/office/drawing/2017/decorative" val="1"/>
                        </a:ext>
                      </a:extLst>
                    </pic:cNvPr>
                    <pic:cNvPicPr/>
                  </pic:nvPicPr>
                  <pic:blipFill>
                    <a:blip r:embed="rId110"/>
                    <a:stretch>
                      <a:fillRect/>
                    </a:stretch>
                  </pic:blipFill>
                  <pic:spPr>
                    <a:xfrm>
                      <a:off x="0" y="0"/>
                      <a:ext cx="6337300" cy="9004300"/>
                    </a:xfrm>
                    <a:prstGeom prst="rect">
                      <a:avLst/>
                    </a:prstGeom>
                  </pic:spPr>
                </pic:pic>
              </a:graphicData>
            </a:graphic>
          </wp:inline>
        </w:drawing>
      </w:r>
      <w:r w:rsidR="00FA2CB1">
        <w:rPr>
          <w:spacing w:val="-2"/>
          <w:sz w:val="52"/>
        </w:rPr>
        <w:br w:type="page"/>
      </w:r>
    </w:p>
    <w:p w14:paraId="1D41BC19" w14:textId="3469AC29" w:rsidR="00FA2CB1" w:rsidRDefault="003C630B">
      <w:pPr>
        <w:rPr>
          <w:spacing w:val="-2"/>
          <w:sz w:val="52"/>
        </w:rPr>
      </w:pPr>
      <w:r>
        <w:rPr>
          <w:noProof/>
          <w:spacing w:val="-2"/>
          <w:sz w:val="52"/>
        </w:rPr>
        <w:lastRenderedPageBreak/>
        <w:drawing>
          <wp:inline distT="0" distB="0" distL="0" distR="0" wp14:anchorId="54FE6767" wp14:editId="6043F2DC">
            <wp:extent cx="6337300" cy="9004300"/>
            <wp:effectExtent l="0" t="0" r="0" b="0"/>
            <wp:docPr id="257876056" name="Picture 2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876056" name="Picture 222">
                      <a:extLst>
                        <a:ext uri="{C183D7F6-B498-43B3-948B-1728B52AA6E4}">
                          <adec:decorative xmlns:adec="http://schemas.microsoft.com/office/drawing/2017/decorative" val="1"/>
                        </a:ext>
                      </a:extLst>
                    </pic:cNvPr>
                    <pic:cNvPicPr/>
                  </pic:nvPicPr>
                  <pic:blipFill>
                    <a:blip r:embed="rId111"/>
                    <a:stretch>
                      <a:fillRect/>
                    </a:stretch>
                  </pic:blipFill>
                  <pic:spPr>
                    <a:xfrm>
                      <a:off x="0" y="0"/>
                      <a:ext cx="6337300" cy="9004300"/>
                    </a:xfrm>
                    <a:prstGeom prst="rect">
                      <a:avLst/>
                    </a:prstGeom>
                  </pic:spPr>
                </pic:pic>
              </a:graphicData>
            </a:graphic>
          </wp:inline>
        </w:drawing>
      </w:r>
      <w:r w:rsidR="00FA2CB1">
        <w:rPr>
          <w:spacing w:val="-2"/>
          <w:sz w:val="52"/>
        </w:rPr>
        <w:br w:type="page"/>
      </w:r>
    </w:p>
    <w:p w14:paraId="297DF6F0" w14:textId="0EDF18FC" w:rsidR="00FA2CB1" w:rsidRDefault="003C630B">
      <w:pPr>
        <w:rPr>
          <w:spacing w:val="-2"/>
          <w:sz w:val="52"/>
        </w:rPr>
      </w:pPr>
      <w:r>
        <w:rPr>
          <w:noProof/>
          <w:spacing w:val="-2"/>
          <w:sz w:val="52"/>
        </w:rPr>
        <w:lastRenderedPageBreak/>
        <w:drawing>
          <wp:inline distT="0" distB="0" distL="0" distR="0" wp14:anchorId="1FCE3744" wp14:editId="0342F70D">
            <wp:extent cx="6337300" cy="9004300"/>
            <wp:effectExtent l="0" t="0" r="0" b="0"/>
            <wp:docPr id="1090363510" name="Picture 22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0363510" name="Picture 223">
                      <a:extLst>
                        <a:ext uri="{C183D7F6-B498-43B3-948B-1728B52AA6E4}">
                          <adec:decorative xmlns:adec="http://schemas.microsoft.com/office/drawing/2017/decorative" val="1"/>
                        </a:ext>
                      </a:extLst>
                    </pic:cNvPr>
                    <pic:cNvPicPr/>
                  </pic:nvPicPr>
                  <pic:blipFill>
                    <a:blip r:embed="rId112"/>
                    <a:stretch>
                      <a:fillRect/>
                    </a:stretch>
                  </pic:blipFill>
                  <pic:spPr>
                    <a:xfrm>
                      <a:off x="0" y="0"/>
                      <a:ext cx="6337300" cy="9004300"/>
                    </a:xfrm>
                    <a:prstGeom prst="rect">
                      <a:avLst/>
                    </a:prstGeom>
                  </pic:spPr>
                </pic:pic>
              </a:graphicData>
            </a:graphic>
          </wp:inline>
        </w:drawing>
      </w:r>
      <w:r w:rsidR="00FA2CB1">
        <w:rPr>
          <w:spacing w:val="-2"/>
          <w:sz w:val="52"/>
        </w:rPr>
        <w:br w:type="page"/>
      </w:r>
    </w:p>
    <w:p w14:paraId="52CAA576" w14:textId="5970A72F" w:rsidR="00FA2CB1" w:rsidRDefault="003C630B">
      <w:pPr>
        <w:rPr>
          <w:spacing w:val="-2"/>
          <w:sz w:val="52"/>
        </w:rPr>
      </w:pPr>
      <w:r>
        <w:rPr>
          <w:noProof/>
          <w:spacing w:val="-2"/>
          <w:sz w:val="52"/>
        </w:rPr>
        <w:lastRenderedPageBreak/>
        <w:drawing>
          <wp:inline distT="0" distB="0" distL="0" distR="0" wp14:anchorId="51CAA558" wp14:editId="6630253B">
            <wp:extent cx="6337300" cy="9004300"/>
            <wp:effectExtent l="0" t="0" r="0" b="0"/>
            <wp:docPr id="2086022732" name="Picture 22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6022732" name="Picture 224">
                      <a:extLst>
                        <a:ext uri="{C183D7F6-B498-43B3-948B-1728B52AA6E4}">
                          <adec:decorative xmlns:adec="http://schemas.microsoft.com/office/drawing/2017/decorative" val="1"/>
                        </a:ext>
                      </a:extLst>
                    </pic:cNvPr>
                    <pic:cNvPicPr/>
                  </pic:nvPicPr>
                  <pic:blipFill>
                    <a:blip r:embed="rId113"/>
                    <a:stretch>
                      <a:fillRect/>
                    </a:stretch>
                  </pic:blipFill>
                  <pic:spPr>
                    <a:xfrm>
                      <a:off x="0" y="0"/>
                      <a:ext cx="6337300" cy="9004300"/>
                    </a:xfrm>
                    <a:prstGeom prst="rect">
                      <a:avLst/>
                    </a:prstGeom>
                  </pic:spPr>
                </pic:pic>
              </a:graphicData>
            </a:graphic>
          </wp:inline>
        </w:drawing>
      </w:r>
      <w:r w:rsidR="00FA2CB1">
        <w:rPr>
          <w:spacing w:val="-2"/>
          <w:sz w:val="52"/>
        </w:rPr>
        <w:br w:type="page"/>
      </w:r>
    </w:p>
    <w:p w14:paraId="377AFCB9" w14:textId="572FFDA7" w:rsidR="009D54AF" w:rsidRDefault="00000000">
      <w:pPr>
        <w:pStyle w:val="ListParagraph"/>
        <w:numPr>
          <w:ilvl w:val="0"/>
          <w:numId w:val="38"/>
        </w:numPr>
        <w:tabs>
          <w:tab w:val="left" w:pos="713"/>
        </w:tabs>
        <w:spacing w:before="63"/>
        <w:ind w:left="713" w:hanging="571"/>
        <w:rPr>
          <w:sz w:val="52"/>
        </w:rPr>
      </w:pPr>
      <w:r>
        <w:rPr>
          <w:spacing w:val="-2"/>
          <w:sz w:val="52"/>
        </w:rPr>
        <w:lastRenderedPageBreak/>
        <w:t>Appendices</w:t>
      </w:r>
    </w:p>
    <w:p w14:paraId="043E081F" w14:textId="4C33D942" w:rsidR="009D54AF" w:rsidRDefault="003C630B">
      <w:pPr>
        <w:tabs>
          <w:tab w:val="left" w:pos="5200"/>
        </w:tabs>
        <w:spacing w:before="322"/>
        <w:ind w:left="142"/>
        <w:rPr>
          <w:sz w:val="20"/>
        </w:rPr>
      </w:pPr>
      <w:hyperlink w:anchor="_Appendix_A:_Related-entity" w:history="1">
        <w:r w:rsidRPr="003C630B">
          <w:rPr>
            <w:rStyle w:val="Hyperlink"/>
            <w:sz w:val="20"/>
          </w:rPr>
          <w:t>Appendix A: Related-entity transactions</w:t>
        </w:r>
      </w:hyperlink>
    </w:p>
    <w:p w14:paraId="5ACA489B" w14:textId="4B446181" w:rsidR="009D54AF" w:rsidRDefault="003C630B">
      <w:pPr>
        <w:tabs>
          <w:tab w:val="left" w:pos="5200"/>
        </w:tabs>
        <w:spacing w:before="221"/>
        <w:ind w:left="142"/>
        <w:rPr>
          <w:sz w:val="20"/>
        </w:rPr>
      </w:pPr>
      <w:hyperlink w:anchor="_Appendix_B:_Freedom" w:history="1">
        <w:r w:rsidRPr="003C630B">
          <w:rPr>
            <w:rStyle w:val="Hyperlink"/>
            <w:sz w:val="20"/>
          </w:rPr>
          <w:t>Appendix B: Freedom of information summary</w:t>
        </w:r>
      </w:hyperlink>
    </w:p>
    <w:p w14:paraId="1D5036C1" w14:textId="23379BE0" w:rsidR="009D54AF" w:rsidRDefault="003C630B">
      <w:pPr>
        <w:tabs>
          <w:tab w:val="left" w:pos="6622"/>
        </w:tabs>
        <w:spacing w:before="220"/>
        <w:ind w:left="142"/>
        <w:rPr>
          <w:sz w:val="20"/>
        </w:rPr>
      </w:pPr>
      <w:hyperlink w:anchor="_Appendix_C:_Compliance" w:history="1">
        <w:r w:rsidRPr="003C630B">
          <w:rPr>
            <w:rStyle w:val="Hyperlink"/>
            <w:sz w:val="20"/>
          </w:rPr>
          <w:t>Appendix C: Compliance with ecologically sustainable development</w:t>
        </w:r>
      </w:hyperlink>
    </w:p>
    <w:p w14:paraId="308B8E45" w14:textId="77777777" w:rsidR="003C630B" w:rsidRDefault="003C630B">
      <w:pPr>
        <w:spacing w:before="192"/>
        <w:ind w:left="142"/>
        <w:rPr>
          <w:b/>
          <w:sz w:val="40"/>
        </w:rPr>
      </w:pPr>
    </w:p>
    <w:p w14:paraId="295158CA" w14:textId="74B07529" w:rsidR="009D54AF" w:rsidRDefault="00000000" w:rsidP="003C630B">
      <w:pPr>
        <w:pStyle w:val="Heading1"/>
      </w:pPr>
      <w:bookmarkStart w:id="77" w:name="_Appendix_A:_Related-entity"/>
      <w:bookmarkStart w:id="78" w:name="_Toc243037291"/>
      <w:bookmarkEnd w:id="77"/>
      <w:r>
        <w:t>Appendix</w:t>
      </w:r>
      <w:r>
        <w:rPr>
          <w:spacing w:val="-23"/>
        </w:rPr>
        <w:t xml:space="preserve"> </w:t>
      </w:r>
      <w:r>
        <w:t>A:</w:t>
      </w:r>
      <w:r>
        <w:rPr>
          <w:spacing w:val="-21"/>
        </w:rPr>
        <w:t xml:space="preserve"> </w:t>
      </w:r>
      <w:r>
        <w:t>Related-entity</w:t>
      </w:r>
      <w:r>
        <w:rPr>
          <w:spacing w:val="-21"/>
        </w:rPr>
        <w:t xml:space="preserve"> </w:t>
      </w:r>
      <w:r>
        <w:rPr>
          <w:spacing w:val="-2"/>
        </w:rPr>
        <w:t>transactions</w:t>
      </w:r>
      <w:bookmarkEnd w:id="78"/>
    </w:p>
    <w:p w14:paraId="30C80C95" w14:textId="77777777" w:rsidR="009D54AF" w:rsidRDefault="00000000">
      <w:pPr>
        <w:spacing w:before="249"/>
        <w:ind w:left="142"/>
        <w:rPr>
          <w:sz w:val="19"/>
        </w:rPr>
      </w:pPr>
      <w:r>
        <w:rPr>
          <w:b/>
          <w:sz w:val="19"/>
        </w:rPr>
        <w:t>Table</w:t>
      </w:r>
      <w:r>
        <w:rPr>
          <w:b/>
          <w:spacing w:val="2"/>
          <w:sz w:val="19"/>
        </w:rPr>
        <w:t xml:space="preserve"> </w:t>
      </w:r>
      <w:r>
        <w:rPr>
          <w:b/>
          <w:sz w:val="19"/>
        </w:rPr>
        <w:t>11</w:t>
      </w:r>
      <w:r>
        <w:rPr>
          <w:b/>
          <w:spacing w:val="3"/>
          <w:sz w:val="19"/>
        </w:rPr>
        <w:t xml:space="preserve"> </w:t>
      </w:r>
      <w:r>
        <w:rPr>
          <w:sz w:val="19"/>
        </w:rPr>
        <w:t>Related-entity</w:t>
      </w:r>
      <w:r>
        <w:rPr>
          <w:spacing w:val="3"/>
          <w:sz w:val="19"/>
        </w:rPr>
        <w:t xml:space="preserve"> </w:t>
      </w:r>
      <w:r>
        <w:rPr>
          <w:sz w:val="19"/>
        </w:rPr>
        <w:t>transactions,</w:t>
      </w:r>
      <w:r>
        <w:rPr>
          <w:spacing w:val="3"/>
          <w:sz w:val="19"/>
        </w:rPr>
        <w:t xml:space="preserve"> </w:t>
      </w:r>
      <w:r>
        <w:rPr>
          <w:sz w:val="19"/>
        </w:rPr>
        <w:t>2025–</w:t>
      </w:r>
      <w:r>
        <w:rPr>
          <w:spacing w:val="-5"/>
          <w:sz w:val="19"/>
        </w:rPr>
        <w:t>26</w:t>
      </w:r>
    </w:p>
    <w:p w14:paraId="059789BF" w14:textId="77777777" w:rsidR="009D54AF" w:rsidRDefault="009D54AF">
      <w:pPr>
        <w:pStyle w:val="BodyText"/>
        <w:spacing w:before="1" w:after="1"/>
        <w:rPr>
          <w:sz w:val="8"/>
        </w:rPr>
      </w:pPr>
    </w:p>
    <w:tbl>
      <w:tblPr>
        <w:tblW w:w="0" w:type="auto"/>
        <w:tblInd w:w="149"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CellMar>
          <w:left w:w="0" w:type="dxa"/>
          <w:right w:w="0" w:type="dxa"/>
        </w:tblCellMar>
        <w:tblLook w:val="01E0" w:firstRow="1" w:lastRow="1" w:firstColumn="1" w:lastColumn="1" w:noHBand="0" w:noVBand="0"/>
      </w:tblPr>
      <w:tblGrid>
        <w:gridCol w:w="1417"/>
        <w:gridCol w:w="2267"/>
        <w:gridCol w:w="1417"/>
        <w:gridCol w:w="1417"/>
        <w:gridCol w:w="3515"/>
      </w:tblGrid>
      <w:tr w:rsidR="009D54AF" w14:paraId="171C8D59" w14:textId="77777777">
        <w:trPr>
          <w:trHeight w:val="516"/>
        </w:trPr>
        <w:tc>
          <w:tcPr>
            <w:tcW w:w="1417" w:type="dxa"/>
            <w:tcBorders>
              <w:top w:val="nil"/>
              <w:left w:val="nil"/>
              <w:bottom w:val="nil"/>
            </w:tcBorders>
            <w:shd w:val="clear" w:color="auto" w:fill="000000"/>
          </w:tcPr>
          <w:p w14:paraId="218C2128" w14:textId="77777777" w:rsidR="009D54AF" w:rsidRDefault="009D54AF">
            <w:pPr>
              <w:pStyle w:val="TableParagraph"/>
              <w:spacing w:before="34"/>
              <w:rPr>
                <w:sz w:val="19"/>
              </w:rPr>
            </w:pPr>
          </w:p>
          <w:p w14:paraId="17E0BAEC" w14:textId="77777777" w:rsidR="009D54AF" w:rsidRDefault="00000000">
            <w:pPr>
              <w:pStyle w:val="TableParagraph"/>
              <w:ind w:left="85"/>
              <w:rPr>
                <w:b/>
                <w:sz w:val="19"/>
              </w:rPr>
            </w:pPr>
            <w:r>
              <w:rPr>
                <w:b/>
                <w:color w:val="FFFFFF"/>
                <w:sz w:val="19"/>
              </w:rPr>
              <w:t xml:space="preserve">Vendor </w:t>
            </w:r>
            <w:r>
              <w:rPr>
                <w:b/>
                <w:color w:val="FFFFFF"/>
                <w:spacing w:val="-5"/>
                <w:sz w:val="19"/>
              </w:rPr>
              <w:t>no</w:t>
            </w:r>
          </w:p>
        </w:tc>
        <w:tc>
          <w:tcPr>
            <w:tcW w:w="2267" w:type="dxa"/>
            <w:tcBorders>
              <w:top w:val="nil"/>
              <w:bottom w:val="nil"/>
            </w:tcBorders>
            <w:shd w:val="clear" w:color="auto" w:fill="000000"/>
          </w:tcPr>
          <w:p w14:paraId="236FBCD6" w14:textId="77777777" w:rsidR="009D54AF" w:rsidRDefault="009D54AF">
            <w:pPr>
              <w:pStyle w:val="TableParagraph"/>
              <w:spacing w:before="34"/>
              <w:rPr>
                <w:sz w:val="19"/>
              </w:rPr>
            </w:pPr>
          </w:p>
          <w:p w14:paraId="10AC3410" w14:textId="77777777" w:rsidR="009D54AF" w:rsidRDefault="00000000">
            <w:pPr>
              <w:pStyle w:val="TableParagraph"/>
              <w:ind w:left="80"/>
              <w:rPr>
                <w:b/>
                <w:sz w:val="19"/>
              </w:rPr>
            </w:pPr>
            <w:r>
              <w:rPr>
                <w:b/>
                <w:color w:val="FFFFFF"/>
                <w:sz w:val="19"/>
              </w:rPr>
              <w:t>Commonwealth</w:t>
            </w:r>
            <w:r>
              <w:rPr>
                <w:b/>
                <w:color w:val="FFFFFF"/>
                <w:spacing w:val="15"/>
                <w:sz w:val="19"/>
              </w:rPr>
              <w:t xml:space="preserve"> </w:t>
            </w:r>
            <w:r>
              <w:rPr>
                <w:b/>
                <w:color w:val="FFFFFF"/>
                <w:spacing w:val="-2"/>
                <w:sz w:val="19"/>
              </w:rPr>
              <w:t>entity</w:t>
            </w:r>
          </w:p>
        </w:tc>
        <w:tc>
          <w:tcPr>
            <w:tcW w:w="1417" w:type="dxa"/>
            <w:tcBorders>
              <w:top w:val="nil"/>
              <w:bottom w:val="nil"/>
            </w:tcBorders>
            <w:shd w:val="clear" w:color="auto" w:fill="000000"/>
          </w:tcPr>
          <w:p w14:paraId="395606E1" w14:textId="77777777" w:rsidR="009D54AF" w:rsidRDefault="00000000">
            <w:pPr>
              <w:pStyle w:val="TableParagraph"/>
              <w:spacing w:before="50" w:line="230" w:lineRule="auto"/>
              <w:ind w:left="81"/>
              <w:rPr>
                <w:b/>
                <w:sz w:val="19"/>
              </w:rPr>
            </w:pPr>
            <w:r>
              <w:rPr>
                <w:b/>
                <w:color w:val="FFFFFF"/>
                <w:sz w:val="19"/>
              </w:rPr>
              <w:t xml:space="preserve">Number of </w:t>
            </w:r>
            <w:r>
              <w:rPr>
                <w:b/>
                <w:color w:val="FFFFFF"/>
                <w:spacing w:val="-2"/>
                <w:sz w:val="19"/>
              </w:rPr>
              <w:t>transactions</w:t>
            </w:r>
          </w:p>
        </w:tc>
        <w:tc>
          <w:tcPr>
            <w:tcW w:w="1417" w:type="dxa"/>
            <w:tcBorders>
              <w:top w:val="nil"/>
              <w:bottom w:val="nil"/>
            </w:tcBorders>
            <w:shd w:val="clear" w:color="auto" w:fill="000000"/>
          </w:tcPr>
          <w:p w14:paraId="3452C101" w14:textId="77777777" w:rsidR="009D54AF" w:rsidRDefault="00000000">
            <w:pPr>
              <w:pStyle w:val="TableParagraph"/>
              <w:spacing w:before="50" w:line="230" w:lineRule="auto"/>
              <w:ind w:left="81"/>
              <w:rPr>
                <w:b/>
                <w:sz w:val="19"/>
              </w:rPr>
            </w:pPr>
            <w:r>
              <w:rPr>
                <w:b/>
                <w:color w:val="FFFFFF"/>
                <w:spacing w:val="-2"/>
                <w:sz w:val="19"/>
              </w:rPr>
              <w:t>Transaction value</w:t>
            </w:r>
          </w:p>
        </w:tc>
        <w:tc>
          <w:tcPr>
            <w:tcW w:w="3515" w:type="dxa"/>
            <w:tcBorders>
              <w:top w:val="nil"/>
              <w:bottom w:val="nil"/>
              <w:right w:val="nil"/>
            </w:tcBorders>
            <w:shd w:val="clear" w:color="auto" w:fill="000000"/>
          </w:tcPr>
          <w:p w14:paraId="65C2FFFA" w14:textId="77777777" w:rsidR="009D54AF" w:rsidRDefault="009D54AF">
            <w:pPr>
              <w:pStyle w:val="TableParagraph"/>
              <w:spacing w:before="34"/>
              <w:rPr>
                <w:sz w:val="19"/>
              </w:rPr>
            </w:pPr>
          </w:p>
          <w:p w14:paraId="04E31801" w14:textId="77777777" w:rsidR="009D54AF" w:rsidRDefault="00000000">
            <w:pPr>
              <w:pStyle w:val="TableParagraph"/>
              <w:ind w:left="81"/>
              <w:rPr>
                <w:b/>
                <w:sz w:val="19"/>
              </w:rPr>
            </w:pPr>
            <w:r>
              <w:rPr>
                <w:b/>
                <w:color w:val="FFFFFF"/>
                <w:spacing w:val="-2"/>
                <w:sz w:val="19"/>
              </w:rPr>
              <w:t>Description</w:t>
            </w:r>
          </w:p>
        </w:tc>
      </w:tr>
      <w:tr w:rsidR="009D54AF" w14:paraId="63F1ECF9" w14:textId="77777777">
        <w:trPr>
          <w:trHeight w:val="1133"/>
        </w:trPr>
        <w:tc>
          <w:tcPr>
            <w:tcW w:w="1417" w:type="dxa"/>
            <w:tcBorders>
              <w:top w:val="nil"/>
              <w:left w:val="nil"/>
              <w:bottom w:val="single" w:sz="2" w:space="0" w:color="000000"/>
              <w:right w:val="single" w:sz="2" w:space="0" w:color="000000"/>
            </w:tcBorders>
          </w:tcPr>
          <w:p w14:paraId="3D673E8A" w14:textId="77777777" w:rsidR="009D54AF" w:rsidRDefault="00000000">
            <w:pPr>
              <w:pStyle w:val="TableParagraph"/>
              <w:spacing w:before="33"/>
              <w:ind w:left="85"/>
              <w:rPr>
                <w:sz w:val="19"/>
              </w:rPr>
            </w:pPr>
            <w:r>
              <w:rPr>
                <w:spacing w:val="-2"/>
                <w:sz w:val="19"/>
              </w:rPr>
              <w:t>100362</w:t>
            </w:r>
          </w:p>
        </w:tc>
        <w:tc>
          <w:tcPr>
            <w:tcW w:w="2267" w:type="dxa"/>
            <w:tcBorders>
              <w:top w:val="nil"/>
              <w:left w:val="single" w:sz="2" w:space="0" w:color="000000"/>
              <w:bottom w:val="single" w:sz="2" w:space="0" w:color="000000"/>
              <w:right w:val="single" w:sz="2" w:space="0" w:color="000000"/>
            </w:tcBorders>
          </w:tcPr>
          <w:p w14:paraId="3CD6F83E" w14:textId="77777777" w:rsidR="009D54AF" w:rsidRDefault="00000000">
            <w:pPr>
              <w:pStyle w:val="TableParagraph"/>
              <w:spacing w:before="40" w:line="230" w:lineRule="auto"/>
              <w:ind w:left="82" w:right="298"/>
              <w:rPr>
                <w:sz w:val="19"/>
              </w:rPr>
            </w:pPr>
            <w:r>
              <w:rPr>
                <w:sz w:val="19"/>
              </w:rPr>
              <w:t>Department</w:t>
            </w:r>
            <w:r>
              <w:rPr>
                <w:spacing w:val="-9"/>
                <w:sz w:val="19"/>
              </w:rPr>
              <w:t xml:space="preserve"> </w:t>
            </w:r>
            <w:r>
              <w:rPr>
                <w:sz w:val="19"/>
              </w:rPr>
              <w:t>of</w:t>
            </w:r>
            <w:r>
              <w:rPr>
                <w:spacing w:val="-9"/>
                <w:sz w:val="19"/>
              </w:rPr>
              <w:t xml:space="preserve"> </w:t>
            </w:r>
            <w:r>
              <w:rPr>
                <w:sz w:val="19"/>
              </w:rPr>
              <w:t>Health, Disability and Ageing</w:t>
            </w:r>
          </w:p>
        </w:tc>
        <w:tc>
          <w:tcPr>
            <w:tcW w:w="1417" w:type="dxa"/>
            <w:tcBorders>
              <w:top w:val="nil"/>
              <w:left w:val="single" w:sz="2" w:space="0" w:color="000000"/>
              <w:bottom w:val="single" w:sz="2" w:space="0" w:color="000000"/>
              <w:right w:val="single" w:sz="2" w:space="0" w:color="000000"/>
            </w:tcBorders>
          </w:tcPr>
          <w:p w14:paraId="1DFE40A3" w14:textId="77777777" w:rsidR="009D54AF" w:rsidRDefault="00000000">
            <w:pPr>
              <w:pStyle w:val="TableParagraph"/>
              <w:spacing w:before="33"/>
              <w:ind w:right="95"/>
              <w:jc w:val="right"/>
              <w:rPr>
                <w:sz w:val="19"/>
              </w:rPr>
            </w:pPr>
            <w:r>
              <w:rPr>
                <w:spacing w:val="-5"/>
                <w:sz w:val="19"/>
              </w:rPr>
              <w:t>11</w:t>
            </w:r>
          </w:p>
        </w:tc>
        <w:tc>
          <w:tcPr>
            <w:tcW w:w="1417" w:type="dxa"/>
            <w:tcBorders>
              <w:top w:val="nil"/>
              <w:left w:val="single" w:sz="2" w:space="0" w:color="000000"/>
              <w:bottom w:val="single" w:sz="2" w:space="0" w:color="000000"/>
              <w:right w:val="single" w:sz="2" w:space="0" w:color="000000"/>
            </w:tcBorders>
          </w:tcPr>
          <w:p w14:paraId="3E026616" w14:textId="77777777" w:rsidR="009D54AF" w:rsidRDefault="00000000">
            <w:pPr>
              <w:pStyle w:val="TableParagraph"/>
              <w:spacing w:before="33"/>
              <w:ind w:left="389"/>
              <w:rPr>
                <w:sz w:val="19"/>
              </w:rPr>
            </w:pPr>
            <w:r>
              <w:rPr>
                <w:spacing w:val="-2"/>
                <w:sz w:val="19"/>
              </w:rPr>
              <w:t>$1,436,783</w:t>
            </w:r>
          </w:p>
        </w:tc>
        <w:tc>
          <w:tcPr>
            <w:tcW w:w="3515" w:type="dxa"/>
            <w:tcBorders>
              <w:top w:val="nil"/>
              <w:left w:val="single" w:sz="2" w:space="0" w:color="000000"/>
              <w:bottom w:val="single" w:sz="2" w:space="0" w:color="000000"/>
              <w:right w:val="nil"/>
            </w:tcBorders>
          </w:tcPr>
          <w:p w14:paraId="7D132EA8" w14:textId="77777777" w:rsidR="009D54AF" w:rsidRDefault="00000000">
            <w:pPr>
              <w:pStyle w:val="TableParagraph"/>
              <w:spacing w:before="40" w:line="230" w:lineRule="auto"/>
              <w:ind w:left="84" w:right="308"/>
              <w:rPr>
                <w:sz w:val="19"/>
              </w:rPr>
            </w:pPr>
            <w:r>
              <w:rPr>
                <w:sz w:val="19"/>
              </w:rPr>
              <w:t xml:space="preserve">Payments processed in 2025–26 for corporate services received from the Department of Health, Disability and Ageing under the shared services </w:t>
            </w:r>
            <w:r>
              <w:rPr>
                <w:spacing w:val="-2"/>
                <w:sz w:val="19"/>
              </w:rPr>
              <w:t>agreement.</w:t>
            </w:r>
          </w:p>
        </w:tc>
      </w:tr>
    </w:tbl>
    <w:p w14:paraId="531CF5BB" w14:textId="77777777" w:rsidR="009D54AF" w:rsidRDefault="00000000" w:rsidP="003C630B">
      <w:pPr>
        <w:pStyle w:val="Heading1"/>
      </w:pPr>
      <w:bookmarkStart w:id="79" w:name="_Appendix_B:_Freedom"/>
      <w:bookmarkStart w:id="80" w:name="_Toc243037292"/>
      <w:bookmarkEnd w:id="79"/>
      <w:r>
        <w:t>Appendix</w:t>
      </w:r>
      <w:r>
        <w:rPr>
          <w:spacing w:val="-24"/>
        </w:rPr>
        <w:t xml:space="preserve"> </w:t>
      </w:r>
      <w:r>
        <w:t>B:</w:t>
      </w:r>
      <w:r>
        <w:rPr>
          <w:spacing w:val="-21"/>
        </w:rPr>
        <w:t xml:space="preserve"> </w:t>
      </w:r>
      <w:r>
        <w:t>Freedom</w:t>
      </w:r>
      <w:r>
        <w:rPr>
          <w:spacing w:val="-22"/>
        </w:rPr>
        <w:t xml:space="preserve"> </w:t>
      </w:r>
      <w:r>
        <w:t>of</w:t>
      </w:r>
      <w:r>
        <w:rPr>
          <w:spacing w:val="-21"/>
        </w:rPr>
        <w:t xml:space="preserve"> </w:t>
      </w:r>
      <w:r>
        <w:t>information</w:t>
      </w:r>
      <w:r>
        <w:rPr>
          <w:spacing w:val="-21"/>
        </w:rPr>
        <w:t xml:space="preserve"> </w:t>
      </w:r>
      <w:r>
        <w:t>summary</w:t>
      </w:r>
      <w:bookmarkEnd w:id="80"/>
    </w:p>
    <w:p w14:paraId="190BE8A5" w14:textId="77777777" w:rsidR="009D54AF" w:rsidRDefault="00000000">
      <w:pPr>
        <w:pStyle w:val="BodyText"/>
        <w:spacing w:before="169" w:line="278" w:lineRule="auto"/>
        <w:ind w:left="142" w:right="285"/>
      </w:pPr>
      <w:r>
        <w:t>Table</w:t>
      </w:r>
      <w:r>
        <w:rPr>
          <w:spacing w:val="-3"/>
        </w:rPr>
        <w:t xml:space="preserve"> </w:t>
      </w:r>
      <w:r>
        <w:t>12</w:t>
      </w:r>
      <w:r>
        <w:rPr>
          <w:spacing w:val="-3"/>
        </w:rPr>
        <w:t xml:space="preserve"> </w:t>
      </w:r>
      <w:proofErr w:type="spellStart"/>
      <w:r>
        <w:t>summarises</w:t>
      </w:r>
      <w:proofErr w:type="spellEnd"/>
      <w:r>
        <w:rPr>
          <w:spacing w:val="-3"/>
        </w:rPr>
        <w:t xml:space="preserve"> </w:t>
      </w:r>
      <w:r>
        <w:t>freedom</w:t>
      </w:r>
      <w:r>
        <w:rPr>
          <w:spacing w:val="-3"/>
        </w:rPr>
        <w:t xml:space="preserve"> </w:t>
      </w:r>
      <w:r>
        <w:t>of</w:t>
      </w:r>
      <w:r>
        <w:rPr>
          <w:spacing w:val="-3"/>
        </w:rPr>
        <w:t xml:space="preserve"> </w:t>
      </w:r>
      <w:r>
        <w:t>information</w:t>
      </w:r>
      <w:r>
        <w:rPr>
          <w:spacing w:val="-3"/>
        </w:rPr>
        <w:t xml:space="preserve"> </w:t>
      </w:r>
      <w:r>
        <w:t>requests</w:t>
      </w:r>
      <w:r>
        <w:rPr>
          <w:spacing w:val="-3"/>
        </w:rPr>
        <w:t xml:space="preserve"> </w:t>
      </w:r>
      <w:r>
        <w:t>and</w:t>
      </w:r>
      <w:r>
        <w:rPr>
          <w:spacing w:val="-3"/>
        </w:rPr>
        <w:t xml:space="preserve"> </w:t>
      </w:r>
      <w:r>
        <w:t>their</w:t>
      </w:r>
      <w:r>
        <w:rPr>
          <w:spacing w:val="-3"/>
        </w:rPr>
        <w:t xml:space="preserve"> </w:t>
      </w:r>
      <w:r>
        <w:t>outcomes</w:t>
      </w:r>
      <w:r>
        <w:rPr>
          <w:spacing w:val="-3"/>
        </w:rPr>
        <w:t xml:space="preserve"> </w:t>
      </w:r>
      <w:r>
        <w:t>for</w:t>
      </w:r>
      <w:r>
        <w:rPr>
          <w:spacing w:val="-3"/>
        </w:rPr>
        <w:t xml:space="preserve"> </w:t>
      </w:r>
      <w:r>
        <w:t>2025–26,</w:t>
      </w:r>
      <w:r>
        <w:rPr>
          <w:spacing w:val="-3"/>
        </w:rPr>
        <w:t xml:space="preserve"> </w:t>
      </w:r>
      <w:r>
        <w:t>as</w:t>
      </w:r>
      <w:r>
        <w:rPr>
          <w:spacing w:val="-3"/>
        </w:rPr>
        <w:t xml:space="preserve"> </w:t>
      </w:r>
      <w:r>
        <w:t>discussed</w:t>
      </w:r>
      <w:r>
        <w:rPr>
          <w:spacing w:val="-3"/>
        </w:rPr>
        <w:t xml:space="preserve"> </w:t>
      </w:r>
      <w:r>
        <w:t>on page 93.</w:t>
      </w:r>
    </w:p>
    <w:p w14:paraId="78E8B005" w14:textId="77777777" w:rsidR="009D54AF" w:rsidRDefault="00000000">
      <w:pPr>
        <w:spacing w:before="221"/>
        <w:ind w:left="142"/>
        <w:rPr>
          <w:sz w:val="19"/>
        </w:rPr>
      </w:pPr>
      <w:r>
        <w:rPr>
          <w:b/>
          <w:sz w:val="19"/>
        </w:rPr>
        <w:t>Table</w:t>
      </w:r>
      <w:r>
        <w:rPr>
          <w:b/>
          <w:spacing w:val="-1"/>
          <w:sz w:val="19"/>
        </w:rPr>
        <w:t xml:space="preserve"> </w:t>
      </w:r>
      <w:r>
        <w:rPr>
          <w:b/>
          <w:sz w:val="19"/>
        </w:rPr>
        <w:t xml:space="preserve">12 </w:t>
      </w:r>
      <w:r>
        <w:rPr>
          <w:sz w:val="19"/>
        </w:rPr>
        <w:t>Freedom</w:t>
      </w:r>
      <w:r>
        <w:rPr>
          <w:spacing w:val="-1"/>
          <w:sz w:val="19"/>
        </w:rPr>
        <w:t xml:space="preserve"> </w:t>
      </w:r>
      <w:r>
        <w:rPr>
          <w:sz w:val="19"/>
        </w:rPr>
        <w:t>of information</w:t>
      </w:r>
      <w:r>
        <w:rPr>
          <w:spacing w:val="-1"/>
          <w:sz w:val="19"/>
        </w:rPr>
        <w:t xml:space="preserve"> </w:t>
      </w:r>
      <w:r>
        <w:rPr>
          <w:sz w:val="19"/>
        </w:rPr>
        <w:t>summary, 2025–</w:t>
      </w:r>
      <w:r>
        <w:rPr>
          <w:spacing w:val="-5"/>
          <w:sz w:val="19"/>
        </w:rPr>
        <w:t>26</w:t>
      </w:r>
    </w:p>
    <w:p w14:paraId="11B5A4DC" w14:textId="77777777" w:rsidR="009D54AF" w:rsidRDefault="009D54AF">
      <w:pPr>
        <w:pStyle w:val="BodyText"/>
        <w:spacing w:before="2"/>
        <w:rPr>
          <w:sz w:val="8"/>
        </w:rPr>
      </w:pPr>
    </w:p>
    <w:tbl>
      <w:tblPr>
        <w:tblW w:w="0" w:type="auto"/>
        <w:tblInd w:w="149"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CellMar>
          <w:left w:w="0" w:type="dxa"/>
          <w:right w:w="0" w:type="dxa"/>
        </w:tblCellMar>
        <w:tblLook w:val="01E0" w:firstRow="1" w:lastRow="1" w:firstColumn="1" w:lastColumn="1" w:noHBand="0" w:noVBand="0"/>
      </w:tblPr>
      <w:tblGrid>
        <w:gridCol w:w="8901"/>
        <w:gridCol w:w="1134"/>
      </w:tblGrid>
      <w:tr w:rsidR="009D54AF" w14:paraId="617EB944" w14:textId="77777777">
        <w:trPr>
          <w:trHeight w:val="436"/>
        </w:trPr>
        <w:tc>
          <w:tcPr>
            <w:tcW w:w="8901" w:type="dxa"/>
            <w:tcBorders>
              <w:top w:val="nil"/>
              <w:left w:val="nil"/>
              <w:bottom w:val="nil"/>
            </w:tcBorders>
            <w:shd w:val="clear" w:color="auto" w:fill="000000"/>
          </w:tcPr>
          <w:p w14:paraId="008234E9" w14:textId="77777777" w:rsidR="009D54AF" w:rsidRDefault="00000000">
            <w:pPr>
              <w:pStyle w:val="TableParagraph"/>
              <w:spacing w:before="108"/>
              <w:ind w:left="85"/>
              <w:rPr>
                <w:b/>
                <w:sz w:val="19"/>
              </w:rPr>
            </w:pPr>
            <w:r>
              <w:rPr>
                <w:b/>
                <w:color w:val="FFFFFF"/>
                <w:spacing w:val="-2"/>
                <w:sz w:val="19"/>
              </w:rPr>
              <w:t>Activity</w:t>
            </w:r>
          </w:p>
        </w:tc>
        <w:tc>
          <w:tcPr>
            <w:tcW w:w="1134" w:type="dxa"/>
            <w:tcBorders>
              <w:top w:val="nil"/>
              <w:bottom w:val="nil"/>
              <w:right w:val="nil"/>
            </w:tcBorders>
            <w:shd w:val="clear" w:color="auto" w:fill="000000"/>
          </w:tcPr>
          <w:p w14:paraId="1E348FD6" w14:textId="77777777" w:rsidR="009D54AF" w:rsidRDefault="00000000">
            <w:pPr>
              <w:pStyle w:val="TableParagraph"/>
              <w:spacing w:before="108"/>
              <w:ind w:left="51" w:right="52"/>
              <w:jc w:val="center"/>
              <w:rPr>
                <w:b/>
                <w:sz w:val="19"/>
              </w:rPr>
            </w:pPr>
            <w:r>
              <w:rPr>
                <w:b/>
                <w:color w:val="FFFFFF"/>
                <w:spacing w:val="-2"/>
                <w:sz w:val="19"/>
              </w:rPr>
              <w:t>Number</w:t>
            </w:r>
          </w:p>
        </w:tc>
      </w:tr>
      <w:tr w:rsidR="009D54AF" w14:paraId="03AF8F6D" w14:textId="77777777">
        <w:trPr>
          <w:trHeight w:val="434"/>
        </w:trPr>
        <w:tc>
          <w:tcPr>
            <w:tcW w:w="10035" w:type="dxa"/>
            <w:gridSpan w:val="2"/>
            <w:tcBorders>
              <w:top w:val="nil"/>
              <w:left w:val="nil"/>
              <w:bottom w:val="single" w:sz="2" w:space="0" w:color="000000"/>
              <w:right w:val="nil"/>
            </w:tcBorders>
          </w:tcPr>
          <w:p w14:paraId="559657B5" w14:textId="77777777" w:rsidR="009D54AF" w:rsidRDefault="00000000">
            <w:pPr>
              <w:pStyle w:val="TableParagraph"/>
              <w:spacing w:before="108"/>
              <w:ind w:left="85"/>
              <w:rPr>
                <w:b/>
                <w:sz w:val="19"/>
              </w:rPr>
            </w:pPr>
            <w:r>
              <w:rPr>
                <w:b/>
                <w:spacing w:val="-2"/>
                <w:sz w:val="19"/>
              </w:rPr>
              <w:t>Requests</w:t>
            </w:r>
          </w:p>
        </w:tc>
      </w:tr>
      <w:tr w:rsidR="009D54AF" w14:paraId="4A684494" w14:textId="77777777">
        <w:trPr>
          <w:trHeight w:val="431"/>
        </w:trPr>
        <w:tc>
          <w:tcPr>
            <w:tcW w:w="8901" w:type="dxa"/>
            <w:tcBorders>
              <w:top w:val="single" w:sz="2" w:space="0" w:color="000000"/>
              <w:left w:val="nil"/>
              <w:bottom w:val="single" w:sz="2" w:space="0" w:color="000000"/>
              <w:right w:val="single" w:sz="2" w:space="0" w:color="000000"/>
            </w:tcBorders>
          </w:tcPr>
          <w:p w14:paraId="011E05D1" w14:textId="77777777" w:rsidR="009D54AF" w:rsidRDefault="00000000">
            <w:pPr>
              <w:pStyle w:val="TableParagraph"/>
              <w:spacing w:before="105"/>
              <w:ind w:left="85"/>
              <w:rPr>
                <w:sz w:val="19"/>
              </w:rPr>
            </w:pPr>
            <w:r>
              <w:rPr>
                <w:sz w:val="19"/>
              </w:rPr>
              <w:t>On hand</w:t>
            </w:r>
            <w:r>
              <w:rPr>
                <w:spacing w:val="1"/>
                <w:sz w:val="19"/>
              </w:rPr>
              <w:t xml:space="preserve"> </w:t>
            </w:r>
            <w:r>
              <w:rPr>
                <w:sz w:val="19"/>
              </w:rPr>
              <w:t>at 1</w:t>
            </w:r>
            <w:r>
              <w:rPr>
                <w:spacing w:val="1"/>
                <w:sz w:val="19"/>
              </w:rPr>
              <w:t xml:space="preserve"> </w:t>
            </w:r>
            <w:r>
              <w:rPr>
                <w:sz w:val="19"/>
              </w:rPr>
              <w:t>July</w:t>
            </w:r>
            <w:r>
              <w:rPr>
                <w:spacing w:val="1"/>
                <w:sz w:val="19"/>
              </w:rPr>
              <w:t xml:space="preserve"> </w:t>
            </w:r>
            <w:r>
              <w:rPr>
                <w:spacing w:val="-4"/>
                <w:sz w:val="19"/>
              </w:rPr>
              <w:t>2025</w:t>
            </w:r>
          </w:p>
        </w:tc>
        <w:tc>
          <w:tcPr>
            <w:tcW w:w="1134" w:type="dxa"/>
            <w:tcBorders>
              <w:top w:val="single" w:sz="2" w:space="0" w:color="000000"/>
              <w:left w:val="single" w:sz="2" w:space="0" w:color="000000"/>
              <w:bottom w:val="single" w:sz="2" w:space="0" w:color="000000"/>
              <w:right w:val="nil"/>
            </w:tcBorders>
          </w:tcPr>
          <w:p w14:paraId="77D1E5C2" w14:textId="77777777" w:rsidR="009D54AF" w:rsidRDefault="00000000">
            <w:pPr>
              <w:pStyle w:val="TableParagraph"/>
              <w:spacing w:before="106"/>
              <w:ind w:left="2" w:right="3"/>
              <w:jc w:val="center"/>
              <w:rPr>
                <w:sz w:val="19"/>
              </w:rPr>
            </w:pPr>
            <w:r>
              <w:rPr>
                <w:spacing w:val="-10"/>
                <w:sz w:val="19"/>
              </w:rPr>
              <w:t>0</w:t>
            </w:r>
          </w:p>
        </w:tc>
      </w:tr>
      <w:tr w:rsidR="009D54AF" w14:paraId="1BB65D7D" w14:textId="77777777">
        <w:trPr>
          <w:trHeight w:val="431"/>
        </w:trPr>
        <w:tc>
          <w:tcPr>
            <w:tcW w:w="8901" w:type="dxa"/>
            <w:tcBorders>
              <w:top w:val="single" w:sz="2" w:space="0" w:color="000000"/>
              <w:left w:val="nil"/>
              <w:bottom w:val="single" w:sz="2" w:space="0" w:color="000000"/>
              <w:right w:val="single" w:sz="2" w:space="0" w:color="000000"/>
            </w:tcBorders>
          </w:tcPr>
          <w:p w14:paraId="1D1BC5F2" w14:textId="77777777" w:rsidR="009D54AF" w:rsidRDefault="00000000">
            <w:pPr>
              <w:pStyle w:val="TableParagraph"/>
              <w:spacing w:before="105"/>
              <w:ind w:left="85"/>
              <w:rPr>
                <w:sz w:val="19"/>
              </w:rPr>
            </w:pPr>
            <w:r>
              <w:rPr>
                <w:sz w:val="19"/>
              </w:rPr>
              <w:t>New</w:t>
            </w:r>
            <w:r>
              <w:rPr>
                <w:spacing w:val="5"/>
                <w:sz w:val="19"/>
              </w:rPr>
              <w:t xml:space="preserve"> </w:t>
            </w:r>
            <w:r>
              <w:rPr>
                <w:sz w:val="19"/>
              </w:rPr>
              <w:t>requests</w:t>
            </w:r>
            <w:r>
              <w:rPr>
                <w:spacing w:val="5"/>
                <w:sz w:val="19"/>
              </w:rPr>
              <w:t xml:space="preserve"> </w:t>
            </w:r>
            <w:r>
              <w:rPr>
                <w:sz w:val="19"/>
              </w:rPr>
              <w:t>received</w:t>
            </w:r>
            <w:r>
              <w:rPr>
                <w:spacing w:val="6"/>
                <w:sz w:val="19"/>
              </w:rPr>
              <w:t xml:space="preserve"> </w:t>
            </w:r>
            <w:r>
              <w:rPr>
                <w:sz w:val="19"/>
              </w:rPr>
              <w:t>during</w:t>
            </w:r>
            <w:r>
              <w:rPr>
                <w:spacing w:val="5"/>
                <w:sz w:val="19"/>
              </w:rPr>
              <w:t xml:space="preserve"> </w:t>
            </w:r>
            <w:r>
              <w:rPr>
                <w:sz w:val="19"/>
              </w:rPr>
              <w:t>2025–26</w:t>
            </w:r>
            <w:r>
              <w:rPr>
                <w:spacing w:val="5"/>
                <w:sz w:val="19"/>
              </w:rPr>
              <w:t xml:space="preserve"> </w:t>
            </w:r>
            <w:r>
              <w:rPr>
                <w:sz w:val="19"/>
              </w:rPr>
              <w:t>FY</w:t>
            </w:r>
            <w:r>
              <w:rPr>
                <w:spacing w:val="6"/>
                <w:sz w:val="19"/>
              </w:rPr>
              <w:t xml:space="preserve"> </w:t>
            </w:r>
            <w:r>
              <w:rPr>
                <w:spacing w:val="-2"/>
                <w:sz w:val="19"/>
              </w:rPr>
              <w:t>period</w:t>
            </w:r>
          </w:p>
        </w:tc>
        <w:tc>
          <w:tcPr>
            <w:tcW w:w="1134" w:type="dxa"/>
            <w:tcBorders>
              <w:top w:val="single" w:sz="2" w:space="0" w:color="000000"/>
              <w:left w:val="single" w:sz="2" w:space="0" w:color="000000"/>
              <w:bottom w:val="single" w:sz="2" w:space="0" w:color="000000"/>
              <w:right w:val="nil"/>
            </w:tcBorders>
          </w:tcPr>
          <w:p w14:paraId="4D85A922" w14:textId="77777777" w:rsidR="009D54AF" w:rsidRDefault="00000000">
            <w:pPr>
              <w:pStyle w:val="TableParagraph"/>
              <w:spacing w:before="106"/>
              <w:ind w:left="2" w:right="3"/>
              <w:jc w:val="center"/>
              <w:rPr>
                <w:sz w:val="19"/>
              </w:rPr>
            </w:pPr>
            <w:r>
              <w:rPr>
                <w:spacing w:val="-10"/>
                <w:sz w:val="19"/>
              </w:rPr>
              <w:t>3</w:t>
            </w:r>
          </w:p>
        </w:tc>
      </w:tr>
      <w:tr w:rsidR="009D54AF" w14:paraId="13488898" w14:textId="77777777">
        <w:trPr>
          <w:trHeight w:val="431"/>
        </w:trPr>
        <w:tc>
          <w:tcPr>
            <w:tcW w:w="8901" w:type="dxa"/>
            <w:tcBorders>
              <w:top w:val="single" w:sz="2" w:space="0" w:color="000000"/>
              <w:left w:val="nil"/>
              <w:bottom w:val="single" w:sz="2" w:space="0" w:color="000000"/>
              <w:right w:val="single" w:sz="2" w:space="0" w:color="000000"/>
            </w:tcBorders>
          </w:tcPr>
          <w:p w14:paraId="3E2D399C" w14:textId="77777777" w:rsidR="009D54AF" w:rsidRDefault="00000000">
            <w:pPr>
              <w:pStyle w:val="TableParagraph"/>
              <w:spacing w:before="105"/>
              <w:ind w:left="85"/>
              <w:rPr>
                <w:sz w:val="19"/>
              </w:rPr>
            </w:pPr>
            <w:r>
              <w:rPr>
                <w:sz w:val="19"/>
              </w:rPr>
              <w:t>Total</w:t>
            </w:r>
            <w:r>
              <w:rPr>
                <w:spacing w:val="2"/>
                <w:sz w:val="19"/>
              </w:rPr>
              <w:t xml:space="preserve"> </w:t>
            </w:r>
            <w:r>
              <w:rPr>
                <w:sz w:val="19"/>
              </w:rPr>
              <w:t>requests</w:t>
            </w:r>
            <w:r>
              <w:rPr>
                <w:spacing w:val="3"/>
                <w:sz w:val="19"/>
              </w:rPr>
              <w:t xml:space="preserve"> </w:t>
            </w:r>
            <w:r>
              <w:rPr>
                <w:sz w:val="19"/>
              </w:rPr>
              <w:t>handled</w:t>
            </w:r>
            <w:r>
              <w:rPr>
                <w:spacing w:val="2"/>
                <w:sz w:val="19"/>
              </w:rPr>
              <w:t xml:space="preserve"> </w:t>
            </w:r>
            <w:r>
              <w:rPr>
                <w:sz w:val="19"/>
              </w:rPr>
              <w:t>during</w:t>
            </w:r>
            <w:r>
              <w:rPr>
                <w:spacing w:val="3"/>
                <w:sz w:val="19"/>
              </w:rPr>
              <w:t xml:space="preserve"> </w:t>
            </w:r>
            <w:r>
              <w:rPr>
                <w:sz w:val="19"/>
              </w:rPr>
              <w:t>2025–26</w:t>
            </w:r>
            <w:r>
              <w:rPr>
                <w:spacing w:val="2"/>
                <w:sz w:val="19"/>
              </w:rPr>
              <w:t xml:space="preserve"> </w:t>
            </w:r>
            <w:r>
              <w:rPr>
                <w:sz w:val="19"/>
              </w:rPr>
              <w:t>FY</w:t>
            </w:r>
            <w:r>
              <w:rPr>
                <w:spacing w:val="3"/>
                <w:sz w:val="19"/>
              </w:rPr>
              <w:t xml:space="preserve"> </w:t>
            </w:r>
            <w:r>
              <w:rPr>
                <w:spacing w:val="-2"/>
                <w:sz w:val="19"/>
              </w:rPr>
              <w:t>period</w:t>
            </w:r>
          </w:p>
        </w:tc>
        <w:tc>
          <w:tcPr>
            <w:tcW w:w="1134" w:type="dxa"/>
            <w:tcBorders>
              <w:top w:val="single" w:sz="2" w:space="0" w:color="000000"/>
              <w:left w:val="single" w:sz="2" w:space="0" w:color="000000"/>
              <w:bottom w:val="single" w:sz="2" w:space="0" w:color="000000"/>
              <w:right w:val="nil"/>
            </w:tcBorders>
          </w:tcPr>
          <w:p w14:paraId="6807EE29" w14:textId="77777777" w:rsidR="009D54AF" w:rsidRDefault="00000000">
            <w:pPr>
              <w:pStyle w:val="TableParagraph"/>
              <w:spacing w:before="106"/>
              <w:ind w:left="2" w:right="3"/>
              <w:jc w:val="center"/>
              <w:rPr>
                <w:sz w:val="19"/>
              </w:rPr>
            </w:pPr>
            <w:r>
              <w:rPr>
                <w:spacing w:val="-10"/>
                <w:sz w:val="19"/>
              </w:rPr>
              <w:t>3</w:t>
            </w:r>
          </w:p>
        </w:tc>
      </w:tr>
      <w:tr w:rsidR="009D54AF" w14:paraId="42BD6901" w14:textId="77777777">
        <w:trPr>
          <w:trHeight w:val="431"/>
        </w:trPr>
        <w:tc>
          <w:tcPr>
            <w:tcW w:w="8901" w:type="dxa"/>
            <w:tcBorders>
              <w:top w:val="single" w:sz="2" w:space="0" w:color="000000"/>
              <w:left w:val="nil"/>
              <w:bottom w:val="single" w:sz="2" w:space="0" w:color="000000"/>
              <w:right w:val="single" w:sz="2" w:space="0" w:color="000000"/>
            </w:tcBorders>
          </w:tcPr>
          <w:p w14:paraId="60ACDFB2" w14:textId="77777777" w:rsidR="009D54AF" w:rsidRDefault="00000000">
            <w:pPr>
              <w:pStyle w:val="TableParagraph"/>
              <w:spacing w:before="105"/>
              <w:ind w:left="85"/>
              <w:rPr>
                <w:sz w:val="19"/>
              </w:rPr>
            </w:pPr>
            <w:r>
              <w:rPr>
                <w:sz w:val="19"/>
              </w:rPr>
              <w:t>Total</w:t>
            </w:r>
            <w:r>
              <w:rPr>
                <w:spacing w:val="-1"/>
                <w:sz w:val="19"/>
              </w:rPr>
              <w:t xml:space="preserve"> </w:t>
            </w:r>
            <w:r>
              <w:rPr>
                <w:sz w:val="19"/>
              </w:rPr>
              <w:t>requests completed</w:t>
            </w:r>
            <w:r>
              <w:rPr>
                <w:spacing w:val="-1"/>
                <w:sz w:val="19"/>
              </w:rPr>
              <w:t xml:space="preserve"> </w:t>
            </w:r>
            <w:r>
              <w:rPr>
                <w:sz w:val="19"/>
              </w:rPr>
              <w:t>as at</w:t>
            </w:r>
            <w:r>
              <w:rPr>
                <w:spacing w:val="-1"/>
                <w:sz w:val="19"/>
              </w:rPr>
              <w:t xml:space="preserve"> </w:t>
            </w:r>
            <w:r>
              <w:rPr>
                <w:sz w:val="19"/>
              </w:rPr>
              <w:t xml:space="preserve">30 June </w:t>
            </w:r>
            <w:r>
              <w:rPr>
                <w:spacing w:val="-4"/>
                <w:sz w:val="19"/>
              </w:rPr>
              <w:t>2026</w:t>
            </w:r>
          </w:p>
        </w:tc>
        <w:tc>
          <w:tcPr>
            <w:tcW w:w="1134" w:type="dxa"/>
            <w:tcBorders>
              <w:top w:val="single" w:sz="2" w:space="0" w:color="000000"/>
              <w:left w:val="single" w:sz="2" w:space="0" w:color="000000"/>
              <w:bottom w:val="single" w:sz="2" w:space="0" w:color="000000"/>
              <w:right w:val="nil"/>
            </w:tcBorders>
          </w:tcPr>
          <w:p w14:paraId="630E9D82" w14:textId="77777777" w:rsidR="009D54AF" w:rsidRDefault="00000000">
            <w:pPr>
              <w:pStyle w:val="TableParagraph"/>
              <w:spacing w:before="106"/>
              <w:ind w:left="2" w:right="3"/>
              <w:jc w:val="center"/>
              <w:rPr>
                <w:sz w:val="19"/>
              </w:rPr>
            </w:pPr>
            <w:r>
              <w:rPr>
                <w:spacing w:val="-10"/>
                <w:sz w:val="19"/>
              </w:rPr>
              <w:t>3</w:t>
            </w:r>
          </w:p>
        </w:tc>
      </w:tr>
      <w:tr w:rsidR="009D54AF" w14:paraId="4AE6179C" w14:textId="77777777">
        <w:trPr>
          <w:trHeight w:val="431"/>
        </w:trPr>
        <w:tc>
          <w:tcPr>
            <w:tcW w:w="8901" w:type="dxa"/>
            <w:tcBorders>
              <w:top w:val="single" w:sz="2" w:space="0" w:color="000000"/>
              <w:left w:val="nil"/>
              <w:bottom w:val="single" w:sz="2" w:space="0" w:color="000000"/>
              <w:right w:val="single" w:sz="2" w:space="0" w:color="000000"/>
            </w:tcBorders>
          </w:tcPr>
          <w:p w14:paraId="777230F7" w14:textId="77777777" w:rsidR="009D54AF" w:rsidRDefault="00000000">
            <w:pPr>
              <w:pStyle w:val="TableParagraph"/>
              <w:spacing w:before="105"/>
              <w:ind w:left="85"/>
              <w:rPr>
                <w:sz w:val="19"/>
              </w:rPr>
            </w:pPr>
            <w:r>
              <w:rPr>
                <w:sz w:val="19"/>
              </w:rPr>
              <w:t>Total</w:t>
            </w:r>
            <w:r>
              <w:rPr>
                <w:spacing w:val="-1"/>
                <w:sz w:val="19"/>
              </w:rPr>
              <w:t xml:space="preserve"> </w:t>
            </w:r>
            <w:r>
              <w:rPr>
                <w:sz w:val="19"/>
              </w:rPr>
              <w:t>requests</w:t>
            </w:r>
            <w:r>
              <w:rPr>
                <w:spacing w:val="-1"/>
                <w:sz w:val="19"/>
              </w:rPr>
              <w:t xml:space="preserve"> </w:t>
            </w:r>
            <w:r>
              <w:rPr>
                <w:sz w:val="19"/>
              </w:rPr>
              <w:t>on</w:t>
            </w:r>
            <w:r>
              <w:rPr>
                <w:spacing w:val="-1"/>
                <w:sz w:val="19"/>
              </w:rPr>
              <w:t xml:space="preserve"> </w:t>
            </w:r>
            <w:r>
              <w:rPr>
                <w:sz w:val="19"/>
              </w:rPr>
              <w:t>hand as</w:t>
            </w:r>
            <w:r>
              <w:rPr>
                <w:spacing w:val="-1"/>
                <w:sz w:val="19"/>
              </w:rPr>
              <w:t xml:space="preserve"> </w:t>
            </w:r>
            <w:r>
              <w:rPr>
                <w:sz w:val="19"/>
              </w:rPr>
              <w:t>at</w:t>
            </w:r>
            <w:r>
              <w:rPr>
                <w:spacing w:val="-1"/>
                <w:sz w:val="19"/>
              </w:rPr>
              <w:t xml:space="preserve"> </w:t>
            </w:r>
            <w:r>
              <w:rPr>
                <w:sz w:val="19"/>
              </w:rPr>
              <w:t>30</w:t>
            </w:r>
            <w:r>
              <w:rPr>
                <w:spacing w:val="-1"/>
                <w:sz w:val="19"/>
              </w:rPr>
              <w:t xml:space="preserve"> </w:t>
            </w:r>
            <w:r>
              <w:rPr>
                <w:sz w:val="19"/>
              </w:rPr>
              <w:t xml:space="preserve">June </w:t>
            </w:r>
            <w:r>
              <w:rPr>
                <w:spacing w:val="-4"/>
                <w:sz w:val="19"/>
              </w:rPr>
              <w:t>2026</w:t>
            </w:r>
          </w:p>
        </w:tc>
        <w:tc>
          <w:tcPr>
            <w:tcW w:w="1134" w:type="dxa"/>
            <w:tcBorders>
              <w:top w:val="single" w:sz="2" w:space="0" w:color="000000"/>
              <w:left w:val="single" w:sz="2" w:space="0" w:color="000000"/>
              <w:bottom w:val="single" w:sz="2" w:space="0" w:color="000000"/>
              <w:right w:val="nil"/>
            </w:tcBorders>
          </w:tcPr>
          <w:p w14:paraId="72CD5941" w14:textId="77777777" w:rsidR="009D54AF" w:rsidRDefault="00000000">
            <w:pPr>
              <w:pStyle w:val="TableParagraph"/>
              <w:spacing w:before="106"/>
              <w:ind w:left="2" w:right="3"/>
              <w:jc w:val="center"/>
              <w:rPr>
                <w:sz w:val="19"/>
              </w:rPr>
            </w:pPr>
            <w:r>
              <w:rPr>
                <w:spacing w:val="-10"/>
                <w:sz w:val="19"/>
              </w:rPr>
              <w:t>0</w:t>
            </w:r>
          </w:p>
        </w:tc>
      </w:tr>
      <w:tr w:rsidR="009D54AF" w14:paraId="30E9F8D9" w14:textId="77777777">
        <w:trPr>
          <w:trHeight w:val="431"/>
        </w:trPr>
        <w:tc>
          <w:tcPr>
            <w:tcW w:w="10035" w:type="dxa"/>
            <w:gridSpan w:val="2"/>
            <w:tcBorders>
              <w:top w:val="single" w:sz="2" w:space="0" w:color="000000"/>
              <w:left w:val="nil"/>
              <w:bottom w:val="single" w:sz="2" w:space="0" w:color="000000"/>
              <w:right w:val="nil"/>
            </w:tcBorders>
          </w:tcPr>
          <w:p w14:paraId="7824A565" w14:textId="77777777" w:rsidR="009D54AF" w:rsidRDefault="00000000">
            <w:pPr>
              <w:pStyle w:val="TableParagraph"/>
              <w:spacing w:before="105"/>
              <w:ind w:left="85"/>
              <w:rPr>
                <w:b/>
                <w:sz w:val="19"/>
              </w:rPr>
            </w:pPr>
            <w:r>
              <w:rPr>
                <w:b/>
                <w:sz w:val="19"/>
              </w:rPr>
              <w:t>Action</w:t>
            </w:r>
            <w:r>
              <w:rPr>
                <w:b/>
                <w:spacing w:val="4"/>
                <w:sz w:val="19"/>
              </w:rPr>
              <w:t xml:space="preserve"> </w:t>
            </w:r>
            <w:r>
              <w:rPr>
                <w:b/>
                <w:sz w:val="19"/>
              </w:rPr>
              <w:t>of</w:t>
            </w:r>
            <w:r>
              <w:rPr>
                <w:b/>
                <w:spacing w:val="4"/>
                <w:sz w:val="19"/>
              </w:rPr>
              <w:t xml:space="preserve"> </w:t>
            </w:r>
            <w:r>
              <w:rPr>
                <w:b/>
                <w:spacing w:val="-2"/>
                <w:sz w:val="19"/>
              </w:rPr>
              <w:t>request</w:t>
            </w:r>
          </w:p>
        </w:tc>
      </w:tr>
      <w:tr w:rsidR="009D54AF" w14:paraId="01F941A9" w14:textId="77777777">
        <w:trPr>
          <w:trHeight w:val="431"/>
        </w:trPr>
        <w:tc>
          <w:tcPr>
            <w:tcW w:w="8901" w:type="dxa"/>
            <w:tcBorders>
              <w:top w:val="single" w:sz="2" w:space="0" w:color="000000"/>
              <w:left w:val="nil"/>
              <w:bottom w:val="single" w:sz="2" w:space="0" w:color="000000"/>
              <w:right w:val="single" w:sz="2" w:space="0" w:color="000000"/>
            </w:tcBorders>
          </w:tcPr>
          <w:p w14:paraId="1AFC58B4" w14:textId="77777777" w:rsidR="009D54AF" w:rsidRDefault="00000000">
            <w:pPr>
              <w:pStyle w:val="TableParagraph"/>
              <w:spacing w:before="105"/>
              <w:ind w:left="85"/>
              <w:rPr>
                <w:sz w:val="19"/>
              </w:rPr>
            </w:pPr>
            <w:r>
              <w:rPr>
                <w:sz w:val="19"/>
              </w:rPr>
              <w:t>Access</w:t>
            </w:r>
            <w:r>
              <w:rPr>
                <w:spacing w:val="1"/>
                <w:sz w:val="19"/>
              </w:rPr>
              <w:t xml:space="preserve"> </w:t>
            </w:r>
            <w:r>
              <w:rPr>
                <w:sz w:val="19"/>
              </w:rPr>
              <w:t>granted</w:t>
            </w:r>
            <w:r>
              <w:rPr>
                <w:spacing w:val="3"/>
                <w:sz w:val="19"/>
              </w:rPr>
              <w:t xml:space="preserve"> </w:t>
            </w:r>
            <w:r>
              <w:rPr>
                <w:sz w:val="19"/>
              </w:rPr>
              <w:t>in</w:t>
            </w:r>
            <w:r>
              <w:rPr>
                <w:spacing w:val="3"/>
                <w:sz w:val="19"/>
              </w:rPr>
              <w:t xml:space="preserve"> </w:t>
            </w:r>
            <w:r>
              <w:rPr>
                <w:spacing w:val="-4"/>
                <w:sz w:val="19"/>
              </w:rPr>
              <w:t>full</w:t>
            </w:r>
          </w:p>
        </w:tc>
        <w:tc>
          <w:tcPr>
            <w:tcW w:w="1134" w:type="dxa"/>
            <w:tcBorders>
              <w:top w:val="single" w:sz="2" w:space="0" w:color="000000"/>
              <w:left w:val="single" w:sz="2" w:space="0" w:color="000000"/>
              <w:bottom w:val="single" w:sz="2" w:space="0" w:color="000000"/>
              <w:right w:val="nil"/>
            </w:tcBorders>
          </w:tcPr>
          <w:p w14:paraId="5DE3A9E3" w14:textId="77777777" w:rsidR="009D54AF" w:rsidRDefault="00000000">
            <w:pPr>
              <w:pStyle w:val="TableParagraph"/>
              <w:spacing w:before="106"/>
              <w:ind w:left="2" w:right="3"/>
              <w:jc w:val="center"/>
              <w:rPr>
                <w:sz w:val="19"/>
              </w:rPr>
            </w:pPr>
            <w:r>
              <w:rPr>
                <w:spacing w:val="-10"/>
                <w:sz w:val="19"/>
              </w:rPr>
              <w:t>0</w:t>
            </w:r>
          </w:p>
        </w:tc>
      </w:tr>
      <w:tr w:rsidR="009D54AF" w14:paraId="755BAEAA" w14:textId="77777777">
        <w:trPr>
          <w:trHeight w:val="431"/>
        </w:trPr>
        <w:tc>
          <w:tcPr>
            <w:tcW w:w="8901" w:type="dxa"/>
            <w:tcBorders>
              <w:top w:val="single" w:sz="2" w:space="0" w:color="000000"/>
              <w:left w:val="nil"/>
              <w:bottom w:val="single" w:sz="2" w:space="0" w:color="000000"/>
              <w:right w:val="single" w:sz="2" w:space="0" w:color="000000"/>
            </w:tcBorders>
          </w:tcPr>
          <w:p w14:paraId="52589BDA" w14:textId="77777777" w:rsidR="009D54AF" w:rsidRDefault="00000000">
            <w:pPr>
              <w:pStyle w:val="TableParagraph"/>
              <w:spacing w:before="105"/>
              <w:ind w:left="85"/>
              <w:rPr>
                <w:sz w:val="19"/>
              </w:rPr>
            </w:pPr>
            <w:r>
              <w:rPr>
                <w:sz w:val="19"/>
              </w:rPr>
              <w:t>Access</w:t>
            </w:r>
            <w:r>
              <w:rPr>
                <w:spacing w:val="1"/>
                <w:sz w:val="19"/>
              </w:rPr>
              <w:t xml:space="preserve"> </w:t>
            </w:r>
            <w:r>
              <w:rPr>
                <w:sz w:val="19"/>
              </w:rPr>
              <w:t>granted</w:t>
            </w:r>
            <w:r>
              <w:rPr>
                <w:spacing w:val="3"/>
                <w:sz w:val="19"/>
              </w:rPr>
              <w:t xml:space="preserve"> </w:t>
            </w:r>
            <w:r>
              <w:rPr>
                <w:sz w:val="19"/>
              </w:rPr>
              <w:t>in</w:t>
            </w:r>
            <w:r>
              <w:rPr>
                <w:spacing w:val="3"/>
                <w:sz w:val="19"/>
              </w:rPr>
              <w:t xml:space="preserve"> </w:t>
            </w:r>
            <w:r>
              <w:rPr>
                <w:spacing w:val="-4"/>
                <w:sz w:val="19"/>
              </w:rPr>
              <w:t>part</w:t>
            </w:r>
          </w:p>
        </w:tc>
        <w:tc>
          <w:tcPr>
            <w:tcW w:w="1134" w:type="dxa"/>
            <w:tcBorders>
              <w:top w:val="single" w:sz="2" w:space="0" w:color="000000"/>
              <w:left w:val="single" w:sz="2" w:space="0" w:color="000000"/>
              <w:bottom w:val="single" w:sz="2" w:space="0" w:color="000000"/>
              <w:right w:val="nil"/>
            </w:tcBorders>
          </w:tcPr>
          <w:p w14:paraId="2C5FE186" w14:textId="77777777" w:rsidR="009D54AF" w:rsidRDefault="00000000">
            <w:pPr>
              <w:pStyle w:val="TableParagraph"/>
              <w:spacing w:before="106"/>
              <w:ind w:left="2" w:right="3"/>
              <w:jc w:val="center"/>
              <w:rPr>
                <w:sz w:val="19"/>
              </w:rPr>
            </w:pPr>
            <w:r>
              <w:rPr>
                <w:spacing w:val="-10"/>
                <w:sz w:val="19"/>
              </w:rPr>
              <w:t>3</w:t>
            </w:r>
          </w:p>
        </w:tc>
      </w:tr>
      <w:tr w:rsidR="009D54AF" w14:paraId="641BA5B6" w14:textId="77777777">
        <w:trPr>
          <w:trHeight w:val="431"/>
        </w:trPr>
        <w:tc>
          <w:tcPr>
            <w:tcW w:w="8901" w:type="dxa"/>
            <w:tcBorders>
              <w:top w:val="single" w:sz="2" w:space="0" w:color="000000"/>
              <w:left w:val="nil"/>
              <w:bottom w:val="single" w:sz="2" w:space="0" w:color="000000"/>
              <w:right w:val="single" w:sz="2" w:space="0" w:color="000000"/>
            </w:tcBorders>
          </w:tcPr>
          <w:p w14:paraId="5948998E" w14:textId="77777777" w:rsidR="009D54AF" w:rsidRDefault="00000000">
            <w:pPr>
              <w:pStyle w:val="TableParagraph"/>
              <w:spacing w:before="105"/>
              <w:ind w:left="85"/>
              <w:rPr>
                <w:sz w:val="19"/>
              </w:rPr>
            </w:pPr>
            <w:r>
              <w:rPr>
                <w:sz w:val="19"/>
              </w:rPr>
              <w:t>Access</w:t>
            </w:r>
            <w:r>
              <w:rPr>
                <w:spacing w:val="9"/>
                <w:sz w:val="19"/>
              </w:rPr>
              <w:t xml:space="preserve"> </w:t>
            </w:r>
            <w:r>
              <w:rPr>
                <w:spacing w:val="-2"/>
                <w:sz w:val="19"/>
              </w:rPr>
              <w:t>refused</w:t>
            </w:r>
          </w:p>
        </w:tc>
        <w:tc>
          <w:tcPr>
            <w:tcW w:w="1134" w:type="dxa"/>
            <w:tcBorders>
              <w:top w:val="single" w:sz="2" w:space="0" w:color="000000"/>
              <w:left w:val="single" w:sz="2" w:space="0" w:color="000000"/>
              <w:bottom w:val="single" w:sz="2" w:space="0" w:color="000000"/>
              <w:right w:val="nil"/>
            </w:tcBorders>
          </w:tcPr>
          <w:p w14:paraId="5137C8B5" w14:textId="77777777" w:rsidR="009D54AF" w:rsidRDefault="00000000">
            <w:pPr>
              <w:pStyle w:val="TableParagraph"/>
              <w:spacing w:before="106"/>
              <w:ind w:left="2" w:right="3"/>
              <w:jc w:val="center"/>
              <w:rPr>
                <w:sz w:val="19"/>
              </w:rPr>
            </w:pPr>
            <w:r>
              <w:rPr>
                <w:spacing w:val="-10"/>
                <w:sz w:val="19"/>
              </w:rPr>
              <w:t>0</w:t>
            </w:r>
          </w:p>
        </w:tc>
      </w:tr>
      <w:tr w:rsidR="009D54AF" w14:paraId="66A35EB8" w14:textId="77777777">
        <w:trPr>
          <w:trHeight w:val="431"/>
        </w:trPr>
        <w:tc>
          <w:tcPr>
            <w:tcW w:w="8901" w:type="dxa"/>
            <w:tcBorders>
              <w:top w:val="single" w:sz="2" w:space="0" w:color="000000"/>
              <w:left w:val="nil"/>
              <w:bottom w:val="single" w:sz="2" w:space="0" w:color="000000"/>
              <w:right w:val="single" w:sz="2" w:space="0" w:color="000000"/>
            </w:tcBorders>
          </w:tcPr>
          <w:p w14:paraId="13B12EC8" w14:textId="77777777" w:rsidR="009D54AF" w:rsidRDefault="00000000">
            <w:pPr>
              <w:pStyle w:val="TableParagraph"/>
              <w:spacing w:before="105"/>
              <w:ind w:left="85"/>
              <w:rPr>
                <w:sz w:val="19"/>
              </w:rPr>
            </w:pPr>
            <w:r>
              <w:rPr>
                <w:sz w:val="19"/>
              </w:rPr>
              <w:t>Access</w:t>
            </w:r>
            <w:r>
              <w:rPr>
                <w:spacing w:val="5"/>
                <w:sz w:val="19"/>
              </w:rPr>
              <w:t xml:space="preserve"> </w:t>
            </w:r>
            <w:r>
              <w:rPr>
                <w:sz w:val="19"/>
              </w:rPr>
              <w:t>transferred</w:t>
            </w:r>
            <w:r>
              <w:rPr>
                <w:spacing w:val="5"/>
                <w:sz w:val="19"/>
              </w:rPr>
              <w:t xml:space="preserve"> </w:t>
            </w:r>
            <w:r>
              <w:rPr>
                <w:sz w:val="19"/>
              </w:rPr>
              <w:t>in</w:t>
            </w:r>
            <w:r>
              <w:rPr>
                <w:spacing w:val="5"/>
                <w:sz w:val="19"/>
              </w:rPr>
              <w:t xml:space="preserve"> </w:t>
            </w:r>
            <w:r>
              <w:rPr>
                <w:spacing w:val="-4"/>
                <w:sz w:val="19"/>
              </w:rPr>
              <w:t>full</w:t>
            </w:r>
          </w:p>
        </w:tc>
        <w:tc>
          <w:tcPr>
            <w:tcW w:w="1134" w:type="dxa"/>
            <w:tcBorders>
              <w:top w:val="single" w:sz="2" w:space="0" w:color="000000"/>
              <w:left w:val="single" w:sz="2" w:space="0" w:color="000000"/>
              <w:bottom w:val="single" w:sz="2" w:space="0" w:color="000000"/>
              <w:right w:val="nil"/>
            </w:tcBorders>
          </w:tcPr>
          <w:p w14:paraId="0F5C6535" w14:textId="77777777" w:rsidR="009D54AF" w:rsidRDefault="00000000">
            <w:pPr>
              <w:pStyle w:val="TableParagraph"/>
              <w:spacing w:before="106"/>
              <w:ind w:left="2" w:right="3"/>
              <w:jc w:val="center"/>
              <w:rPr>
                <w:sz w:val="19"/>
              </w:rPr>
            </w:pPr>
            <w:r>
              <w:rPr>
                <w:spacing w:val="-10"/>
                <w:sz w:val="19"/>
              </w:rPr>
              <w:t>0</w:t>
            </w:r>
          </w:p>
        </w:tc>
      </w:tr>
      <w:tr w:rsidR="009D54AF" w14:paraId="6B3E9895" w14:textId="77777777">
        <w:trPr>
          <w:trHeight w:val="431"/>
        </w:trPr>
        <w:tc>
          <w:tcPr>
            <w:tcW w:w="8901" w:type="dxa"/>
            <w:tcBorders>
              <w:top w:val="single" w:sz="2" w:space="0" w:color="000000"/>
              <w:left w:val="nil"/>
              <w:bottom w:val="single" w:sz="2" w:space="0" w:color="000000"/>
              <w:right w:val="single" w:sz="2" w:space="0" w:color="000000"/>
            </w:tcBorders>
          </w:tcPr>
          <w:p w14:paraId="2475A917" w14:textId="77777777" w:rsidR="009D54AF" w:rsidRDefault="00000000">
            <w:pPr>
              <w:pStyle w:val="TableParagraph"/>
              <w:spacing w:before="105"/>
              <w:ind w:left="85"/>
              <w:rPr>
                <w:sz w:val="19"/>
              </w:rPr>
            </w:pPr>
            <w:r>
              <w:rPr>
                <w:sz w:val="19"/>
              </w:rPr>
              <w:t xml:space="preserve">Request </w:t>
            </w:r>
            <w:r>
              <w:rPr>
                <w:spacing w:val="-2"/>
                <w:sz w:val="19"/>
              </w:rPr>
              <w:t>withdrawn</w:t>
            </w:r>
          </w:p>
        </w:tc>
        <w:tc>
          <w:tcPr>
            <w:tcW w:w="1134" w:type="dxa"/>
            <w:tcBorders>
              <w:top w:val="single" w:sz="2" w:space="0" w:color="000000"/>
              <w:left w:val="single" w:sz="2" w:space="0" w:color="000000"/>
              <w:bottom w:val="single" w:sz="2" w:space="0" w:color="000000"/>
              <w:right w:val="nil"/>
            </w:tcBorders>
          </w:tcPr>
          <w:p w14:paraId="50E48E94" w14:textId="77777777" w:rsidR="009D54AF" w:rsidRDefault="00000000">
            <w:pPr>
              <w:pStyle w:val="TableParagraph"/>
              <w:spacing w:before="106"/>
              <w:ind w:left="2" w:right="3"/>
              <w:jc w:val="center"/>
              <w:rPr>
                <w:sz w:val="19"/>
              </w:rPr>
            </w:pPr>
            <w:r>
              <w:rPr>
                <w:spacing w:val="-10"/>
                <w:sz w:val="19"/>
              </w:rPr>
              <w:t>0</w:t>
            </w:r>
          </w:p>
        </w:tc>
      </w:tr>
      <w:tr w:rsidR="009D54AF" w14:paraId="275249EA" w14:textId="77777777">
        <w:trPr>
          <w:trHeight w:val="431"/>
        </w:trPr>
        <w:tc>
          <w:tcPr>
            <w:tcW w:w="8901" w:type="dxa"/>
            <w:tcBorders>
              <w:top w:val="single" w:sz="2" w:space="0" w:color="000000"/>
              <w:left w:val="nil"/>
              <w:bottom w:val="single" w:sz="2" w:space="0" w:color="000000"/>
              <w:right w:val="single" w:sz="2" w:space="0" w:color="000000"/>
            </w:tcBorders>
          </w:tcPr>
          <w:p w14:paraId="5B707DA5" w14:textId="77777777" w:rsidR="009D54AF" w:rsidRDefault="00000000">
            <w:pPr>
              <w:pStyle w:val="TableParagraph"/>
              <w:spacing w:before="105"/>
              <w:ind w:left="85"/>
              <w:rPr>
                <w:sz w:val="19"/>
              </w:rPr>
            </w:pPr>
            <w:r>
              <w:rPr>
                <w:sz w:val="19"/>
              </w:rPr>
              <w:t>No</w:t>
            </w:r>
            <w:r>
              <w:rPr>
                <w:spacing w:val="2"/>
                <w:sz w:val="19"/>
              </w:rPr>
              <w:t xml:space="preserve"> </w:t>
            </w:r>
            <w:r>
              <w:rPr>
                <w:spacing w:val="-2"/>
                <w:sz w:val="19"/>
              </w:rPr>
              <w:t>records</w:t>
            </w:r>
          </w:p>
        </w:tc>
        <w:tc>
          <w:tcPr>
            <w:tcW w:w="1134" w:type="dxa"/>
            <w:tcBorders>
              <w:top w:val="single" w:sz="2" w:space="0" w:color="000000"/>
              <w:left w:val="single" w:sz="2" w:space="0" w:color="000000"/>
              <w:bottom w:val="single" w:sz="2" w:space="0" w:color="000000"/>
              <w:right w:val="nil"/>
            </w:tcBorders>
          </w:tcPr>
          <w:p w14:paraId="059103FA" w14:textId="77777777" w:rsidR="009D54AF" w:rsidRDefault="00000000">
            <w:pPr>
              <w:pStyle w:val="TableParagraph"/>
              <w:spacing w:before="106"/>
              <w:ind w:left="2" w:right="3"/>
              <w:jc w:val="center"/>
              <w:rPr>
                <w:sz w:val="19"/>
              </w:rPr>
            </w:pPr>
            <w:r>
              <w:rPr>
                <w:spacing w:val="-10"/>
                <w:sz w:val="19"/>
              </w:rPr>
              <w:t>0</w:t>
            </w:r>
          </w:p>
        </w:tc>
      </w:tr>
      <w:tr w:rsidR="009D54AF" w14:paraId="2CF47EF9" w14:textId="77777777">
        <w:trPr>
          <w:trHeight w:val="431"/>
        </w:trPr>
        <w:tc>
          <w:tcPr>
            <w:tcW w:w="10035" w:type="dxa"/>
            <w:gridSpan w:val="2"/>
            <w:tcBorders>
              <w:top w:val="single" w:sz="2" w:space="0" w:color="000000"/>
              <w:left w:val="nil"/>
              <w:bottom w:val="single" w:sz="2" w:space="0" w:color="000000"/>
              <w:right w:val="nil"/>
            </w:tcBorders>
          </w:tcPr>
          <w:p w14:paraId="1AEA6369" w14:textId="77777777" w:rsidR="009D54AF" w:rsidRDefault="00000000">
            <w:pPr>
              <w:pStyle w:val="TableParagraph"/>
              <w:spacing w:before="105"/>
              <w:ind w:left="85"/>
              <w:rPr>
                <w:b/>
                <w:sz w:val="19"/>
              </w:rPr>
            </w:pPr>
            <w:r>
              <w:rPr>
                <w:b/>
                <w:sz w:val="19"/>
              </w:rPr>
              <w:t>Response</w:t>
            </w:r>
            <w:r>
              <w:rPr>
                <w:b/>
                <w:spacing w:val="8"/>
                <w:sz w:val="19"/>
              </w:rPr>
              <w:t xml:space="preserve"> </w:t>
            </w:r>
            <w:r>
              <w:rPr>
                <w:b/>
                <w:spacing w:val="-4"/>
                <w:sz w:val="19"/>
              </w:rPr>
              <w:t>time</w:t>
            </w:r>
          </w:p>
        </w:tc>
      </w:tr>
      <w:tr w:rsidR="009D54AF" w14:paraId="600E469A" w14:textId="77777777">
        <w:trPr>
          <w:trHeight w:val="431"/>
        </w:trPr>
        <w:tc>
          <w:tcPr>
            <w:tcW w:w="8901" w:type="dxa"/>
            <w:tcBorders>
              <w:top w:val="single" w:sz="2" w:space="0" w:color="000000"/>
              <w:left w:val="nil"/>
              <w:bottom w:val="single" w:sz="2" w:space="0" w:color="000000"/>
              <w:right w:val="single" w:sz="2" w:space="0" w:color="000000"/>
            </w:tcBorders>
          </w:tcPr>
          <w:p w14:paraId="3AB7E967" w14:textId="77777777" w:rsidR="009D54AF" w:rsidRDefault="00000000">
            <w:pPr>
              <w:pStyle w:val="TableParagraph"/>
              <w:spacing w:before="105"/>
              <w:ind w:left="85"/>
              <w:rPr>
                <w:sz w:val="19"/>
              </w:rPr>
            </w:pPr>
            <w:r>
              <w:rPr>
                <w:sz w:val="19"/>
              </w:rPr>
              <w:t>0–30</w:t>
            </w:r>
            <w:r>
              <w:rPr>
                <w:spacing w:val="20"/>
                <w:sz w:val="19"/>
              </w:rPr>
              <w:t xml:space="preserve"> </w:t>
            </w:r>
            <w:r>
              <w:rPr>
                <w:spacing w:val="-4"/>
                <w:sz w:val="19"/>
              </w:rPr>
              <w:t>days</w:t>
            </w:r>
          </w:p>
        </w:tc>
        <w:tc>
          <w:tcPr>
            <w:tcW w:w="1134" w:type="dxa"/>
            <w:tcBorders>
              <w:top w:val="single" w:sz="2" w:space="0" w:color="000000"/>
              <w:left w:val="single" w:sz="2" w:space="0" w:color="000000"/>
              <w:bottom w:val="single" w:sz="2" w:space="0" w:color="000000"/>
              <w:right w:val="nil"/>
            </w:tcBorders>
          </w:tcPr>
          <w:p w14:paraId="3C81F12E" w14:textId="77777777" w:rsidR="009D54AF" w:rsidRDefault="00000000">
            <w:pPr>
              <w:pStyle w:val="TableParagraph"/>
              <w:spacing w:before="106"/>
              <w:ind w:left="2" w:right="3"/>
              <w:jc w:val="center"/>
              <w:rPr>
                <w:sz w:val="19"/>
              </w:rPr>
            </w:pPr>
            <w:r>
              <w:rPr>
                <w:spacing w:val="-10"/>
                <w:sz w:val="19"/>
              </w:rPr>
              <w:t>2</w:t>
            </w:r>
          </w:p>
        </w:tc>
      </w:tr>
      <w:tr w:rsidR="009D54AF" w14:paraId="69052FF8" w14:textId="77777777">
        <w:trPr>
          <w:trHeight w:val="431"/>
        </w:trPr>
        <w:tc>
          <w:tcPr>
            <w:tcW w:w="8901" w:type="dxa"/>
            <w:tcBorders>
              <w:top w:val="single" w:sz="2" w:space="0" w:color="000000"/>
              <w:left w:val="nil"/>
              <w:bottom w:val="single" w:sz="2" w:space="0" w:color="000000"/>
              <w:right w:val="single" w:sz="2" w:space="0" w:color="000000"/>
            </w:tcBorders>
          </w:tcPr>
          <w:p w14:paraId="1EB77A6F" w14:textId="77777777" w:rsidR="009D54AF" w:rsidRDefault="00000000">
            <w:pPr>
              <w:pStyle w:val="TableParagraph"/>
              <w:spacing w:before="105"/>
              <w:ind w:left="85"/>
              <w:rPr>
                <w:sz w:val="19"/>
              </w:rPr>
            </w:pPr>
            <w:r>
              <w:rPr>
                <w:sz w:val="19"/>
              </w:rPr>
              <w:t>30–60</w:t>
            </w:r>
            <w:r>
              <w:rPr>
                <w:spacing w:val="28"/>
                <w:sz w:val="19"/>
              </w:rPr>
              <w:t xml:space="preserve"> </w:t>
            </w:r>
            <w:r>
              <w:rPr>
                <w:spacing w:val="-4"/>
                <w:sz w:val="19"/>
              </w:rPr>
              <w:t>days</w:t>
            </w:r>
          </w:p>
        </w:tc>
        <w:tc>
          <w:tcPr>
            <w:tcW w:w="1134" w:type="dxa"/>
            <w:tcBorders>
              <w:top w:val="single" w:sz="2" w:space="0" w:color="000000"/>
              <w:left w:val="single" w:sz="2" w:space="0" w:color="000000"/>
              <w:bottom w:val="single" w:sz="2" w:space="0" w:color="000000"/>
              <w:right w:val="nil"/>
            </w:tcBorders>
          </w:tcPr>
          <w:p w14:paraId="7FE0AACB" w14:textId="77777777" w:rsidR="009D54AF" w:rsidRDefault="00000000">
            <w:pPr>
              <w:pStyle w:val="TableParagraph"/>
              <w:spacing w:before="106"/>
              <w:ind w:left="2" w:right="3"/>
              <w:jc w:val="center"/>
              <w:rPr>
                <w:sz w:val="19"/>
              </w:rPr>
            </w:pPr>
            <w:r>
              <w:rPr>
                <w:spacing w:val="-10"/>
                <w:sz w:val="19"/>
              </w:rPr>
              <w:t>1</w:t>
            </w:r>
          </w:p>
        </w:tc>
      </w:tr>
    </w:tbl>
    <w:p w14:paraId="070E319C" w14:textId="77777777" w:rsidR="009D54AF" w:rsidRDefault="00000000" w:rsidP="003C630B">
      <w:pPr>
        <w:pStyle w:val="Heading1"/>
      </w:pPr>
      <w:bookmarkStart w:id="81" w:name="_Appendix_C:_Compliance"/>
      <w:bookmarkStart w:id="82" w:name="_Toc243037293"/>
      <w:bookmarkEnd w:id="81"/>
      <w:r>
        <w:lastRenderedPageBreak/>
        <w:t>Appendix</w:t>
      </w:r>
      <w:r>
        <w:rPr>
          <w:spacing w:val="-21"/>
        </w:rPr>
        <w:t xml:space="preserve"> </w:t>
      </w:r>
      <w:r>
        <w:t>C:</w:t>
      </w:r>
      <w:r>
        <w:rPr>
          <w:spacing w:val="-21"/>
        </w:rPr>
        <w:t xml:space="preserve"> </w:t>
      </w:r>
      <w:r>
        <w:t>Compliance</w:t>
      </w:r>
      <w:r>
        <w:rPr>
          <w:spacing w:val="-21"/>
        </w:rPr>
        <w:t xml:space="preserve"> </w:t>
      </w:r>
      <w:r>
        <w:t>with</w:t>
      </w:r>
      <w:r>
        <w:rPr>
          <w:spacing w:val="-21"/>
        </w:rPr>
        <w:t xml:space="preserve"> </w:t>
      </w:r>
      <w:r>
        <w:t>ecologically sustainable development</w:t>
      </w:r>
      <w:bookmarkEnd w:id="82"/>
    </w:p>
    <w:p w14:paraId="680F429A" w14:textId="77777777" w:rsidR="009D54AF" w:rsidRDefault="00000000">
      <w:pPr>
        <w:spacing w:before="66" w:line="278" w:lineRule="auto"/>
        <w:ind w:left="142" w:right="214"/>
        <w:rPr>
          <w:sz w:val="21"/>
        </w:rPr>
      </w:pPr>
      <w:r>
        <w:rPr>
          <w:sz w:val="21"/>
        </w:rPr>
        <w:t>The Commission is committed to making a positive contribution to ecological sustainability. Table 13 details the</w:t>
      </w:r>
      <w:r>
        <w:rPr>
          <w:spacing w:val="-12"/>
          <w:sz w:val="21"/>
        </w:rPr>
        <w:t xml:space="preserve"> </w:t>
      </w:r>
      <w:r>
        <w:rPr>
          <w:sz w:val="21"/>
        </w:rPr>
        <w:t>Commission’s</w:t>
      </w:r>
      <w:r>
        <w:rPr>
          <w:spacing w:val="-11"/>
          <w:sz w:val="21"/>
        </w:rPr>
        <w:t xml:space="preserve"> </w:t>
      </w:r>
      <w:r>
        <w:rPr>
          <w:sz w:val="21"/>
        </w:rPr>
        <w:t>activities</w:t>
      </w:r>
      <w:r>
        <w:rPr>
          <w:spacing w:val="-11"/>
          <w:sz w:val="21"/>
        </w:rPr>
        <w:t xml:space="preserve"> </w:t>
      </w:r>
      <w:r>
        <w:rPr>
          <w:sz w:val="21"/>
        </w:rPr>
        <w:t>in</w:t>
      </w:r>
      <w:r>
        <w:rPr>
          <w:spacing w:val="-11"/>
          <w:sz w:val="21"/>
        </w:rPr>
        <w:t xml:space="preserve"> </w:t>
      </w:r>
      <w:r>
        <w:rPr>
          <w:sz w:val="21"/>
        </w:rPr>
        <w:t>accordance</w:t>
      </w:r>
      <w:r>
        <w:rPr>
          <w:spacing w:val="-11"/>
          <w:sz w:val="21"/>
        </w:rPr>
        <w:t xml:space="preserve"> </w:t>
      </w:r>
      <w:r>
        <w:rPr>
          <w:sz w:val="21"/>
        </w:rPr>
        <w:t>with</w:t>
      </w:r>
      <w:r>
        <w:rPr>
          <w:spacing w:val="-11"/>
          <w:sz w:val="21"/>
        </w:rPr>
        <w:t xml:space="preserve"> </w:t>
      </w:r>
      <w:r>
        <w:rPr>
          <w:sz w:val="21"/>
        </w:rPr>
        <w:t>section</w:t>
      </w:r>
      <w:r>
        <w:rPr>
          <w:spacing w:val="-15"/>
          <w:sz w:val="21"/>
        </w:rPr>
        <w:t xml:space="preserve"> </w:t>
      </w:r>
      <w:r>
        <w:rPr>
          <w:sz w:val="21"/>
        </w:rPr>
        <w:t>516A(6)</w:t>
      </w:r>
      <w:r>
        <w:rPr>
          <w:spacing w:val="-15"/>
          <w:sz w:val="21"/>
        </w:rPr>
        <w:t xml:space="preserve"> </w:t>
      </w:r>
      <w:r>
        <w:rPr>
          <w:sz w:val="21"/>
        </w:rPr>
        <w:t>of</w:t>
      </w:r>
      <w:r>
        <w:rPr>
          <w:spacing w:val="-14"/>
          <w:sz w:val="21"/>
        </w:rPr>
        <w:t xml:space="preserve"> </w:t>
      </w:r>
      <w:r>
        <w:rPr>
          <w:sz w:val="21"/>
        </w:rPr>
        <w:t>the</w:t>
      </w:r>
      <w:r>
        <w:rPr>
          <w:spacing w:val="-15"/>
          <w:sz w:val="21"/>
        </w:rPr>
        <w:t xml:space="preserve"> </w:t>
      </w:r>
      <w:r>
        <w:rPr>
          <w:i/>
          <w:sz w:val="21"/>
        </w:rPr>
        <w:t>Environment</w:t>
      </w:r>
      <w:r>
        <w:rPr>
          <w:i/>
          <w:spacing w:val="-14"/>
          <w:sz w:val="21"/>
        </w:rPr>
        <w:t xml:space="preserve"> </w:t>
      </w:r>
      <w:r>
        <w:rPr>
          <w:i/>
          <w:sz w:val="21"/>
        </w:rPr>
        <w:t>Protection</w:t>
      </w:r>
      <w:r>
        <w:rPr>
          <w:i/>
          <w:spacing w:val="-15"/>
          <w:sz w:val="21"/>
        </w:rPr>
        <w:t xml:space="preserve"> </w:t>
      </w:r>
      <w:r>
        <w:rPr>
          <w:i/>
          <w:sz w:val="21"/>
        </w:rPr>
        <w:t>and</w:t>
      </w:r>
      <w:r>
        <w:rPr>
          <w:i/>
          <w:spacing w:val="-15"/>
          <w:sz w:val="21"/>
        </w:rPr>
        <w:t xml:space="preserve"> </w:t>
      </w:r>
      <w:r>
        <w:rPr>
          <w:i/>
          <w:sz w:val="21"/>
        </w:rPr>
        <w:t>Biodiversity Conservation Act 1999</w:t>
      </w:r>
      <w:r>
        <w:rPr>
          <w:sz w:val="21"/>
        </w:rPr>
        <w:t>.</w:t>
      </w:r>
    </w:p>
    <w:p w14:paraId="2C7AEE74" w14:textId="77777777" w:rsidR="009D54AF" w:rsidRDefault="00000000">
      <w:pPr>
        <w:spacing w:before="221"/>
        <w:ind w:left="142"/>
        <w:rPr>
          <w:sz w:val="19"/>
        </w:rPr>
      </w:pPr>
      <w:r>
        <w:rPr>
          <w:b/>
          <w:sz w:val="19"/>
        </w:rPr>
        <w:t>Table</w:t>
      </w:r>
      <w:r>
        <w:rPr>
          <w:b/>
          <w:spacing w:val="-6"/>
          <w:sz w:val="19"/>
        </w:rPr>
        <w:t xml:space="preserve"> </w:t>
      </w:r>
      <w:r>
        <w:rPr>
          <w:b/>
          <w:sz w:val="19"/>
        </w:rPr>
        <w:t>13</w:t>
      </w:r>
      <w:r>
        <w:rPr>
          <w:b/>
          <w:spacing w:val="-3"/>
          <w:sz w:val="19"/>
        </w:rPr>
        <w:t xml:space="preserve"> </w:t>
      </w:r>
      <w:r>
        <w:rPr>
          <w:sz w:val="19"/>
        </w:rPr>
        <w:t>Summary</w:t>
      </w:r>
      <w:r>
        <w:rPr>
          <w:spacing w:val="-4"/>
          <w:sz w:val="19"/>
        </w:rPr>
        <w:t xml:space="preserve"> </w:t>
      </w:r>
      <w:r>
        <w:rPr>
          <w:sz w:val="19"/>
        </w:rPr>
        <w:t>of</w:t>
      </w:r>
      <w:r>
        <w:rPr>
          <w:spacing w:val="-3"/>
          <w:sz w:val="19"/>
        </w:rPr>
        <w:t xml:space="preserve"> </w:t>
      </w:r>
      <w:r>
        <w:rPr>
          <w:sz w:val="19"/>
        </w:rPr>
        <w:t>the</w:t>
      </w:r>
      <w:r>
        <w:rPr>
          <w:spacing w:val="-3"/>
          <w:sz w:val="19"/>
        </w:rPr>
        <w:t xml:space="preserve"> </w:t>
      </w:r>
      <w:r>
        <w:rPr>
          <w:sz w:val="19"/>
        </w:rPr>
        <w:t>Commission’s</w:t>
      </w:r>
      <w:r>
        <w:rPr>
          <w:spacing w:val="-4"/>
          <w:sz w:val="19"/>
        </w:rPr>
        <w:t xml:space="preserve"> </w:t>
      </w:r>
      <w:r>
        <w:rPr>
          <w:sz w:val="19"/>
        </w:rPr>
        <w:t>compliance</w:t>
      </w:r>
      <w:r>
        <w:rPr>
          <w:spacing w:val="-3"/>
          <w:sz w:val="19"/>
        </w:rPr>
        <w:t xml:space="preserve"> </w:t>
      </w:r>
      <w:r>
        <w:rPr>
          <w:sz w:val="19"/>
        </w:rPr>
        <w:t>with</w:t>
      </w:r>
      <w:r>
        <w:rPr>
          <w:spacing w:val="-4"/>
          <w:sz w:val="19"/>
        </w:rPr>
        <w:t xml:space="preserve"> </w:t>
      </w:r>
      <w:r>
        <w:rPr>
          <w:sz w:val="19"/>
        </w:rPr>
        <w:t>ecologically</w:t>
      </w:r>
      <w:r>
        <w:rPr>
          <w:spacing w:val="-3"/>
          <w:sz w:val="19"/>
        </w:rPr>
        <w:t xml:space="preserve"> </w:t>
      </w:r>
      <w:r>
        <w:rPr>
          <w:sz w:val="19"/>
        </w:rPr>
        <w:t>sustainable</w:t>
      </w:r>
      <w:r>
        <w:rPr>
          <w:spacing w:val="-3"/>
          <w:sz w:val="19"/>
        </w:rPr>
        <w:t xml:space="preserve"> </w:t>
      </w:r>
      <w:r>
        <w:rPr>
          <w:spacing w:val="-2"/>
          <w:sz w:val="19"/>
        </w:rPr>
        <w:t>development</w:t>
      </w:r>
    </w:p>
    <w:p w14:paraId="031AB02F" w14:textId="77777777" w:rsidR="009D54AF" w:rsidRDefault="009D54AF">
      <w:pPr>
        <w:pStyle w:val="BodyText"/>
        <w:spacing w:before="2"/>
        <w:rPr>
          <w:sz w:val="8"/>
        </w:rPr>
      </w:pPr>
    </w:p>
    <w:tbl>
      <w:tblPr>
        <w:tblW w:w="0" w:type="auto"/>
        <w:tblInd w:w="149"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CellMar>
          <w:left w:w="0" w:type="dxa"/>
          <w:right w:w="0" w:type="dxa"/>
        </w:tblCellMar>
        <w:tblLook w:val="01E0" w:firstRow="1" w:lastRow="1" w:firstColumn="1" w:lastColumn="1" w:noHBand="0" w:noVBand="0"/>
      </w:tblPr>
      <w:tblGrid>
        <w:gridCol w:w="3402"/>
        <w:gridCol w:w="6804"/>
      </w:tblGrid>
      <w:tr w:rsidR="009D54AF" w14:paraId="003BC50F" w14:textId="77777777">
        <w:trPr>
          <w:trHeight w:val="726"/>
        </w:trPr>
        <w:tc>
          <w:tcPr>
            <w:tcW w:w="3402" w:type="dxa"/>
            <w:tcBorders>
              <w:top w:val="nil"/>
              <w:left w:val="nil"/>
              <w:bottom w:val="nil"/>
            </w:tcBorders>
            <w:shd w:val="clear" w:color="auto" w:fill="000000"/>
          </w:tcPr>
          <w:p w14:paraId="31E5BEF6" w14:textId="77777777" w:rsidR="009D54AF" w:rsidRDefault="00000000">
            <w:pPr>
              <w:pStyle w:val="TableParagraph"/>
              <w:spacing w:before="50" w:line="230" w:lineRule="auto"/>
              <w:ind w:left="85" w:right="195"/>
              <w:rPr>
                <w:b/>
                <w:sz w:val="19"/>
              </w:rPr>
            </w:pPr>
            <w:r>
              <w:rPr>
                <w:b/>
                <w:i/>
                <w:color w:val="FFFFFF"/>
                <w:sz w:val="19"/>
              </w:rPr>
              <w:t xml:space="preserve">Environment Protection and Biodiversity Conservation Act 1999 </w:t>
            </w:r>
            <w:r>
              <w:rPr>
                <w:b/>
                <w:color w:val="FFFFFF"/>
                <w:sz w:val="19"/>
              </w:rPr>
              <w:t>requirement</w:t>
            </w:r>
          </w:p>
        </w:tc>
        <w:tc>
          <w:tcPr>
            <w:tcW w:w="6804" w:type="dxa"/>
            <w:tcBorders>
              <w:top w:val="nil"/>
              <w:bottom w:val="nil"/>
              <w:right w:val="nil"/>
            </w:tcBorders>
            <w:shd w:val="clear" w:color="auto" w:fill="000000"/>
          </w:tcPr>
          <w:p w14:paraId="55DBAC93" w14:textId="77777777" w:rsidR="009D54AF" w:rsidRDefault="009D54AF">
            <w:pPr>
              <w:pStyle w:val="TableParagraph"/>
              <w:rPr>
                <w:sz w:val="19"/>
              </w:rPr>
            </w:pPr>
          </w:p>
          <w:p w14:paraId="67785FA3" w14:textId="77777777" w:rsidR="009D54AF" w:rsidRDefault="009D54AF">
            <w:pPr>
              <w:pStyle w:val="TableParagraph"/>
              <w:spacing w:before="25"/>
              <w:rPr>
                <w:sz w:val="19"/>
              </w:rPr>
            </w:pPr>
          </w:p>
          <w:p w14:paraId="0FF9E10F" w14:textId="77777777" w:rsidR="009D54AF" w:rsidRDefault="00000000">
            <w:pPr>
              <w:pStyle w:val="TableParagraph"/>
              <w:spacing w:before="1"/>
              <w:ind w:left="79"/>
              <w:rPr>
                <w:b/>
                <w:sz w:val="19"/>
              </w:rPr>
            </w:pPr>
            <w:r>
              <w:rPr>
                <w:b/>
                <w:color w:val="FFFFFF"/>
                <w:sz w:val="19"/>
              </w:rPr>
              <w:t>Commission</w:t>
            </w:r>
            <w:r>
              <w:rPr>
                <w:b/>
                <w:color w:val="FFFFFF"/>
                <w:spacing w:val="11"/>
                <w:sz w:val="19"/>
              </w:rPr>
              <w:t xml:space="preserve"> </w:t>
            </w:r>
            <w:r>
              <w:rPr>
                <w:b/>
                <w:color w:val="FFFFFF"/>
                <w:spacing w:val="-2"/>
                <w:sz w:val="19"/>
              </w:rPr>
              <w:t>response</w:t>
            </w:r>
          </w:p>
        </w:tc>
      </w:tr>
      <w:tr w:rsidR="009D54AF" w14:paraId="37303AC7" w14:textId="77777777">
        <w:trPr>
          <w:trHeight w:val="923"/>
        </w:trPr>
        <w:tc>
          <w:tcPr>
            <w:tcW w:w="3402" w:type="dxa"/>
            <w:tcBorders>
              <w:top w:val="nil"/>
              <w:left w:val="nil"/>
              <w:bottom w:val="single" w:sz="2" w:space="0" w:color="000000"/>
              <w:right w:val="single" w:sz="2" w:space="0" w:color="000000"/>
            </w:tcBorders>
          </w:tcPr>
          <w:p w14:paraId="1003844E" w14:textId="77777777" w:rsidR="009D54AF" w:rsidRDefault="00000000">
            <w:pPr>
              <w:pStyle w:val="TableParagraph"/>
              <w:spacing w:before="40" w:line="230" w:lineRule="auto"/>
              <w:ind w:left="85" w:right="147"/>
              <w:rPr>
                <w:sz w:val="19"/>
              </w:rPr>
            </w:pPr>
            <w:r>
              <w:rPr>
                <w:sz w:val="19"/>
              </w:rPr>
              <w:t>Activities of the Commission during 2025-26 accord with the principles of ecologically</w:t>
            </w:r>
            <w:r>
              <w:rPr>
                <w:spacing w:val="8"/>
                <w:sz w:val="19"/>
              </w:rPr>
              <w:t xml:space="preserve"> </w:t>
            </w:r>
            <w:r>
              <w:rPr>
                <w:sz w:val="19"/>
              </w:rPr>
              <w:t>sustainable</w:t>
            </w:r>
            <w:r>
              <w:rPr>
                <w:spacing w:val="9"/>
                <w:sz w:val="19"/>
              </w:rPr>
              <w:t xml:space="preserve"> </w:t>
            </w:r>
            <w:r>
              <w:rPr>
                <w:spacing w:val="-2"/>
                <w:sz w:val="19"/>
              </w:rPr>
              <w:t>development</w:t>
            </w:r>
          </w:p>
        </w:tc>
        <w:tc>
          <w:tcPr>
            <w:tcW w:w="6804" w:type="dxa"/>
            <w:tcBorders>
              <w:top w:val="nil"/>
              <w:left w:val="single" w:sz="2" w:space="0" w:color="000000"/>
              <w:bottom w:val="single" w:sz="2" w:space="0" w:color="000000"/>
              <w:right w:val="nil"/>
            </w:tcBorders>
          </w:tcPr>
          <w:p w14:paraId="71F74C1F" w14:textId="77777777" w:rsidR="009D54AF" w:rsidRDefault="00000000">
            <w:pPr>
              <w:pStyle w:val="TableParagraph"/>
              <w:spacing w:before="40" w:line="230" w:lineRule="auto"/>
              <w:ind w:left="82" w:right="214"/>
              <w:rPr>
                <w:sz w:val="19"/>
              </w:rPr>
            </w:pPr>
            <w:r>
              <w:rPr>
                <w:sz w:val="19"/>
              </w:rPr>
              <w:t>The Commission ensures that its decision-making and operational activities mitigate environmental impact. The principles of ecologically sustainable development are embedded in the Commission’s approach to its work plan and in corporate, purchasing and operational guidelines.</w:t>
            </w:r>
          </w:p>
        </w:tc>
      </w:tr>
      <w:tr w:rsidR="009D54AF" w14:paraId="69D58930" w14:textId="77777777">
        <w:trPr>
          <w:trHeight w:val="931"/>
        </w:trPr>
        <w:tc>
          <w:tcPr>
            <w:tcW w:w="3402" w:type="dxa"/>
            <w:tcBorders>
              <w:top w:val="single" w:sz="2" w:space="0" w:color="000000"/>
              <w:left w:val="nil"/>
              <w:bottom w:val="single" w:sz="2" w:space="0" w:color="000000"/>
              <w:right w:val="single" w:sz="2" w:space="0" w:color="000000"/>
            </w:tcBorders>
          </w:tcPr>
          <w:p w14:paraId="504BB78A" w14:textId="77777777" w:rsidR="009D54AF" w:rsidRDefault="00000000">
            <w:pPr>
              <w:pStyle w:val="TableParagraph"/>
              <w:spacing w:before="47" w:line="230" w:lineRule="auto"/>
              <w:ind w:left="85" w:right="147"/>
              <w:rPr>
                <w:sz w:val="19"/>
              </w:rPr>
            </w:pPr>
            <w:r>
              <w:rPr>
                <w:sz w:val="19"/>
              </w:rPr>
              <w:t>Outcomes specified for the Commission in an Appropriation Act for</w:t>
            </w:r>
            <w:r>
              <w:rPr>
                <w:spacing w:val="-3"/>
                <w:sz w:val="19"/>
              </w:rPr>
              <w:t xml:space="preserve"> </w:t>
            </w:r>
            <w:r>
              <w:rPr>
                <w:sz w:val="19"/>
              </w:rPr>
              <w:t>2025-26</w:t>
            </w:r>
            <w:r>
              <w:rPr>
                <w:spacing w:val="-3"/>
                <w:sz w:val="19"/>
              </w:rPr>
              <w:t xml:space="preserve"> </w:t>
            </w:r>
            <w:r>
              <w:rPr>
                <w:sz w:val="19"/>
              </w:rPr>
              <w:t>contribute</w:t>
            </w:r>
            <w:r>
              <w:rPr>
                <w:spacing w:val="-1"/>
                <w:sz w:val="19"/>
              </w:rPr>
              <w:t xml:space="preserve"> </w:t>
            </w:r>
            <w:r>
              <w:rPr>
                <w:sz w:val="19"/>
              </w:rPr>
              <w:t>to</w:t>
            </w:r>
            <w:r>
              <w:rPr>
                <w:spacing w:val="-1"/>
                <w:sz w:val="19"/>
              </w:rPr>
              <w:t xml:space="preserve"> </w:t>
            </w:r>
            <w:r>
              <w:rPr>
                <w:sz w:val="19"/>
              </w:rPr>
              <w:t>ecologically sustainable development</w:t>
            </w:r>
          </w:p>
        </w:tc>
        <w:tc>
          <w:tcPr>
            <w:tcW w:w="6804" w:type="dxa"/>
            <w:tcBorders>
              <w:top w:val="single" w:sz="2" w:space="0" w:color="000000"/>
              <w:left w:val="single" w:sz="2" w:space="0" w:color="000000"/>
              <w:bottom w:val="single" w:sz="2" w:space="0" w:color="000000"/>
              <w:right w:val="nil"/>
            </w:tcBorders>
          </w:tcPr>
          <w:p w14:paraId="03CCFB68" w14:textId="77777777" w:rsidR="009D54AF" w:rsidRDefault="00000000">
            <w:pPr>
              <w:pStyle w:val="TableParagraph"/>
              <w:spacing w:before="47" w:line="230" w:lineRule="auto"/>
              <w:ind w:left="82" w:right="214"/>
              <w:rPr>
                <w:sz w:val="19"/>
              </w:rPr>
            </w:pPr>
            <w:r>
              <w:rPr>
                <w:sz w:val="19"/>
              </w:rPr>
              <w:t>The Commission’s single appropriations outcome focuses on improving</w:t>
            </w:r>
            <w:r>
              <w:rPr>
                <w:spacing w:val="40"/>
                <w:sz w:val="19"/>
              </w:rPr>
              <w:t xml:space="preserve"> </w:t>
            </w:r>
            <w:r>
              <w:rPr>
                <w:sz w:val="19"/>
              </w:rPr>
              <w:t>safety and quality in health care across the Australian health system. As</w:t>
            </w:r>
            <w:r>
              <w:rPr>
                <w:spacing w:val="40"/>
                <w:sz w:val="19"/>
              </w:rPr>
              <w:t xml:space="preserve"> </w:t>
            </w:r>
            <w:r>
              <w:rPr>
                <w:sz w:val="19"/>
              </w:rPr>
              <w:t xml:space="preserve">such, the Commission does not directly contribute to ecologically sustainable </w:t>
            </w:r>
            <w:r>
              <w:rPr>
                <w:spacing w:val="-2"/>
                <w:sz w:val="19"/>
              </w:rPr>
              <w:t>development.</w:t>
            </w:r>
          </w:p>
        </w:tc>
      </w:tr>
      <w:tr w:rsidR="009D54AF" w14:paraId="1E3C2BFA" w14:textId="77777777">
        <w:trPr>
          <w:trHeight w:val="1141"/>
        </w:trPr>
        <w:tc>
          <w:tcPr>
            <w:tcW w:w="3402" w:type="dxa"/>
            <w:tcBorders>
              <w:top w:val="single" w:sz="2" w:space="0" w:color="000000"/>
              <w:left w:val="nil"/>
              <w:bottom w:val="single" w:sz="2" w:space="0" w:color="000000"/>
              <w:right w:val="single" w:sz="2" w:space="0" w:color="000000"/>
            </w:tcBorders>
          </w:tcPr>
          <w:p w14:paraId="3FFCF06C" w14:textId="77777777" w:rsidR="009D54AF" w:rsidRDefault="00000000">
            <w:pPr>
              <w:pStyle w:val="TableParagraph"/>
              <w:spacing w:before="47" w:line="230" w:lineRule="auto"/>
              <w:ind w:left="85" w:right="147"/>
              <w:rPr>
                <w:sz w:val="19"/>
              </w:rPr>
            </w:pPr>
            <w:r>
              <w:rPr>
                <w:sz w:val="19"/>
              </w:rPr>
              <w:t>Effects</w:t>
            </w:r>
            <w:r>
              <w:rPr>
                <w:spacing w:val="-3"/>
                <w:sz w:val="19"/>
              </w:rPr>
              <w:t xml:space="preserve"> </w:t>
            </w:r>
            <w:r>
              <w:rPr>
                <w:sz w:val="19"/>
              </w:rPr>
              <w:t>of</w:t>
            </w:r>
            <w:r>
              <w:rPr>
                <w:spacing w:val="-3"/>
                <w:sz w:val="19"/>
              </w:rPr>
              <w:t xml:space="preserve"> </w:t>
            </w:r>
            <w:r>
              <w:rPr>
                <w:sz w:val="19"/>
              </w:rPr>
              <w:t>the</w:t>
            </w:r>
            <w:r>
              <w:rPr>
                <w:spacing w:val="-3"/>
                <w:sz w:val="19"/>
              </w:rPr>
              <w:t xml:space="preserve"> </w:t>
            </w:r>
            <w:r>
              <w:rPr>
                <w:sz w:val="19"/>
              </w:rPr>
              <w:t>Commission’s</w:t>
            </w:r>
            <w:r>
              <w:rPr>
                <w:spacing w:val="-3"/>
                <w:sz w:val="19"/>
              </w:rPr>
              <w:t xml:space="preserve"> </w:t>
            </w:r>
            <w:r>
              <w:rPr>
                <w:sz w:val="19"/>
              </w:rPr>
              <w:t>activities on the environment</w:t>
            </w:r>
          </w:p>
        </w:tc>
        <w:tc>
          <w:tcPr>
            <w:tcW w:w="6804" w:type="dxa"/>
            <w:tcBorders>
              <w:top w:val="single" w:sz="2" w:space="0" w:color="000000"/>
              <w:left w:val="single" w:sz="2" w:space="0" w:color="000000"/>
              <w:bottom w:val="single" w:sz="2" w:space="0" w:color="000000"/>
              <w:right w:val="nil"/>
            </w:tcBorders>
          </w:tcPr>
          <w:p w14:paraId="65A02DFB" w14:textId="77777777" w:rsidR="009D54AF" w:rsidRDefault="00000000">
            <w:pPr>
              <w:pStyle w:val="TableParagraph"/>
              <w:spacing w:before="47" w:line="230" w:lineRule="auto"/>
              <w:ind w:left="82" w:right="421"/>
              <w:rPr>
                <w:sz w:val="19"/>
              </w:rPr>
            </w:pPr>
            <w:r>
              <w:rPr>
                <w:sz w:val="19"/>
              </w:rPr>
              <w:t>The Commission’s offices are located in a 5-star</w:t>
            </w:r>
            <w:r>
              <w:rPr>
                <w:position w:val="6"/>
                <w:sz w:val="11"/>
              </w:rPr>
              <w:t>1</w:t>
            </w:r>
            <w:r>
              <w:rPr>
                <w:spacing w:val="40"/>
                <w:position w:val="6"/>
                <w:sz w:val="11"/>
              </w:rPr>
              <w:t xml:space="preserve"> </w:t>
            </w:r>
            <w:r>
              <w:rPr>
                <w:sz w:val="19"/>
              </w:rPr>
              <w:t>building, and the Commission works proactively with building management to achieve energy savings where possible. The Commission continues to improve the</w:t>
            </w:r>
          </w:p>
          <w:p w14:paraId="4D10F2B7" w14:textId="77777777" w:rsidR="009D54AF" w:rsidRDefault="00000000">
            <w:pPr>
              <w:pStyle w:val="TableParagraph"/>
              <w:spacing w:before="1" w:line="230" w:lineRule="auto"/>
              <w:ind w:left="82"/>
              <w:rPr>
                <w:sz w:val="19"/>
              </w:rPr>
            </w:pPr>
            <w:r>
              <w:rPr>
                <w:sz w:val="19"/>
              </w:rPr>
              <w:t xml:space="preserve">dissemination of publications, reports and written materials through electronic media to </w:t>
            </w:r>
            <w:proofErr w:type="spellStart"/>
            <w:r>
              <w:rPr>
                <w:sz w:val="19"/>
              </w:rPr>
              <w:t>minimise</w:t>
            </w:r>
            <w:proofErr w:type="spellEnd"/>
            <w:r>
              <w:rPr>
                <w:sz w:val="19"/>
              </w:rPr>
              <w:t xml:space="preserve"> printing.</w:t>
            </w:r>
          </w:p>
        </w:tc>
      </w:tr>
      <w:tr w:rsidR="009D54AF" w14:paraId="5121C058" w14:textId="77777777">
        <w:trPr>
          <w:trHeight w:val="1787"/>
        </w:trPr>
        <w:tc>
          <w:tcPr>
            <w:tcW w:w="3402" w:type="dxa"/>
            <w:tcBorders>
              <w:top w:val="single" w:sz="2" w:space="0" w:color="000000"/>
              <w:left w:val="nil"/>
              <w:bottom w:val="single" w:sz="2" w:space="0" w:color="000000"/>
              <w:right w:val="single" w:sz="2" w:space="0" w:color="000000"/>
            </w:tcBorders>
          </w:tcPr>
          <w:p w14:paraId="056FD2F7" w14:textId="77777777" w:rsidR="009D54AF" w:rsidRDefault="00000000">
            <w:pPr>
              <w:pStyle w:val="TableParagraph"/>
              <w:spacing w:before="47" w:line="230" w:lineRule="auto"/>
              <w:ind w:left="85" w:right="348"/>
              <w:rPr>
                <w:sz w:val="19"/>
              </w:rPr>
            </w:pPr>
            <w:r>
              <w:rPr>
                <w:sz w:val="19"/>
              </w:rPr>
              <w:t>Measures the Commission is</w:t>
            </w:r>
            <w:r>
              <w:rPr>
                <w:spacing w:val="40"/>
                <w:sz w:val="19"/>
              </w:rPr>
              <w:t xml:space="preserve"> </w:t>
            </w:r>
            <w:r>
              <w:rPr>
                <w:sz w:val="19"/>
              </w:rPr>
              <w:t>taking</w:t>
            </w:r>
            <w:r>
              <w:rPr>
                <w:spacing w:val="-3"/>
                <w:sz w:val="19"/>
              </w:rPr>
              <w:t xml:space="preserve"> </w:t>
            </w:r>
            <w:r>
              <w:rPr>
                <w:sz w:val="19"/>
              </w:rPr>
              <w:t>to</w:t>
            </w:r>
            <w:r>
              <w:rPr>
                <w:spacing w:val="-3"/>
                <w:sz w:val="19"/>
              </w:rPr>
              <w:t xml:space="preserve"> </w:t>
            </w:r>
            <w:proofErr w:type="spellStart"/>
            <w:r>
              <w:rPr>
                <w:sz w:val="19"/>
              </w:rPr>
              <w:t>minimise</w:t>
            </w:r>
            <w:proofErr w:type="spellEnd"/>
            <w:r>
              <w:rPr>
                <w:spacing w:val="-3"/>
                <w:sz w:val="19"/>
              </w:rPr>
              <w:t xml:space="preserve"> </w:t>
            </w:r>
            <w:r>
              <w:rPr>
                <w:sz w:val="19"/>
              </w:rPr>
              <w:t>its</w:t>
            </w:r>
            <w:r>
              <w:rPr>
                <w:spacing w:val="-3"/>
                <w:sz w:val="19"/>
              </w:rPr>
              <w:t xml:space="preserve"> </w:t>
            </w:r>
            <w:r>
              <w:rPr>
                <w:sz w:val="19"/>
              </w:rPr>
              <w:t>impact</w:t>
            </w:r>
            <w:r>
              <w:rPr>
                <w:spacing w:val="-3"/>
                <w:sz w:val="19"/>
              </w:rPr>
              <w:t xml:space="preserve"> </w:t>
            </w:r>
            <w:r>
              <w:rPr>
                <w:sz w:val="19"/>
              </w:rPr>
              <w:t>on</w:t>
            </w:r>
            <w:r>
              <w:rPr>
                <w:spacing w:val="-3"/>
                <w:sz w:val="19"/>
              </w:rPr>
              <w:t xml:space="preserve"> </w:t>
            </w:r>
            <w:r>
              <w:rPr>
                <w:sz w:val="19"/>
              </w:rPr>
              <w:t xml:space="preserve">the </w:t>
            </w:r>
            <w:r>
              <w:rPr>
                <w:spacing w:val="-2"/>
                <w:sz w:val="19"/>
              </w:rPr>
              <w:t>environment</w:t>
            </w:r>
          </w:p>
        </w:tc>
        <w:tc>
          <w:tcPr>
            <w:tcW w:w="6804" w:type="dxa"/>
            <w:tcBorders>
              <w:top w:val="single" w:sz="2" w:space="0" w:color="000000"/>
              <w:left w:val="single" w:sz="2" w:space="0" w:color="000000"/>
              <w:bottom w:val="single" w:sz="2" w:space="0" w:color="000000"/>
              <w:right w:val="nil"/>
            </w:tcBorders>
          </w:tcPr>
          <w:p w14:paraId="2DFD0999" w14:textId="77777777" w:rsidR="009D54AF" w:rsidRDefault="00000000">
            <w:pPr>
              <w:pStyle w:val="TableParagraph"/>
              <w:spacing w:before="47" w:line="230" w:lineRule="auto"/>
              <w:ind w:left="82" w:right="214"/>
              <w:rPr>
                <w:sz w:val="19"/>
              </w:rPr>
            </w:pPr>
            <w:r>
              <w:rPr>
                <w:sz w:val="19"/>
              </w:rPr>
              <w:t>To</w:t>
            </w:r>
            <w:r>
              <w:rPr>
                <w:spacing w:val="-1"/>
                <w:sz w:val="19"/>
              </w:rPr>
              <w:t xml:space="preserve"> </w:t>
            </w:r>
            <w:r>
              <w:rPr>
                <w:sz w:val="19"/>
              </w:rPr>
              <w:t>reduce</w:t>
            </w:r>
            <w:r>
              <w:rPr>
                <w:spacing w:val="-1"/>
                <w:sz w:val="19"/>
              </w:rPr>
              <w:t xml:space="preserve"> </w:t>
            </w:r>
            <w:r>
              <w:rPr>
                <w:sz w:val="19"/>
              </w:rPr>
              <w:t>its</w:t>
            </w:r>
            <w:r>
              <w:rPr>
                <w:spacing w:val="-1"/>
                <w:sz w:val="19"/>
              </w:rPr>
              <w:t xml:space="preserve"> </w:t>
            </w:r>
            <w:r>
              <w:rPr>
                <w:sz w:val="19"/>
              </w:rPr>
              <w:t>environmental</w:t>
            </w:r>
            <w:r>
              <w:rPr>
                <w:spacing w:val="-1"/>
                <w:sz w:val="19"/>
              </w:rPr>
              <w:t xml:space="preserve"> </w:t>
            </w:r>
            <w:r>
              <w:rPr>
                <w:sz w:val="19"/>
              </w:rPr>
              <w:t>impact,</w:t>
            </w:r>
            <w:r>
              <w:rPr>
                <w:spacing w:val="-1"/>
                <w:sz w:val="19"/>
              </w:rPr>
              <w:t xml:space="preserve"> </w:t>
            </w:r>
            <w:r>
              <w:rPr>
                <w:sz w:val="19"/>
              </w:rPr>
              <w:t>the</w:t>
            </w:r>
            <w:r>
              <w:rPr>
                <w:spacing w:val="-1"/>
                <w:sz w:val="19"/>
              </w:rPr>
              <w:t xml:space="preserve"> </w:t>
            </w:r>
            <w:r>
              <w:rPr>
                <w:sz w:val="19"/>
              </w:rPr>
              <w:t>Commission</w:t>
            </w:r>
            <w:r>
              <w:rPr>
                <w:spacing w:val="-1"/>
                <w:sz w:val="19"/>
              </w:rPr>
              <w:t xml:space="preserve"> </w:t>
            </w:r>
            <w:r>
              <w:rPr>
                <w:sz w:val="19"/>
              </w:rPr>
              <w:t>is</w:t>
            </w:r>
            <w:r>
              <w:rPr>
                <w:spacing w:val="-1"/>
                <w:sz w:val="19"/>
              </w:rPr>
              <w:t xml:space="preserve"> </w:t>
            </w:r>
            <w:r>
              <w:rPr>
                <w:sz w:val="19"/>
              </w:rPr>
              <w:t>improving</w:t>
            </w:r>
            <w:r>
              <w:rPr>
                <w:spacing w:val="-1"/>
                <w:sz w:val="19"/>
              </w:rPr>
              <w:t xml:space="preserve"> </w:t>
            </w:r>
            <w:r>
              <w:rPr>
                <w:sz w:val="19"/>
              </w:rPr>
              <w:t>its</w:t>
            </w:r>
            <w:r>
              <w:rPr>
                <w:spacing w:val="-1"/>
                <w:sz w:val="19"/>
              </w:rPr>
              <w:t xml:space="preserve"> </w:t>
            </w:r>
            <w:r>
              <w:rPr>
                <w:sz w:val="19"/>
              </w:rPr>
              <w:t>website functionality and increasing the use of multichannel strategies to distribute information electronically.</w:t>
            </w:r>
          </w:p>
          <w:p w14:paraId="5F661171" w14:textId="77777777" w:rsidR="009D54AF" w:rsidRDefault="00000000">
            <w:pPr>
              <w:pStyle w:val="TableParagraph"/>
              <w:spacing w:before="114" w:line="230" w:lineRule="auto"/>
              <w:ind w:left="82" w:right="214"/>
              <w:rPr>
                <w:sz w:val="19"/>
              </w:rPr>
            </w:pPr>
            <w:r>
              <w:rPr>
                <w:sz w:val="19"/>
              </w:rPr>
              <w:t>To</w:t>
            </w:r>
            <w:r>
              <w:rPr>
                <w:spacing w:val="-1"/>
                <w:sz w:val="19"/>
              </w:rPr>
              <w:t xml:space="preserve"> </w:t>
            </w:r>
            <w:r>
              <w:rPr>
                <w:sz w:val="19"/>
              </w:rPr>
              <w:t>reduce</w:t>
            </w:r>
            <w:r>
              <w:rPr>
                <w:spacing w:val="-1"/>
                <w:sz w:val="19"/>
              </w:rPr>
              <w:t xml:space="preserve"> </w:t>
            </w:r>
            <w:r>
              <w:rPr>
                <w:sz w:val="19"/>
              </w:rPr>
              <w:t>travel,</w:t>
            </w:r>
            <w:r>
              <w:rPr>
                <w:spacing w:val="-1"/>
                <w:sz w:val="19"/>
              </w:rPr>
              <w:t xml:space="preserve"> </w:t>
            </w:r>
            <w:r>
              <w:rPr>
                <w:sz w:val="19"/>
              </w:rPr>
              <w:t>the</w:t>
            </w:r>
            <w:r>
              <w:rPr>
                <w:spacing w:val="-1"/>
                <w:sz w:val="19"/>
              </w:rPr>
              <w:t xml:space="preserve"> </w:t>
            </w:r>
            <w:r>
              <w:rPr>
                <w:sz w:val="19"/>
              </w:rPr>
              <w:t>Commission</w:t>
            </w:r>
            <w:r>
              <w:rPr>
                <w:spacing w:val="-1"/>
                <w:sz w:val="19"/>
              </w:rPr>
              <w:t xml:space="preserve"> </w:t>
            </w:r>
            <w:r>
              <w:rPr>
                <w:sz w:val="19"/>
              </w:rPr>
              <w:t>uses</w:t>
            </w:r>
            <w:r>
              <w:rPr>
                <w:spacing w:val="-1"/>
                <w:sz w:val="19"/>
              </w:rPr>
              <w:t xml:space="preserve"> </w:t>
            </w:r>
            <w:r>
              <w:rPr>
                <w:sz w:val="19"/>
              </w:rPr>
              <w:t>remote</w:t>
            </w:r>
            <w:r>
              <w:rPr>
                <w:spacing w:val="-1"/>
                <w:sz w:val="19"/>
              </w:rPr>
              <w:t xml:space="preserve"> </w:t>
            </w:r>
            <w:r>
              <w:rPr>
                <w:sz w:val="19"/>
              </w:rPr>
              <w:t>meeting</w:t>
            </w:r>
            <w:r>
              <w:rPr>
                <w:spacing w:val="-1"/>
                <w:sz w:val="19"/>
              </w:rPr>
              <w:t xml:space="preserve"> </w:t>
            </w:r>
            <w:r>
              <w:rPr>
                <w:sz w:val="19"/>
              </w:rPr>
              <w:t>attendance</w:t>
            </w:r>
            <w:r>
              <w:rPr>
                <w:spacing w:val="-1"/>
                <w:sz w:val="19"/>
              </w:rPr>
              <w:t xml:space="preserve"> </w:t>
            </w:r>
            <w:r>
              <w:rPr>
                <w:sz w:val="19"/>
              </w:rPr>
              <w:t>options wherever feasible.</w:t>
            </w:r>
          </w:p>
          <w:p w14:paraId="69B7F43D" w14:textId="77777777" w:rsidR="009D54AF" w:rsidRDefault="00000000">
            <w:pPr>
              <w:pStyle w:val="TableParagraph"/>
              <w:spacing w:before="114" w:line="230" w:lineRule="auto"/>
              <w:ind w:left="82"/>
              <w:rPr>
                <w:sz w:val="19"/>
              </w:rPr>
            </w:pPr>
            <w:r>
              <w:rPr>
                <w:sz w:val="19"/>
              </w:rPr>
              <w:t xml:space="preserve">The Commission advocates responsible use of materials, electricity and water and disposal of waste. This </w:t>
            </w:r>
            <w:proofErr w:type="spellStart"/>
            <w:r>
              <w:rPr>
                <w:sz w:val="19"/>
              </w:rPr>
              <w:t>behaviour</w:t>
            </w:r>
            <w:proofErr w:type="spellEnd"/>
            <w:r>
              <w:rPr>
                <w:sz w:val="19"/>
              </w:rPr>
              <w:t xml:space="preserve"> is expected of all staff and visitors.</w:t>
            </w:r>
          </w:p>
        </w:tc>
      </w:tr>
      <w:tr w:rsidR="009D54AF" w14:paraId="702047B8" w14:textId="77777777">
        <w:trPr>
          <w:trHeight w:val="931"/>
        </w:trPr>
        <w:tc>
          <w:tcPr>
            <w:tcW w:w="3402" w:type="dxa"/>
            <w:tcBorders>
              <w:top w:val="single" w:sz="2" w:space="0" w:color="000000"/>
              <w:left w:val="nil"/>
              <w:bottom w:val="single" w:sz="2" w:space="0" w:color="000000"/>
              <w:right w:val="single" w:sz="2" w:space="0" w:color="000000"/>
            </w:tcBorders>
          </w:tcPr>
          <w:p w14:paraId="16DCD74C" w14:textId="77777777" w:rsidR="009D54AF" w:rsidRDefault="00000000">
            <w:pPr>
              <w:pStyle w:val="TableParagraph"/>
              <w:spacing w:before="47" w:line="230" w:lineRule="auto"/>
              <w:ind w:left="85"/>
              <w:rPr>
                <w:sz w:val="19"/>
              </w:rPr>
            </w:pPr>
            <w:r>
              <w:rPr>
                <w:sz w:val="19"/>
              </w:rPr>
              <w:t>Mechanisms for reviewing and increasing</w:t>
            </w:r>
            <w:r>
              <w:rPr>
                <w:spacing w:val="-2"/>
                <w:sz w:val="19"/>
              </w:rPr>
              <w:t xml:space="preserve"> </w:t>
            </w:r>
            <w:r>
              <w:rPr>
                <w:sz w:val="19"/>
              </w:rPr>
              <w:t>the</w:t>
            </w:r>
            <w:r>
              <w:rPr>
                <w:spacing w:val="-2"/>
                <w:sz w:val="19"/>
              </w:rPr>
              <w:t xml:space="preserve"> </w:t>
            </w:r>
            <w:r>
              <w:rPr>
                <w:sz w:val="19"/>
              </w:rPr>
              <w:t>effectiveness</w:t>
            </w:r>
            <w:r>
              <w:rPr>
                <w:spacing w:val="-2"/>
                <w:sz w:val="19"/>
              </w:rPr>
              <w:t xml:space="preserve"> </w:t>
            </w:r>
            <w:r>
              <w:rPr>
                <w:sz w:val="19"/>
              </w:rPr>
              <w:t>of</w:t>
            </w:r>
            <w:r>
              <w:rPr>
                <w:spacing w:val="-2"/>
                <w:sz w:val="19"/>
              </w:rPr>
              <w:t xml:space="preserve"> </w:t>
            </w:r>
            <w:r>
              <w:rPr>
                <w:sz w:val="19"/>
              </w:rPr>
              <w:t xml:space="preserve">these </w:t>
            </w:r>
            <w:r>
              <w:rPr>
                <w:spacing w:val="-2"/>
                <w:sz w:val="19"/>
              </w:rPr>
              <w:t>measures</w:t>
            </w:r>
          </w:p>
        </w:tc>
        <w:tc>
          <w:tcPr>
            <w:tcW w:w="6804" w:type="dxa"/>
            <w:tcBorders>
              <w:top w:val="single" w:sz="2" w:space="0" w:color="000000"/>
              <w:left w:val="single" w:sz="2" w:space="0" w:color="000000"/>
              <w:bottom w:val="single" w:sz="2" w:space="0" w:color="000000"/>
              <w:right w:val="nil"/>
            </w:tcBorders>
          </w:tcPr>
          <w:p w14:paraId="313C4498" w14:textId="77777777" w:rsidR="009D54AF" w:rsidRDefault="00000000">
            <w:pPr>
              <w:pStyle w:val="TableParagraph"/>
              <w:spacing w:before="47" w:line="230" w:lineRule="auto"/>
              <w:ind w:left="82" w:right="234"/>
              <w:rPr>
                <w:sz w:val="19"/>
              </w:rPr>
            </w:pPr>
            <w:r>
              <w:rPr>
                <w:sz w:val="19"/>
              </w:rPr>
              <w:t xml:space="preserve">The Commission has established mechanisms to review current practices and policies. Staff are encouraged to identify initiatives to adopt </w:t>
            </w:r>
            <w:proofErr w:type="spellStart"/>
            <w:r>
              <w:rPr>
                <w:sz w:val="19"/>
              </w:rPr>
              <w:t>behaviours</w:t>
            </w:r>
            <w:proofErr w:type="spellEnd"/>
            <w:r>
              <w:rPr>
                <w:sz w:val="19"/>
              </w:rPr>
              <w:t xml:space="preserve">, procedures and policies that can </w:t>
            </w:r>
            <w:proofErr w:type="spellStart"/>
            <w:r>
              <w:rPr>
                <w:sz w:val="19"/>
              </w:rPr>
              <w:t>minimise</w:t>
            </w:r>
            <w:proofErr w:type="spellEnd"/>
            <w:r>
              <w:rPr>
                <w:sz w:val="19"/>
              </w:rPr>
              <w:t xml:space="preserve"> their environmental impact, the impact of their team and the impact of the Commission more broadly.</w:t>
            </w:r>
          </w:p>
        </w:tc>
      </w:tr>
    </w:tbl>
    <w:p w14:paraId="216C4925" w14:textId="77777777" w:rsidR="009D54AF" w:rsidRDefault="00000000">
      <w:pPr>
        <w:spacing w:before="146"/>
        <w:ind w:left="142"/>
        <w:rPr>
          <w:b/>
          <w:sz w:val="17"/>
        </w:rPr>
      </w:pPr>
      <w:r>
        <w:rPr>
          <w:b/>
          <w:spacing w:val="-2"/>
          <w:sz w:val="17"/>
        </w:rPr>
        <w:t>Note:</w:t>
      </w:r>
    </w:p>
    <w:p w14:paraId="523EC81D" w14:textId="77777777" w:rsidR="009D54AF" w:rsidRDefault="00000000">
      <w:pPr>
        <w:pStyle w:val="ListParagraph"/>
        <w:numPr>
          <w:ilvl w:val="0"/>
          <w:numId w:val="13"/>
        </w:numPr>
        <w:tabs>
          <w:tab w:val="left" w:pos="367"/>
        </w:tabs>
        <w:spacing w:before="45"/>
        <w:ind w:left="367" w:hanging="225"/>
        <w:rPr>
          <w:sz w:val="17"/>
        </w:rPr>
      </w:pPr>
      <w:r>
        <w:rPr>
          <w:sz w:val="17"/>
        </w:rPr>
        <w:t>According</w:t>
      </w:r>
      <w:r>
        <w:rPr>
          <w:spacing w:val="3"/>
          <w:sz w:val="17"/>
        </w:rPr>
        <w:t xml:space="preserve"> </w:t>
      </w:r>
      <w:r>
        <w:rPr>
          <w:sz w:val="17"/>
        </w:rPr>
        <w:t>to</w:t>
      </w:r>
      <w:r>
        <w:rPr>
          <w:spacing w:val="6"/>
          <w:sz w:val="17"/>
        </w:rPr>
        <w:t xml:space="preserve"> </w:t>
      </w:r>
      <w:r>
        <w:rPr>
          <w:sz w:val="17"/>
        </w:rPr>
        <w:t>the</w:t>
      </w:r>
      <w:r>
        <w:rPr>
          <w:spacing w:val="5"/>
          <w:sz w:val="17"/>
        </w:rPr>
        <w:t xml:space="preserve"> </w:t>
      </w:r>
      <w:r>
        <w:rPr>
          <w:sz w:val="17"/>
        </w:rPr>
        <w:t>National</w:t>
      </w:r>
      <w:r>
        <w:rPr>
          <w:spacing w:val="6"/>
          <w:sz w:val="17"/>
        </w:rPr>
        <w:t xml:space="preserve"> </w:t>
      </w:r>
      <w:r>
        <w:rPr>
          <w:sz w:val="17"/>
        </w:rPr>
        <w:t>Australian</w:t>
      </w:r>
      <w:r>
        <w:rPr>
          <w:spacing w:val="5"/>
          <w:sz w:val="17"/>
        </w:rPr>
        <w:t xml:space="preserve"> </w:t>
      </w:r>
      <w:r>
        <w:rPr>
          <w:sz w:val="17"/>
        </w:rPr>
        <w:t>Built</w:t>
      </w:r>
      <w:r>
        <w:rPr>
          <w:spacing w:val="6"/>
          <w:sz w:val="17"/>
        </w:rPr>
        <w:t xml:space="preserve"> </w:t>
      </w:r>
      <w:r>
        <w:rPr>
          <w:sz w:val="17"/>
        </w:rPr>
        <w:t>Environment</w:t>
      </w:r>
      <w:r>
        <w:rPr>
          <w:spacing w:val="5"/>
          <w:sz w:val="17"/>
        </w:rPr>
        <w:t xml:space="preserve"> </w:t>
      </w:r>
      <w:r>
        <w:rPr>
          <w:sz w:val="17"/>
        </w:rPr>
        <w:t>Rating</w:t>
      </w:r>
      <w:r>
        <w:rPr>
          <w:spacing w:val="6"/>
          <w:sz w:val="17"/>
        </w:rPr>
        <w:t xml:space="preserve"> </w:t>
      </w:r>
      <w:r>
        <w:rPr>
          <w:spacing w:val="-2"/>
          <w:sz w:val="17"/>
        </w:rPr>
        <w:t>System</w:t>
      </w:r>
    </w:p>
    <w:p w14:paraId="4D8FD8CD" w14:textId="77777777" w:rsidR="009D54AF" w:rsidRDefault="00000000">
      <w:pPr>
        <w:pStyle w:val="BodyText"/>
        <w:spacing w:before="188" w:line="278" w:lineRule="auto"/>
        <w:ind w:left="142" w:right="165"/>
      </w:pPr>
      <w:r>
        <w:t>The Commission is committed to making a positive contribution to ecological sustainability. Table 14 details the</w:t>
      </w:r>
      <w:r>
        <w:rPr>
          <w:spacing w:val="-5"/>
        </w:rPr>
        <w:t xml:space="preserve"> </w:t>
      </w:r>
      <w:r>
        <w:t>Commission’s</w:t>
      </w:r>
      <w:r>
        <w:rPr>
          <w:spacing w:val="-5"/>
        </w:rPr>
        <w:t xml:space="preserve"> </w:t>
      </w:r>
      <w:r>
        <w:t>activities</w:t>
      </w:r>
      <w:r>
        <w:rPr>
          <w:spacing w:val="-5"/>
        </w:rPr>
        <w:t xml:space="preserve"> </w:t>
      </w:r>
      <w:r>
        <w:t>in</w:t>
      </w:r>
      <w:r>
        <w:rPr>
          <w:spacing w:val="-5"/>
        </w:rPr>
        <w:t xml:space="preserve"> </w:t>
      </w:r>
      <w:r>
        <w:t>accordance</w:t>
      </w:r>
      <w:r>
        <w:rPr>
          <w:spacing w:val="-5"/>
        </w:rPr>
        <w:t xml:space="preserve"> </w:t>
      </w:r>
      <w:r>
        <w:t>with</w:t>
      </w:r>
      <w:r>
        <w:rPr>
          <w:spacing w:val="-5"/>
        </w:rPr>
        <w:t xml:space="preserve"> </w:t>
      </w:r>
      <w:r>
        <w:t>section</w:t>
      </w:r>
      <w:r>
        <w:rPr>
          <w:spacing w:val="-6"/>
        </w:rPr>
        <w:t xml:space="preserve"> </w:t>
      </w:r>
      <w:r>
        <w:t>516A(6)</w:t>
      </w:r>
      <w:r>
        <w:rPr>
          <w:spacing w:val="-6"/>
        </w:rPr>
        <w:t xml:space="preserve"> </w:t>
      </w:r>
      <w:r>
        <w:t>of</w:t>
      </w:r>
      <w:r>
        <w:rPr>
          <w:spacing w:val="-6"/>
        </w:rPr>
        <w:t xml:space="preserve"> </w:t>
      </w:r>
      <w:r>
        <w:t>the</w:t>
      </w:r>
      <w:r>
        <w:rPr>
          <w:spacing w:val="-7"/>
        </w:rPr>
        <w:t xml:space="preserve"> </w:t>
      </w:r>
      <w:r>
        <w:rPr>
          <w:i/>
        </w:rPr>
        <w:t>Environment</w:t>
      </w:r>
      <w:r>
        <w:rPr>
          <w:i/>
          <w:spacing w:val="-6"/>
        </w:rPr>
        <w:t xml:space="preserve"> </w:t>
      </w:r>
      <w:r>
        <w:rPr>
          <w:i/>
        </w:rPr>
        <w:t>Protection</w:t>
      </w:r>
      <w:r>
        <w:rPr>
          <w:i/>
          <w:spacing w:val="-6"/>
        </w:rPr>
        <w:t xml:space="preserve"> </w:t>
      </w:r>
      <w:r>
        <w:rPr>
          <w:i/>
        </w:rPr>
        <w:t>and</w:t>
      </w:r>
      <w:r>
        <w:rPr>
          <w:i/>
          <w:spacing w:val="-6"/>
        </w:rPr>
        <w:t xml:space="preserve"> </w:t>
      </w:r>
      <w:r>
        <w:rPr>
          <w:i/>
        </w:rPr>
        <w:t xml:space="preserve">Biodiversity Conservation Act 1999 </w:t>
      </w:r>
      <w:r>
        <w:t>and the Australian Government’s APS Net Zero 2030 target. Greenhouse gas emissions reporting uses a methodology consistent with the whole-of-Australian Government approach as part of the APS Net Zero 2030 target.</w:t>
      </w:r>
    </w:p>
    <w:p w14:paraId="227D0944" w14:textId="77777777" w:rsidR="009D54AF" w:rsidRDefault="009D54AF">
      <w:pPr>
        <w:pStyle w:val="BodyText"/>
        <w:spacing w:line="278" w:lineRule="auto"/>
        <w:sectPr w:rsidR="009D54AF">
          <w:pgSz w:w="11910" w:h="16840"/>
          <w:pgMar w:top="720" w:right="708" w:bottom="280" w:left="708" w:header="720" w:footer="720" w:gutter="0"/>
          <w:cols w:space="720"/>
        </w:sectPr>
      </w:pPr>
    </w:p>
    <w:p w14:paraId="31D9328C" w14:textId="77777777" w:rsidR="009D54AF" w:rsidRDefault="00000000">
      <w:pPr>
        <w:spacing w:before="70"/>
        <w:ind w:left="142"/>
        <w:rPr>
          <w:sz w:val="19"/>
        </w:rPr>
      </w:pPr>
      <w:r>
        <w:rPr>
          <w:b/>
          <w:sz w:val="19"/>
        </w:rPr>
        <w:lastRenderedPageBreak/>
        <w:t>Table</w:t>
      </w:r>
      <w:r>
        <w:rPr>
          <w:b/>
          <w:spacing w:val="-3"/>
          <w:sz w:val="19"/>
        </w:rPr>
        <w:t xml:space="preserve"> </w:t>
      </w:r>
      <w:r>
        <w:rPr>
          <w:b/>
          <w:sz w:val="19"/>
        </w:rPr>
        <w:t xml:space="preserve">14 </w:t>
      </w:r>
      <w:r>
        <w:rPr>
          <w:sz w:val="19"/>
        </w:rPr>
        <w:t>Greenhouse gas</w:t>
      </w:r>
      <w:r>
        <w:rPr>
          <w:spacing w:val="-1"/>
          <w:sz w:val="19"/>
        </w:rPr>
        <w:t xml:space="preserve"> </w:t>
      </w:r>
      <w:r>
        <w:rPr>
          <w:sz w:val="19"/>
        </w:rPr>
        <w:t>emissions inventory, 2025–</w:t>
      </w:r>
      <w:r>
        <w:rPr>
          <w:spacing w:val="-5"/>
          <w:sz w:val="19"/>
        </w:rPr>
        <w:t>26</w:t>
      </w:r>
    </w:p>
    <w:p w14:paraId="7474EB37" w14:textId="77777777" w:rsidR="009D54AF" w:rsidRDefault="009D54AF">
      <w:pPr>
        <w:pStyle w:val="BodyText"/>
        <w:spacing w:before="2"/>
        <w:rPr>
          <w:sz w:val="8"/>
        </w:rPr>
      </w:pPr>
    </w:p>
    <w:tbl>
      <w:tblPr>
        <w:tblW w:w="0" w:type="auto"/>
        <w:tblInd w:w="149"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CellMar>
          <w:left w:w="0" w:type="dxa"/>
          <w:right w:w="0" w:type="dxa"/>
        </w:tblCellMar>
        <w:tblLook w:val="01E0" w:firstRow="1" w:lastRow="1" w:firstColumn="1" w:lastColumn="1" w:noHBand="0" w:noVBand="0"/>
      </w:tblPr>
      <w:tblGrid>
        <w:gridCol w:w="3402"/>
        <w:gridCol w:w="1701"/>
        <w:gridCol w:w="1701"/>
        <w:gridCol w:w="1701"/>
        <w:gridCol w:w="1701"/>
      </w:tblGrid>
      <w:tr w:rsidR="009D54AF" w14:paraId="49C99EC9" w14:textId="77777777">
        <w:trPr>
          <w:trHeight w:val="516"/>
        </w:trPr>
        <w:tc>
          <w:tcPr>
            <w:tcW w:w="3402" w:type="dxa"/>
            <w:tcBorders>
              <w:top w:val="nil"/>
              <w:left w:val="nil"/>
              <w:bottom w:val="nil"/>
              <w:right w:val="nil"/>
            </w:tcBorders>
            <w:shd w:val="clear" w:color="auto" w:fill="000000"/>
          </w:tcPr>
          <w:p w14:paraId="44708C53" w14:textId="77777777" w:rsidR="009D54AF" w:rsidRDefault="009D54AF">
            <w:pPr>
              <w:pStyle w:val="TableParagraph"/>
              <w:spacing w:before="34"/>
              <w:rPr>
                <w:sz w:val="19"/>
              </w:rPr>
            </w:pPr>
          </w:p>
          <w:p w14:paraId="2CC422FF" w14:textId="77777777" w:rsidR="009D54AF" w:rsidRDefault="00000000">
            <w:pPr>
              <w:pStyle w:val="TableParagraph"/>
              <w:ind w:left="85"/>
              <w:rPr>
                <w:b/>
                <w:sz w:val="19"/>
              </w:rPr>
            </w:pPr>
            <w:r>
              <w:rPr>
                <w:b/>
                <w:color w:val="FFFFFF"/>
                <w:sz w:val="19"/>
              </w:rPr>
              <w:t>Emission</w:t>
            </w:r>
            <w:r>
              <w:rPr>
                <w:b/>
                <w:color w:val="FFFFFF"/>
                <w:spacing w:val="9"/>
                <w:sz w:val="19"/>
              </w:rPr>
              <w:t xml:space="preserve"> </w:t>
            </w:r>
            <w:r>
              <w:rPr>
                <w:b/>
                <w:color w:val="FFFFFF"/>
                <w:spacing w:val="-2"/>
                <w:sz w:val="19"/>
              </w:rPr>
              <w:t>source</w:t>
            </w:r>
          </w:p>
        </w:tc>
        <w:tc>
          <w:tcPr>
            <w:tcW w:w="1701" w:type="dxa"/>
            <w:tcBorders>
              <w:top w:val="nil"/>
              <w:left w:val="nil"/>
              <w:bottom w:val="nil"/>
            </w:tcBorders>
            <w:shd w:val="clear" w:color="auto" w:fill="000000"/>
          </w:tcPr>
          <w:p w14:paraId="7B7F581D" w14:textId="77777777" w:rsidR="009D54AF" w:rsidRDefault="00000000">
            <w:pPr>
              <w:pStyle w:val="TableParagraph"/>
              <w:spacing w:before="50" w:line="230" w:lineRule="auto"/>
              <w:ind w:left="468" w:right="459" w:firstLine="12"/>
              <w:rPr>
                <w:b/>
                <w:sz w:val="19"/>
              </w:rPr>
            </w:pPr>
            <w:r>
              <w:rPr>
                <w:b/>
                <w:color w:val="FFFFFF"/>
                <w:sz w:val="19"/>
              </w:rPr>
              <w:t>Scope</w:t>
            </w:r>
            <w:r>
              <w:rPr>
                <w:b/>
                <w:color w:val="FFFFFF"/>
                <w:spacing w:val="-14"/>
                <w:sz w:val="19"/>
              </w:rPr>
              <w:t xml:space="preserve"> </w:t>
            </w:r>
            <w:r>
              <w:rPr>
                <w:b/>
                <w:color w:val="FFFFFF"/>
                <w:sz w:val="19"/>
              </w:rPr>
              <w:t>1 (t</w:t>
            </w:r>
            <w:r>
              <w:rPr>
                <w:b/>
                <w:color w:val="FFFFFF"/>
                <w:spacing w:val="1"/>
                <w:sz w:val="19"/>
              </w:rPr>
              <w:t xml:space="preserve"> </w:t>
            </w:r>
            <w:r>
              <w:rPr>
                <w:b/>
                <w:color w:val="FFFFFF"/>
                <w:sz w:val="19"/>
              </w:rPr>
              <w:t>CO</w:t>
            </w:r>
            <w:r>
              <w:rPr>
                <w:b/>
                <w:color w:val="FFFFFF"/>
                <w:sz w:val="19"/>
                <w:vertAlign w:val="subscript"/>
              </w:rPr>
              <w:t>2</w:t>
            </w:r>
            <w:r>
              <w:rPr>
                <w:b/>
                <w:color w:val="FFFFFF"/>
                <w:sz w:val="19"/>
              </w:rPr>
              <w:t>-</w:t>
            </w:r>
            <w:r>
              <w:rPr>
                <w:b/>
                <w:color w:val="FFFFFF"/>
                <w:spacing w:val="-8"/>
                <w:sz w:val="19"/>
              </w:rPr>
              <w:t>e)</w:t>
            </w:r>
          </w:p>
        </w:tc>
        <w:tc>
          <w:tcPr>
            <w:tcW w:w="1701" w:type="dxa"/>
            <w:tcBorders>
              <w:top w:val="nil"/>
              <w:bottom w:val="nil"/>
            </w:tcBorders>
            <w:shd w:val="clear" w:color="auto" w:fill="000000"/>
          </w:tcPr>
          <w:p w14:paraId="5F645BAD" w14:textId="77777777" w:rsidR="009D54AF" w:rsidRDefault="00000000">
            <w:pPr>
              <w:pStyle w:val="TableParagraph"/>
              <w:spacing w:before="50" w:line="230" w:lineRule="auto"/>
              <w:ind w:left="462" w:right="458" w:firstLine="12"/>
              <w:rPr>
                <w:b/>
                <w:sz w:val="19"/>
              </w:rPr>
            </w:pPr>
            <w:r>
              <w:rPr>
                <w:b/>
                <w:color w:val="FFFFFF"/>
                <w:sz w:val="19"/>
              </w:rPr>
              <w:t>Scope</w:t>
            </w:r>
            <w:r>
              <w:rPr>
                <w:b/>
                <w:color w:val="FFFFFF"/>
                <w:spacing w:val="-14"/>
                <w:sz w:val="19"/>
              </w:rPr>
              <w:t xml:space="preserve"> </w:t>
            </w:r>
            <w:r>
              <w:rPr>
                <w:b/>
                <w:color w:val="FFFFFF"/>
                <w:sz w:val="19"/>
              </w:rPr>
              <w:t>2 (t</w:t>
            </w:r>
            <w:r>
              <w:rPr>
                <w:b/>
                <w:color w:val="FFFFFF"/>
                <w:spacing w:val="1"/>
                <w:sz w:val="19"/>
              </w:rPr>
              <w:t xml:space="preserve"> </w:t>
            </w:r>
            <w:r>
              <w:rPr>
                <w:b/>
                <w:color w:val="FFFFFF"/>
                <w:sz w:val="19"/>
              </w:rPr>
              <w:t>CO</w:t>
            </w:r>
            <w:r>
              <w:rPr>
                <w:b/>
                <w:color w:val="FFFFFF"/>
                <w:sz w:val="19"/>
                <w:vertAlign w:val="subscript"/>
              </w:rPr>
              <w:t>2</w:t>
            </w:r>
            <w:r>
              <w:rPr>
                <w:b/>
                <w:color w:val="FFFFFF"/>
                <w:sz w:val="19"/>
              </w:rPr>
              <w:t>-</w:t>
            </w:r>
            <w:r>
              <w:rPr>
                <w:b/>
                <w:color w:val="FFFFFF"/>
                <w:spacing w:val="-7"/>
                <w:sz w:val="19"/>
              </w:rPr>
              <w:t>e)</w:t>
            </w:r>
          </w:p>
        </w:tc>
        <w:tc>
          <w:tcPr>
            <w:tcW w:w="1701" w:type="dxa"/>
            <w:tcBorders>
              <w:top w:val="nil"/>
              <w:bottom w:val="nil"/>
            </w:tcBorders>
            <w:shd w:val="clear" w:color="auto" w:fill="000000"/>
          </w:tcPr>
          <w:p w14:paraId="281DE187" w14:textId="77777777" w:rsidR="009D54AF" w:rsidRDefault="00000000">
            <w:pPr>
              <w:pStyle w:val="TableParagraph"/>
              <w:spacing w:before="50" w:line="230" w:lineRule="auto"/>
              <w:ind w:left="462" w:right="458" w:firstLine="12"/>
              <w:rPr>
                <w:b/>
                <w:sz w:val="19"/>
              </w:rPr>
            </w:pPr>
            <w:r>
              <w:rPr>
                <w:b/>
                <w:color w:val="FFFFFF"/>
                <w:sz w:val="19"/>
              </w:rPr>
              <w:t>Scope</w:t>
            </w:r>
            <w:r>
              <w:rPr>
                <w:b/>
                <w:color w:val="FFFFFF"/>
                <w:spacing w:val="-14"/>
                <w:sz w:val="19"/>
              </w:rPr>
              <w:t xml:space="preserve"> </w:t>
            </w:r>
            <w:r>
              <w:rPr>
                <w:b/>
                <w:color w:val="FFFFFF"/>
                <w:sz w:val="19"/>
              </w:rPr>
              <w:t>3 (t</w:t>
            </w:r>
            <w:r>
              <w:rPr>
                <w:b/>
                <w:color w:val="FFFFFF"/>
                <w:spacing w:val="1"/>
                <w:sz w:val="19"/>
              </w:rPr>
              <w:t xml:space="preserve"> </w:t>
            </w:r>
            <w:r>
              <w:rPr>
                <w:b/>
                <w:color w:val="FFFFFF"/>
                <w:sz w:val="19"/>
              </w:rPr>
              <w:t>CO</w:t>
            </w:r>
            <w:r>
              <w:rPr>
                <w:b/>
                <w:color w:val="FFFFFF"/>
                <w:sz w:val="19"/>
                <w:vertAlign w:val="subscript"/>
              </w:rPr>
              <w:t>2</w:t>
            </w:r>
            <w:r>
              <w:rPr>
                <w:b/>
                <w:color w:val="FFFFFF"/>
                <w:sz w:val="19"/>
              </w:rPr>
              <w:t>-</w:t>
            </w:r>
            <w:r>
              <w:rPr>
                <w:b/>
                <w:color w:val="FFFFFF"/>
                <w:spacing w:val="-7"/>
                <w:sz w:val="19"/>
              </w:rPr>
              <w:t>e)</w:t>
            </w:r>
          </w:p>
        </w:tc>
        <w:tc>
          <w:tcPr>
            <w:tcW w:w="1701" w:type="dxa"/>
            <w:tcBorders>
              <w:top w:val="nil"/>
              <w:bottom w:val="nil"/>
              <w:right w:val="nil"/>
            </w:tcBorders>
            <w:shd w:val="clear" w:color="auto" w:fill="000000"/>
          </w:tcPr>
          <w:p w14:paraId="1D61BE2E" w14:textId="77777777" w:rsidR="009D54AF" w:rsidRDefault="00000000">
            <w:pPr>
              <w:pStyle w:val="TableParagraph"/>
              <w:spacing w:before="50" w:line="230" w:lineRule="auto"/>
              <w:ind w:left="462" w:right="472" w:firstLine="158"/>
              <w:rPr>
                <w:b/>
                <w:sz w:val="19"/>
              </w:rPr>
            </w:pPr>
            <w:r>
              <w:rPr>
                <w:b/>
                <w:color w:val="FFFFFF"/>
                <w:spacing w:val="-2"/>
                <w:sz w:val="19"/>
              </w:rPr>
              <w:t>Total</w:t>
            </w:r>
            <w:r>
              <w:rPr>
                <w:b/>
                <w:color w:val="FFFFFF"/>
                <w:spacing w:val="40"/>
                <w:sz w:val="19"/>
              </w:rPr>
              <w:t xml:space="preserve"> </w:t>
            </w:r>
            <w:r>
              <w:rPr>
                <w:b/>
                <w:color w:val="FFFFFF"/>
                <w:sz w:val="19"/>
              </w:rPr>
              <w:t>(t</w:t>
            </w:r>
            <w:r>
              <w:rPr>
                <w:b/>
                <w:color w:val="FFFFFF"/>
                <w:spacing w:val="-14"/>
                <w:sz w:val="19"/>
              </w:rPr>
              <w:t xml:space="preserve"> </w:t>
            </w:r>
            <w:r>
              <w:rPr>
                <w:b/>
                <w:color w:val="FFFFFF"/>
                <w:sz w:val="19"/>
              </w:rPr>
              <w:t>CO</w:t>
            </w:r>
            <w:r>
              <w:rPr>
                <w:b/>
                <w:color w:val="FFFFFF"/>
                <w:sz w:val="19"/>
                <w:vertAlign w:val="subscript"/>
              </w:rPr>
              <w:t>2</w:t>
            </w:r>
            <w:r>
              <w:rPr>
                <w:b/>
                <w:color w:val="FFFFFF"/>
                <w:sz w:val="19"/>
              </w:rPr>
              <w:t>-e)</w:t>
            </w:r>
          </w:p>
        </w:tc>
      </w:tr>
      <w:tr w:rsidR="009D54AF" w14:paraId="3FC85EBA" w14:textId="77777777">
        <w:trPr>
          <w:trHeight w:val="503"/>
        </w:trPr>
        <w:tc>
          <w:tcPr>
            <w:tcW w:w="3402" w:type="dxa"/>
            <w:tcBorders>
              <w:top w:val="nil"/>
              <w:left w:val="nil"/>
              <w:bottom w:val="single" w:sz="2" w:space="0" w:color="000000"/>
              <w:right w:val="single" w:sz="2" w:space="0" w:color="000000"/>
            </w:tcBorders>
          </w:tcPr>
          <w:p w14:paraId="56DD6813" w14:textId="77777777" w:rsidR="009D54AF" w:rsidRDefault="00000000">
            <w:pPr>
              <w:pStyle w:val="TableParagraph"/>
              <w:spacing w:before="33" w:line="214" w:lineRule="exact"/>
              <w:ind w:left="85"/>
              <w:rPr>
                <w:sz w:val="19"/>
              </w:rPr>
            </w:pPr>
            <w:r>
              <w:rPr>
                <w:spacing w:val="-2"/>
                <w:sz w:val="19"/>
              </w:rPr>
              <w:t>Electricity</w:t>
            </w:r>
          </w:p>
          <w:p w14:paraId="06EE7FB1" w14:textId="77777777" w:rsidR="009D54AF" w:rsidRDefault="00000000">
            <w:pPr>
              <w:pStyle w:val="TableParagraph"/>
              <w:spacing w:line="214" w:lineRule="exact"/>
              <w:ind w:left="85"/>
              <w:rPr>
                <w:sz w:val="19"/>
              </w:rPr>
            </w:pPr>
            <w:r>
              <w:rPr>
                <w:sz w:val="19"/>
              </w:rPr>
              <w:t>(location-based</w:t>
            </w:r>
            <w:r>
              <w:rPr>
                <w:spacing w:val="16"/>
                <w:sz w:val="19"/>
              </w:rPr>
              <w:t xml:space="preserve"> </w:t>
            </w:r>
            <w:r>
              <w:rPr>
                <w:spacing w:val="-2"/>
                <w:sz w:val="19"/>
              </w:rPr>
              <w:t>approach)</w:t>
            </w:r>
          </w:p>
        </w:tc>
        <w:tc>
          <w:tcPr>
            <w:tcW w:w="1701" w:type="dxa"/>
            <w:tcBorders>
              <w:top w:val="nil"/>
              <w:left w:val="single" w:sz="2" w:space="0" w:color="000000"/>
              <w:bottom w:val="single" w:sz="2" w:space="0" w:color="000000"/>
              <w:right w:val="single" w:sz="2" w:space="0" w:color="000000"/>
            </w:tcBorders>
          </w:tcPr>
          <w:p w14:paraId="06A5542A" w14:textId="77777777" w:rsidR="009D54AF" w:rsidRDefault="00000000">
            <w:pPr>
              <w:pStyle w:val="TableParagraph"/>
              <w:spacing w:before="138"/>
              <w:ind w:right="84"/>
              <w:jc w:val="right"/>
              <w:rPr>
                <w:sz w:val="19"/>
              </w:rPr>
            </w:pPr>
            <w:r>
              <w:rPr>
                <w:spacing w:val="-5"/>
                <w:sz w:val="19"/>
              </w:rPr>
              <w:t>N/A</w:t>
            </w:r>
          </w:p>
        </w:tc>
        <w:tc>
          <w:tcPr>
            <w:tcW w:w="1701" w:type="dxa"/>
            <w:tcBorders>
              <w:top w:val="nil"/>
              <w:left w:val="single" w:sz="2" w:space="0" w:color="000000"/>
              <w:bottom w:val="single" w:sz="2" w:space="0" w:color="000000"/>
              <w:right w:val="single" w:sz="2" w:space="0" w:color="000000"/>
            </w:tcBorders>
          </w:tcPr>
          <w:p w14:paraId="0F9A7ED7" w14:textId="77777777" w:rsidR="009D54AF" w:rsidRDefault="00000000">
            <w:pPr>
              <w:pStyle w:val="TableParagraph"/>
              <w:spacing w:before="138"/>
              <w:ind w:right="81"/>
              <w:jc w:val="right"/>
              <w:rPr>
                <w:sz w:val="19"/>
              </w:rPr>
            </w:pPr>
            <w:r>
              <w:rPr>
                <w:spacing w:val="-2"/>
                <w:sz w:val="19"/>
              </w:rPr>
              <w:t>124.81</w:t>
            </w:r>
          </w:p>
        </w:tc>
        <w:tc>
          <w:tcPr>
            <w:tcW w:w="1701" w:type="dxa"/>
            <w:tcBorders>
              <w:top w:val="nil"/>
              <w:left w:val="single" w:sz="2" w:space="0" w:color="000000"/>
              <w:bottom w:val="single" w:sz="2" w:space="0" w:color="000000"/>
              <w:right w:val="single" w:sz="2" w:space="0" w:color="000000"/>
            </w:tcBorders>
          </w:tcPr>
          <w:p w14:paraId="3500BEB2" w14:textId="77777777" w:rsidR="009D54AF" w:rsidRDefault="00000000">
            <w:pPr>
              <w:pStyle w:val="TableParagraph"/>
              <w:spacing w:before="138"/>
              <w:ind w:right="81"/>
              <w:jc w:val="right"/>
              <w:rPr>
                <w:sz w:val="19"/>
              </w:rPr>
            </w:pPr>
            <w:r>
              <w:rPr>
                <w:spacing w:val="-4"/>
                <w:sz w:val="19"/>
              </w:rPr>
              <w:t>5.86</w:t>
            </w:r>
          </w:p>
        </w:tc>
        <w:tc>
          <w:tcPr>
            <w:tcW w:w="1701" w:type="dxa"/>
            <w:tcBorders>
              <w:top w:val="nil"/>
              <w:left w:val="single" w:sz="2" w:space="0" w:color="000000"/>
              <w:bottom w:val="single" w:sz="2" w:space="0" w:color="000000"/>
              <w:right w:val="nil"/>
            </w:tcBorders>
          </w:tcPr>
          <w:p w14:paraId="78A07C2A" w14:textId="77777777" w:rsidR="009D54AF" w:rsidRDefault="00000000">
            <w:pPr>
              <w:pStyle w:val="TableParagraph"/>
              <w:spacing w:before="138"/>
              <w:ind w:right="84"/>
              <w:jc w:val="right"/>
              <w:rPr>
                <w:sz w:val="19"/>
              </w:rPr>
            </w:pPr>
            <w:r>
              <w:rPr>
                <w:spacing w:val="-2"/>
                <w:sz w:val="19"/>
              </w:rPr>
              <w:t>130.67</w:t>
            </w:r>
          </w:p>
        </w:tc>
      </w:tr>
      <w:tr w:rsidR="009D54AF" w14:paraId="489E41C0" w14:textId="77777777">
        <w:trPr>
          <w:trHeight w:val="505"/>
        </w:trPr>
        <w:tc>
          <w:tcPr>
            <w:tcW w:w="3402" w:type="dxa"/>
            <w:tcBorders>
              <w:top w:val="single" w:sz="2" w:space="0" w:color="000000"/>
              <w:left w:val="nil"/>
              <w:bottom w:val="single" w:sz="2" w:space="0" w:color="000000"/>
              <w:right w:val="single" w:sz="2" w:space="0" w:color="000000"/>
            </w:tcBorders>
          </w:tcPr>
          <w:p w14:paraId="04E6EF00" w14:textId="77777777" w:rsidR="009D54AF" w:rsidRDefault="00000000">
            <w:pPr>
              <w:pStyle w:val="TableParagraph"/>
              <w:spacing w:before="142"/>
              <w:ind w:left="85"/>
              <w:rPr>
                <w:sz w:val="19"/>
              </w:rPr>
            </w:pPr>
            <w:r>
              <w:rPr>
                <w:sz w:val="19"/>
              </w:rPr>
              <w:t>Natural</w:t>
            </w:r>
            <w:r>
              <w:rPr>
                <w:spacing w:val="1"/>
                <w:sz w:val="19"/>
              </w:rPr>
              <w:t xml:space="preserve"> </w:t>
            </w:r>
            <w:r>
              <w:rPr>
                <w:spacing w:val="-5"/>
                <w:sz w:val="19"/>
              </w:rPr>
              <w:t>gas</w:t>
            </w:r>
          </w:p>
        </w:tc>
        <w:tc>
          <w:tcPr>
            <w:tcW w:w="1701" w:type="dxa"/>
            <w:tcBorders>
              <w:top w:val="single" w:sz="2" w:space="0" w:color="000000"/>
              <w:left w:val="single" w:sz="2" w:space="0" w:color="000000"/>
              <w:bottom w:val="single" w:sz="2" w:space="0" w:color="000000"/>
              <w:right w:val="single" w:sz="2" w:space="0" w:color="000000"/>
            </w:tcBorders>
          </w:tcPr>
          <w:p w14:paraId="2A6B75EB" w14:textId="77777777" w:rsidR="009D54AF" w:rsidRDefault="00000000">
            <w:pPr>
              <w:pStyle w:val="TableParagraph"/>
              <w:spacing w:before="142"/>
              <w:ind w:right="81"/>
              <w:jc w:val="right"/>
              <w:rPr>
                <w:sz w:val="19"/>
              </w:rPr>
            </w:pPr>
            <w:r>
              <w:rPr>
                <w:spacing w:val="-10"/>
                <w:sz w:val="19"/>
              </w:rPr>
              <w:t>–</w:t>
            </w:r>
          </w:p>
        </w:tc>
        <w:tc>
          <w:tcPr>
            <w:tcW w:w="1701" w:type="dxa"/>
            <w:tcBorders>
              <w:top w:val="single" w:sz="2" w:space="0" w:color="000000"/>
              <w:left w:val="single" w:sz="2" w:space="0" w:color="000000"/>
              <w:bottom w:val="single" w:sz="2" w:space="0" w:color="000000"/>
              <w:right w:val="single" w:sz="2" w:space="0" w:color="000000"/>
            </w:tcBorders>
          </w:tcPr>
          <w:p w14:paraId="77978492" w14:textId="77777777" w:rsidR="009D54AF" w:rsidRDefault="00000000">
            <w:pPr>
              <w:pStyle w:val="TableParagraph"/>
              <w:spacing w:before="142"/>
              <w:ind w:right="85"/>
              <w:jc w:val="right"/>
              <w:rPr>
                <w:sz w:val="19"/>
              </w:rPr>
            </w:pPr>
            <w:r>
              <w:rPr>
                <w:spacing w:val="-5"/>
                <w:sz w:val="19"/>
              </w:rPr>
              <w:t>N/A</w:t>
            </w:r>
          </w:p>
        </w:tc>
        <w:tc>
          <w:tcPr>
            <w:tcW w:w="1701" w:type="dxa"/>
            <w:tcBorders>
              <w:top w:val="single" w:sz="2" w:space="0" w:color="000000"/>
              <w:left w:val="single" w:sz="2" w:space="0" w:color="000000"/>
              <w:bottom w:val="single" w:sz="2" w:space="0" w:color="000000"/>
              <w:right w:val="single" w:sz="2" w:space="0" w:color="000000"/>
            </w:tcBorders>
          </w:tcPr>
          <w:p w14:paraId="0AC5CAD4" w14:textId="77777777" w:rsidR="009D54AF" w:rsidRDefault="00000000">
            <w:pPr>
              <w:pStyle w:val="TableParagraph"/>
              <w:spacing w:before="142"/>
              <w:ind w:right="81"/>
              <w:jc w:val="right"/>
              <w:rPr>
                <w:sz w:val="19"/>
              </w:rPr>
            </w:pPr>
            <w:r>
              <w:rPr>
                <w:spacing w:val="-10"/>
                <w:sz w:val="19"/>
              </w:rPr>
              <w:t>–</w:t>
            </w:r>
          </w:p>
        </w:tc>
        <w:tc>
          <w:tcPr>
            <w:tcW w:w="1701" w:type="dxa"/>
            <w:tcBorders>
              <w:top w:val="single" w:sz="2" w:space="0" w:color="000000"/>
              <w:left w:val="single" w:sz="2" w:space="0" w:color="000000"/>
              <w:bottom w:val="single" w:sz="2" w:space="0" w:color="000000"/>
              <w:right w:val="nil"/>
            </w:tcBorders>
          </w:tcPr>
          <w:p w14:paraId="6102EF2B" w14:textId="77777777" w:rsidR="009D54AF" w:rsidRDefault="00000000">
            <w:pPr>
              <w:pStyle w:val="TableParagraph"/>
              <w:spacing w:before="142"/>
              <w:ind w:right="84"/>
              <w:jc w:val="right"/>
              <w:rPr>
                <w:sz w:val="19"/>
              </w:rPr>
            </w:pPr>
            <w:r>
              <w:rPr>
                <w:spacing w:val="-10"/>
                <w:sz w:val="19"/>
              </w:rPr>
              <w:t>–</w:t>
            </w:r>
          </w:p>
        </w:tc>
      </w:tr>
      <w:tr w:rsidR="009D54AF" w14:paraId="0DF4C2B0" w14:textId="77777777">
        <w:trPr>
          <w:trHeight w:val="505"/>
        </w:trPr>
        <w:tc>
          <w:tcPr>
            <w:tcW w:w="3402" w:type="dxa"/>
            <w:tcBorders>
              <w:top w:val="single" w:sz="2" w:space="0" w:color="000000"/>
              <w:left w:val="nil"/>
              <w:bottom w:val="single" w:sz="2" w:space="0" w:color="000000"/>
              <w:right w:val="single" w:sz="2" w:space="0" w:color="000000"/>
            </w:tcBorders>
          </w:tcPr>
          <w:p w14:paraId="7A4D49A0" w14:textId="77777777" w:rsidR="009D54AF" w:rsidRDefault="00000000">
            <w:pPr>
              <w:pStyle w:val="TableParagraph"/>
              <w:spacing w:before="142"/>
              <w:ind w:left="85"/>
              <w:rPr>
                <w:sz w:val="19"/>
              </w:rPr>
            </w:pPr>
            <w:r>
              <w:rPr>
                <w:sz w:val="19"/>
              </w:rPr>
              <w:t>Solid</w:t>
            </w:r>
            <w:r>
              <w:rPr>
                <w:spacing w:val="3"/>
                <w:sz w:val="19"/>
              </w:rPr>
              <w:t xml:space="preserve"> </w:t>
            </w:r>
            <w:r>
              <w:rPr>
                <w:spacing w:val="-2"/>
                <w:sz w:val="19"/>
              </w:rPr>
              <w:t>waste</w:t>
            </w:r>
          </w:p>
        </w:tc>
        <w:tc>
          <w:tcPr>
            <w:tcW w:w="1701" w:type="dxa"/>
            <w:tcBorders>
              <w:top w:val="single" w:sz="2" w:space="0" w:color="000000"/>
              <w:left w:val="single" w:sz="2" w:space="0" w:color="000000"/>
              <w:bottom w:val="single" w:sz="2" w:space="0" w:color="000000"/>
              <w:right w:val="single" w:sz="2" w:space="0" w:color="000000"/>
            </w:tcBorders>
          </w:tcPr>
          <w:p w14:paraId="020E6807" w14:textId="77777777" w:rsidR="009D54AF" w:rsidRDefault="00000000">
            <w:pPr>
              <w:pStyle w:val="TableParagraph"/>
              <w:spacing w:before="142"/>
              <w:ind w:right="81"/>
              <w:jc w:val="right"/>
              <w:rPr>
                <w:sz w:val="19"/>
              </w:rPr>
            </w:pPr>
            <w:r>
              <w:rPr>
                <w:spacing w:val="-10"/>
                <w:sz w:val="19"/>
              </w:rPr>
              <w:t>–</w:t>
            </w:r>
          </w:p>
        </w:tc>
        <w:tc>
          <w:tcPr>
            <w:tcW w:w="1701" w:type="dxa"/>
            <w:tcBorders>
              <w:top w:val="single" w:sz="2" w:space="0" w:color="000000"/>
              <w:left w:val="single" w:sz="2" w:space="0" w:color="000000"/>
              <w:bottom w:val="single" w:sz="2" w:space="0" w:color="000000"/>
              <w:right w:val="single" w:sz="2" w:space="0" w:color="000000"/>
            </w:tcBorders>
          </w:tcPr>
          <w:p w14:paraId="7DB99368" w14:textId="77777777" w:rsidR="009D54AF" w:rsidRDefault="00000000">
            <w:pPr>
              <w:pStyle w:val="TableParagraph"/>
              <w:spacing w:before="142"/>
              <w:ind w:right="85"/>
              <w:jc w:val="right"/>
              <w:rPr>
                <w:sz w:val="19"/>
              </w:rPr>
            </w:pPr>
            <w:r>
              <w:rPr>
                <w:spacing w:val="-5"/>
                <w:sz w:val="19"/>
              </w:rPr>
              <w:t>N/A</w:t>
            </w:r>
          </w:p>
        </w:tc>
        <w:tc>
          <w:tcPr>
            <w:tcW w:w="1701" w:type="dxa"/>
            <w:tcBorders>
              <w:top w:val="single" w:sz="2" w:space="0" w:color="000000"/>
              <w:left w:val="single" w:sz="2" w:space="0" w:color="000000"/>
              <w:bottom w:val="single" w:sz="2" w:space="0" w:color="000000"/>
              <w:right w:val="single" w:sz="2" w:space="0" w:color="000000"/>
            </w:tcBorders>
          </w:tcPr>
          <w:p w14:paraId="5358E5D5" w14:textId="77777777" w:rsidR="009D54AF" w:rsidRDefault="00000000">
            <w:pPr>
              <w:pStyle w:val="TableParagraph"/>
              <w:spacing w:before="142"/>
              <w:ind w:right="81"/>
              <w:jc w:val="right"/>
              <w:rPr>
                <w:sz w:val="19"/>
              </w:rPr>
            </w:pPr>
            <w:r>
              <w:rPr>
                <w:spacing w:val="-10"/>
                <w:sz w:val="19"/>
              </w:rPr>
              <w:t>–</w:t>
            </w:r>
          </w:p>
        </w:tc>
        <w:tc>
          <w:tcPr>
            <w:tcW w:w="1701" w:type="dxa"/>
            <w:tcBorders>
              <w:top w:val="single" w:sz="2" w:space="0" w:color="000000"/>
              <w:left w:val="single" w:sz="2" w:space="0" w:color="000000"/>
              <w:bottom w:val="single" w:sz="2" w:space="0" w:color="000000"/>
              <w:right w:val="nil"/>
            </w:tcBorders>
          </w:tcPr>
          <w:p w14:paraId="14760043" w14:textId="77777777" w:rsidR="009D54AF" w:rsidRDefault="00000000">
            <w:pPr>
              <w:pStyle w:val="TableParagraph"/>
              <w:spacing w:before="142"/>
              <w:ind w:right="84"/>
              <w:jc w:val="right"/>
              <w:rPr>
                <w:sz w:val="19"/>
              </w:rPr>
            </w:pPr>
            <w:r>
              <w:rPr>
                <w:spacing w:val="-10"/>
                <w:sz w:val="19"/>
              </w:rPr>
              <w:t>–</w:t>
            </w:r>
          </w:p>
        </w:tc>
      </w:tr>
      <w:tr w:rsidR="009D54AF" w14:paraId="0B3E2822" w14:textId="77777777">
        <w:trPr>
          <w:trHeight w:val="505"/>
        </w:trPr>
        <w:tc>
          <w:tcPr>
            <w:tcW w:w="3402" w:type="dxa"/>
            <w:tcBorders>
              <w:top w:val="single" w:sz="2" w:space="0" w:color="000000"/>
              <w:left w:val="nil"/>
              <w:bottom w:val="single" w:sz="2" w:space="0" w:color="000000"/>
              <w:right w:val="single" w:sz="2" w:space="0" w:color="000000"/>
            </w:tcBorders>
          </w:tcPr>
          <w:p w14:paraId="01DDA432" w14:textId="77777777" w:rsidR="009D54AF" w:rsidRDefault="00000000">
            <w:pPr>
              <w:pStyle w:val="TableParagraph"/>
              <w:spacing w:before="142"/>
              <w:ind w:left="85"/>
              <w:rPr>
                <w:sz w:val="19"/>
              </w:rPr>
            </w:pPr>
            <w:r>
              <w:rPr>
                <w:spacing w:val="-2"/>
                <w:sz w:val="19"/>
              </w:rPr>
              <w:t>Refrigerants</w:t>
            </w:r>
          </w:p>
        </w:tc>
        <w:tc>
          <w:tcPr>
            <w:tcW w:w="1701" w:type="dxa"/>
            <w:tcBorders>
              <w:top w:val="single" w:sz="2" w:space="0" w:color="000000"/>
              <w:left w:val="single" w:sz="2" w:space="0" w:color="000000"/>
              <w:bottom w:val="single" w:sz="2" w:space="0" w:color="000000"/>
              <w:right w:val="single" w:sz="2" w:space="0" w:color="000000"/>
            </w:tcBorders>
          </w:tcPr>
          <w:p w14:paraId="2EF0C5DE" w14:textId="77777777" w:rsidR="009D54AF" w:rsidRDefault="00000000">
            <w:pPr>
              <w:pStyle w:val="TableParagraph"/>
              <w:spacing w:before="142"/>
              <w:ind w:right="81"/>
              <w:jc w:val="right"/>
              <w:rPr>
                <w:sz w:val="19"/>
              </w:rPr>
            </w:pPr>
            <w:r>
              <w:rPr>
                <w:spacing w:val="-10"/>
                <w:sz w:val="19"/>
              </w:rPr>
              <w:t>–</w:t>
            </w:r>
          </w:p>
        </w:tc>
        <w:tc>
          <w:tcPr>
            <w:tcW w:w="1701" w:type="dxa"/>
            <w:tcBorders>
              <w:top w:val="single" w:sz="2" w:space="0" w:color="000000"/>
              <w:left w:val="single" w:sz="2" w:space="0" w:color="000000"/>
              <w:bottom w:val="single" w:sz="2" w:space="0" w:color="000000"/>
              <w:right w:val="single" w:sz="2" w:space="0" w:color="000000"/>
            </w:tcBorders>
          </w:tcPr>
          <w:p w14:paraId="65E395DD" w14:textId="77777777" w:rsidR="009D54AF" w:rsidRDefault="00000000">
            <w:pPr>
              <w:pStyle w:val="TableParagraph"/>
              <w:spacing w:before="142"/>
              <w:ind w:right="85"/>
              <w:jc w:val="right"/>
              <w:rPr>
                <w:sz w:val="19"/>
              </w:rPr>
            </w:pPr>
            <w:r>
              <w:rPr>
                <w:spacing w:val="-5"/>
                <w:sz w:val="19"/>
              </w:rPr>
              <w:t>N/A</w:t>
            </w:r>
          </w:p>
        </w:tc>
        <w:tc>
          <w:tcPr>
            <w:tcW w:w="1701" w:type="dxa"/>
            <w:tcBorders>
              <w:top w:val="single" w:sz="2" w:space="0" w:color="000000"/>
              <w:left w:val="single" w:sz="2" w:space="0" w:color="000000"/>
              <w:bottom w:val="single" w:sz="2" w:space="0" w:color="000000"/>
              <w:right w:val="single" w:sz="2" w:space="0" w:color="000000"/>
            </w:tcBorders>
          </w:tcPr>
          <w:p w14:paraId="66F92350" w14:textId="77777777" w:rsidR="009D54AF" w:rsidRDefault="00000000">
            <w:pPr>
              <w:pStyle w:val="TableParagraph"/>
              <w:spacing w:before="142"/>
              <w:ind w:right="85"/>
              <w:jc w:val="right"/>
              <w:rPr>
                <w:sz w:val="19"/>
              </w:rPr>
            </w:pPr>
            <w:r>
              <w:rPr>
                <w:spacing w:val="-5"/>
                <w:sz w:val="19"/>
              </w:rPr>
              <w:t>N/A</w:t>
            </w:r>
          </w:p>
        </w:tc>
        <w:tc>
          <w:tcPr>
            <w:tcW w:w="1701" w:type="dxa"/>
            <w:tcBorders>
              <w:top w:val="single" w:sz="2" w:space="0" w:color="000000"/>
              <w:left w:val="single" w:sz="2" w:space="0" w:color="000000"/>
              <w:bottom w:val="single" w:sz="2" w:space="0" w:color="000000"/>
              <w:right w:val="nil"/>
            </w:tcBorders>
          </w:tcPr>
          <w:p w14:paraId="7ECCA0B4" w14:textId="77777777" w:rsidR="009D54AF" w:rsidRDefault="00000000">
            <w:pPr>
              <w:pStyle w:val="TableParagraph"/>
              <w:spacing w:before="142"/>
              <w:ind w:right="84"/>
              <w:jc w:val="right"/>
              <w:rPr>
                <w:sz w:val="19"/>
              </w:rPr>
            </w:pPr>
            <w:r>
              <w:rPr>
                <w:spacing w:val="-10"/>
                <w:sz w:val="19"/>
              </w:rPr>
              <w:t>–</w:t>
            </w:r>
          </w:p>
        </w:tc>
      </w:tr>
      <w:tr w:rsidR="009D54AF" w14:paraId="33C6E8F6" w14:textId="77777777">
        <w:trPr>
          <w:trHeight w:val="505"/>
        </w:trPr>
        <w:tc>
          <w:tcPr>
            <w:tcW w:w="3402" w:type="dxa"/>
            <w:tcBorders>
              <w:top w:val="single" w:sz="2" w:space="0" w:color="000000"/>
              <w:left w:val="nil"/>
              <w:bottom w:val="single" w:sz="2" w:space="0" w:color="000000"/>
              <w:right w:val="single" w:sz="2" w:space="0" w:color="000000"/>
            </w:tcBorders>
          </w:tcPr>
          <w:p w14:paraId="6A9654E0" w14:textId="77777777" w:rsidR="009D54AF" w:rsidRDefault="00000000">
            <w:pPr>
              <w:pStyle w:val="TableParagraph"/>
              <w:spacing w:before="142"/>
              <w:ind w:left="85"/>
              <w:rPr>
                <w:sz w:val="19"/>
              </w:rPr>
            </w:pPr>
            <w:r>
              <w:rPr>
                <w:sz w:val="19"/>
              </w:rPr>
              <w:t xml:space="preserve">Fleet and other </w:t>
            </w:r>
            <w:r>
              <w:rPr>
                <w:spacing w:val="-2"/>
                <w:sz w:val="19"/>
              </w:rPr>
              <w:t>vehicles</w:t>
            </w:r>
          </w:p>
        </w:tc>
        <w:tc>
          <w:tcPr>
            <w:tcW w:w="1701" w:type="dxa"/>
            <w:tcBorders>
              <w:top w:val="single" w:sz="2" w:space="0" w:color="000000"/>
              <w:left w:val="single" w:sz="2" w:space="0" w:color="000000"/>
              <w:bottom w:val="single" w:sz="2" w:space="0" w:color="000000"/>
              <w:right w:val="single" w:sz="2" w:space="0" w:color="000000"/>
            </w:tcBorders>
          </w:tcPr>
          <w:p w14:paraId="2442FBE1" w14:textId="77777777" w:rsidR="009D54AF" w:rsidRDefault="00000000">
            <w:pPr>
              <w:pStyle w:val="TableParagraph"/>
              <w:spacing w:before="142"/>
              <w:ind w:right="81"/>
              <w:jc w:val="right"/>
              <w:rPr>
                <w:sz w:val="19"/>
              </w:rPr>
            </w:pPr>
            <w:r>
              <w:rPr>
                <w:spacing w:val="-10"/>
                <w:sz w:val="19"/>
              </w:rPr>
              <w:t>–</w:t>
            </w:r>
          </w:p>
        </w:tc>
        <w:tc>
          <w:tcPr>
            <w:tcW w:w="1701" w:type="dxa"/>
            <w:tcBorders>
              <w:top w:val="single" w:sz="2" w:space="0" w:color="000000"/>
              <w:left w:val="single" w:sz="2" w:space="0" w:color="000000"/>
              <w:bottom w:val="single" w:sz="2" w:space="0" w:color="000000"/>
              <w:right w:val="single" w:sz="2" w:space="0" w:color="000000"/>
            </w:tcBorders>
          </w:tcPr>
          <w:p w14:paraId="38C5ACCC" w14:textId="77777777" w:rsidR="009D54AF" w:rsidRDefault="00000000">
            <w:pPr>
              <w:pStyle w:val="TableParagraph"/>
              <w:spacing w:before="142"/>
              <w:ind w:right="85"/>
              <w:jc w:val="right"/>
              <w:rPr>
                <w:sz w:val="19"/>
              </w:rPr>
            </w:pPr>
            <w:r>
              <w:rPr>
                <w:spacing w:val="-5"/>
                <w:sz w:val="19"/>
              </w:rPr>
              <w:t>N/A</w:t>
            </w:r>
          </w:p>
        </w:tc>
        <w:tc>
          <w:tcPr>
            <w:tcW w:w="1701" w:type="dxa"/>
            <w:tcBorders>
              <w:top w:val="single" w:sz="2" w:space="0" w:color="000000"/>
              <w:left w:val="single" w:sz="2" w:space="0" w:color="000000"/>
              <w:bottom w:val="single" w:sz="2" w:space="0" w:color="000000"/>
              <w:right w:val="single" w:sz="2" w:space="0" w:color="000000"/>
            </w:tcBorders>
          </w:tcPr>
          <w:p w14:paraId="1282E195" w14:textId="77777777" w:rsidR="009D54AF" w:rsidRDefault="00000000">
            <w:pPr>
              <w:pStyle w:val="TableParagraph"/>
              <w:spacing w:before="142"/>
              <w:ind w:right="81"/>
              <w:jc w:val="right"/>
              <w:rPr>
                <w:sz w:val="19"/>
              </w:rPr>
            </w:pPr>
            <w:r>
              <w:rPr>
                <w:spacing w:val="-10"/>
                <w:sz w:val="19"/>
              </w:rPr>
              <w:t>–</w:t>
            </w:r>
          </w:p>
        </w:tc>
        <w:tc>
          <w:tcPr>
            <w:tcW w:w="1701" w:type="dxa"/>
            <w:tcBorders>
              <w:top w:val="single" w:sz="2" w:space="0" w:color="000000"/>
              <w:left w:val="single" w:sz="2" w:space="0" w:color="000000"/>
              <w:bottom w:val="single" w:sz="2" w:space="0" w:color="000000"/>
              <w:right w:val="nil"/>
            </w:tcBorders>
          </w:tcPr>
          <w:p w14:paraId="4214D1F1" w14:textId="77777777" w:rsidR="009D54AF" w:rsidRDefault="00000000">
            <w:pPr>
              <w:pStyle w:val="TableParagraph"/>
              <w:spacing w:before="142"/>
              <w:ind w:right="84"/>
              <w:jc w:val="right"/>
              <w:rPr>
                <w:sz w:val="19"/>
              </w:rPr>
            </w:pPr>
            <w:r>
              <w:rPr>
                <w:spacing w:val="-10"/>
                <w:sz w:val="19"/>
              </w:rPr>
              <w:t>–</w:t>
            </w:r>
          </w:p>
        </w:tc>
      </w:tr>
      <w:tr w:rsidR="009D54AF" w14:paraId="74984999" w14:textId="77777777">
        <w:trPr>
          <w:trHeight w:val="505"/>
        </w:trPr>
        <w:tc>
          <w:tcPr>
            <w:tcW w:w="3402" w:type="dxa"/>
            <w:tcBorders>
              <w:top w:val="single" w:sz="2" w:space="0" w:color="000000"/>
              <w:left w:val="nil"/>
              <w:bottom w:val="single" w:sz="2" w:space="0" w:color="000000"/>
              <w:right w:val="single" w:sz="2" w:space="0" w:color="000000"/>
            </w:tcBorders>
          </w:tcPr>
          <w:p w14:paraId="70E3FA1C" w14:textId="77777777" w:rsidR="009D54AF" w:rsidRDefault="00000000">
            <w:pPr>
              <w:pStyle w:val="TableParagraph"/>
              <w:spacing w:before="142"/>
              <w:ind w:left="85"/>
              <w:rPr>
                <w:sz w:val="19"/>
              </w:rPr>
            </w:pPr>
            <w:r>
              <w:rPr>
                <w:sz w:val="19"/>
              </w:rPr>
              <w:t>Domestic</w:t>
            </w:r>
            <w:r>
              <w:rPr>
                <w:spacing w:val="7"/>
                <w:sz w:val="19"/>
              </w:rPr>
              <w:t xml:space="preserve"> </w:t>
            </w:r>
            <w:r>
              <w:rPr>
                <w:sz w:val="19"/>
              </w:rPr>
              <w:t>commercial</w:t>
            </w:r>
            <w:r>
              <w:rPr>
                <w:spacing w:val="8"/>
                <w:sz w:val="19"/>
              </w:rPr>
              <w:t xml:space="preserve"> </w:t>
            </w:r>
            <w:r>
              <w:rPr>
                <w:spacing w:val="-2"/>
                <w:sz w:val="19"/>
              </w:rPr>
              <w:t>flights</w:t>
            </w:r>
          </w:p>
        </w:tc>
        <w:tc>
          <w:tcPr>
            <w:tcW w:w="1701" w:type="dxa"/>
            <w:tcBorders>
              <w:top w:val="single" w:sz="2" w:space="0" w:color="000000"/>
              <w:left w:val="single" w:sz="2" w:space="0" w:color="000000"/>
              <w:bottom w:val="single" w:sz="2" w:space="0" w:color="000000"/>
              <w:right w:val="single" w:sz="2" w:space="0" w:color="000000"/>
            </w:tcBorders>
          </w:tcPr>
          <w:p w14:paraId="74FEEEB8" w14:textId="77777777" w:rsidR="009D54AF" w:rsidRDefault="00000000">
            <w:pPr>
              <w:pStyle w:val="TableParagraph"/>
              <w:spacing w:before="142"/>
              <w:ind w:right="84"/>
              <w:jc w:val="right"/>
              <w:rPr>
                <w:sz w:val="19"/>
              </w:rPr>
            </w:pPr>
            <w:r>
              <w:rPr>
                <w:spacing w:val="-5"/>
                <w:sz w:val="19"/>
              </w:rPr>
              <w:t>N/A</w:t>
            </w:r>
          </w:p>
        </w:tc>
        <w:tc>
          <w:tcPr>
            <w:tcW w:w="1701" w:type="dxa"/>
            <w:tcBorders>
              <w:top w:val="single" w:sz="2" w:space="0" w:color="000000"/>
              <w:left w:val="single" w:sz="2" w:space="0" w:color="000000"/>
              <w:bottom w:val="single" w:sz="2" w:space="0" w:color="000000"/>
              <w:right w:val="single" w:sz="2" w:space="0" w:color="000000"/>
            </w:tcBorders>
          </w:tcPr>
          <w:p w14:paraId="7318EE12" w14:textId="77777777" w:rsidR="009D54AF" w:rsidRDefault="00000000">
            <w:pPr>
              <w:pStyle w:val="TableParagraph"/>
              <w:spacing w:before="142"/>
              <w:ind w:right="85"/>
              <w:jc w:val="right"/>
              <w:rPr>
                <w:sz w:val="19"/>
              </w:rPr>
            </w:pPr>
            <w:r>
              <w:rPr>
                <w:spacing w:val="-5"/>
                <w:sz w:val="19"/>
              </w:rPr>
              <w:t>N/A</w:t>
            </w:r>
          </w:p>
        </w:tc>
        <w:tc>
          <w:tcPr>
            <w:tcW w:w="1701" w:type="dxa"/>
            <w:tcBorders>
              <w:top w:val="single" w:sz="2" w:space="0" w:color="000000"/>
              <w:left w:val="single" w:sz="2" w:space="0" w:color="000000"/>
              <w:bottom w:val="single" w:sz="2" w:space="0" w:color="000000"/>
              <w:right w:val="single" w:sz="2" w:space="0" w:color="000000"/>
            </w:tcBorders>
          </w:tcPr>
          <w:p w14:paraId="1E7211AA" w14:textId="77777777" w:rsidR="009D54AF" w:rsidRDefault="00000000">
            <w:pPr>
              <w:pStyle w:val="TableParagraph"/>
              <w:spacing w:before="142"/>
              <w:ind w:right="81"/>
              <w:jc w:val="right"/>
              <w:rPr>
                <w:sz w:val="19"/>
              </w:rPr>
            </w:pPr>
            <w:r>
              <w:rPr>
                <w:spacing w:val="-2"/>
                <w:sz w:val="19"/>
              </w:rPr>
              <w:t>58.80</w:t>
            </w:r>
          </w:p>
        </w:tc>
        <w:tc>
          <w:tcPr>
            <w:tcW w:w="1701" w:type="dxa"/>
            <w:tcBorders>
              <w:top w:val="single" w:sz="2" w:space="0" w:color="000000"/>
              <w:left w:val="single" w:sz="2" w:space="0" w:color="000000"/>
              <w:bottom w:val="single" w:sz="2" w:space="0" w:color="000000"/>
              <w:right w:val="nil"/>
            </w:tcBorders>
          </w:tcPr>
          <w:p w14:paraId="191C7A9B" w14:textId="77777777" w:rsidR="009D54AF" w:rsidRDefault="00000000">
            <w:pPr>
              <w:pStyle w:val="TableParagraph"/>
              <w:spacing w:before="142"/>
              <w:ind w:right="84"/>
              <w:jc w:val="right"/>
              <w:rPr>
                <w:sz w:val="19"/>
              </w:rPr>
            </w:pPr>
            <w:r>
              <w:rPr>
                <w:spacing w:val="-2"/>
                <w:sz w:val="19"/>
              </w:rPr>
              <w:t>58.80</w:t>
            </w:r>
          </w:p>
        </w:tc>
      </w:tr>
      <w:tr w:rsidR="009D54AF" w14:paraId="1430BE7B" w14:textId="77777777">
        <w:trPr>
          <w:trHeight w:val="505"/>
        </w:trPr>
        <w:tc>
          <w:tcPr>
            <w:tcW w:w="3402" w:type="dxa"/>
            <w:tcBorders>
              <w:top w:val="single" w:sz="2" w:space="0" w:color="000000"/>
              <w:left w:val="nil"/>
              <w:bottom w:val="single" w:sz="2" w:space="0" w:color="000000"/>
              <w:right w:val="single" w:sz="2" w:space="0" w:color="000000"/>
            </w:tcBorders>
          </w:tcPr>
          <w:p w14:paraId="114C62C1" w14:textId="77777777" w:rsidR="009D54AF" w:rsidRDefault="00000000">
            <w:pPr>
              <w:pStyle w:val="TableParagraph"/>
              <w:spacing w:before="142"/>
              <w:ind w:left="85"/>
              <w:rPr>
                <w:sz w:val="19"/>
              </w:rPr>
            </w:pPr>
            <w:r>
              <w:rPr>
                <w:sz w:val="19"/>
              </w:rPr>
              <w:t>Domestic</w:t>
            </w:r>
            <w:r>
              <w:rPr>
                <w:spacing w:val="3"/>
                <w:sz w:val="19"/>
              </w:rPr>
              <w:t xml:space="preserve"> </w:t>
            </w:r>
            <w:r>
              <w:rPr>
                <w:sz w:val="19"/>
              </w:rPr>
              <w:t>hire</w:t>
            </w:r>
            <w:r>
              <w:rPr>
                <w:spacing w:val="4"/>
                <w:sz w:val="19"/>
              </w:rPr>
              <w:t xml:space="preserve"> </w:t>
            </w:r>
            <w:r>
              <w:rPr>
                <w:spacing w:val="-5"/>
                <w:sz w:val="19"/>
              </w:rPr>
              <w:t>car</w:t>
            </w:r>
          </w:p>
        </w:tc>
        <w:tc>
          <w:tcPr>
            <w:tcW w:w="1701" w:type="dxa"/>
            <w:tcBorders>
              <w:top w:val="single" w:sz="2" w:space="0" w:color="000000"/>
              <w:left w:val="single" w:sz="2" w:space="0" w:color="000000"/>
              <w:bottom w:val="single" w:sz="2" w:space="0" w:color="000000"/>
              <w:right w:val="single" w:sz="2" w:space="0" w:color="000000"/>
            </w:tcBorders>
          </w:tcPr>
          <w:p w14:paraId="3A753671" w14:textId="77777777" w:rsidR="009D54AF" w:rsidRDefault="00000000">
            <w:pPr>
              <w:pStyle w:val="TableParagraph"/>
              <w:spacing w:before="142"/>
              <w:ind w:right="84"/>
              <w:jc w:val="right"/>
              <w:rPr>
                <w:sz w:val="19"/>
              </w:rPr>
            </w:pPr>
            <w:r>
              <w:rPr>
                <w:spacing w:val="-5"/>
                <w:sz w:val="19"/>
              </w:rPr>
              <w:t>N/A</w:t>
            </w:r>
          </w:p>
        </w:tc>
        <w:tc>
          <w:tcPr>
            <w:tcW w:w="1701" w:type="dxa"/>
            <w:tcBorders>
              <w:top w:val="single" w:sz="2" w:space="0" w:color="000000"/>
              <w:left w:val="single" w:sz="2" w:space="0" w:color="000000"/>
              <w:bottom w:val="single" w:sz="2" w:space="0" w:color="000000"/>
              <w:right w:val="single" w:sz="2" w:space="0" w:color="000000"/>
            </w:tcBorders>
          </w:tcPr>
          <w:p w14:paraId="3DB66CF6" w14:textId="77777777" w:rsidR="009D54AF" w:rsidRDefault="00000000">
            <w:pPr>
              <w:pStyle w:val="TableParagraph"/>
              <w:spacing w:before="142"/>
              <w:ind w:right="85"/>
              <w:jc w:val="right"/>
              <w:rPr>
                <w:sz w:val="19"/>
              </w:rPr>
            </w:pPr>
            <w:r>
              <w:rPr>
                <w:spacing w:val="-5"/>
                <w:sz w:val="19"/>
              </w:rPr>
              <w:t>N/A</w:t>
            </w:r>
          </w:p>
        </w:tc>
        <w:tc>
          <w:tcPr>
            <w:tcW w:w="1701" w:type="dxa"/>
            <w:tcBorders>
              <w:top w:val="single" w:sz="2" w:space="0" w:color="000000"/>
              <w:left w:val="single" w:sz="2" w:space="0" w:color="000000"/>
              <w:bottom w:val="single" w:sz="2" w:space="0" w:color="000000"/>
              <w:right w:val="single" w:sz="2" w:space="0" w:color="000000"/>
            </w:tcBorders>
          </w:tcPr>
          <w:p w14:paraId="1A7EE007" w14:textId="77777777" w:rsidR="009D54AF" w:rsidRDefault="00000000">
            <w:pPr>
              <w:pStyle w:val="TableParagraph"/>
              <w:spacing w:before="142"/>
              <w:ind w:right="81"/>
              <w:jc w:val="right"/>
              <w:rPr>
                <w:sz w:val="19"/>
              </w:rPr>
            </w:pPr>
            <w:r>
              <w:rPr>
                <w:spacing w:val="-10"/>
                <w:sz w:val="19"/>
              </w:rPr>
              <w:t>–</w:t>
            </w:r>
          </w:p>
        </w:tc>
        <w:tc>
          <w:tcPr>
            <w:tcW w:w="1701" w:type="dxa"/>
            <w:tcBorders>
              <w:top w:val="single" w:sz="2" w:space="0" w:color="000000"/>
              <w:left w:val="single" w:sz="2" w:space="0" w:color="000000"/>
              <w:bottom w:val="single" w:sz="2" w:space="0" w:color="000000"/>
              <w:right w:val="nil"/>
            </w:tcBorders>
          </w:tcPr>
          <w:p w14:paraId="10652B09" w14:textId="77777777" w:rsidR="009D54AF" w:rsidRDefault="00000000">
            <w:pPr>
              <w:pStyle w:val="TableParagraph"/>
              <w:spacing w:before="142"/>
              <w:ind w:right="84"/>
              <w:jc w:val="right"/>
              <w:rPr>
                <w:sz w:val="19"/>
              </w:rPr>
            </w:pPr>
            <w:r>
              <w:rPr>
                <w:spacing w:val="-10"/>
                <w:sz w:val="19"/>
              </w:rPr>
              <w:t>–</w:t>
            </w:r>
          </w:p>
        </w:tc>
      </w:tr>
      <w:tr w:rsidR="009D54AF" w14:paraId="50A08462" w14:textId="77777777">
        <w:trPr>
          <w:trHeight w:val="505"/>
        </w:trPr>
        <w:tc>
          <w:tcPr>
            <w:tcW w:w="3402" w:type="dxa"/>
            <w:tcBorders>
              <w:top w:val="single" w:sz="2" w:space="0" w:color="000000"/>
              <w:left w:val="nil"/>
              <w:bottom w:val="single" w:sz="2" w:space="0" w:color="000000"/>
              <w:right w:val="single" w:sz="2" w:space="0" w:color="000000"/>
            </w:tcBorders>
          </w:tcPr>
          <w:p w14:paraId="2D082FBB" w14:textId="77777777" w:rsidR="009D54AF" w:rsidRDefault="00000000">
            <w:pPr>
              <w:pStyle w:val="TableParagraph"/>
              <w:spacing w:before="142"/>
              <w:ind w:left="85"/>
              <w:rPr>
                <w:sz w:val="19"/>
              </w:rPr>
            </w:pPr>
            <w:r>
              <w:rPr>
                <w:sz w:val="19"/>
              </w:rPr>
              <w:t>Domestic</w:t>
            </w:r>
            <w:r>
              <w:rPr>
                <w:spacing w:val="2"/>
                <w:sz w:val="19"/>
              </w:rPr>
              <w:t xml:space="preserve"> </w:t>
            </w:r>
            <w:r>
              <w:rPr>
                <w:sz w:val="19"/>
              </w:rPr>
              <w:t>travel</w:t>
            </w:r>
            <w:r>
              <w:rPr>
                <w:spacing w:val="3"/>
                <w:sz w:val="19"/>
              </w:rPr>
              <w:t xml:space="preserve"> </w:t>
            </w:r>
            <w:r>
              <w:rPr>
                <w:spacing w:val="-2"/>
                <w:sz w:val="19"/>
              </w:rPr>
              <w:t>accommodation</w:t>
            </w:r>
          </w:p>
        </w:tc>
        <w:tc>
          <w:tcPr>
            <w:tcW w:w="1701" w:type="dxa"/>
            <w:tcBorders>
              <w:top w:val="single" w:sz="2" w:space="0" w:color="000000"/>
              <w:left w:val="single" w:sz="2" w:space="0" w:color="000000"/>
              <w:bottom w:val="single" w:sz="2" w:space="0" w:color="000000"/>
              <w:right w:val="single" w:sz="2" w:space="0" w:color="000000"/>
            </w:tcBorders>
          </w:tcPr>
          <w:p w14:paraId="2E1BD182" w14:textId="77777777" w:rsidR="009D54AF" w:rsidRDefault="00000000">
            <w:pPr>
              <w:pStyle w:val="TableParagraph"/>
              <w:spacing w:before="142"/>
              <w:ind w:right="84"/>
              <w:jc w:val="right"/>
              <w:rPr>
                <w:sz w:val="19"/>
              </w:rPr>
            </w:pPr>
            <w:r>
              <w:rPr>
                <w:spacing w:val="-5"/>
                <w:sz w:val="19"/>
              </w:rPr>
              <w:t>N/A</w:t>
            </w:r>
          </w:p>
        </w:tc>
        <w:tc>
          <w:tcPr>
            <w:tcW w:w="1701" w:type="dxa"/>
            <w:tcBorders>
              <w:top w:val="single" w:sz="2" w:space="0" w:color="000000"/>
              <w:left w:val="single" w:sz="2" w:space="0" w:color="000000"/>
              <w:bottom w:val="single" w:sz="2" w:space="0" w:color="000000"/>
              <w:right w:val="single" w:sz="2" w:space="0" w:color="000000"/>
            </w:tcBorders>
          </w:tcPr>
          <w:p w14:paraId="7C412105" w14:textId="77777777" w:rsidR="009D54AF" w:rsidRDefault="00000000">
            <w:pPr>
              <w:pStyle w:val="TableParagraph"/>
              <w:spacing w:before="142"/>
              <w:ind w:right="85"/>
              <w:jc w:val="right"/>
              <w:rPr>
                <w:sz w:val="19"/>
              </w:rPr>
            </w:pPr>
            <w:r>
              <w:rPr>
                <w:spacing w:val="-5"/>
                <w:sz w:val="19"/>
              </w:rPr>
              <w:t>N/A</w:t>
            </w:r>
          </w:p>
        </w:tc>
        <w:tc>
          <w:tcPr>
            <w:tcW w:w="1701" w:type="dxa"/>
            <w:tcBorders>
              <w:top w:val="single" w:sz="2" w:space="0" w:color="000000"/>
              <w:left w:val="single" w:sz="2" w:space="0" w:color="000000"/>
              <w:bottom w:val="single" w:sz="2" w:space="0" w:color="000000"/>
              <w:right w:val="single" w:sz="2" w:space="0" w:color="000000"/>
            </w:tcBorders>
          </w:tcPr>
          <w:p w14:paraId="699CB0E1" w14:textId="77777777" w:rsidR="009D54AF" w:rsidRDefault="00000000">
            <w:pPr>
              <w:pStyle w:val="TableParagraph"/>
              <w:spacing w:before="142"/>
              <w:ind w:right="81"/>
              <w:jc w:val="right"/>
              <w:rPr>
                <w:sz w:val="19"/>
              </w:rPr>
            </w:pPr>
            <w:r>
              <w:rPr>
                <w:spacing w:val="-4"/>
                <w:sz w:val="19"/>
              </w:rPr>
              <w:t>9.52</w:t>
            </w:r>
          </w:p>
        </w:tc>
        <w:tc>
          <w:tcPr>
            <w:tcW w:w="1701" w:type="dxa"/>
            <w:tcBorders>
              <w:top w:val="single" w:sz="2" w:space="0" w:color="000000"/>
              <w:left w:val="single" w:sz="2" w:space="0" w:color="000000"/>
              <w:bottom w:val="single" w:sz="2" w:space="0" w:color="000000"/>
              <w:right w:val="nil"/>
            </w:tcBorders>
          </w:tcPr>
          <w:p w14:paraId="3B3A8F84" w14:textId="77777777" w:rsidR="009D54AF" w:rsidRDefault="00000000">
            <w:pPr>
              <w:pStyle w:val="TableParagraph"/>
              <w:spacing w:before="142"/>
              <w:ind w:right="84"/>
              <w:jc w:val="right"/>
              <w:rPr>
                <w:sz w:val="19"/>
              </w:rPr>
            </w:pPr>
            <w:r>
              <w:rPr>
                <w:spacing w:val="-4"/>
                <w:sz w:val="19"/>
              </w:rPr>
              <w:t>9.52</w:t>
            </w:r>
          </w:p>
        </w:tc>
      </w:tr>
      <w:tr w:rsidR="009D54AF" w14:paraId="4B1D1E3E" w14:textId="77777777">
        <w:trPr>
          <w:trHeight w:val="505"/>
        </w:trPr>
        <w:tc>
          <w:tcPr>
            <w:tcW w:w="3402" w:type="dxa"/>
            <w:tcBorders>
              <w:top w:val="single" w:sz="2" w:space="0" w:color="000000"/>
              <w:left w:val="nil"/>
              <w:bottom w:val="single" w:sz="2" w:space="0" w:color="000000"/>
              <w:right w:val="single" w:sz="2" w:space="0" w:color="000000"/>
            </w:tcBorders>
          </w:tcPr>
          <w:p w14:paraId="39037DBE" w14:textId="77777777" w:rsidR="009D54AF" w:rsidRDefault="00000000">
            <w:pPr>
              <w:pStyle w:val="TableParagraph"/>
              <w:spacing w:before="142"/>
              <w:ind w:left="85"/>
              <w:rPr>
                <w:sz w:val="19"/>
              </w:rPr>
            </w:pPr>
            <w:r>
              <w:rPr>
                <w:sz w:val="19"/>
              </w:rPr>
              <w:t>Other</w:t>
            </w:r>
            <w:r>
              <w:rPr>
                <w:spacing w:val="4"/>
                <w:sz w:val="19"/>
              </w:rPr>
              <w:t xml:space="preserve"> </w:t>
            </w:r>
            <w:r>
              <w:rPr>
                <w:spacing w:val="-2"/>
                <w:sz w:val="19"/>
              </w:rPr>
              <w:t>energy</w:t>
            </w:r>
          </w:p>
        </w:tc>
        <w:tc>
          <w:tcPr>
            <w:tcW w:w="1701" w:type="dxa"/>
            <w:tcBorders>
              <w:top w:val="single" w:sz="2" w:space="0" w:color="000000"/>
              <w:left w:val="single" w:sz="2" w:space="0" w:color="000000"/>
              <w:bottom w:val="single" w:sz="2" w:space="0" w:color="000000"/>
              <w:right w:val="single" w:sz="2" w:space="0" w:color="000000"/>
            </w:tcBorders>
          </w:tcPr>
          <w:p w14:paraId="55FBA934" w14:textId="77777777" w:rsidR="009D54AF" w:rsidRDefault="00000000">
            <w:pPr>
              <w:pStyle w:val="TableParagraph"/>
              <w:spacing w:before="142"/>
              <w:ind w:right="81"/>
              <w:jc w:val="right"/>
              <w:rPr>
                <w:sz w:val="19"/>
              </w:rPr>
            </w:pPr>
            <w:r>
              <w:rPr>
                <w:spacing w:val="-10"/>
                <w:sz w:val="19"/>
              </w:rPr>
              <w:t>–</w:t>
            </w:r>
          </w:p>
        </w:tc>
        <w:tc>
          <w:tcPr>
            <w:tcW w:w="1701" w:type="dxa"/>
            <w:tcBorders>
              <w:top w:val="single" w:sz="2" w:space="0" w:color="000000"/>
              <w:left w:val="single" w:sz="2" w:space="0" w:color="000000"/>
              <w:bottom w:val="single" w:sz="2" w:space="0" w:color="000000"/>
              <w:right w:val="single" w:sz="2" w:space="0" w:color="000000"/>
            </w:tcBorders>
          </w:tcPr>
          <w:p w14:paraId="32971F29" w14:textId="77777777" w:rsidR="009D54AF" w:rsidRDefault="00000000">
            <w:pPr>
              <w:pStyle w:val="TableParagraph"/>
              <w:spacing w:before="142"/>
              <w:ind w:right="85"/>
              <w:jc w:val="right"/>
              <w:rPr>
                <w:sz w:val="19"/>
              </w:rPr>
            </w:pPr>
            <w:r>
              <w:rPr>
                <w:spacing w:val="-5"/>
                <w:sz w:val="19"/>
              </w:rPr>
              <w:t>N/A</w:t>
            </w:r>
          </w:p>
        </w:tc>
        <w:tc>
          <w:tcPr>
            <w:tcW w:w="1701" w:type="dxa"/>
            <w:tcBorders>
              <w:top w:val="single" w:sz="2" w:space="0" w:color="000000"/>
              <w:left w:val="single" w:sz="2" w:space="0" w:color="000000"/>
              <w:bottom w:val="single" w:sz="2" w:space="0" w:color="000000"/>
              <w:right w:val="single" w:sz="2" w:space="0" w:color="000000"/>
            </w:tcBorders>
          </w:tcPr>
          <w:p w14:paraId="6A93379E" w14:textId="77777777" w:rsidR="009D54AF" w:rsidRDefault="00000000">
            <w:pPr>
              <w:pStyle w:val="TableParagraph"/>
              <w:spacing w:before="142"/>
              <w:ind w:right="81"/>
              <w:jc w:val="right"/>
              <w:rPr>
                <w:sz w:val="19"/>
              </w:rPr>
            </w:pPr>
            <w:r>
              <w:rPr>
                <w:spacing w:val="-10"/>
                <w:sz w:val="19"/>
              </w:rPr>
              <w:t>–</w:t>
            </w:r>
          </w:p>
        </w:tc>
        <w:tc>
          <w:tcPr>
            <w:tcW w:w="1701" w:type="dxa"/>
            <w:tcBorders>
              <w:top w:val="single" w:sz="2" w:space="0" w:color="000000"/>
              <w:left w:val="single" w:sz="2" w:space="0" w:color="000000"/>
              <w:bottom w:val="single" w:sz="2" w:space="0" w:color="000000"/>
              <w:right w:val="nil"/>
            </w:tcBorders>
          </w:tcPr>
          <w:p w14:paraId="2CC98C6E" w14:textId="77777777" w:rsidR="009D54AF" w:rsidRDefault="00000000">
            <w:pPr>
              <w:pStyle w:val="TableParagraph"/>
              <w:spacing w:before="142"/>
              <w:ind w:right="84"/>
              <w:jc w:val="right"/>
              <w:rPr>
                <w:sz w:val="19"/>
              </w:rPr>
            </w:pPr>
            <w:r>
              <w:rPr>
                <w:spacing w:val="-10"/>
                <w:sz w:val="19"/>
              </w:rPr>
              <w:t>–</w:t>
            </w:r>
          </w:p>
        </w:tc>
      </w:tr>
      <w:tr w:rsidR="009D54AF" w14:paraId="797C8CF3" w14:textId="77777777">
        <w:trPr>
          <w:trHeight w:val="505"/>
        </w:trPr>
        <w:tc>
          <w:tcPr>
            <w:tcW w:w="3402" w:type="dxa"/>
            <w:tcBorders>
              <w:top w:val="single" w:sz="2" w:space="0" w:color="000000"/>
              <w:left w:val="nil"/>
              <w:bottom w:val="single" w:sz="2" w:space="0" w:color="000000"/>
              <w:right w:val="single" w:sz="2" w:space="0" w:color="000000"/>
            </w:tcBorders>
          </w:tcPr>
          <w:p w14:paraId="371E18E6" w14:textId="77777777" w:rsidR="009D54AF" w:rsidRDefault="00000000">
            <w:pPr>
              <w:pStyle w:val="TableParagraph"/>
              <w:spacing w:before="142"/>
              <w:ind w:left="85"/>
              <w:rPr>
                <w:b/>
                <w:sz w:val="19"/>
              </w:rPr>
            </w:pPr>
            <w:r>
              <w:rPr>
                <w:b/>
                <w:sz w:val="19"/>
              </w:rPr>
              <w:t>Total</w:t>
            </w:r>
            <w:r>
              <w:rPr>
                <w:b/>
                <w:spacing w:val="-3"/>
                <w:sz w:val="19"/>
              </w:rPr>
              <w:t xml:space="preserve"> </w:t>
            </w:r>
            <w:r>
              <w:rPr>
                <w:b/>
                <w:sz w:val="19"/>
              </w:rPr>
              <w:t>t</w:t>
            </w:r>
            <w:r>
              <w:rPr>
                <w:b/>
                <w:spacing w:val="-2"/>
                <w:sz w:val="19"/>
              </w:rPr>
              <w:t xml:space="preserve"> </w:t>
            </w:r>
            <w:r>
              <w:rPr>
                <w:b/>
                <w:sz w:val="19"/>
              </w:rPr>
              <w:t>CO</w:t>
            </w:r>
            <w:r>
              <w:rPr>
                <w:b/>
                <w:sz w:val="19"/>
                <w:vertAlign w:val="subscript"/>
              </w:rPr>
              <w:t>2</w:t>
            </w:r>
            <w:r>
              <w:rPr>
                <w:b/>
                <w:sz w:val="19"/>
              </w:rPr>
              <w:t>-e</w:t>
            </w:r>
          </w:p>
        </w:tc>
        <w:tc>
          <w:tcPr>
            <w:tcW w:w="1701" w:type="dxa"/>
            <w:tcBorders>
              <w:top w:val="single" w:sz="2" w:space="0" w:color="000000"/>
              <w:left w:val="single" w:sz="2" w:space="0" w:color="000000"/>
              <w:bottom w:val="single" w:sz="2" w:space="0" w:color="000000"/>
              <w:right w:val="single" w:sz="2" w:space="0" w:color="000000"/>
            </w:tcBorders>
          </w:tcPr>
          <w:p w14:paraId="18AE0A5F" w14:textId="77777777" w:rsidR="009D54AF" w:rsidRDefault="00000000">
            <w:pPr>
              <w:pStyle w:val="TableParagraph"/>
              <w:spacing w:before="142"/>
              <w:ind w:right="81"/>
              <w:jc w:val="right"/>
              <w:rPr>
                <w:b/>
                <w:sz w:val="19"/>
              </w:rPr>
            </w:pPr>
            <w:r>
              <w:rPr>
                <w:b/>
                <w:spacing w:val="-10"/>
                <w:sz w:val="19"/>
              </w:rPr>
              <w:t>–</w:t>
            </w:r>
          </w:p>
        </w:tc>
        <w:tc>
          <w:tcPr>
            <w:tcW w:w="1701" w:type="dxa"/>
            <w:tcBorders>
              <w:top w:val="single" w:sz="2" w:space="0" w:color="000000"/>
              <w:left w:val="single" w:sz="2" w:space="0" w:color="000000"/>
              <w:bottom w:val="single" w:sz="2" w:space="0" w:color="000000"/>
              <w:right w:val="single" w:sz="2" w:space="0" w:color="000000"/>
            </w:tcBorders>
          </w:tcPr>
          <w:p w14:paraId="67D097AE" w14:textId="77777777" w:rsidR="009D54AF" w:rsidRDefault="00000000">
            <w:pPr>
              <w:pStyle w:val="TableParagraph"/>
              <w:spacing w:before="142"/>
              <w:ind w:right="81"/>
              <w:jc w:val="right"/>
              <w:rPr>
                <w:b/>
                <w:sz w:val="19"/>
              </w:rPr>
            </w:pPr>
            <w:r>
              <w:rPr>
                <w:b/>
                <w:spacing w:val="-2"/>
                <w:sz w:val="19"/>
              </w:rPr>
              <w:t>124.81</w:t>
            </w:r>
          </w:p>
        </w:tc>
        <w:tc>
          <w:tcPr>
            <w:tcW w:w="1701" w:type="dxa"/>
            <w:tcBorders>
              <w:top w:val="single" w:sz="2" w:space="0" w:color="000000"/>
              <w:left w:val="single" w:sz="2" w:space="0" w:color="000000"/>
              <w:bottom w:val="single" w:sz="2" w:space="0" w:color="000000"/>
              <w:right w:val="single" w:sz="2" w:space="0" w:color="000000"/>
            </w:tcBorders>
          </w:tcPr>
          <w:p w14:paraId="4857DEC1" w14:textId="77777777" w:rsidR="009D54AF" w:rsidRDefault="00000000">
            <w:pPr>
              <w:pStyle w:val="TableParagraph"/>
              <w:spacing w:before="142"/>
              <w:ind w:right="81"/>
              <w:jc w:val="right"/>
              <w:rPr>
                <w:b/>
                <w:sz w:val="19"/>
              </w:rPr>
            </w:pPr>
            <w:r>
              <w:rPr>
                <w:b/>
                <w:spacing w:val="-2"/>
                <w:sz w:val="19"/>
              </w:rPr>
              <w:t>74.18</w:t>
            </w:r>
          </w:p>
        </w:tc>
        <w:tc>
          <w:tcPr>
            <w:tcW w:w="1701" w:type="dxa"/>
            <w:tcBorders>
              <w:top w:val="single" w:sz="2" w:space="0" w:color="000000"/>
              <w:left w:val="single" w:sz="2" w:space="0" w:color="000000"/>
              <w:bottom w:val="single" w:sz="2" w:space="0" w:color="000000"/>
              <w:right w:val="nil"/>
            </w:tcBorders>
          </w:tcPr>
          <w:p w14:paraId="6E096535" w14:textId="77777777" w:rsidR="009D54AF" w:rsidRDefault="00000000">
            <w:pPr>
              <w:pStyle w:val="TableParagraph"/>
              <w:spacing w:before="142"/>
              <w:ind w:right="84"/>
              <w:jc w:val="right"/>
              <w:rPr>
                <w:b/>
                <w:sz w:val="19"/>
              </w:rPr>
            </w:pPr>
            <w:r>
              <w:rPr>
                <w:b/>
                <w:spacing w:val="-2"/>
                <w:sz w:val="19"/>
              </w:rPr>
              <w:t>198.99</w:t>
            </w:r>
          </w:p>
        </w:tc>
      </w:tr>
    </w:tbl>
    <w:p w14:paraId="3A38394B" w14:textId="77777777" w:rsidR="009D54AF" w:rsidRDefault="00000000">
      <w:pPr>
        <w:spacing w:before="147" w:line="295" w:lineRule="auto"/>
        <w:ind w:left="142"/>
        <w:rPr>
          <w:sz w:val="17"/>
        </w:rPr>
      </w:pPr>
      <w:r>
        <w:rPr>
          <w:b/>
          <w:sz w:val="17"/>
        </w:rPr>
        <w:t xml:space="preserve">Note: </w:t>
      </w:r>
      <w:r>
        <w:rPr>
          <w:sz w:val="17"/>
        </w:rPr>
        <w:t>The table above presents emissions related to electricity usage using the location-based accounting method. CO</w:t>
      </w:r>
      <w:r>
        <w:rPr>
          <w:sz w:val="17"/>
          <w:vertAlign w:val="subscript"/>
        </w:rPr>
        <w:t>2</w:t>
      </w:r>
      <w:r>
        <w:rPr>
          <w:sz w:val="17"/>
        </w:rPr>
        <w:t>-e = carbon dioxide equivalent: N/A = not applicable.</w:t>
      </w:r>
    </w:p>
    <w:p w14:paraId="19FAC532" w14:textId="77777777" w:rsidR="009D54AF" w:rsidRDefault="00000000">
      <w:pPr>
        <w:spacing w:before="56"/>
        <w:ind w:left="142"/>
        <w:rPr>
          <w:sz w:val="17"/>
        </w:rPr>
      </w:pPr>
      <w:r>
        <w:rPr>
          <w:sz w:val="17"/>
        </w:rPr>
        <w:t>Solid</w:t>
      </w:r>
      <w:r>
        <w:rPr>
          <w:spacing w:val="1"/>
          <w:sz w:val="17"/>
        </w:rPr>
        <w:t xml:space="preserve"> </w:t>
      </w:r>
      <w:r>
        <w:rPr>
          <w:sz w:val="17"/>
        </w:rPr>
        <w:t>waste</w:t>
      </w:r>
      <w:r>
        <w:rPr>
          <w:spacing w:val="3"/>
          <w:sz w:val="17"/>
        </w:rPr>
        <w:t xml:space="preserve"> </w:t>
      </w:r>
      <w:r>
        <w:rPr>
          <w:sz w:val="17"/>
        </w:rPr>
        <w:t>data</w:t>
      </w:r>
      <w:r>
        <w:rPr>
          <w:spacing w:val="3"/>
          <w:sz w:val="17"/>
        </w:rPr>
        <w:t xml:space="preserve"> </w:t>
      </w:r>
      <w:r>
        <w:rPr>
          <w:sz w:val="17"/>
        </w:rPr>
        <w:t>was</w:t>
      </w:r>
      <w:r>
        <w:rPr>
          <w:spacing w:val="3"/>
          <w:sz w:val="17"/>
        </w:rPr>
        <w:t xml:space="preserve"> </w:t>
      </w:r>
      <w:r>
        <w:rPr>
          <w:sz w:val="17"/>
        </w:rPr>
        <w:t>unable</w:t>
      </w:r>
      <w:r>
        <w:rPr>
          <w:spacing w:val="3"/>
          <w:sz w:val="17"/>
        </w:rPr>
        <w:t xml:space="preserve"> </w:t>
      </w:r>
      <w:r>
        <w:rPr>
          <w:sz w:val="17"/>
        </w:rPr>
        <w:t>to</w:t>
      </w:r>
      <w:r>
        <w:rPr>
          <w:spacing w:val="3"/>
          <w:sz w:val="17"/>
        </w:rPr>
        <w:t xml:space="preserve"> </w:t>
      </w:r>
      <w:r>
        <w:rPr>
          <w:sz w:val="17"/>
        </w:rPr>
        <w:t>be</w:t>
      </w:r>
      <w:r>
        <w:rPr>
          <w:spacing w:val="3"/>
          <w:sz w:val="17"/>
        </w:rPr>
        <w:t xml:space="preserve"> </w:t>
      </w:r>
      <w:r>
        <w:rPr>
          <w:sz w:val="17"/>
        </w:rPr>
        <w:t>separated</w:t>
      </w:r>
      <w:r>
        <w:rPr>
          <w:spacing w:val="3"/>
          <w:sz w:val="17"/>
        </w:rPr>
        <w:t xml:space="preserve"> </w:t>
      </w:r>
      <w:r>
        <w:rPr>
          <w:sz w:val="17"/>
        </w:rPr>
        <w:t>from</w:t>
      </w:r>
      <w:r>
        <w:rPr>
          <w:spacing w:val="3"/>
          <w:sz w:val="17"/>
        </w:rPr>
        <w:t xml:space="preserve"> </w:t>
      </w:r>
      <w:r>
        <w:rPr>
          <w:sz w:val="17"/>
        </w:rPr>
        <w:t>landlord</w:t>
      </w:r>
      <w:r>
        <w:rPr>
          <w:spacing w:val="3"/>
          <w:sz w:val="17"/>
        </w:rPr>
        <w:t xml:space="preserve"> </w:t>
      </w:r>
      <w:r>
        <w:rPr>
          <w:sz w:val="17"/>
        </w:rPr>
        <w:t>data</w:t>
      </w:r>
      <w:r>
        <w:rPr>
          <w:spacing w:val="3"/>
          <w:sz w:val="17"/>
        </w:rPr>
        <w:t xml:space="preserve"> </w:t>
      </w:r>
      <w:r>
        <w:rPr>
          <w:sz w:val="17"/>
        </w:rPr>
        <w:t>and</w:t>
      </w:r>
      <w:r>
        <w:rPr>
          <w:spacing w:val="3"/>
          <w:sz w:val="17"/>
        </w:rPr>
        <w:t xml:space="preserve"> </w:t>
      </w:r>
      <w:r>
        <w:rPr>
          <w:sz w:val="17"/>
        </w:rPr>
        <w:t>has</w:t>
      </w:r>
      <w:r>
        <w:rPr>
          <w:spacing w:val="3"/>
          <w:sz w:val="17"/>
        </w:rPr>
        <w:t xml:space="preserve"> </w:t>
      </w:r>
      <w:r>
        <w:rPr>
          <w:sz w:val="17"/>
        </w:rPr>
        <w:t>not</w:t>
      </w:r>
      <w:r>
        <w:rPr>
          <w:spacing w:val="3"/>
          <w:sz w:val="17"/>
        </w:rPr>
        <w:t xml:space="preserve"> </w:t>
      </w:r>
      <w:r>
        <w:rPr>
          <w:sz w:val="17"/>
        </w:rPr>
        <w:t>been</w:t>
      </w:r>
      <w:r>
        <w:rPr>
          <w:spacing w:val="4"/>
          <w:sz w:val="17"/>
        </w:rPr>
        <w:t xml:space="preserve"> </w:t>
      </w:r>
      <w:r>
        <w:rPr>
          <w:spacing w:val="-2"/>
          <w:sz w:val="17"/>
        </w:rPr>
        <w:t>included.</w:t>
      </w:r>
    </w:p>
    <w:p w14:paraId="446BC590" w14:textId="77777777" w:rsidR="009D54AF" w:rsidRDefault="00000000">
      <w:pPr>
        <w:spacing w:before="101" w:line="295" w:lineRule="auto"/>
        <w:ind w:left="142" w:right="285"/>
        <w:rPr>
          <w:sz w:val="17"/>
        </w:rPr>
      </w:pPr>
      <w:r>
        <w:rPr>
          <w:sz w:val="17"/>
        </w:rPr>
        <w:t>Efforts were made to separate the data; however, a small portion of the Commission’s domestic travel emissions may be included in the Department of Health, Disability and Ageing’s annual report due to shared services agreements.</w:t>
      </w:r>
    </w:p>
    <w:p w14:paraId="7586FA34" w14:textId="77777777" w:rsidR="009D54AF" w:rsidRDefault="00000000">
      <w:pPr>
        <w:spacing w:before="139"/>
        <w:ind w:left="142"/>
        <w:rPr>
          <w:sz w:val="19"/>
        </w:rPr>
      </w:pPr>
      <w:r>
        <w:rPr>
          <w:b/>
          <w:sz w:val="19"/>
        </w:rPr>
        <w:t>Table</w:t>
      </w:r>
      <w:r>
        <w:rPr>
          <w:b/>
          <w:spacing w:val="3"/>
          <w:sz w:val="19"/>
        </w:rPr>
        <w:t xml:space="preserve"> </w:t>
      </w:r>
      <w:r>
        <w:rPr>
          <w:b/>
          <w:sz w:val="19"/>
        </w:rPr>
        <w:t>15</w:t>
      </w:r>
      <w:r>
        <w:rPr>
          <w:b/>
          <w:spacing w:val="4"/>
          <w:sz w:val="19"/>
        </w:rPr>
        <w:t xml:space="preserve"> </w:t>
      </w:r>
      <w:r>
        <w:rPr>
          <w:sz w:val="19"/>
        </w:rPr>
        <w:t>Electricity</w:t>
      </w:r>
      <w:r>
        <w:rPr>
          <w:spacing w:val="3"/>
          <w:sz w:val="19"/>
        </w:rPr>
        <w:t xml:space="preserve"> </w:t>
      </w:r>
      <w:r>
        <w:rPr>
          <w:sz w:val="19"/>
        </w:rPr>
        <w:t>greenhouse</w:t>
      </w:r>
      <w:r>
        <w:rPr>
          <w:spacing w:val="4"/>
          <w:sz w:val="19"/>
        </w:rPr>
        <w:t xml:space="preserve"> </w:t>
      </w:r>
      <w:r>
        <w:rPr>
          <w:sz w:val="19"/>
        </w:rPr>
        <w:t>gas</w:t>
      </w:r>
      <w:r>
        <w:rPr>
          <w:spacing w:val="3"/>
          <w:sz w:val="19"/>
        </w:rPr>
        <w:t xml:space="preserve"> </w:t>
      </w:r>
      <w:r>
        <w:rPr>
          <w:sz w:val="19"/>
        </w:rPr>
        <w:t>emissions,</w:t>
      </w:r>
      <w:r>
        <w:rPr>
          <w:spacing w:val="4"/>
          <w:sz w:val="19"/>
        </w:rPr>
        <w:t xml:space="preserve"> </w:t>
      </w:r>
      <w:r>
        <w:rPr>
          <w:sz w:val="19"/>
        </w:rPr>
        <w:t>2025–</w:t>
      </w:r>
      <w:r>
        <w:rPr>
          <w:spacing w:val="-5"/>
          <w:sz w:val="19"/>
        </w:rPr>
        <w:t>26</w:t>
      </w:r>
    </w:p>
    <w:p w14:paraId="56399560" w14:textId="77777777" w:rsidR="009D54AF" w:rsidRDefault="009D54AF">
      <w:pPr>
        <w:pStyle w:val="BodyText"/>
        <w:spacing w:before="1" w:after="1"/>
        <w:rPr>
          <w:sz w:val="8"/>
        </w:rPr>
      </w:pPr>
    </w:p>
    <w:tbl>
      <w:tblPr>
        <w:tblW w:w="0" w:type="auto"/>
        <w:tblInd w:w="149"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CellMar>
          <w:left w:w="0" w:type="dxa"/>
          <w:right w:w="0" w:type="dxa"/>
        </w:tblCellMar>
        <w:tblLook w:val="01E0" w:firstRow="1" w:lastRow="1" w:firstColumn="1" w:lastColumn="1" w:noHBand="0" w:noVBand="0"/>
      </w:tblPr>
      <w:tblGrid>
        <w:gridCol w:w="3402"/>
        <w:gridCol w:w="1701"/>
        <w:gridCol w:w="1701"/>
        <w:gridCol w:w="1701"/>
        <w:gridCol w:w="1701"/>
      </w:tblGrid>
      <w:tr w:rsidR="009D54AF" w14:paraId="25CE302A" w14:textId="77777777">
        <w:trPr>
          <w:trHeight w:val="516"/>
        </w:trPr>
        <w:tc>
          <w:tcPr>
            <w:tcW w:w="3402" w:type="dxa"/>
            <w:tcBorders>
              <w:top w:val="nil"/>
              <w:left w:val="nil"/>
              <w:bottom w:val="nil"/>
            </w:tcBorders>
            <w:shd w:val="clear" w:color="auto" w:fill="000000"/>
          </w:tcPr>
          <w:p w14:paraId="7A2460B5" w14:textId="77777777" w:rsidR="009D54AF" w:rsidRDefault="00000000">
            <w:pPr>
              <w:pStyle w:val="TableParagraph"/>
              <w:spacing w:before="148"/>
              <w:ind w:left="85"/>
              <w:rPr>
                <w:b/>
                <w:sz w:val="19"/>
              </w:rPr>
            </w:pPr>
            <w:r>
              <w:rPr>
                <w:b/>
                <w:color w:val="FFFFFF"/>
                <w:sz w:val="19"/>
              </w:rPr>
              <w:t>Emission</w:t>
            </w:r>
            <w:r>
              <w:rPr>
                <w:b/>
                <w:color w:val="FFFFFF"/>
                <w:spacing w:val="9"/>
                <w:sz w:val="19"/>
              </w:rPr>
              <w:t xml:space="preserve"> </w:t>
            </w:r>
            <w:r>
              <w:rPr>
                <w:b/>
                <w:color w:val="FFFFFF"/>
                <w:spacing w:val="-2"/>
                <w:sz w:val="19"/>
              </w:rPr>
              <w:t>source</w:t>
            </w:r>
          </w:p>
        </w:tc>
        <w:tc>
          <w:tcPr>
            <w:tcW w:w="1701" w:type="dxa"/>
            <w:tcBorders>
              <w:top w:val="nil"/>
              <w:bottom w:val="nil"/>
            </w:tcBorders>
            <w:shd w:val="clear" w:color="auto" w:fill="000000"/>
          </w:tcPr>
          <w:p w14:paraId="609F01FA" w14:textId="77777777" w:rsidR="009D54AF" w:rsidRDefault="00000000">
            <w:pPr>
              <w:pStyle w:val="TableParagraph"/>
              <w:spacing w:before="50" w:line="230" w:lineRule="auto"/>
              <w:ind w:left="463" w:right="459" w:firstLine="12"/>
              <w:rPr>
                <w:b/>
                <w:sz w:val="19"/>
              </w:rPr>
            </w:pPr>
            <w:r>
              <w:rPr>
                <w:b/>
                <w:color w:val="FFFFFF"/>
                <w:sz w:val="19"/>
              </w:rPr>
              <w:t>Scope</w:t>
            </w:r>
            <w:r>
              <w:rPr>
                <w:b/>
                <w:color w:val="FFFFFF"/>
                <w:spacing w:val="-14"/>
                <w:sz w:val="19"/>
              </w:rPr>
              <w:t xml:space="preserve"> </w:t>
            </w:r>
            <w:r>
              <w:rPr>
                <w:b/>
                <w:color w:val="FFFFFF"/>
                <w:sz w:val="19"/>
              </w:rPr>
              <w:t>2 (t</w:t>
            </w:r>
            <w:r>
              <w:rPr>
                <w:b/>
                <w:color w:val="FFFFFF"/>
                <w:spacing w:val="1"/>
                <w:sz w:val="19"/>
              </w:rPr>
              <w:t xml:space="preserve"> </w:t>
            </w:r>
            <w:r>
              <w:rPr>
                <w:b/>
                <w:color w:val="FFFFFF"/>
                <w:sz w:val="19"/>
              </w:rPr>
              <w:t>CO</w:t>
            </w:r>
            <w:r>
              <w:rPr>
                <w:b/>
                <w:color w:val="FFFFFF"/>
                <w:sz w:val="19"/>
                <w:vertAlign w:val="subscript"/>
              </w:rPr>
              <w:t>2</w:t>
            </w:r>
            <w:r>
              <w:rPr>
                <w:b/>
                <w:color w:val="FFFFFF"/>
                <w:sz w:val="19"/>
              </w:rPr>
              <w:t>-</w:t>
            </w:r>
            <w:r>
              <w:rPr>
                <w:b/>
                <w:color w:val="FFFFFF"/>
                <w:spacing w:val="-8"/>
                <w:sz w:val="19"/>
              </w:rPr>
              <w:t>e)</w:t>
            </w:r>
          </w:p>
        </w:tc>
        <w:tc>
          <w:tcPr>
            <w:tcW w:w="1701" w:type="dxa"/>
            <w:tcBorders>
              <w:top w:val="nil"/>
              <w:bottom w:val="nil"/>
            </w:tcBorders>
            <w:shd w:val="clear" w:color="auto" w:fill="000000"/>
          </w:tcPr>
          <w:p w14:paraId="4F1BC855" w14:textId="77777777" w:rsidR="009D54AF" w:rsidRDefault="00000000">
            <w:pPr>
              <w:pStyle w:val="TableParagraph"/>
              <w:spacing w:before="50" w:line="230" w:lineRule="auto"/>
              <w:ind w:left="462" w:right="458" w:firstLine="12"/>
              <w:rPr>
                <w:b/>
                <w:sz w:val="19"/>
              </w:rPr>
            </w:pPr>
            <w:r>
              <w:rPr>
                <w:b/>
                <w:color w:val="FFFFFF"/>
                <w:sz w:val="19"/>
              </w:rPr>
              <w:t>Scope</w:t>
            </w:r>
            <w:r>
              <w:rPr>
                <w:b/>
                <w:color w:val="FFFFFF"/>
                <w:spacing w:val="-14"/>
                <w:sz w:val="19"/>
              </w:rPr>
              <w:t xml:space="preserve"> </w:t>
            </w:r>
            <w:r>
              <w:rPr>
                <w:b/>
                <w:color w:val="FFFFFF"/>
                <w:sz w:val="19"/>
              </w:rPr>
              <w:t>3 (t</w:t>
            </w:r>
            <w:r>
              <w:rPr>
                <w:b/>
                <w:color w:val="FFFFFF"/>
                <w:spacing w:val="1"/>
                <w:sz w:val="19"/>
              </w:rPr>
              <w:t xml:space="preserve"> </w:t>
            </w:r>
            <w:r>
              <w:rPr>
                <w:b/>
                <w:color w:val="FFFFFF"/>
                <w:sz w:val="19"/>
              </w:rPr>
              <w:t>CO</w:t>
            </w:r>
            <w:r>
              <w:rPr>
                <w:b/>
                <w:color w:val="FFFFFF"/>
                <w:sz w:val="19"/>
                <w:vertAlign w:val="subscript"/>
              </w:rPr>
              <w:t>2</w:t>
            </w:r>
            <w:r>
              <w:rPr>
                <w:b/>
                <w:color w:val="FFFFFF"/>
                <w:sz w:val="19"/>
              </w:rPr>
              <w:t>-</w:t>
            </w:r>
            <w:r>
              <w:rPr>
                <w:b/>
                <w:color w:val="FFFFFF"/>
                <w:spacing w:val="-7"/>
                <w:sz w:val="19"/>
              </w:rPr>
              <w:t>e)</w:t>
            </w:r>
          </w:p>
        </w:tc>
        <w:tc>
          <w:tcPr>
            <w:tcW w:w="1701" w:type="dxa"/>
            <w:tcBorders>
              <w:top w:val="nil"/>
              <w:bottom w:val="nil"/>
            </w:tcBorders>
            <w:shd w:val="clear" w:color="auto" w:fill="000000"/>
          </w:tcPr>
          <w:p w14:paraId="77E15006" w14:textId="77777777" w:rsidR="009D54AF" w:rsidRDefault="00000000">
            <w:pPr>
              <w:pStyle w:val="TableParagraph"/>
              <w:spacing w:before="50" w:line="230" w:lineRule="auto"/>
              <w:ind w:left="462" w:right="466" w:firstLine="158"/>
              <w:rPr>
                <w:b/>
                <w:sz w:val="19"/>
              </w:rPr>
            </w:pPr>
            <w:r>
              <w:rPr>
                <w:b/>
                <w:color w:val="FFFFFF"/>
                <w:spacing w:val="-2"/>
                <w:sz w:val="19"/>
              </w:rPr>
              <w:t>Total</w:t>
            </w:r>
            <w:r>
              <w:rPr>
                <w:b/>
                <w:color w:val="FFFFFF"/>
                <w:spacing w:val="40"/>
                <w:sz w:val="19"/>
              </w:rPr>
              <w:t xml:space="preserve"> </w:t>
            </w:r>
            <w:r>
              <w:rPr>
                <w:b/>
                <w:color w:val="FFFFFF"/>
                <w:sz w:val="19"/>
              </w:rPr>
              <w:t>(t</w:t>
            </w:r>
            <w:r>
              <w:rPr>
                <w:b/>
                <w:color w:val="FFFFFF"/>
                <w:spacing w:val="-14"/>
                <w:sz w:val="19"/>
              </w:rPr>
              <w:t xml:space="preserve"> </w:t>
            </w:r>
            <w:r>
              <w:rPr>
                <w:b/>
                <w:color w:val="FFFFFF"/>
                <w:sz w:val="19"/>
              </w:rPr>
              <w:t>CO</w:t>
            </w:r>
            <w:r>
              <w:rPr>
                <w:b/>
                <w:color w:val="FFFFFF"/>
                <w:sz w:val="19"/>
                <w:vertAlign w:val="subscript"/>
              </w:rPr>
              <w:t>2</w:t>
            </w:r>
            <w:r>
              <w:rPr>
                <w:b/>
                <w:color w:val="FFFFFF"/>
                <w:sz w:val="19"/>
              </w:rPr>
              <w:t>-e)</w:t>
            </w:r>
          </w:p>
        </w:tc>
        <w:tc>
          <w:tcPr>
            <w:tcW w:w="1701" w:type="dxa"/>
            <w:tcBorders>
              <w:top w:val="nil"/>
              <w:bottom w:val="nil"/>
              <w:right w:val="nil"/>
            </w:tcBorders>
            <w:shd w:val="clear" w:color="auto" w:fill="000000"/>
          </w:tcPr>
          <w:p w14:paraId="19C7ECA5" w14:textId="77777777" w:rsidR="009D54AF" w:rsidRDefault="00000000">
            <w:pPr>
              <w:pStyle w:val="TableParagraph"/>
              <w:spacing w:before="50" w:line="230" w:lineRule="auto"/>
              <w:ind w:left="579" w:hanging="206"/>
              <w:rPr>
                <w:b/>
                <w:sz w:val="19"/>
              </w:rPr>
            </w:pPr>
            <w:r>
              <w:rPr>
                <w:b/>
                <w:color w:val="FFFFFF"/>
                <w:spacing w:val="-2"/>
                <w:sz w:val="19"/>
              </w:rPr>
              <w:t>Electricity (kWh)</w:t>
            </w:r>
          </w:p>
        </w:tc>
      </w:tr>
      <w:tr w:rsidR="009D54AF" w14:paraId="5E142B8F" w14:textId="77777777">
        <w:trPr>
          <w:trHeight w:val="497"/>
        </w:trPr>
        <w:tc>
          <w:tcPr>
            <w:tcW w:w="3402" w:type="dxa"/>
            <w:tcBorders>
              <w:top w:val="nil"/>
              <w:left w:val="nil"/>
              <w:bottom w:val="single" w:sz="2" w:space="0" w:color="000000"/>
              <w:right w:val="single" w:sz="2" w:space="0" w:color="000000"/>
            </w:tcBorders>
          </w:tcPr>
          <w:p w14:paraId="721A73E7" w14:textId="77777777" w:rsidR="009D54AF" w:rsidRDefault="00000000">
            <w:pPr>
              <w:pStyle w:val="TableParagraph"/>
              <w:spacing w:before="135"/>
              <w:ind w:left="85"/>
              <w:rPr>
                <w:sz w:val="19"/>
              </w:rPr>
            </w:pPr>
            <w:r>
              <w:rPr>
                <w:sz w:val="19"/>
              </w:rPr>
              <w:t>Electricity</w:t>
            </w:r>
            <w:r>
              <w:rPr>
                <w:spacing w:val="15"/>
                <w:sz w:val="19"/>
              </w:rPr>
              <w:t xml:space="preserve"> </w:t>
            </w:r>
            <w:r>
              <w:rPr>
                <w:sz w:val="19"/>
              </w:rPr>
              <w:t>(location-based</w:t>
            </w:r>
            <w:r>
              <w:rPr>
                <w:spacing w:val="16"/>
                <w:sz w:val="19"/>
              </w:rPr>
              <w:t xml:space="preserve"> </w:t>
            </w:r>
            <w:r>
              <w:rPr>
                <w:spacing w:val="-2"/>
                <w:sz w:val="19"/>
              </w:rPr>
              <w:t>approach)</w:t>
            </w:r>
          </w:p>
        </w:tc>
        <w:tc>
          <w:tcPr>
            <w:tcW w:w="1701" w:type="dxa"/>
            <w:tcBorders>
              <w:top w:val="nil"/>
              <w:left w:val="single" w:sz="2" w:space="0" w:color="000000"/>
              <w:bottom w:val="single" w:sz="2" w:space="0" w:color="000000"/>
              <w:right w:val="single" w:sz="2" w:space="0" w:color="000000"/>
            </w:tcBorders>
          </w:tcPr>
          <w:p w14:paraId="7BDD4B0B" w14:textId="77777777" w:rsidR="009D54AF" w:rsidRDefault="00000000">
            <w:pPr>
              <w:pStyle w:val="TableParagraph"/>
              <w:spacing w:before="135"/>
              <w:ind w:right="81"/>
              <w:jc w:val="right"/>
              <w:rPr>
                <w:sz w:val="19"/>
              </w:rPr>
            </w:pPr>
            <w:r>
              <w:rPr>
                <w:spacing w:val="-2"/>
                <w:sz w:val="19"/>
              </w:rPr>
              <w:t>124.80</w:t>
            </w:r>
          </w:p>
        </w:tc>
        <w:tc>
          <w:tcPr>
            <w:tcW w:w="1701" w:type="dxa"/>
            <w:tcBorders>
              <w:top w:val="nil"/>
              <w:left w:val="single" w:sz="2" w:space="0" w:color="000000"/>
              <w:bottom w:val="single" w:sz="2" w:space="0" w:color="000000"/>
              <w:right w:val="single" w:sz="2" w:space="0" w:color="000000"/>
            </w:tcBorders>
          </w:tcPr>
          <w:p w14:paraId="7394D503" w14:textId="77777777" w:rsidR="009D54AF" w:rsidRDefault="00000000">
            <w:pPr>
              <w:pStyle w:val="TableParagraph"/>
              <w:spacing w:before="135"/>
              <w:ind w:right="81"/>
              <w:jc w:val="right"/>
              <w:rPr>
                <w:sz w:val="19"/>
              </w:rPr>
            </w:pPr>
            <w:r>
              <w:rPr>
                <w:spacing w:val="-4"/>
                <w:sz w:val="19"/>
              </w:rPr>
              <w:t>5.85</w:t>
            </w:r>
          </w:p>
        </w:tc>
        <w:tc>
          <w:tcPr>
            <w:tcW w:w="1701" w:type="dxa"/>
            <w:tcBorders>
              <w:top w:val="nil"/>
              <w:left w:val="single" w:sz="2" w:space="0" w:color="000000"/>
              <w:bottom w:val="single" w:sz="2" w:space="0" w:color="000000"/>
              <w:right w:val="single" w:sz="2" w:space="0" w:color="000000"/>
            </w:tcBorders>
          </w:tcPr>
          <w:p w14:paraId="2FBCC336" w14:textId="77777777" w:rsidR="009D54AF" w:rsidRDefault="00000000">
            <w:pPr>
              <w:pStyle w:val="TableParagraph"/>
              <w:spacing w:before="135"/>
              <w:ind w:right="81"/>
              <w:jc w:val="right"/>
              <w:rPr>
                <w:sz w:val="19"/>
              </w:rPr>
            </w:pPr>
            <w:r>
              <w:rPr>
                <w:spacing w:val="-2"/>
                <w:sz w:val="19"/>
              </w:rPr>
              <w:t>130.65</w:t>
            </w:r>
          </w:p>
        </w:tc>
        <w:tc>
          <w:tcPr>
            <w:tcW w:w="1701" w:type="dxa"/>
            <w:tcBorders>
              <w:top w:val="nil"/>
              <w:left w:val="single" w:sz="2" w:space="0" w:color="000000"/>
              <w:bottom w:val="single" w:sz="2" w:space="0" w:color="000000"/>
              <w:right w:val="nil"/>
            </w:tcBorders>
          </w:tcPr>
          <w:p w14:paraId="7799B07A" w14:textId="77777777" w:rsidR="009D54AF" w:rsidRDefault="00000000">
            <w:pPr>
              <w:pStyle w:val="TableParagraph"/>
              <w:spacing w:before="135"/>
              <w:ind w:right="84"/>
              <w:jc w:val="right"/>
              <w:rPr>
                <w:sz w:val="19"/>
              </w:rPr>
            </w:pPr>
            <w:r>
              <w:rPr>
                <w:spacing w:val="-2"/>
                <w:sz w:val="19"/>
              </w:rPr>
              <w:t>195,000.27</w:t>
            </w:r>
          </w:p>
        </w:tc>
      </w:tr>
      <w:tr w:rsidR="009D54AF" w14:paraId="531E186C" w14:textId="77777777">
        <w:trPr>
          <w:trHeight w:val="505"/>
        </w:trPr>
        <w:tc>
          <w:tcPr>
            <w:tcW w:w="3402" w:type="dxa"/>
            <w:tcBorders>
              <w:top w:val="single" w:sz="2" w:space="0" w:color="000000"/>
              <w:left w:val="nil"/>
              <w:bottom w:val="single" w:sz="2" w:space="0" w:color="000000"/>
              <w:right w:val="single" w:sz="2" w:space="0" w:color="000000"/>
            </w:tcBorders>
          </w:tcPr>
          <w:p w14:paraId="46D7F4E0" w14:textId="77777777" w:rsidR="009D54AF" w:rsidRDefault="00000000">
            <w:pPr>
              <w:pStyle w:val="TableParagraph"/>
              <w:spacing w:before="142"/>
              <w:ind w:left="85"/>
              <w:rPr>
                <w:sz w:val="19"/>
              </w:rPr>
            </w:pPr>
            <w:r>
              <w:rPr>
                <w:sz w:val="19"/>
              </w:rPr>
              <w:t>Market-based</w:t>
            </w:r>
            <w:r>
              <w:rPr>
                <w:spacing w:val="10"/>
                <w:sz w:val="19"/>
              </w:rPr>
              <w:t xml:space="preserve"> </w:t>
            </w:r>
            <w:r>
              <w:rPr>
                <w:sz w:val="19"/>
              </w:rPr>
              <w:t>electricity</w:t>
            </w:r>
            <w:r>
              <w:rPr>
                <w:spacing w:val="11"/>
                <w:sz w:val="19"/>
              </w:rPr>
              <w:t xml:space="preserve"> </w:t>
            </w:r>
            <w:r>
              <w:rPr>
                <w:spacing w:val="-2"/>
                <w:sz w:val="19"/>
              </w:rPr>
              <w:t>emissions</w:t>
            </w:r>
          </w:p>
        </w:tc>
        <w:tc>
          <w:tcPr>
            <w:tcW w:w="1701" w:type="dxa"/>
            <w:tcBorders>
              <w:top w:val="single" w:sz="2" w:space="0" w:color="000000"/>
              <w:left w:val="single" w:sz="2" w:space="0" w:color="000000"/>
              <w:bottom w:val="single" w:sz="2" w:space="0" w:color="000000"/>
              <w:right w:val="single" w:sz="2" w:space="0" w:color="000000"/>
            </w:tcBorders>
          </w:tcPr>
          <w:p w14:paraId="65DA0CBD" w14:textId="77777777" w:rsidR="009D54AF" w:rsidRDefault="00000000">
            <w:pPr>
              <w:pStyle w:val="TableParagraph"/>
              <w:spacing w:before="142"/>
              <w:ind w:right="81"/>
              <w:jc w:val="right"/>
              <w:rPr>
                <w:sz w:val="19"/>
              </w:rPr>
            </w:pPr>
            <w:r>
              <w:rPr>
                <w:spacing w:val="-2"/>
                <w:sz w:val="19"/>
              </w:rPr>
              <w:t>130.65</w:t>
            </w:r>
          </w:p>
        </w:tc>
        <w:tc>
          <w:tcPr>
            <w:tcW w:w="1701" w:type="dxa"/>
            <w:tcBorders>
              <w:top w:val="single" w:sz="2" w:space="0" w:color="000000"/>
              <w:left w:val="single" w:sz="2" w:space="0" w:color="000000"/>
              <w:bottom w:val="single" w:sz="2" w:space="0" w:color="000000"/>
              <w:right w:val="single" w:sz="2" w:space="0" w:color="000000"/>
            </w:tcBorders>
          </w:tcPr>
          <w:p w14:paraId="7927A6EB" w14:textId="77777777" w:rsidR="009D54AF" w:rsidRDefault="00000000">
            <w:pPr>
              <w:pStyle w:val="TableParagraph"/>
              <w:spacing w:before="142"/>
              <w:ind w:right="81"/>
              <w:jc w:val="right"/>
              <w:rPr>
                <w:sz w:val="19"/>
              </w:rPr>
            </w:pPr>
            <w:r>
              <w:rPr>
                <w:spacing w:val="-2"/>
                <w:sz w:val="19"/>
              </w:rPr>
              <w:t>17.75</w:t>
            </w:r>
          </w:p>
        </w:tc>
        <w:tc>
          <w:tcPr>
            <w:tcW w:w="1701" w:type="dxa"/>
            <w:tcBorders>
              <w:top w:val="single" w:sz="2" w:space="0" w:color="000000"/>
              <w:left w:val="single" w:sz="2" w:space="0" w:color="000000"/>
              <w:bottom w:val="single" w:sz="2" w:space="0" w:color="000000"/>
              <w:right w:val="single" w:sz="2" w:space="0" w:color="000000"/>
            </w:tcBorders>
          </w:tcPr>
          <w:p w14:paraId="013B73AB" w14:textId="77777777" w:rsidR="009D54AF" w:rsidRDefault="00000000">
            <w:pPr>
              <w:pStyle w:val="TableParagraph"/>
              <w:spacing w:before="142"/>
              <w:ind w:right="79"/>
              <w:jc w:val="right"/>
              <w:rPr>
                <w:sz w:val="19"/>
              </w:rPr>
            </w:pPr>
            <w:r>
              <w:rPr>
                <w:spacing w:val="-2"/>
                <w:sz w:val="19"/>
              </w:rPr>
              <w:t>148.39</w:t>
            </w:r>
          </w:p>
        </w:tc>
        <w:tc>
          <w:tcPr>
            <w:tcW w:w="1701" w:type="dxa"/>
            <w:tcBorders>
              <w:top w:val="single" w:sz="2" w:space="0" w:color="000000"/>
              <w:left w:val="single" w:sz="2" w:space="0" w:color="000000"/>
              <w:bottom w:val="single" w:sz="2" w:space="0" w:color="000000"/>
              <w:right w:val="nil"/>
            </w:tcBorders>
          </w:tcPr>
          <w:p w14:paraId="60D128FB" w14:textId="77777777" w:rsidR="009D54AF" w:rsidRDefault="00000000">
            <w:pPr>
              <w:pStyle w:val="TableParagraph"/>
              <w:spacing w:before="142"/>
              <w:ind w:right="84"/>
              <w:jc w:val="right"/>
              <w:rPr>
                <w:sz w:val="19"/>
              </w:rPr>
            </w:pPr>
            <w:r>
              <w:rPr>
                <w:spacing w:val="-2"/>
                <w:sz w:val="19"/>
              </w:rPr>
              <w:t>161,284.72</w:t>
            </w:r>
          </w:p>
        </w:tc>
      </w:tr>
      <w:tr w:rsidR="009D54AF" w14:paraId="30AC40E1" w14:textId="77777777">
        <w:trPr>
          <w:trHeight w:val="505"/>
        </w:trPr>
        <w:tc>
          <w:tcPr>
            <w:tcW w:w="3402" w:type="dxa"/>
            <w:tcBorders>
              <w:top w:val="single" w:sz="2" w:space="0" w:color="000000"/>
              <w:left w:val="nil"/>
              <w:bottom w:val="single" w:sz="2" w:space="0" w:color="000000"/>
              <w:right w:val="single" w:sz="2" w:space="0" w:color="000000"/>
            </w:tcBorders>
          </w:tcPr>
          <w:p w14:paraId="449BDA79" w14:textId="77777777" w:rsidR="009D54AF" w:rsidRDefault="00000000">
            <w:pPr>
              <w:pStyle w:val="TableParagraph"/>
              <w:spacing w:before="142"/>
              <w:ind w:left="85"/>
              <w:rPr>
                <w:sz w:val="19"/>
              </w:rPr>
            </w:pPr>
            <w:r>
              <w:rPr>
                <w:sz w:val="19"/>
              </w:rPr>
              <w:t>Total renewable</w:t>
            </w:r>
            <w:r>
              <w:rPr>
                <w:spacing w:val="1"/>
                <w:sz w:val="19"/>
              </w:rPr>
              <w:t xml:space="preserve"> </w:t>
            </w:r>
            <w:r>
              <w:rPr>
                <w:sz w:val="19"/>
              </w:rPr>
              <w:t>electricity</w:t>
            </w:r>
            <w:r>
              <w:rPr>
                <w:spacing w:val="1"/>
                <w:sz w:val="19"/>
              </w:rPr>
              <w:t xml:space="preserve"> </w:t>
            </w:r>
            <w:r>
              <w:rPr>
                <w:spacing w:val="-2"/>
                <w:sz w:val="19"/>
              </w:rPr>
              <w:t>consumed</w:t>
            </w:r>
          </w:p>
        </w:tc>
        <w:tc>
          <w:tcPr>
            <w:tcW w:w="1701" w:type="dxa"/>
            <w:tcBorders>
              <w:top w:val="single" w:sz="2" w:space="0" w:color="000000"/>
              <w:left w:val="single" w:sz="2" w:space="0" w:color="000000"/>
              <w:bottom w:val="single" w:sz="2" w:space="0" w:color="000000"/>
              <w:right w:val="single" w:sz="2" w:space="0" w:color="000000"/>
            </w:tcBorders>
          </w:tcPr>
          <w:p w14:paraId="2A193BBC" w14:textId="77777777" w:rsidR="009D54AF" w:rsidRDefault="00000000">
            <w:pPr>
              <w:pStyle w:val="TableParagraph"/>
              <w:spacing w:before="142"/>
              <w:ind w:right="84"/>
              <w:jc w:val="right"/>
              <w:rPr>
                <w:sz w:val="19"/>
              </w:rPr>
            </w:pPr>
            <w:r>
              <w:rPr>
                <w:spacing w:val="-5"/>
                <w:sz w:val="19"/>
              </w:rPr>
              <w:t>N/A</w:t>
            </w:r>
          </w:p>
        </w:tc>
        <w:tc>
          <w:tcPr>
            <w:tcW w:w="1701" w:type="dxa"/>
            <w:tcBorders>
              <w:top w:val="single" w:sz="2" w:space="0" w:color="000000"/>
              <w:left w:val="single" w:sz="2" w:space="0" w:color="000000"/>
              <w:bottom w:val="single" w:sz="2" w:space="0" w:color="000000"/>
              <w:right w:val="single" w:sz="2" w:space="0" w:color="000000"/>
            </w:tcBorders>
          </w:tcPr>
          <w:p w14:paraId="251564BB" w14:textId="77777777" w:rsidR="009D54AF" w:rsidRDefault="00000000">
            <w:pPr>
              <w:pStyle w:val="TableParagraph"/>
              <w:spacing w:before="142"/>
              <w:ind w:right="85"/>
              <w:jc w:val="right"/>
              <w:rPr>
                <w:sz w:val="19"/>
              </w:rPr>
            </w:pPr>
            <w:r>
              <w:rPr>
                <w:spacing w:val="-5"/>
                <w:sz w:val="19"/>
              </w:rPr>
              <w:t>N/A</w:t>
            </w:r>
          </w:p>
        </w:tc>
        <w:tc>
          <w:tcPr>
            <w:tcW w:w="1701" w:type="dxa"/>
            <w:tcBorders>
              <w:top w:val="single" w:sz="2" w:space="0" w:color="000000"/>
              <w:left w:val="single" w:sz="2" w:space="0" w:color="000000"/>
              <w:bottom w:val="single" w:sz="2" w:space="0" w:color="000000"/>
              <w:right w:val="single" w:sz="2" w:space="0" w:color="000000"/>
            </w:tcBorders>
          </w:tcPr>
          <w:p w14:paraId="40C60DB6" w14:textId="77777777" w:rsidR="009D54AF" w:rsidRDefault="00000000">
            <w:pPr>
              <w:pStyle w:val="TableParagraph"/>
              <w:spacing w:before="142"/>
              <w:ind w:right="85"/>
              <w:jc w:val="right"/>
              <w:rPr>
                <w:sz w:val="19"/>
              </w:rPr>
            </w:pPr>
            <w:r>
              <w:rPr>
                <w:spacing w:val="-5"/>
                <w:sz w:val="19"/>
              </w:rPr>
              <w:t>N/A</w:t>
            </w:r>
          </w:p>
        </w:tc>
        <w:tc>
          <w:tcPr>
            <w:tcW w:w="1701" w:type="dxa"/>
            <w:tcBorders>
              <w:top w:val="single" w:sz="2" w:space="0" w:color="000000"/>
              <w:left w:val="single" w:sz="2" w:space="0" w:color="000000"/>
              <w:bottom w:val="single" w:sz="2" w:space="0" w:color="000000"/>
              <w:right w:val="nil"/>
            </w:tcBorders>
          </w:tcPr>
          <w:p w14:paraId="0908C64E" w14:textId="77777777" w:rsidR="009D54AF" w:rsidRDefault="00000000">
            <w:pPr>
              <w:pStyle w:val="TableParagraph"/>
              <w:spacing w:before="142"/>
              <w:ind w:right="84"/>
              <w:jc w:val="right"/>
              <w:rPr>
                <w:sz w:val="19"/>
              </w:rPr>
            </w:pPr>
            <w:r>
              <w:rPr>
                <w:spacing w:val="-2"/>
                <w:sz w:val="19"/>
              </w:rPr>
              <w:t>33,715.55</w:t>
            </w:r>
          </w:p>
        </w:tc>
      </w:tr>
      <w:tr w:rsidR="009D54AF" w14:paraId="07DE62A8" w14:textId="77777777">
        <w:trPr>
          <w:trHeight w:val="505"/>
        </w:trPr>
        <w:tc>
          <w:tcPr>
            <w:tcW w:w="3402" w:type="dxa"/>
            <w:tcBorders>
              <w:top w:val="single" w:sz="2" w:space="0" w:color="000000"/>
              <w:left w:val="nil"/>
              <w:bottom w:val="single" w:sz="2" w:space="0" w:color="000000"/>
              <w:right w:val="single" w:sz="2" w:space="0" w:color="000000"/>
            </w:tcBorders>
          </w:tcPr>
          <w:p w14:paraId="5B41C776" w14:textId="77777777" w:rsidR="009D54AF" w:rsidRDefault="00000000">
            <w:pPr>
              <w:pStyle w:val="TableParagraph"/>
              <w:spacing w:before="142"/>
              <w:ind w:left="85"/>
              <w:rPr>
                <w:position w:val="6"/>
                <w:sz w:val="11"/>
              </w:rPr>
            </w:pPr>
            <w:r>
              <w:rPr>
                <w:sz w:val="19"/>
              </w:rPr>
              <w:t>Renewable</w:t>
            </w:r>
            <w:r>
              <w:rPr>
                <w:spacing w:val="-2"/>
                <w:sz w:val="19"/>
              </w:rPr>
              <w:t xml:space="preserve"> </w:t>
            </w:r>
            <w:r>
              <w:rPr>
                <w:sz w:val="19"/>
              </w:rPr>
              <w:t>power</w:t>
            </w:r>
            <w:r>
              <w:rPr>
                <w:spacing w:val="-1"/>
                <w:sz w:val="19"/>
              </w:rPr>
              <w:t xml:space="preserve"> </w:t>
            </w:r>
            <w:r>
              <w:rPr>
                <w:spacing w:val="-2"/>
                <w:sz w:val="19"/>
              </w:rPr>
              <w:t>percentage</w:t>
            </w:r>
            <w:r>
              <w:rPr>
                <w:spacing w:val="-2"/>
                <w:position w:val="6"/>
                <w:sz w:val="11"/>
              </w:rPr>
              <w:t>1</w:t>
            </w:r>
          </w:p>
        </w:tc>
        <w:tc>
          <w:tcPr>
            <w:tcW w:w="1701" w:type="dxa"/>
            <w:tcBorders>
              <w:top w:val="single" w:sz="2" w:space="0" w:color="000000"/>
              <w:left w:val="single" w:sz="2" w:space="0" w:color="000000"/>
              <w:bottom w:val="single" w:sz="2" w:space="0" w:color="000000"/>
              <w:right w:val="single" w:sz="2" w:space="0" w:color="000000"/>
            </w:tcBorders>
          </w:tcPr>
          <w:p w14:paraId="058DDDE6" w14:textId="77777777" w:rsidR="009D54AF" w:rsidRDefault="00000000">
            <w:pPr>
              <w:pStyle w:val="TableParagraph"/>
              <w:spacing w:before="142"/>
              <w:ind w:right="84"/>
              <w:jc w:val="right"/>
              <w:rPr>
                <w:sz w:val="19"/>
              </w:rPr>
            </w:pPr>
            <w:r>
              <w:rPr>
                <w:spacing w:val="-5"/>
                <w:sz w:val="19"/>
              </w:rPr>
              <w:t>N/A</w:t>
            </w:r>
          </w:p>
        </w:tc>
        <w:tc>
          <w:tcPr>
            <w:tcW w:w="1701" w:type="dxa"/>
            <w:tcBorders>
              <w:top w:val="single" w:sz="2" w:space="0" w:color="000000"/>
              <w:left w:val="single" w:sz="2" w:space="0" w:color="000000"/>
              <w:bottom w:val="single" w:sz="2" w:space="0" w:color="000000"/>
              <w:right w:val="single" w:sz="2" w:space="0" w:color="000000"/>
            </w:tcBorders>
          </w:tcPr>
          <w:p w14:paraId="2E8686D7" w14:textId="77777777" w:rsidR="009D54AF" w:rsidRDefault="00000000">
            <w:pPr>
              <w:pStyle w:val="TableParagraph"/>
              <w:spacing w:before="142"/>
              <w:ind w:right="85"/>
              <w:jc w:val="right"/>
              <w:rPr>
                <w:sz w:val="19"/>
              </w:rPr>
            </w:pPr>
            <w:r>
              <w:rPr>
                <w:spacing w:val="-5"/>
                <w:sz w:val="19"/>
              </w:rPr>
              <w:t>N/A</w:t>
            </w:r>
          </w:p>
        </w:tc>
        <w:tc>
          <w:tcPr>
            <w:tcW w:w="1701" w:type="dxa"/>
            <w:tcBorders>
              <w:top w:val="single" w:sz="2" w:space="0" w:color="000000"/>
              <w:left w:val="single" w:sz="2" w:space="0" w:color="000000"/>
              <w:bottom w:val="single" w:sz="2" w:space="0" w:color="000000"/>
              <w:right w:val="single" w:sz="2" w:space="0" w:color="000000"/>
            </w:tcBorders>
          </w:tcPr>
          <w:p w14:paraId="79EFA81D" w14:textId="77777777" w:rsidR="009D54AF" w:rsidRDefault="00000000">
            <w:pPr>
              <w:pStyle w:val="TableParagraph"/>
              <w:spacing w:before="142"/>
              <w:ind w:right="85"/>
              <w:jc w:val="right"/>
              <w:rPr>
                <w:sz w:val="19"/>
              </w:rPr>
            </w:pPr>
            <w:r>
              <w:rPr>
                <w:spacing w:val="-5"/>
                <w:sz w:val="19"/>
              </w:rPr>
              <w:t>N/A</w:t>
            </w:r>
          </w:p>
        </w:tc>
        <w:tc>
          <w:tcPr>
            <w:tcW w:w="1701" w:type="dxa"/>
            <w:tcBorders>
              <w:top w:val="single" w:sz="2" w:space="0" w:color="000000"/>
              <w:left w:val="single" w:sz="2" w:space="0" w:color="000000"/>
              <w:bottom w:val="single" w:sz="2" w:space="0" w:color="000000"/>
              <w:right w:val="nil"/>
            </w:tcBorders>
          </w:tcPr>
          <w:p w14:paraId="7A1161B5" w14:textId="77777777" w:rsidR="009D54AF" w:rsidRDefault="00000000">
            <w:pPr>
              <w:pStyle w:val="TableParagraph"/>
              <w:spacing w:before="142"/>
              <w:ind w:right="84"/>
              <w:jc w:val="right"/>
              <w:rPr>
                <w:sz w:val="19"/>
              </w:rPr>
            </w:pPr>
            <w:r>
              <w:rPr>
                <w:spacing w:val="-2"/>
                <w:sz w:val="19"/>
              </w:rPr>
              <w:t>33,715.55</w:t>
            </w:r>
          </w:p>
        </w:tc>
      </w:tr>
      <w:tr w:rsidR="009D54AF" w14:paraId="7C821B38" w14:textId="77777777">
        <w:trPr>
          <w:trHeight w:val="511"/>
        </w:trPr>
        <w:tc>
          <w:tcPr>
            <w:tcW w:w="3402" w:type="dxa"/>
            <w:tcBorders>
              <w:top w:val="single" w:sz="2" w:space="0" w:color="000000"/>
              <w:left w:val="nil"/>
              <w:bottom w:val="single" w:sz="2" w:space="0" w:color="000000"/>
              <w:right w:val="single" w:sz="2" w:space="0" w:color="000000"/>
            </w:tcBorders>
          </w:tcPr>
          <w:p w14:paraId="797B6AEB" w14:textId="77777777" w:rsidR="009D54AF" w:rsidRDefault="00000000">
            <w:pPr>
              <w:pStyle w:val="TableParagraph"/>
              <w:spacing w:before="47" w:line="230" w:lineRule="auto"/>
              <w:ind w:left="85"/>
              <w:rPr>
                <w:sz w:val="19"/>
              </w:rPr>
            </w:pPr>
            <w:r>
              <w:rPr>
                <w:sz w:val="19"/>
              </w:rPr>
              <w:t>Jurisdictional</w:t>
            </w:r>
            <w:r>
              <w:rPr>
                <w:spacing w:val="-8"/>
                <w:sz w:val="19"/>
              </w:rPr>
              <w:t xml:space="preserve"> </w:t>
            </w:r>
            <w:r>
              <w:rPr>
                <w:sz w:val="19"/>
              </w:rPr>
              <w:t>renewable</w:t>
            </w:r>
            <w:r>
              <w:rPr>
                <w:spacing w:val="-8"/>
                <w:sz w:val="19"/>
              </w:rPr>
              <w:t xml:space="preserve"> </w:t>
            </w:r>
            <w:r>
              <w:rPr>
                <w:sz w:val="19"/>
              </w:rPr>
              <w:t xml:space="preserve">power </w:t>
            </w:r>
            <w:r>
              <w:rPr>
                <w:spacing w:val="-2"/>
                <w:sz w:val="19"/>
              </w:rPr>
              <w:t>percentage</w:t>
            </w:r>
          </w:p>
        </w:tc>
        <w:tc>
          <w:tcPr>
            <w:tcW w:w="1701" w:type="dxa"/>
            <w:tcBorders>
              <w:top w:val="single" w:sz="2" w:space="0" w:color="000000"/>
              <w:left w:val="single" w:sz="2" w:space="0" w:color="000000"/>
              <w:bottom w:val="single" w:sz="2" w:space="0" w:color="000000"/>
              <w:right w:val="single" w:sz="2" w:space="0" w:color="000000"/>
            </w:tcBorders>
          </w:tcPr>
          <w:p w14:paraId="0EC1B9CD" w14:textId="77777777" w:rsidR="009D54AF" w:rsidRDefault="00000000">
            <w:pPr>
              <w:pStyle w:val="TableParagraph"/>
              <w:spacing w:before="145"/>
              <w:ind w:right="84"/>
              <w:jc w:val="right"/>
              <w:rPr>
                <w:sz w:val="19"/>
              </w:rPr>
            </w:pPr>
            <w:r>
              <w:rPr>
                <w:spacing w:val="-5"/>
                <w:sz w:val="19"/>
              </w:rPr>
              <w:t>N/A</w:t>
            </w:r>
          </w:p>
        </w:tc>
        <w:tc>
          <w:tcPr>
            <w:tcW w:w="1701" w:type="dxa"/>
            <w:tcBorders>
              <w:top w:val="single" w:sz="2" w:space="0" w:color="000000"/>
              <w:left w:val="single" w:sz="2" w:space="0" w:color="000000"/>
              <w:bottom w:val="single" w:sz="2" w:space="0" w:color="000000"/>
              <w:right w:val="single" w:sz="2" w:space="0" w:color="000000"/>
            </w:tcBorders>
          </w:tcPr>
          <w:p w14:paraId="3901ADD6" w14:textId="77777777" w:rsidR="009D54AF" w:rsidRDefault="00000000">
            <w:pPr>
              <w:pStyle w:val="TableParagraph"/>
              <w:spacing w:before="145"/>
              <w:ind w:right="85"/>
              <w:jc w:val="right"/>
              <w:rPr>
                <w:sz w:val="19"/>
              </w:rPr>
            </w:pPr>
            <w:r>
              <w:rPr>
                <w:spacing w:val="-5"/>
                <w:sz w:val="19"/>
              </w:rPr>
              <w:t>N/A</w:t>
            </w:r>
          </w:p>
        </w:tc>
        <w:tc>
          <w:tcPr>
            <w:tcW w:w="1701" w:type="dxa"/>
            <w:tcBorders>
              <w:top w:val="single" w:sz="2" w:space="0" w:color="000000"/>
              <w:left w:val="single" w:sz="2" w:space="0" w:color="000000"/>
              <w:bottom w:val="single" w:sz="2" w:space="0" w:color="000000"/>
              <w:right w:val="single" w:sz="2" w:space="0" w:color="000000"/>
            </w:tcBorders>
          </w:tcPr>
          <w:p w14:paraId="1076C5B5" w14:textId="77777777" w:rsidR="009D54AF" w:rsidRDefault="00000000">
            <w:pPr>
              <w:pStyle w:val="TableParagraph"/>
              <w:spacing w:before="145"/>
              <w:ind w:right="85"/>
              <w:jc w:val="right"/>
              <w:rPr>
                <w:sz w:val="19"/>
              </w:rPr>
            </w:pPr>
            <w:r>
              <w:rPr>
                <w:spacing w:val="-5"/>
                <w:sz w:val="19"/>
              </w:rPr>
              <w:t>N/A</w:t>
            </w:r>
          </w:p>
        </w:tc>
        <w:tc>
          <w:tcPr>
            <w:tcW w:w="1701" w:type="dxa"/>
            <w:tcBorders>
              <w:top w:val="single" w:sz="2" w:space="0" w:color="000000"/>
              <w:left w:val="single" w:sz="2" w:space="0" w:color="000000"/>
              <w:bottom w:val="single" w:sz="2" w:space="0" w:color="000000"/>
              <w:right w:val="nil"/>
            </w:tcBorders>
          </w:tcPr>
          <w:p w14:paraId="378B77DD" w14:textId="77777777" w:rsidR="009D54AF" w:rsidRDefault="00000000">
            <w:pPr>
              <w:pStyle w:val="TableParagraph"/>
              <w:spacing w:before="145"/>
              <w:ind w:right="84"/>
              <w:jc w:val="right"/>
              <w:rPr>
                <w:sz w:val="19"/>
              </w:rPr>
            </w:pPr>
            <w:r>
              <w:rPr>
                <w:spacing w:val="-10"/>
                <w:sz w:val="19"/>
              </w:rPr>
              <w:t>–</w:t>
            </w:r>
          </w:p>
        </w:tc>
      </w:tr>
      <w:tr w:rsidR="009D54AF" w14:paraId="55796C77" w14:textId="77777777">
        <w:trPr>
          <w:trHeight w:val="505"/>
        </w:trPr>
        <w:tc>
          <w:tcPr>
            <w:tcW w:w="3402" w:type="dxa"/>
            <w:tcBorders>
              <w:top w:val="single" w:sz="2" w:space="0" w:color="000000"/>
              <w:left w:val="nil"/>
              <w:bottom w:val="single" w:sz="2" w:space="0" w:color="000000"/>
              <w:right w:val="single" w:sz="2" w:space="0" w:color="000000"/>
            </w:tcBorders>
          </w:tcPr>
          <w:p w14:paraId="265B2D8E" w14:textId="77777777" w:rsidR="009D54AF" w:rsidRDefault="00000000">
            <w:pPr>
              <w:pStyle w:val="TableParagraph"/>
              <w:spacing w:before="142"/>
              <w:ind w:left="85"/>
              <w:rPr>
                <w:sz w:val="19"/>
              </w:rPr>
            </w:pPr>
            <w:r>
              <w:rPr>
                <w:spacing w:val="-2"/>
                <w:sz w:val="19"/>
              </w:rPr>
              <w:t>Greenpower</w:t>
            </w:r>
          </w:p>
        </w:tc>
        <w:tc>
          <w:tcPr>
            <w:tcW w:w="1701" w:type="dxa"/>
            <w:tcBorders>
              <w:top w:val="single" w:sz="2" w:space="0" w:color="000000"/>
              <w:left w:val="single" w:sz="2" w:space="0" w:color="000000"/>
              <w:bottom w:val="single" w:sz="2" w:space="0" w:color="000000"/>
              <w:right w:val="single" w:sz="2" w:space="0" w:color="000000"/>
            </w:tcBorders>
          </w:tcPr>
          <w:p w14:paraId="12EF5DF5" w14:textId="77777777" w:rsidR="009D54AF" w:rsidRDefault="00000000">
            <w:pPr>
              <w:pStyle w:val="TableParagraph"/>
              <w:spacing w:before="142"/>
              <w:ind w:right="84"/>
              <w:jc w:val="right"/>
              <w:rPr>
                <w:sz w:val="19"/>
              </w:rPr>
            </w:pPr>
            <w:r>
              <w:rPr>
                <w:spacing w:val="-5"/>
                <w:sz w:val="19"/>
              </w:rPr>
              <w:t>N/A</w:t>
            </w:r>
          </w:p>
        </w:tc>
        <w:tc>
          <w:tcPr>
            <w:tcW w:w="1701" w:type="dxa"/>
            <w:tcBorders>
              <w:top w:val="single" w:sz="2" w:space="0" w:color="000000"/>
              <w:left w:val="single" w:sz="2" w:space="0" w:color="000000"/>
              <w:bottom w:val="single" w:sz="2" w:space="0" w:color="000000"/>
              <w:right w:val="single" w:sz="2" w:space="0" w:color="000000"/>
            </w:tcBorders>
          </w:tcPr>
          <w:p w14:paraId="03F42A6B" w14:textId="77777777" w:rsidR="009D54AF" w:rsidRDefault="00000000">
            <w:pPr>
              <w:pStyle w:val="TableParagraph"/>
              <w:spacing w:before="142"/>
              <w:ind w:right="85"/>
              <w:jc w:val="right"/>
              <w:rPr>
                <w:sz w:val="19"/>
              </w:rPr>
            </w:pPr>
            <w:r>
              <w:rPr>
                <w:spacing w:val="-5"/>
                <w:sz w:val="19"/>
              </w:rPr>
              <w:t>N/A</w:t>
            </w:r>
          </w:p>
        </w:tc>
        <w:tc>
          <w:tcPr>
            <w:tcW w:w="1701" w:type="dxa"/>
            <w:tcBorders>
              <w:top w:val="single" w:sz="2" w:space="0" w:color="000000"/>
              <w:left w:val="single" w:sz="2" w:space="0" w:color="000000"/>
              <w:bottom w:val="single" w:sz="2" w:space="0" w:color="000000"/>
              <w:right w:val="single" w:sz="2" w:space="0" w:color="000000"/>
            </w:tcBorders>
          </w:tcPr>
          <w:p w14:paraId="490BF701" w14:textId="77777777" w:rsidR="009D54AF" w:rsidRDefault="00000000">
            <w:pPr>
              <w:pStyle w:val="TableParagraph"/>
              <w:spacing w:before="142"/>
              <w:ind w:right="85"/>
              <w:jc w:val="right"/>
              <w:rPr>
                <w:sz w:val="19"/>
              </w:rPr>
            </w:pPr>
            <w:r>
              <w:rPr>
                <w:spacing w:val="-5"/>
                <w:sz w:val="19"/>
              </w:rPr>
              <w:t>N/A</w:t>
            </w:r>
          </w:p>
        </w:tc>
        <w:tc>
          <w:tcPr>
            <w:tcW w:w="1701" w:type="dxa"/>
            <w:tcBorders>
              <w:top w:val="single" w:sz="2" w:space="0" w:color="000000"/>
              <w:left w:val="single" w:sz="2" w:space="0" w:color="000000"/>
              <w:bottom w:val="single" w:sz="2" w:space="0" w:color="000000"/>
              <w:right w:val="nil"/>
            </w:tcBorders>
          </w:tcPr>
          <w:p w14:paraId="6B0FBAAD" w14:textId="77777777" w:rsidR="009D54AF" w:rsidRDefault="00000000">
            <w:pPr>
              <w:pStyle w:val="TableParagraph"/>
              <w:spacing w:before="142"/>
              <w:ind w:right="84"/>
              <w:jc w:val="right"/>
              <w:rPr>
                <w:sz w:val="19"/>
              </w:rPr>
            </w:pPr>
            <w:r>
              <w:rPr>
                <w:spacing w:val="-10"/>
                <w:sz w:val="19"/>
              </w:rPr>
              <w:t>–</w:t>
            </w:r>
          </w:p>
        </w:tc>
      </w:tr>
      <w:tr w:rsidR="009D54AF" w14:paraId="25F81D1F" w14:textId="77777777">
        <w:trPr>
          <w:trHeight w:val="505"/>
        </w:trPr>
        <w:tc>
          <w:tcPr>
            <w:tcW w:w="3402" w:type="dxa"/>
            <w:tcBorders>
              <w:top w:val="single" w:sz="2" w:space="0" w:color="000000"/>
              <w:left w:val="nil"/>
              <w:bottom w:val="single" w:sz="2" w:space="0" w:color="000000"/>
              <w:right w:val="single" w:sz="2" w:space="0" w:color="000000"/>
            </w:tcBorders>
          </w:tcPr>
          <w:p w14:paraId="2E43078B" w14:textId="77777777" w:rsidR="009D54AF" w:rsidRDefault="00000000">
            <w:pPr>
              <w:pStyle w:val="TableParagraph"/>
              <w:spacing w:before="142"/>
              <w:ind w:left="85"/>
              <w:rPr>
                <w:sz w:val="19"/>
              </w:rPr>
            </w:pPr>
            <w:r>
              <w:rPr>
                <w:sz w:val="19"/>
              </w:rPr>
              <w:t>Large-scale</w:t>
            </w:r>
            <w:r>
              <w:rPr>
                <w:spacing w:val="12"/>
                <w:sz w:val="19"/>
              </w:rPr>
              <w:t xml:space="preserve"> </w:t>
            </w:r>
            <w:r>
              <w:rPr>
                <w:sz w:val="19"/>
              </w:rPr>
              <w:t>generation</w:t>
            </w:r>
            <w:r>
              <w:rPr>
                <w:spacing w:val="12"/>
                <w:sz w:val="19"/>
              </w:rPr>
              <w:t xml:space="preserve"> </w:t>
            </w:r>
            <w:r>
              <w:rPr>
                <w:spacing w:val="-2"/>
                <w:sz w:val="19"/>
              </w:rPr>
              <w:t>certificates</w:t>
            </w:r>
          </w:p>
        </w:tc>
        <w:tc>
          <w:tcPr>
            <w:tcW w:w="1701" w:type="dxa"/>
            <w:tcBorders>
              <w:top w:val="single" w:sz="2" w:space="0" w:color="000000"/>
              <w:left w:val="single" w:sz="2" w:space="0" w:color="000000"/>
              <w:bottom w:val="single" w:sz="2" w:space="0" w:color="000000"/>
              <w:right w:val="single" w:sz="2" w:space="0" w:color="000000"/>
            </w:tcBorders>
          </w:tcPr>
          <w:p w14:paraId="5C853211" w14:textId="77777777" w:rsidR="009D54AF" w:rsidRDefault="00000000">
            <w:pPr>
              <w:pStyle w:val="TableParagraph"/>
              <w:spacing w:before="142"/>
              <w:ind w:right="84"/>
              <w:jc w:val="right"/>
              <w:rPr>
                <w:sz w:val="19"/>
              </w:rPr>
            </w:pPr>
            <w:r>
              <w:rPr>
                <w:spacing w:val="-5"/>
                <w:sz w:val="19"/>
              </w:rPr>
              <w:t>N/A</w:t>
            </w:r>
          </w:p>
        </w:tc>
        <w:tc>
          <w:tcPr>
            <w:tcW w:w="1701" w:type="dxa"/>
            <w:tcBorders>
              <w:top w:val="single" w:sz="2" w:space="0" w:color="000000"/>
              <w:left w:val="single" w:sz="2" w:space="0" w:color="000000"/>
              <w:bottom w:val="single" w:sz="2" w:space="0" w:color="000000"/>
              <w:right w:val="single" w:sz="2" w:space="0" w:color="000000"/>
            </w:tcBorders>
          </w:tcPr>
          <w:p w14:paraId="7CDE9675" w14:textId="77777777" w:rsidR="009D54AF" w:rsidRDefault="00000000">
            <w:pPr>
              <w:pStyle w:val="TableParagraph"/>
              <w:spacing w:before="142"/>
              <w:ind w:right="85"/>
              <w:jc w:val="right"/>
              <w:rPr>
                <w:sz w:val="19"/>
              </w:rPr>
            </w:pPr>
            <w:r>
              <w:rPr>
                <w:spacing w:val="-5"/>
                <w:sz w:val="19"/>
              </w:rPr>
              <w:t>N/A</w:t>
            </w:r>
          </w:p>
        </w:tc>
        <w:tc>
          <w:tcPr>
            <w:tcW w:w="1701" w:type="dxa"/>
            <w:tcBorders>
              <w:top w:val="single" w:sz="2" w:space="0" w:color="000000"/>
              <w:left w:val="single" w:sz="2" w:space="0" w:color="000000"/>
              <w:bottom w:val="single" w:sz="2" w:space="0" w:color="000000"/>
              <w:right w:val="single" w:sz="2" w:space="0" w:color="000000"/>
            </w:tcBorders>
          </w:tcPr>
          <w:p w14:paraId="023EF002" w14:textId="77777777" w:rsidR="009D54AF" w:rsidRDefault="00000000">
            <w:pPr>
              <w:pStyle w:val="TableParagraph"/>
              <w:spacing w:before="142"/>
              <w:ind w:right="85"/>
              <w:jc w:val="right"/>
              <w:rPr>
                <w:sz w:val="19"/>
              </w:rPr>
            </w:pPr>
            <w:r>
              <w:rPr>
                <w:spacing w:val="-5"/>
                <w:sz w:val="19"/>
              </w:rPr>
              <w:t>N/A</w:t>
            </w:r>
          </w:p>
        </w:tc>
        <w:tc>
          <w:tcPr>
            <w:tcW w:w="1701" w:type="dxa"/>
            <w:tcBorders>
              <w:top w:val="single" w:sz="2" w:space="0" w:color="000000"/>
              <w:left w:val="single" w:sz="2" w:space="0" w:color="000000"/>
              <w:bottom w:val="single" w:sz="2" w:space="0" w:color="000000"/>
              <w:right w:val="nil"/>
            </w:tcBorders>
          </w:tcPr>
          <w:p w14:paraId="438A269D" w14:textId="77777777" w:rsidR="009D54AF" w:rsidRDefault="00000000">
            <w:pPr>
              <w:pStyle w:val="TableParagraph"/>
              <w:spacing w:before="142"/>
              <w:ind w:right="84"/>
              <w:jc w:val="right"/>
              <w:rPr>
                <w:sz w:val="19"/>
              </w:rPr>
            </w:pPr>
            <w:r>
              <w:rPr>
                <w:spacing w:val="-10"/>
                <w:sz w:val="19"/>
              </w:rPr>
              <w:t>–</w:t>
            </w:r>
          </w:p>
        </w:tc>
      </w:tr>
      <w:tr w:rsidR="009D54AF" w14:paraId="41F1F3CB" w14:textId="77777777">
        <w:trPr>
          <w:trHeight w:val="505"/>
        </w:trPr>
        <w:tc>
          <w:tcPr>
            <w:tcW w:w="3402" w:type="dxa"/>
            <w:tcBorders>
              <w:top w:val="single" w:sz="2" w:space="0" w:color="000000"/>
              <w:left w:val="nil"/>
              <w:bottom w:val="single" w:sz="2" w:space="0" w:color="000000"/>
              <w:right w:val="single" w:sz="2" w:space="0" w:color="000000"/>
            </w:tcBorders>
          </w:tcPr>
          <w:p w14:paraId="3A81EEB3" w14:textId="77777777" w:rsidR="009D54AF" w:rsidRDefault="00000000">
            <w:pPr>
              <w:pStyle w:val="TableParagraph"/>
              <w:spacing w:before="142"/>
              <w:ind w:left="85"/>
              <w:rPr>
                <w:position w:val="6"/>
                <w:sz w:val="11"/>
              </w:rPr>
            </w:pPr>
            <w:r>
              <w:rPr>
                <w:sz w:val="19"/>
              </w:rPr>
              <w:t>Behind-the-meter</w:t>
            </w:r>
            <w:r>
              <w:rPr>
                <w:spacing w:val="16"/>
                <w:sz w:val="19"/>
              </w:rPr>
              <w:t xml:space="preserve"> </w:t>
            </w:r>
            <w:r>
              <w:rPr>
                <w:spacing w:val="-2"/>
                <w:sz w:val="19"/>
              </w:rPr>
              <w:t>solar</w:t>
            </w:r>
            <w:r>
              <w:rPr>
                <w:spacing w:val="-2"/>
                <w:position w:val="6"/>
                <w:sz w:val="11"/>
              </w:rPr>
              <w:t>2</w:t>
            </w:r>
          </w:p>
        </w:tc>
        <w:tc>
          <w:tcPr>
            <w:tcW w:w="1701" w:type="dxa"/>
            <w:tcBorders>
              <w:top w:val="single" w:sz="2" w:space="0" w:color="000000"/>
              <w:left w:val="single" w:sz="2" w:space="0" w:color="000000"/>
              <w:bottom w:val="single" w:sz="2" w:space="0" w:color="000000"/>
              <w:right w:val="single" w:sz="2" w:space="0" w:color="000000"/>
            </w:tcBorders>
          </w:tcPr>
          <w:p w14:paraId="25AF2AF6" w14:textId="77777777" w:rsidR="009D54AF" w:rsidRDefault="00000000">
            <w:pPr>
              <w:pStyle w:val="TableParagraph"/>
              <w:spacing w:before="142"/>
              <w:ind w:right="84"/>
              <w:jc w:val="right"/>
              <w:rPr>
                <w:sz w:val="19"/>
              </w:rPr>
            </w:pPr>
            <w:r>
              <w:rPr>
                <w:spacing w:val="-5"/>
                <w:sz w:val="19"/>
              </w:rPr>
              <w:t>N/A</w:t>
            </w:r>
          </w:p>
        </w:tc>
        <w:tc>
          <w:tcPr>
            <w:tcW w:w="1701" w:type="dxa"/>
            <w:tcBorders>
              <w:top w:val="single" w:sz="2" w:space="0" w:color="000000"/>
              <w:left w:val="single" w:sz="2" w:space="0" w:color="000000"/>
              <w:bottom w:val="single" w:sz="2" w:space="0" w:color="000000"/>
              <w:right w:val="single" w:sz="2" w:space="0" w:color="000000"/>
            </w:tcBorders>
          </w:tcPr>
          <w:p w14:paraId="4C0FE25A" w14:textId="77777777" w:rsidR="009D54AF" w:rsidRDefault="00000000">
            <w:pPr>
              <w:pStyle w:val="TableParagraph"/>
              <w:spacing w:before="142"/>
              <w:ind w:right="85"/>
              <w:jc w:val="right"/>
              <w:rPr>
                <w:sz w:val="19"/>
              </w:rPr>
            </w:pPr>
            <w:r>
              <w:rPr>
                <w:spacing w:val="-5"/>
                <w:sz w:val="19"/>
              </w:rPr>
              <w:t>N/A</w:t>
            </w:r>
          </w:p>
        </w:tc>
        <w:tc>
          <w:tcPr>
            <w:tcW w:w="1701" w:type="dxa"/>
            <w:tcBorders>
              <w:top w:val="single" w:sz="2" w:space="0" w:color="000000"/>
              <w:left w:val="single" w:sz="2" w:space="0" w:color="000000"/>
              <w:bottom w:val="single" w:sz="2" w:space="0" w:color="000000"/>
              <w:right w:val="single" w:sz="2" w:space="0" w:color="000000"/>
            </w:tcBorders>
          </w:tcPr>
          <w:p w14:paraId="186B7F5F" w14:textId="77777777" w:rsidR="009D54AF" w:rsidRDefault="00000000">
            <w:pPr>
              <w:pStyle w:val="TableParagraph"/>
              <w:spacing w:before="142"/>
              <w:ind w:right="85"/>
              <w:jc w:val="right"/>
              <w:rPr>
                <w:sz w:val="19"/>
              </w:rPr>
            </w:pPr>
            <w:r>
              <w:rPr>
                <w:spacing w:val="-5"/>
                <w:sz w:val="19"/>
              </w:rPr>
              <w:t>N/A</w:t>
            </w:r>
          </w:p>
        </w:tc>
        <w:tc>
          <w:tcPr>
            <w:tcW w:w="1701" w:type="dxa"/>
            <w:tcBorders>
              <w:top w:val="single" w:sz="2" w:space="0" w:color="000000"/>
              <w:left w:val="single" w:sz="2" w:space="0" w:color="000000"/>
              <w:bottom w:val="single" w:sz="2" w:space="0" w:color="000000"/>
              <w:right w:val="nil"/>
            </w:tcBorders>
          </w:tcPr>
          <w:p w14:paraId="6F022FD5" w14:textId="77777777" w:rsidR="009D54AF" w:rsidRDefault="00000000">
            <w:pPr>
              <w:pStyle w:val="TableParagraph"/>
              <w:spacing w:before="142"/>
              <w:ind w:right="84"/>
              <w:jc w:val="right"/>
              <w:rPr>
                <w:sz w:val="19"/>
              </w:rPr>
            </w:pPr>
            <w:r>
              <w:rPr>
                <w:spacing w:val="-10"/>
                <w:sz w:val="19"/>
              </w:rPr>
              <w:t>–</w:t>
            </w:r>
          </w:p>
        </w:tc>
      </w:tr>
      <w:tr w:rsidR="009D54AF" w14:paraId="4E09C1DE" w14:textId="77777777">
        <w:trPr>
          <w:trHeight w:val="505"/>
        </w:trPr>
        <w:tc>
          <w:tcPr>
            <w:tcW w:w="3402" w:type="dxa"/>
            <w:tcBorders>
              <w:top w:val="single" w:sz="2" w:space="0" w:color="000000"/>
              <w:left w:val="nil"/>
              <w:bottom w:val="single" w:sz="2" w:space="0" w:color="000000"/>
              <w:right w:val="single" w:sz="2" w:space="0" w:color="000000"/>
            </w:tcBorders>
          </w:tcPr>
          <w:p w14:paraId="7A227E7F" w14:textId="77777777" w:rsidR="009D54AF" w:rsidRDefault="00000000">
            <w:pPr>
              <w:pStyle w:val="TableParagraph"/>
              <w:spacing w:before="142"/>
              <w:ind w:left="85"/>
              <w:rPr>
                <w:sz w:val="19"/>
              </w:rPr>
            </w:pPr>
            <w:r>
              <w:rPr>
                <w:sz w:val="19"/>
              </w:rPr>
              <w:t>Total renewable</w:t>
            </w:r>
            <w:r>
              <w:rPr>
                <w:spacing w:val="1"/>
                <w:sz w:val="19"/>
              </w:rPr>
              <w:t xml:space="preserve"> </w:t>
            </w:r>
            <w:r>
              <w:rPr>
                <w:sz w:val="19"/>
              </w:rPr>
              <w:t>electricity</w:t>
            </w:r>
            <w:r>
              <w:rPr>
                <w:spacing w:val="1"/>
                <w:sz w:val="19"/>
              </w:rPr>
              <w:t xml:space="preserve"> </w:t>
            </w:r>
            <w:r>
              <w:rPr>
                <w:spacing w:val="-2"/>
                <w:sz w:val="19"/>
              </w:rPr>
              <w:t>produced</w:t>
            </w:r>
          </w:p>
        </w:tc>
        <w:tc>
          <w:tcPr>
            <w:tcW w:w="1701" w:type="dxa"/>
            <w:tcBorders>
              <w:top w:val="single" w:sz="2" w:space="0" w:color="000000"/>
              <w:left w:val="single" w:sz="2" w:space="0" w:color="000000"/>
              <w:bottom w:val="single" w:sz="2" w:space="0" w:color="000000"/>
              <w:right w:val="single" w:sz="2" w:space="0" w:color="000000"/>
            </w:tcBorders>
          </w:tcPr>
          <w:p w14:paraId="185BC07B" w14:textId="77777777" w:rsidR="009D54AF" w:rsidRDefault="00000000">
            <w:pPr>
              <w:pStyle w:val="TableParagraph"/>
              <w:spacing w:before="142"/>
              <w:ind w:right="84"/>
              <w:jc w:val="right"/>
              <w:rPr>
                <w:sz w:val="19"/>
              </w:rPr>
            </w:pPr>
            <w:r>
              <w:rPr>
                <w:spacing w:val="-5"/>
                <w:sz w:val="19"/>
              </w:rPr>
              <w:t>N/A</w:t>
            </w:r>
          </w:p>
        </w:tc>
        <w:tc>
          <w:tcPr>
            <w:tcW w:w="1701" w:type="dxa"/>
            <w:tcBorders>
              <w:top w:val="single" w:sz="2" w:space="0" w:color="000000"/>
              <w:left w:val="single" w:sz="2" w:space="0" w:color="000000"/>
              <w:bottom w:val="single" w:sz="2" w:space="0" w:color="000000"/>
              <w:right w:val="single" w:sz="2" w:space="0" w:color="000000"/>
            </w:tcBorders>
          </w:tcPr>
          <w:p w14:paraId="12F3E95B" w14:textId="77777777" w:rsidR="009D54AF" w:rsidRDefault="00000000">
            <w:pPr>
              <w:pStyle w:val="TableParagraph"/>
              <w:spacing w:before="142"/>
              <w:ind w:right="85"/>
              <w:jc w:val="right"/>
              <w:rPr>
                <w:sz w:val="19"/>
              </w:rPr>
            </w:pPr>
            <w:r>
              <w:rPr>
                <w:spacing w:val="-5"/>
                <w:sz w:val="19"/>
              </w:rPr>
              <w:t>N/A</w:t>
            </w:r>
          </w:p>
        </w:tc>
        <w:tc>
          <w:tcPr>
            <w:tcW w:w="1701" w:type="dxa"/>
            <w:tcBorders>
              <w:top w:val="single" w:sz="2" w:space="0" w:color="000000"/>
              <w:left w:val="single" w:sz="2" w:space="0" w:color="000000"/>
              <w:bottom w:val="single" w:sz="2" w:space="0" w:color="000000"/>
              <w:right w:val="single" w:sz="2" w:space="0" w:color="000000"/>
            </w:tcBorders>
          </w:tcPr>
          <w:p w14:paraId="324C0427" w14:textId="77777777" w:rsidR="009D54AF" w:rsidRDefault="00000000">
            <w:pPr>
              <w:pStyle w:val="TableParagraph"/>
              <w:spacing w:before="142"/>
              <w:ind w:right="85"/>
              <w:jc w:val="right"/>
              <w:rPr>
                <w:sz w:val="19"/>
              </w:rPr>
            </w:pPr>
            <w:r>
              <w:rPr>
                <w:spacing w:val="-5"/>
                <w:sz w:val="19"/>
              </w:rPr>
              <w:t>N/A</w:t>
            </w:r>
          </w:p>
        </w:tc>
        <w:tc>
          <w:tcPr>
            <w:tcW w:w="1701" w:type="dxa"/>
            <w:tcBorders>
              <w:top w:val="single" w:sz="2" w:space="0" w:color="000000"/>
              <w:left w:val="single" w:sz="2" w:space="0" w:color="000000"/>
              <w:bottom w:val="single" w:sz="2" w:space="0" w:color="000000"/>
              <w:right w:val="nil"/>
            </w:tcBorders>
          </w:tcPr>
          <w:p w14:paraId="29481992" w14:textId="77777777" w:rsidR="009D54AF" w:rsidRDefault="00000000">
            <w:pPr>
              <w:pStyle w:val="TableParagraph"/>
              <w:spacing w:before="142"/>
              <w:ind w:right="84"/>
              <w:jc w:val="right"/>
              <w:rPr>
                <w:sz w:val="19"/>
              </w:rPr>
            </w:pPr>
            <w:r>
              <w:rPr>
                <w:spacing w:val="-10"/>
                <w:sz w:val="19"/>
              </w:rPr>
              <w:t>–</w:t>
            </w:r>
          </w:p>
        </w:tc>
      </w:tr>
    </w:tbl>
    <w:p w14:paraId="675F3498" w14:textId="77777777" w:rsidR="009D54AF" w:rsidRDefault="00000000">
      <w:pPr>
        <w:spacing w:before="147" w:line="295" w:lineRule="auto"/>
        <w:ind w:left="142" w:right="613"/>
        <w:rPr>
          <w:sz w:val="17"/>
        </w:rPr>
      </w:pPr>
      <w:r>
        <w:rPr>
          <w:b/>
          <w:sz w:val="17"/>
        </w:rPr>
        <w:t xml:space="preserve">Note: </w:t>
      </w:r>
      <w:r>
        <w:rPr>
          <w:sz w:val="17"/>
        </w:rPr>
        <w:t>The table above presents emissions related to electricity usage using both the location-based and the market-based accounting methods. CO</w:t>
      </w:r>
      <w:r>
        <w:rPr>
          <w:sz w:val="17"/>
          <w:vertAlign w:val="subscript"/>
        </w:rPr>
        <w:t>2</w:t>
      </w:r>
      <w:r>
        <w:rPr>
          <w:sz w:val="17"/>
        </w:rPr>
        <w:t>-e = carbon dioxide equivalent. Electricity usage is measured in kilowatt hours (kWh).</w:t>
      </w:r>
    </w:p>
    <w:p w14:paraId="4A7187FB" w14:textId="77777777" w:rsidR="009D54AF" w:rsidRDefault="00000000">
      <w:pPr>
        <w:pStyle w:val="ListParagraph"/>
        <w:numPr>
          <w:ilvl w:val="0"/>
          <w:numId w:val="12"/>
        </w:numPr>
        <w:tabs>
          <w:tab w:val="left" w:pos="367"/>
          <w:tab w:val="left" w:pos="369"/>
        </w:tabs>
        <w:spacing w:before="56" w:line="295" w:lineRule="auto"/>
        <w:ind w:right="395"/>
        <w:rPr>
          <w:sz w:val="17"/>
        </w:rPr>
      </w:pPr>
      <w:r>
        <w:rPr>
          <w:sz w:val="17"/>
        </w:rPr>
        <w:t>The renewable power percentage (RPP) accounts for the portion of electricity used from the grid that falls within the Renewable Energy Target (RET).</w:t>
      </w:r>
    </w:p>
    <w:p w14:paraId="761D3A62" w14:textId="77777777" w:rsidR="009D54AF" w:rsidRDefault="00000000">
      <w:pPr>
        <w:pStyle w:val="ListParagraph"/>
        <w:numPr>
          <w:ilvl w:val="0"/>
          <w:numId w:val="12"/>
        </w:numPr>
        <w:tabs>
          <w:tab w:val="left" w:pos="367"/>
          <w:tab w:val="left" w:pos="369"/>
        </w:tabs>
        <w:spacing w:before="75" w:line="295" w:lineRule="auto"/>
        <w:ind w:right="291"/>
        <w:rPr>
          <w:sz w:val="17"/>
        </w:rPr>
      </w:pPr>
      <w:r>
        <w:rPr>
          <w:sz w:val="17"/>
        </w:rPr>
        <w:t>Reporting behind-the-meter solar consumption and/or production is optional. The quality of data is expected to improve over time as emissions reporting matures.</w:t>
      </w:r>
    </w:p>
    <w:p w14:paraId="5A55C4CD" w14:textId="77777777" w:rsidR="009D54AF" w:rsidRDefault="009D54AF">
      <w:pPr>
        <w:pStyle w:val="ListParagraph"/>
        <w:spacing w:line="295" w:lineRule="auto"/>
        <w:rPr>
          <w:sz w:val="17"/>
        </w:rPr>
        <w:sectPr w:rsidR="009D54AF">
          <w:pgSz w:w="11910" w:h="16840"/>
          <w:pgMar w:top="720" w:right="708" w:bottom="280" w:left="708" w:header="720" w:footer="720" w:gutter="0"/>
          <w:cols w:space="720"/>
        </w:sectPr>
      </w:pPr>
    </w:p>
    <w:p w14:paraId="276BD3F3" w14:textId="77777777" w:rsidR="009D54AF" w:rsidRDefault="00000000">
      <w:pPr>
        <w:spacing w:before="57"/>
        <w:ind w:left="142"/>
        <w:rPr>
          <w:sz w:val="52"/>
        </w:rPr>
      </w:pPr>
      <w:r>
        <w:rPr>
          <w:spacing w:val="-4"/>
          <w:sz w:val="52"/>
        </w:rPr>
        <w:lastRenderedPageBreak/>
        <w:t>7.</w:t>
      </w:r>
      <w:r>
        <w:rPr>
          <w:spacing w:val="-29"/>
          <w:sz w:val="52"/>
        </w:rPr>
        <w:t xml:space="preserve"> </w:t>
      </w:r>
      <w:r>
        <w:rPr>
          <w:spacing w:val="-4"/>
          <w:sz w:val="52"/>
        </w:rPr>
        <w:t>Indexes</w:t>
      </w:r>
      <w:r>
        <w:rPr>
          <w:spacing w:val="-28"/>
          <w:sz w:val="52"/>
        </w:rPr>
        <w:t xml:space="preserve"> </w:t>
      </w:r>
      <w:r>
        <w:rPr>
          <w:spacing w:val="-4"/>
          <w:sz w:val="52"/>
        </w:rPr>
        <w:t>and</w:t>
      </w:r>
      <w:r>
        <w:rPr>
          <w:spacing w:val="-27"/>
          <w:sz w:val="52"/>
        </w:rPr>
        <w:t xml:space="preserve"> </w:t>
      </w:r>
      <w:r>
        <w:rPr>
          <w:spacing w:val="-4"/>
          <w:sz w:val="52"/>
        </w:rPr>
        <w:t>references</w:t>
      </w:r>
    </w:p>
    <w:p w14:paraId="6EAEE532" w14:textId="40B784E2" w:rsidR="009D54AF" w:rsidRDefault="00000000">
      <w:pPr>
        <w:tabs>
          <w:tab w:val="right" w:pos="5528"/>
        </w:tabs>
        <w:spacing w:before="322"/>
        <w:ind w:left="142"/>
        <w:rPr>
          <w:sz w:val="20"/>
        </w:rPr>
      </w:pPr>
      <w:hyperlink w:anchor="_Acronyms" w:history="1">
        <w:r w:rsidR="00C86DC9">
          <w:rPr>
            <w:spacing w:val="-5"/>
            <w:sz w:val="20"/>
          </w:rPr>
          <w:t>Acronyms</w:t>
        </w:r>
      </w:hyperlink>
    </w:p>
    <w:p w14:paraId="469B99C9" w14:textId="1B336079" w:rsidR="009D54AF" w:rsidRDefault="00000000">
      <w:pPr>
        <w:tabs>
          <w:tab w:val="right" w:pos="5528"/>
        </w:tabs>
        <w:spacing w:before="220"/>
        <w:ind w:left="142"/>
        <w:rPr>
          <w:sz w:val="20"/>
        </w:rPr>
      </w:pPr>
      <w:hyperlink w:anchor="_Glossary" w:history="1">
        <w:r w:rsidR="00C86DC9">
          <w:rPr>
            <w:spacing w:val="-5"/>
            <w:sz w:val="20"/>
          </w:rPr>
          <w:t>Glossary</w:t>
        </w:r>
      </w:hyperlink>
    </w:p>
    <w:p w14:paraId="5A67A024" w14:textId="327EA816" w:rsidR="009D54AF" w:rsidRDefault="00000000">
      <w:pPr>
        <w:tabs>
          <w:tab w:val="right" w:pos="5528"/>
        </w:tabs>
        <w:spacing w:before="220"/>
        <w:ind w:left="142"/>
        <w:rPr>
          <w:sz w:val="20"/>
        </w:rPr>
      </w:pPr>
      <w:hyperlink w:anchor="_Index_of_figures" w:history="1">
        <w:r w:rsidR="00C86DC9">
          <w:rPr>
            <w:spacing w:val="-5"/>
            <w:sz w:val="20"/>
          </w:rPr>
          <w:t>Index of figures</w:t>
        </w:r>
      </w:hyperlink>
    </w:p>
    <w:p w14:paraId="5477630A" w14:textId="0DCBC344" w:rsidR="009D54AF" w:rsidRDefault="00000000">
      <w:pPr>
        <w:tabs>
          <w:tab w:val="right" w:pos="5528"/>
        </w:tabs>
        <w:spacing w:before="220"/>
        <w:ind w:left="142"/>
        <w:rPr>
          <w:sz w:val="20"/>
        </w:rPr>
      </w:pPr>
      <w:hyperlink w:anchor="_Index_of_tables" w:history="1">
        <w:r w:rsidR="00C86DC9">
          <w:rPr>
            <w:spacing w:val="-5"/>
            <w:sz w:val="20"/>
          </w:rPr>
          <w:t>Index of tables</w:t>
        </w:r>
      </w:hyperlink>
    </w:p>
    <w:p w14:paraId="031F47EF" w14:textId="469B0372" w:rsidR="009D54AF" w:rsidRDefault="00000000">
      <w:pPr>
        <w:tabs>
          <w:tab w:val="right" w:pos="5528"/>
        </w:tabs>
        <w:spacing w:before="221"/>
        <w:ind w:left="142"/>
        <w:rPr>
          <w:sz w:val="20"/>
        </w:rPr>
      </w:pPr>
      <w:hyperlink w:anchor="_Compliance_index" w:history="1">
        <w:r w:rsidR="00C86DC9">
          <w:rPr>
            <w:spacing w:val="-5"/>
            <w:sz w:val="20"/>
          </w:rPr>
          <w:t>Compliance index</w:t>
        </w:r>
      </w:hyperlink>
    </w:p>
    <w:p w14:paraId="6217525F" w14:textId="10463565" w:rsidR="009D54AF" w:rsidRDefault="00000000">
      <w:pPr>
        <w:tabs>
          <w:tab w:val="right" w:pos="5528"/>
        </w:tabs>
        <w:spacing w:before="220"/>
        <w:ind w:left="142"/>
        <w:rPr>
          <w:sz w:val="20"/>
        </w:rPr>
      </w:pPr>
      <w:hyperlink w:anchor="_Index" w:history="1">
        <w:r w:rsidR="00C86DC9">
          <w:rPr>
            <w:spacing w:val="-5"/>
            <w:sz w:val="20"/>
          </w:rPr>
          <w:t>Index</w:t>
        </w:r>
      </w:hyperlink>
    </w:p>
    <w:p w14:paraId="33BFE958" w14:textId="77777777" w:rsidR="009D54AF" w:rsidRDefault="00000000">
      <w:pPr>
        <w:pStyle w:val="Heading1"/>
        <w:spacing w:before="192"/>
      </w:pPr>
      <w:bookmarkStart w:id="83" w:name="_TOC_250005"/>
      <w:bookmarkStart w:id="84" w:name="_Acronyms"/>
      <w:bookmarkStart w:id="85" w:name="_Toc243037294"/>
      <w:bookmarkEnd w:id="83"/>
      <w:bookmarkEnd w:id="84"/>
      <w:r>
        <w:rPr>
          <w:spacing w:val="-2"/>
        </w:rPr>
        <w:t>Acronyms</w:t>
      </w:r>
      <w:bookmarkEnd w:id="85"/>
    </w:p>
    <w:p w14:paraId="6467B5D9" w14:textId="77777777" w:rsidR="009D54AF" w:rsidRDefault="009D54AF">
      <w:pPr>
        <w:pStyle w:val="BodyText"/>
        <w:spacing w:before="103"/>
        <w:rPr>
          <w:b/>
          <w:sz w:val="20"/>
        </w:rPr>
      </w:pPr>
    </w:p>
    <w:tbl>
      <w:tblPr>
        <w:tblW w:w="0" w:type="auto"/>
        <w:tblInd w:w="149"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CellMar>
          <w:left w:w="0" w:type="dxa"/>
          <w:right w:w="0" w:type="dxa"/>
        </w:tblCellMar>
        <w:tblLook w:val="01E0" w:firstRow="1" w:lastRow="1" w:firstColumn="1" w:lastColumn="1" w:noHBand="0" w:noVBand="0"/>
      </w:tblPr>
      <w:tblGrid>
        <w:gridCol w:w="2835"/>
        <w:gridCol w:w="7370"/>
      </w:tblGrid>
      <w:tr w:rsidR="009D54AF" w14:paraId="4B67D0C7" w14:textId="77777777">
        <w:trPr>
          <w:trHeight w:val="510"/>
        </w:trPr>
        <w:tc>
          <w:tcPr>
            <w:tcW w:w="2835" w:type="dxa"/>
            <w:tcBorders>
              <w:top w:val="nil"/>
              <w:left w:val="nil"/>
              <w:bottom w:val="nil"/>
            </w:tcBorders>
            <w:shd w:val="clear" w:color="auto" w:fill="000000"/>
          </w:tcPr>
          <w:p w14:paraId="79B840B6" w14:textId="77777777" w:rsidR="009D54AF" w:rsidRDefault="00000000">
            <w:pPr>
              <w:pStyle w:val="TableParagraph"/>
              <w:spacing w:before="145"/>
              <w:ind w:left="85"/>
              <w:rPr>
                <w:b/>
                <w:sz w:val="19"/>
              </w:rPr>
            </w:pPr>
            <w:r>
              <w:rPr>
                <w:b/>
                <w:color w:val="FFFFFF"/>
                <w:spacing w:val="-2"/>
                <w:sz w:val="19"/>
              </w:rPr>
              <w:t>Acronym</w:t>
            </w:r>
          </w:p>
        </w:tc>
        <w:tc>
          <w:tcPr>
            <w:tcW w:w="7370" w:type="dxa"/>
            <w:tcBorders>
              <w:top w:val="nil"/>
              <w:bottom w:val="nil"/>
              <w:right w:val="nil"/>
            </w:tcBorders>
            <w:shd w:val="clear" w:color="auto" w:fill="000000"/>
          </w:tcPr>
          <w:p w14:paraId="2C978220" w14:textId="77777777" w:rsidR="009D54AF" w:rsidRDefault="00000000">
            <w:pPr>
              <w:pStyle w:val="TableParagraph"/>
              <w:spacing w:before="145"/>
              <w:ind w:left="79"/>
              <w:rPr>
                <w:b/>
                <w:sz w:val="19"/>
              </w:rPr>
            </w:pPr>
            <w:r>
              <w:rPr>
                <w:b/>
                <w:color w:val="FFFFFF"/>
                <w:spacing w:val="-2"/>
                <w:sz w:val="19"/>
              </w:rPr>
              <w:t>Description</w:t>
            </w:r>
          </w:p>
        </w:tc>
      </w:tr>
      <w:tr w:rsidR="009D54AF" w14:paraId="3271292F" w14:textId="77777777">
        <w:trPr>
          <w:trHeight w:val="497"/>
        </w:trPr>
        <w:tc>
          <w:tcPr>
            <w:tcW w:w="2835" w:type="dxa"/>
            <w:tcBorders>
              <w:top w:val="nil"/>
              <w:left w:val="nil"/>
              <w:bottom w:val="single" w:sz="2" w:space="0" w:color="000000"/>
              <w:right w:val="single" w:sz="2" w:space="0" w:color="000000"/>
            </w:tcBorders>
          </w:tcPr>
          <w:p w14:paraId="68C1433F" w14:textId="77777777" w:rsidR="009D54AF" w:rsidRDefault="00000000">
            <w:pPr>
              <w:pStyle w:val="TableParagraph"/>
              <w:spacing w:before="33"/>
              <w:ind w:left="85"/>
              <w:rPr>
                <w:b/>
                <w:sz w:val="19"/>
              </w:rPr>
            </w:pPr>
            <w:r>
              <w:rPr>
                <w:b/>
                <w:spacing w:val="-4"/>
                <w:sz w:val="19"/>
              </w:rPr>
              <w:t>ADHA</w:t>
            </w:r>
          </w:p>
        </w:tc>
        <w:tc>
          <w:tcPr>
            <w:tcW w:w="7370" w:type="dxa"/>
            <w:tcBorders>
              <w:top w:val="nil"/>
              <w:left w:val="single" w:sz="2" w:space="0" w:color="000000"/>
              <w:bottom w:val="single" w:sz="2" w:space="0" w:color="000000"/>
              <w:right w:val="nil"/>
            </w:tcBorders>
          </w:tcPr>
          <w:p w14:paraId="593DC9BC" w14:textId="77777777" w:rsidR="009D54AF" w:rsidRDefault="00000000">
            <w:pPr>
              <w:pStyle w:val="TableParagraph"/>
              <w:spacing w:before="33"/>
              <w:ind w:left="82"/>
              <w:rPr>
                <w:sz w:val="19"/>
              </w:rPr>
            </w:pPr>
            <w:r>
              <w:rPr>
                <w:sz w:val="19"/>
              </w:rPr>
              <w:t>Australian</w:t>
            </w:r>
            <w:r>
              <w:rPr>
                <w:spacing w:val="1"/>
                <w:sz w:val="19"/>
              </w:rPr>
              <w:t xml:space="preserve"> </w:t>
            </w:r>
            <w:r>
              <w:rPr>
                <w:sz w:val="19"/>
              </w:rPr>
              <w:t>Digital</w:t>
            </w:r>
            <w:r>
              <w:rPr>
                <w:spacing w:val="3"/>
                <w:sz w:val="19"/>
              </w:rPr>
              <w:t xml:space="preserve"> </w:t>
            </w:r>
            <w:r>
              <w:rPr>
                <w:sz w:val="19"/>
              </w:rPr>
              <w:t>Health</w:t>
            </w:r>
            <w:r>
              <w:rPr>
                <w:spacing w:val="4"/>
                <w:sz w:val="19"/>
              </w:rPr>
              <w:t xml:space="preserve"> </w:t>
            </w:r>
            <w:r>
              <w:rPr>
                <w:spacing w:val="-2"/>
                <w:sz w:val="19"/>
              </w:rPr>
              <w:t>Agency</w:t>
            </w:r>
          </w:p>
        </w:tc>
      </w:tr>
      <w:tr w:rsidR="009D54AF" w14:paraId="1F786C98" w14:textId="77777777">
        <w:trPr>
          <w:trHeight w:val="505"/>
        </w:trPr>
        <w:tc>
          <w:tcPr>
            <w:tcW w:w="2835" w:type="dxa"/>
            <w:tcBorders>
              <w:top w:val="single" w:sz="2" w:space="0" w:color="000000"/>
              <w:left w:val="nil"/>
              <w:bottom w:val="single" w:sz="2" w:space="0" w:color="000000"/>
              <w:right w:val="single" w:sz="2" w:space="0" w:color="000000"/>
            </w:tcBorders>
          </w:tcPr>
          <w:p w14:paraId="3A45BB87" w14:textId="77777777" w:rsidR="009D54AF" w:rsidRDefault="00000000">
            <w:pPr>
              <w:pStyle w:val="TableParagraph"/>
              <w:spacing w:before="40"/>
              <w:ind w:left="85"/>
              <w:rPr>
                <w:b/>
                <w:sz w:val="19"/>
              </w:rPr>
            </w:pPr>
            <w:proofErr w:type="spellStart"/>
            <w:r>
              <w:rPr>
                <w:b/>
                <w:spacing w:val="-2"/>
                <w:sz w:val="19"/>
              </w:rPr>
              <w:t>Ahpra</w:t>
            </w:r>
            <w:proofErr w:type="spellEnd"/>
          </w:p>
        </w:tc>
        <w:tc>
          <w:tcPr>
            <w:tcW w:w="7370" w:type="dxa"/>
            <w:tcBorders>
              <w:top w:val="single" w:sz="2" w:space="0" w:color="000000"/>
              <w:left w:val="single" w:sz="2" w:space="0" w:color="000000"/>
              <w:bottom w:val="single" w:sz="2" w:space="0" w:color="000000"/>
              <w:right w:val="nil"/>
            </w:tcBorders>
          </w:tcPr>
          <w:p w14:paraId="20380083" w14:textId="77777777" w:rsidR="009D54AF" w:rsidRDefault="00000000">
            <w:pPr>
              <w:pStyle w:val="TableParagraph"/>
              <w:spacing w:before="40"/>
              <w:ind w:left="82"/>
              <w:rPr>
                <w:sz w:val="19"/>
              </w:rPr>
            </w:pPr>
            <w:r>
              <w:rPr>
                <w:sz w:val="19"/>
              </w:rPr>
              <w:t>Australian</w:t>
            </w:r>
            <w:r>
              <w:rPr>
                <w:spacing w:val="3"/>
                <w:sz w:val="19"/>
              </w:rPr>
              <w:t xml:space="preserve"> </w:t>
            </w:r>
            <w:r>
              <w:rPr>
                <w:sz w:val="19"/>
              </w:rPr>
              <w:t>Health</w:t>
            </w:r>
            <w:r>
              <w:rPr>
                <w:spacing w:val="3"/>
                <w:sz w:val="19"/>
              </w:rPr>
              <w:t xml:space="preserve"> </w:t>
            </w:r>
            <w:r>
              <w:rPr>
                <w:sz w:val="19"/>
              </w:rPr>
              <w:t>Practitioner</w:t>
            </w:r>
            <w:r>
              <w:rPr>
                <w:spacing w:val="3"/>
                <w:sz w:val="19"/>
              </w:rPr>
              <w:t xml:space="preserve"> </w:t>
            </w:r>
            <w:r>
              <w:rPr>
                <w:sz w:val="19"/>
              </w:rPr>
              <w:t>Regulation</w:t>
            </w:r>
            <w:r>
              <w:rPr>
                <w:spacing w:val="3"/>
                <w:sz w:val="19"/>
              </w:rPr>
              <w:t xml:space="preserve"> </w:t>
            </w:r>
            <w:r>
              <w:rPr>
                <w:spacing w:val="-2"/>
                <w:sz w:val="19"/>
              </w:rPr>
              <w:t>Agency</w:t>
            </w:r>
          </w:p>
        </w:tc>
      </w:tr>
      <w:tr w:rsidR="009D54AF" w14:paraId="6A998C99" w14:textId="77777777">
        <w:trPr>
          <w:trHeight w:val="505"/>
        </w:trPr>
        <w:tc>
          <w:tcPr>
            <w:tcW w:w="2835" w:type="dxa"/>
            <w:tcBorders>
              <w:top w:val="single" w:sz="2" w:space="0" w:color="000000"/>
              <w:left w:val="nil"/>
              <w:bottom w:val="single" w:sz="2" w:space="0" w:color="000000"/>
              <w:right w:val="single" w:sz="2" w:space="0" w:color="000000"/>
            </w:tcBorders>
          </w:tcPr>
          <w:p w14:paraId="69EAD63D" w14:textId="77777777" w:rsidR="009D54AF" w:rsidRDefault="00000000">
            <w:pPr>
              <w:pStyle w:val="TableParagraph"/>
              <w:spacing w:before="40"/>
              <w:ind w:left="85"/>
              <w:rPr>
                <w:b/>
                <w:sz w:val="19"/>
              </w:rPr>
            </w:pPr>
            <w:r>
              <w:rPr>
                <w:b/>
                <w:sz w:val="19"/>
              </w:rPr>
              <w:t>AHSSQA</w:t>
            </w:r>
            <w:r>
              <w:rPr>
                <w:b/>
                <w:spacing w:val="12"/>
                <w:sz w:val="19"/>
              </w:rPr>
              <w:t xml:space="preserve"> </w:t>
            </w:r>
            <w:r>
              <w:rPr>
                <w:b/>
                <w:spacing w:val="-2"/>
                <w:sz w:val="19"/>
              </w:rPr>
              <w:t>Scheme</w:t>
            </w:r>
          </w:p>
        </w:tc>
        <w:tc>
          <w:tcPr>
            <w:tcW w:w="7370" w:type="dxa"/>
            <w:tcBorders>
              <w:top w:val="single" w:sz="2" w:space="0" w:color="000000"/>
              <w:left w:val="single" w:sz="2" w:space="0" w:color="000000"/>
              <w:bottom w:val="single" w:sz="2" w:space="0" w:color="000000"/>
              <w:right w:val="nil"/>
            </w:tcBorders>
          </w:tcPr>
          <w:p w14:paraId="7129C5E3" w14:textId="77777777" w:rsidR="009D54AF" w:rsidRDefault="00000000">
            <w:pPr>
              <w:pStyle w:val="TableParagraph"/>
              <w:spacing w:before="40"/>
              <w:ind w:left="82"/>
              <w:rPr>
                <w:sz w:val="19"/>
              </w:rPr>
            </w:pPr>
            <w:r>
              <w:rPr>
                <w:sz w:val="19"/>
              </w:rPr>
              <w:t>Australian</w:t>
            </w:r>
            <w:r>
              <w:rPr>
                <w:spacing w:val="3"/>
                <w:sz w:val="19"/>
              </w:rPr>
              <w:t xml:space="preserve"> </w:t>
            </w:r>
            <w:r>
              <w:rPr>
                <w:sz w:val="19"/>
              </w:rPr>
              <w:t>Health</w:t>
            </w:r>
            <w:r>
              <w:rPr>
                <w:spacing w:val="6"/>
                <w:sz w:val="19"/>
              </w:rPr>
              <w:t xml:space="preserve"> </w:t>
            </w:r>
            <w:r>
              <w:rPr>
                <w:sz w:val="19"/>
              </w:rPr>
              <w:t>Service</w:t>
            </w:r>
            <w:r>
              <w:rPr>
                <w:spacing w:val="5"/>
                <w:sz w:val="19"/>
              </w:rPr>
              <w:t xml:space="preserve"> </w:t>
            </w:r>
            <w:r>
              <w:rPr>
                <w:sz w:val="19"/>
              </w:rPr>
              <w:t>Safety</w:t>
            </w:r>
            <w:r>
              <w:rPr>
                <w:spacing w:val="6"/>
                <w:sz w:val="19"/>
              </w:rPr>
              <w:t xml:space="preserve"> </w:t>
            </w:r>
            <w:r>
              <w:rPr>
                <w:sz w:val="19"/>
              </w:rPr>
              <w:t>and</w:t>
            </w:r>
            <w:r>
              <w:rPr>
                <w:spacing w:val="5"/>
                <w:sz w:val="19"/>
              </w:rPr>
              <w:t xml:space="preserve"> </w:t>
            </w:r>
            <w:r>
              <w:rPr>
                <w:sz w:val="19"/>
              </w:rPr>
              <w:t>Quality</w:t>
            </w:r>
            <w:r>
              <w:rPr>
                <w:spacing w:val="6"/>
                <w:sz w:val="19"/>
              </w:rPr>
              <w:t xml:space="preserve"> </w:t>
            </w:r>
            <w:r>
              <w:rPr>
                <w:sz w:val="19"/>
              </w:rPr>
              <w:t>Accreditation</w:t>
            </w:r>
            <w:r>
              <w:rPr>
                <w:spacing w:val="6"/>
                <w:sz w:val="19"/>
              </w:rPr>
              <w:t xml:space="preserve"> </w:t>
            </w:r>
            <w:r>
              <w:rPr>
                <w:spacing w:val="-2"/>
                <w:sz w:val="19"/>
              </w:rPr>
              <w:t>Scheme</w:t>
            </w:r>
          </w:p>
        </w:tc>
      </w:tr>
      <w:tr w:rsidR="009D54AF" w14:paraId="1586AB31" w14:textId="77777777">
        <w:trPr>
          <w:trHeight w:val="505"/>
        </w:trPr>
        <w:tc>
          <w:tcPr>
            <w:tcW w:w="2835" w:type="dxa"/>
            <w:tcBorders>
              <w:top w:val="single" w:sz="2" w:space="0" w:color="000000"/>
              <w:left w:val="nil"/>
              <w:bottom w:val="single" w:sz="2" w:space="0" w:color="000000"/>
              <w:right w:val="single" w:sz="2" w:space="0" w:color="000000"/>
            </w:tcBorders>
          </w:tcPr>
          <w:p w14:paraId="1FB3C298" w14:textId="77777777" w:rsidR="009D54AF" w:rsidRDefault="00000000">
            <w:pPr>
              <w:pStyle w:val="TableParagraph"/>
              <w:spacing w:before="40"/>
              <w:ind w:left="85"/>
              <w:rPr>
                <w:b/>
                <w:sz w:val="19"/>
              </w:rPr>
            </w:pPr>
            <w:r>
              <w:rPr>
                <w:b/>
                <w:spacing w:val="-5"/>
                <w:sz w:val="19"/>
              </w:rPr>
              <w:t>AI</w:t>
            </w:r>
          </w:p>
        </w:tc>
        <w:tc>
          <w:tcPr>
            <w:tcW w:w="7370" w:type="dxa"/>
            <w:tcBorders>
              <w:top w:val="single" w:sz="2" w:space="0" w:color="000000"/>
              <w:left w:val="single" w:sz="2" w:space="0" w:color="000000"/>
              <w:bottom w:val="single" w:sz="2" w:space="0" w:color="000000"/>
              <w:right w:val="nil"/>
            </w:tcBorders>
          </w:tcPr>
          <w:p w14:paraId="4E3D021B" w14:textId="77777777" w:rsidR="009D54AF" w:rsidRDefault="00000000">
            <w:pPr>
              <w:pStyle w:val="TableParagraph"/>
              <w:spacing w:before="40"/>
              <w:ind w:left="82"/>
              <w:rPr>
                <w:sz w:val="19"/>
              </w:rPr>
            </w:pPr>
            <w:r>
              <w:rPr>
                <w:sz w:val="19"/>
              </w:rPr>
              <w:t>artificial</w:t>
            </w:r>
            <w:r>
              <w:rPr>
                <w:spacing w:val="17"/>
                <w:sz w:val="19"/>
              </w:rPr>
              <w:t xml:space="preserve"> </w:t>
            </w:r>
            <w:r>
              <w:rPr>
                <w:spacing w:val="-2"/>
                <w:sz w:val="19"/>
              </w:rPr>
              <w:t>intelligence</w:t>
            </w:r>
          </w:p>
        </w:tc>
      </w:tr>
      <w:tr w:rsidR="009D54AF" w14:paraId="48424911" w14:textId="77777777">
        <w:trPr>
          <w:trHeight w:val="505"/>
        </w:trPr>
        <w:tc>
          <w:tcPr>
            <w:tcW w:w="2835" w:type="dxa"/>
            <w:tcBorders>
              <w:top w:val="single" w:sz="2" w:space="0" w:color="000000"/>
              <w:left w:val="nil"/>
              <w:bottom w:val="single" w:sz="2" w:space="0" w:color="000000"/>
              <w:right w:val="single" w:sz="2" w:space="0" w:color="000000"/>
            </w:tcBorders>
          </w:tcPr>
          <w:p w14:paraId="6A62210F" w14:textId="77777777" w:rsidR="009D54AF" w:rsidRDefault="00000000">
            <w:pPr>
              <w:pStyle w:val="TableParagraph"/>
              <w:spacing w:before="40"/>
              <w:ind w:left="85"/>
              <w:rPr>
                <w:b/>
                <w:sz w:val="19"/>
              </w:rPr>
            </w:pPr>
            <w:r>
              <w:rPr>
                <w:b/>
                <w:spacing w:val="-4"/>
                <w:sz w:val="19"/>
              </w:rPr>
              <w:t>AIHW</w:t>
            </w:r>
          </w:p>
        </w:tc>
        <w:tc>
          <w:tcPr>
            <w:tcW w:w="7370" w:type="dxa"/>
            <w:tcBorders>
              <w:top w:val="single" w:sz="2" w:space="0" w:color="000000"/>
              <w:left w:val="single" w:sz="2" w:space="0" w:color="000000"/>
              <w:bottom w:val="single" w:sz="2" w:space="0" w:color="000000"/>
              <w:right w:val="nil"/>
            </w:tcBorders>
          </w:tcPr>
          <w:p w14:paraId="519B275F" w14:textId="77777777" w:rsidR="009D54AF" w:rsidRDefault="00000000">
            <w:pPr>
              <w:pStyle w:val="TableParagraph"/>
              <w:spacing w:before="40"/>
              <w:ind w:left="82"/>
              <w:rPr>
                <w:sz w:val="19"/>
              </w:rPr>
            </w:pPr>
            <w:r>
              <w:rPr>
                <w:sz w:val="19"/>
              </w:rPr>
              <w:t>Australian</w:t>
            </w:r>
            <w:r>
              <w:rPr>
                <w:spacing w:val="-1"/>
                <w:sz w:val="19"/>
              </w:rPr>
              <w:t xml:space="preserve"> </w:t>
            </w:r>
            <w:r>
              <w:rPr>
                <w:sz w:val="19"/>
              </w:rPr>
              <w:t>Institute</w:t>
            </w:r>
            <w:r>
              <w:rPr>
                <w:spacing w:val="1"/>
                <w:sz w:val="19"/>
              </w:rPr>
              <w:t xml:space="preserve"> </w:t>
            </w:r>
            <w:r>
              <w:rPr>
                <w:sz w:val="19"/>
              </w:rPr>
              <w:t>of</w:t>
            </w:r>
            <w:r>
              <w:rPr>
                <w:spacing w:val="1"/>
                <w:sz w:val="19"/>
              </w:rPr>
              <w:t xml:space="preserve"> </w:t>
            </w:r>
            <w:r>
              <w:rPr>
                <w:sz w:val="19"/>
              </w:rPr>
              <w:t>Health</w:t>
            </w:r>
            <w:r>
              <w:rPr>
                <w:spacing w:val="1"/>
                <w:sz w:val="19"/>
              </w:rPr>
              <w:t xml:space="preserve"> </w:t>
            </w:r>
            <w:r>
              <w:rPr>
                <w:sz w:val="19"/>
              </w:rPr>
              <w:t>and</w:t>
            </w:r>
            <w:r>
              <w:rPr>
                <w:spacing w:val="1"/>
                <w:sz w:val="19"/>
              </w:rPr>
              <w:t xml:space="preserve"> </w:t>
            </w:r>
            <w:r>
              <w:rPr>
                <w:spacing w:val="-2"/>
                <w:sz w:val="19"/>
              </w:rPr>
              <w:t>Welfare</w:t>
            </w:r>
          </w:p>
        </w:tc>
      </w:tr>
      <w:tr w:rsidR="009D54AF" w14:paraId="6B69173E" w14:textId="77777777">
        <w:trPr>
          <w:trHeight w:val="505"/>
        </w:trPr>
        <w:tc>
          <w:tcPr>
            <w:tcW w:w="2835" w:type="dxa"/>
            <w:tcBorders>
              <w:top w:val="single" w:sz="2" w:space="0" w:color="000000"/>
              <w:left w:val="nil"/>
              <w:bottom w:val="single" w:sz="2" w:space="0" w:color="000000"/>
              <w:right w:val="single" w:sz="2" w:space="0" w:color="000000"/>
            </w:tcBorders>
          </w:tcPr>
          <w:p w14:paraId="31F9FE0C" w14:textId="77777777" w:rsidR="009D54AF" w:rsidRDefault="00000000">
            <w:pPr>
              <w:pStyle w:val="TableParagraph"/>
              <w:spacing w:before="40"/>
              <w:ind w:left="85"/>
              <w:rPr>
                <w:b/>
                <w:sz w:val="19"/>
              </w:rPr>
            </w:pPr>
            <w:r>
              <w:rPr>
                <w:b/>
                <w:spacing w:val="-5"/>
                <w:sz w:val="19"/>
              </w:rPr>
              <w:t>AM</w:t>
            </w:r>
          </w:p>
        </w:tc>
        <w:tc>
          <w:tcPr>
            <w:tcW w:w="7370" w:type="dxa"/>
            <w:tcBorders>
              <w:top w:val="single" w:sz="2" w:space="0" w:color="000000"/>
              <w:left w:val="single" w:sz="2" w:space="0" w:color="000000"/>
              <w:bottom w:val="single" w:sz="2" w:space="0" w:color="000000"/>
              <w:right w:val="nil"/>
            </w:tcBorders>
          </w:tcPr>
          <w:p w14:paraId="5E93E946" w14:textId="77777777" w:rsidR="009D54AF" w:rsidRDefault="00000000">
            <w:pPr>
              <w:pStyle w:val="TableParagraph"/>
              <w:spacing w:before="40"/>
              <w:ind w:left="82"/>
              <w:rPr>
                <w:sz w:val="19"/>
              </w:rPr>
            </w:pPr>
            <w:r>
              <w:rPr>
                <w:sz w:val="19"/>
              </w:rPr>
              <w:t>Member</w:t>
            </w:r>
            <w:r>
              <w:rPr>
                <w:spacing w:val="1"/>
                <w:sz w:val="19"/>
              </w:rPr>
              <w:t xml:space="preserve"> </w:t>
            </w:r>
            <w:r>
              <w:rPr>
                <w:sz w:val="19"/>
              </w:rPr>
              <w:t>of</w:t>
            </w:r>
            <w:r>
              <w:rPr>
                <w:spacing w:val="1"/>
                <w:sz w:val="19"/>
              </w:rPr>
              <w:t xml:space="preserve"> </w:t>
            </w:r>
            <w:r>
              <w:rPr>
                <w:sz w:val="19"/>
              </w:rPr>
              <w:t>the</w:t>
            </w:r>
            <w:r>
              <w:rPr>
                <w:spacing w:val="2"/>
                <w:sz w:val="19"/>
              </w:rPr>
              <w:t xml:space="preserve"> </w:t>
            </w:r>
            <w:r>
              <w:rPr>
                <w:sz w:val="19"/>
              </w:rPr>
              <w:t>Order</w:t>
            </w:r>
            <w:r>
              <w:rPr>
                <w:spacing w:val="1"/>
                <w:sz w:val="19"/>
              </w:rPr>
              <w:t xml:space="preserve"> </w:t>
            </w:r>
            <w:r>
              <w:rPr>
                <w:sz w:val="19"/>
              </w:rPr>
              <w:t>of</w:t>
            </w:r>
            <w:r>
              <w:rPr>
                <w:spacing w:val="2"/>
                <w:sz w:val="19"/>
              </w:rPr>
              <w:t xml:space="preserve"> </w:t>
            </w:r>
            <w:r>
              <w:rPr>
                <w:spacing w:val="-2"/>
                <w:sz w:val="19"/>
              </w:rPr>
              <w:t>Australia</w:t>
            </w:r>
          </w:p>
        </w:tc>
      </w:tr>
      <w:tr w:rsidR="009D54AF" w14:paraId="408599AF" w14:textId="77777777">
        <w:trPr>
          <w:trHeight w:val="505"/>
        </w:trPr>
        <w:tc>
          <w:tcPr>
            <w:tcW w:w="2835" w:type="dxa"/>
            <w:tcBorders>
              <w:top w:val="single" w:sz="2" w:space="0" w:color="000000"/>
              <w:left w:val="nil"/>
              <w:bottom w:val="single" w:sz="2" w:space="0" w:color="000000"/>
              <w:right w:val="single" w:sz="2" w:space="0" w:color="000000"/>
            </w:tcBorders>
          </w:tcPr>
          <w:p w14:paraId="39AD862F" w14:textId="77777777" w:rsidR="009D54AF" w:rsidRDefault="00000000">
            <w:pPr>
              <w:pStyle w:val="TableParagraph"/>
              <w:spacing w:before="40"/>
              <w:ind w:left="85"/>
              <w:rPr>
                <w:b/>
                <w:sz w:val="19"/>
              </w:rPr>
            </w:pPr>
            <w:r>
              <w:rPr>
                <w:b/>
                <w:spacing w:val="-5"/>
                <w:sz w:val="19"/>
              </w:rPr>
              <w:t>AMR</w:t>
            </w:r>
          </w:p>
        </w:tc>
        <w:tc>
          <w:tcPr>
            <w:tcW w:w="7370" w:type="dxa"/>
            <w:tcBorders>
              <w:top w:val="single" w:sz="2" w:space="0" w:color="000000"/>
              <w:left w:val="single" w:sz="2" w:space="0" w:color="000000"/>
              <w:bottom w:val="single" w:sz="2" w:space="0" w:color="000000"/>
              <w:right w:val="nil"/>
            </w:tcBorders>
          </w:tcPr>
          <w:p w14:paraId="510178D6" w14:textId="77777777" w:rsidR="009D54AF" w:rsidRDefault="00000000">
            <w:pPr>
              <w:pStyle w:val="TableParagraph"/>
              <w:spacing w:before="40"/>
              <w:ind w:left="82"/>
              <w:rPr>
                <w:sz w:val="19"/>
              </w:rPr>
            </w:pPr>
            <w:r>
              <w:rPr>
                <w:sz w:val="19"/>
              </w:rPr>
              <w:t>antimicrobial</w:t>
            </w:r>
            <w:r>
              <w:rPr>
                <w:spacing w:val="5"/>
                <w:sz w:val="19"/>
              </w:rPr>
              <w:t xml:space="preserve"> </w:t>
            </w:r>
            <w:r>
              <w:rPr>
                <w:spacing w:val="-2"/>
                <w:sz w:val="19"/>
              </w:rPr>
              <w:t>resistance</w:t>
            </w:r>
          </w:p>
        </w:tc>
      </w:tr>
      <w:tr w:rsidR="009D54AF" w14:paraId="2454A154" w14:textId="77777777">
        <w:trPr>
          <w:trHeight w:val="505"/>
        </w:trPr>
        <w:tc>
          <w:tcPr>
            <w:tcW w:w="2835" w:type="dxa"/>
            <w:tcBorders>
              <w:top w:val="single" w:sz="2" w:space="0" w:color="000000"/>
              <w:left w:val="nil"/>
              <w:bottom w:val="single" w:sz="2" w:space="0" w:color="000000"/>
              <w:right w:val="single" w:sz="2" w:space="0" w:color="000000"/>
            </w:tcBorders>
          </w:tcPr>
          <w:p w14:paraId="6065B6A6" w14:textId="77777777" w:rsidR="009D54AF" w:rsidRDefault="00000000">
            <w:pPr>
              <w:pStyle w:val="TableParagraph"/>
              <w:spacing w:before="40"/>
              <w:ind w:left="85"/>
              <w:rPr>
                <w:b/>
                <w:sz w:val="19"/>
              </w:rPr>
            </w:pPr>
            <w:r>
              <w:rPr>
                <w:b/>
                <w:spacing w:val="-5"/>
                <w:sz w:val="19"/>
              </w:rPr>
              <w:t>AO</w:t>
            </w:r>
          </w:p>
        </w:tc>
        <w:tc>
          <w:tcPr>
            <w:tcW w:w="7370" w:type="dxa"/>
            <w:tcBorders>
              <w:top w:val="single" w:sz="2" w:space="0" w:color="000000"/>
              <w:left w:val="single" w:sz="2" w:space="0" w:color="000000"/>
              <w:bottom w:val="single" w:sz="2" w:space="0" w:color="000000"/>
              <w:right w:val="nil"/>
            </w:tcBorders>
          </w:tcPr>
          <w:p w14:paraId="391CE39C" w14:textId="77777777" w:rsidR="009D54AF" w:rsidRDefault="00000000">
            <w:pPr>
              <w:pStyle w:val="TableParagraph"/>
              <w:spacing w:before="40"/>
              <w:ind w:left="82"/>
              <w:rPr>
                <w:sz w:val="19"/>
              </w:rPr>
            </w:pPr>
            <w:r>
              <w:rPr>
                <w:sz w:val="19"/>
              </w:rPr>
              <w:t>Officer</w:t>
            </w:r>
            <w:r>
              <w:rPr>
                <w:spacing w:val="4"/>
                <w:sz w:val="19"/>
              </w:rPr>
              <w:t xml:space="preserve"> </w:t>
            </w:r>
            <w:r>
              <w:rPr>
                <w:sz w:val="19"/>
              </w:rPr>
              <w:t>of</w:t>
            </w:r>
            <w:r>
              <w:rPr>
                <w:spacing w:val="5"/>
                <w:sz w:val="19"/>
              </w:rPr>
              <w:t xml:space="preserve"> </w:t>
            </w:r>
            <w:r>
              <w:rPr>
                <w:sz w:val="19"/>
              </w:rPr>
              <w:t>the</w:t>
            </w:r>
            <w:r>
              <w:rPr>
                <w:spacing w:val="4"/>
                <w:sz w:val="19"/>
              </w:rPr>
              <w:t xml:space="preserve"> </w:t>
            </w:r>
            <w:r>
              <w:rPr>
                <w:sz w:val="19"/>
              </w:rPr>
              <w:t>Order</w:t>
            </w:r>
            <w:r>
              <w:rPr>
                <w:spacing w:val="5"/>
                <w:sz w:val="19"/>
              </w:rPr>
              <w:t xml:space="preserve"> </w:t>
            </w:r>
            <w:r>
              <w:rPr>
                <w:sz w:val="19"/>
              </w:rPr>
              <w:t>of</w:t>
            </w:r>
            <w:r>
              <w:rPr>
                <w:spacing w:val="5"/>
                <w:sz w:val="19"/>
              </w:rPr>
              <w:t xml:space="preserve"> </w:t>
            </w:r>
            <w:r>
              <w:rPr>
                <w:spacing w:val="-2"/>
                <w:sz w:val="19"/>
              </w:rPr>
              <w:t>Australia</w:t>
            </w:r>
          </w:p>
        </w:tc>
      </w:tr>
      <w:tr w:rsidR="009D54AF" w14:paraId="61185F5C" w14:textId="77777777">
        <w:trPr>
          <w:trHeight w:val="505"/>
        </w:trPr>
        <w:tc>
          <w:tcPr>
            <w:tcW w:w="2835" w:type="dxa"/>
            <w:tcBorders>
              <w:top w:val="single" w:sz="2" w:space="0" w:color="000000"/>
              <w:left w:val="nil"/>
              <w:bottom w:val="single" w:sz="2" w:space="0" w:color="000000"/>
              <w:right w:val="single" w:sz="2" w:space="0" w:color="000000"/>
            </w:tcBorders>
          </w:tcPr>
          <w:p w14:paraId="5DBDDC32" w14:textId="77777777" w:rsidR="009D54AF" w:rsidRDefault="00000000">
            <w:pPr>
              <w:pStyle w:val="TableParagraph"/>
              <w:spacing w:before="40"/>
              <w:ind w:left="85"/>
              <w:rPr>
                <w:b/>
                <w:sz w:val="19"/>
              </w:rPr>
            </w:pPr>
            <w:r>
              <w:rPr>
                <w:b/>
                <w:spacing w:val="-4"/>
                <w:sz w:val="19"/>
              </w:rPr>
              <w:t>APAS</w:t>
            </w:r>
          </w:p>
        </w:tc>
        <w:tc>
          <w:tcPr>
            <w:tcW w:w="7370" w:type="dxa"/>
            <w:tcBorders>
              <w:top w:val="single" w:sz="2" w:space="0" w:color="000000"/>
              <w:left w:val="single" w:sz="2" w:space="0" w:color="000000"/>
              <w:bottom w:val="single" w:sz="2" w:space="0" w:color="000000"/>
              <w:right w:val="nil"/>
            </w:tcBorders>
          </w:tcPr>
          <w:p w14:paraId="57B54B58" w14:textId="77777777" w:rsidR="009D54AF" w:rsidRDefault="00000000">
            <w:pPr>
              <w:pStyle w:val="TableParagraph"/>
              <w:spacing w:before="40"/>
              <w:ind w:left="82"/>
              <w:rPr>
                <w:sz w:val="19"/>
              </w:rPr>
            </w:pPr>
            <w:r>
              <w:rPr>
                <w:sz w:val="19"/>
              </w:rPr>
              <w:t>Australian</w:t>
            </w:r>
            <w:r>
              <w:rPr>
                <w:spacing w:val="2"/>
                <w:sz w:val="19"/>
              </w:rPr>
              <w:t xml:space="preserve"> </w:t>
            </w:r>
            <w:r>
              <w:rPr>
                <w:sz w:val="19"/>
              </w:rPr>
              <w:t>Passive</w:t>
            </w:r>
            <w:r>
              <w:rPr>
                <w:spacing w:val="3"/>
                <w:sz w:val="19"/>
              </w:rPr>
              <w:t xml:space="preserve"> </w:t>
            </w:r>
            <w:r>
              <w:rPr>
                <w:sz w:val="19"/>
              </w:rPr>
              <w:t>AMR</w:t>
            </w:r>
            <w:r>
              <w:rPr>
                <w:spacing w:val="3"/>
                <w:sz w:val="19"/>
              </w:rPr>
              <w:t xml:space="preserve"> </w:t>
            </w:r>
            <w:r>
              <w:rPr>
                <w:spacing w:val="-2"/>
                <w:sz w:val="19"/>
              </w:rPr>
              <w:t>Surveillance</w:t>
            </w:r>
          </w:p>
        </w:tc>
      </w:tr>
      <w:tr w:rsidR="009D54AF" w14:paraId="4BDFACD3" w14:textId="77777777">
        <w:trPr>
          <w:trHeight w:val="505"/>
        </w:trPr>
        <w:tc>
          <w:tcPr>
            <w:tcW w:w="2835" w:type="dxa"/>
            <w:tcBorders>
              <w:top w:val="single" w:sz="2" w:space="0" w:color="000000"/>
              <w:left w:val="nil"/>
              <w:bottom w:val="single" w:sz="2" w:space="0" w:color="000000"/>
              <w:right w:val="single" w:sz="2" w:space="0" w:color="000000"/>
            </w:tcBorders>
          </w:tcPr>
          <w:p w14:paraId="7F0F37F1" w14:textId="77777777" w:rsidR="009D54AF" w:rsidRDefault="00000000">
            <w:pPr>
              <w:pStyle w:val="TableParagraph"/>
              <w:spacing w:before="40"/>
              <w:ind w:left="85"/>
              <w:rPr>
                <w:b/>
                <w:sz w:val="19"/>
              </w:rPr>
            </w:pPr>
            <w:r>
              <w:rPr>
                <w:b/>
                <w:spacing w:val="-4"/>
                <w:sz w:val="19"/>
              </w:rPr>
              <w:t>ARCR</w:t>
            </w:r>
          </w:p>
        </w:tc>
        <w:tc>
          <w:tcPr>
            <w:tcW w:w="7370" w:type="dxa"/>
            <w:tcBorders>
              <w:top w:val="single" w:sz="2" w:space="0" w:color="000000"/>
              <w:left w:val="single" w:sz="2" w:space="0" w:color="000000"/>
              <w:bottom w:val="single" w:sz="2" w:space="0" w:color="000000"/>
              <w:right w:val="nil"/>
            </w:tcBorders>
          </w:tcPr>
          <w:p w14:paraId="05E20B7F" w14:textId="77777777" w:rsidR="009D54AF" w:rsidRDefault="00000000">
            <w:pPr>
              <w:pStyle w:val="TableParagraph"/>
              <w:spacing w:before="40"/>
              <w:ind w:left="82"/>
              <w:rPr>
                <w:sz w:val="19"/>
              </w:rPr>
            </w:pPr>
            <w:r>
              <w:rPr>
                <w:sz w:val="19"/>
              </w:rPr>
              <w:t>Australian</w:t>
            </w:r>
            <w:r>
              <w:rPr>
                <w:spacing w:val="1"/>
                <w:sz w:val="19"/>
              </w:rPr>
              <w:t xml:space="preserve"> </w:t>
            </w:r>
            <w:r>
              <w:rPr>
                <w:sz w:val="19"/>
              </w:rPr>
              <w:t>Register</w:t>
            </w:r>
            <w:r>
              <w:rPr>
                <w:spacing w:val="2"/>
                <w:sz w:val="19"/>
              </w:rPr>
              <w:t xml:space="preserve"> </w:t>
            </w:r>
            <w:r>
              <w:rPr>
                <w:sz w:val="19"/>
              </w:rPr>
              <w:t>of</w:t>
            </w:r>
            <w:r>
              <w:rPr>
                <w:spacing w:val="1"/>
                <w:sz w:val="19"/>
              </w:rPr>
              <w:t xml:space="preserve"> </w:t>
            </w:r>
            <w:r>
              <w:rPr>
                <w:sz w:val="19"/>
              </w:rPr>
              <w:t>Clinical</w:t>
            </w:r>
            <w:r>
              <w:rPr>
                <w:spacing w:val="2"/>
                <w:sz w:val="19"/>
              </w:rPr>
              <w:t xml:space="preserve"> </w:t>
            </w:r>
            <w:r>
              <w:rPr>
                <w:spacing w:val="-2"/>
                <w:sz w:val="19"/>
              </w:rPr>
              <w:t>Registries</w:t>
            </w:r>
          </w:p>
        </w:tc>
      </w:tr>
      <w:tr w:rsidR="009D54AF" w14:paraId="67E3E35B" w14:textId="77777777">
        <w:trPr>
          <w:trHeight w:val="505"/>
        </w:trPr>
        <w:tc>
          <w:tcPr>
            <w:tcW w:w="2835" w:type="dxa"/>
            <w:tcBorders>
              <w:top w:val="single" w:sz="2" w:space="0" w:color="000000"/>
              <w:left w:val="nil"/>
              <w:bottom w:val="single" w:sz="2" w:space="0" w:color="000000"/>
              <w:right w:val="single" w:sz="2" w:space="0" w:color="000000"/>
            </w:tcBorders>
          </w:tcPr>
          <w:p w14:paraId="5EF60280" w14:textId="77777777" w:rsidR="009D54AF" w:rsidRDefault="00000000">
            <w:pPr>
              <w:pStyle w:val="TableParagraph"/>
              <w:spacing w:before="40"/>
              <w:ind w:left="85"/>
              <w:rPr>
                <w:b/>
                <w:sz w:val="19"/>
              </w:rPr>
            </w:pPr>
            <w:r>
              <w:rPr>
                <w:b/>
                <w:spacing w:val="-4"/>
                <w:sz w:val="19"/>
              </w:rPr>
              <w:t>AURA</w:t>
            </w:r>
          </w:p>
        </w:tc>
        <w:tc>
          <w:tcPr>
            <w:tcW w:w="7370" w:type="dxa"/>
            <w:tcBorders>
              <w:top w:val="single" w:sz="2" w:space="0" w:color="000000"/>
              <w:left w:val="single" w:sz="2" w:space="0" w:color="000000"/>
              <w:bottom w:val="single" w:sz="2" w:space="0" w:color="000000"/>
              <w:right w:val="nil"/>
            </w:tcBorders>
          </w:tcPr>
          <w:p w14:paraId="1ECADF44" w14:textId="77777777" w:rsidR="009D54AF" w:rsidRDefault="00000000">
            <w:pPr>
              <w:pStyle w:val="TableParagraph"/>
              <w:spacing w:before="40"/>
              <w:ind w:left="82"/>
              <w:rPr>
                <w:sz w:val="19"/>
              </w:rPr>
            </w:pPr>
            <w:r>
              <w:rPr>
                <w:sz w:val="19"/>
              </w:rPr>
              <w:t>Antimicrobial</w:t>
            </w:r>
            <w:r>
              <w:rPr>
                <w:spacing w:val="2"/>
                <w:sz w:val="19"/>
              </w:rPr>
              <w:t xml:space="preserve"> </w:t>
            </w:r>
            <w:r>
              <w:rPr>
                <w:sz w:val="19"/>
              </w:rPr>
              <w:t>Use</w:t>
            </w:r>
            <w:r>
              <w:rPr>
                <w:spacing w:val="3"/>
                <w:sz w:val="19"/>
              </w:rPr>
              <w:t xml:space="preserve"> </w:t>
            </w:r>
            <w:r>
              <w:rPr>
                <w:sz w:val="19"/>
              </w:rPr>
              <w:t>and</w:t>
            </w:r>
            <w:r>
              <w:rPr>
                <w:spacing w:val="3"/>
                <w:sz w:val="19"/>
              </w:rPr>
              <w:t xml:space="preserve"> </w:t>
            </w:r>
            <w:r>
              <w:rPr>
                <w:sz w:val="19"/>
              </w:rPr>
              <w:t>Resistance</w:t>
            </w:r>
            <w:r>
              <w:rPr>
                <w:spacing w:val="3"/>
                <w:sz w:val="19"/>
              </w:rPr>
              <w:t xml:space="preserve"> </w:t>
            </w:r>
            <w:r>
              <w:rPr>
                <w:sz w:val="19"/>
              </w:rPr>
              <w:t>in</w:t>
            </w:r>
            <w:r>
              <w:rPr>
                <w:spacing w:val="3"/>
                <w:sz w:val="19"/>
              </w:rPr>
              <w:t xml:space="preserve"> </w:t>
            </w:r>
            <w:r>
              <w:rPr>
                <w:spacing w:val="-2"/>
                <w:sz w:val="19"/>
              </w:rPr>
              <w:t>Australia</w:t>
            </w:r>
          </w:p>
        </w:tc>
      </w:tr>
      <w:tr w:rsidR="009D54AF" w14:paraId="74F2B528" w14:textId="77777777">
        <w:trPr>
          <w:trHeight w:val="505"/>
        </w:trPr>
        <w:tc>
          <w:tcPr>
            <w:tcW w:w="2835" w:type="dxa"/>
            <w:tcBorders>
              <w:top w:val="single" w:sz="2" w:space="0" w:color="000000"/>
              <w:left w:val="nil"/>
              <w:bottom w:val="single" w:sz="2" w:space="0" w:color="000000"/>
              <w:right w:val="single" w:sz="2" w:space="0" w:color="000000"/>
            </w:tcBorders>
          </w:tcPr>
          <w:p w14:paraId="2C9607FB" w14:textId="77777777" w:rsidR="009D54AF" w:rsidRDefault="00000000">
            <w:pPr>
              <w:pStyle w:val="TableParagraph"/>
              <w:spacing w:before="40"/>
              <w:ind w:left="85"/>
              <w:rPr>
                <w:b/>
                <w:sz w:val="19"/>
              </w:rPr>
            </w:pPr>
            <w:proofErr w:type="spellStart"/>
            <w:r>
              <w:rPr>
                <w:b/>
                <w:spacing w:val="-2"/>
                <w:sz w:val="19"/>
              </w:rPr>
              <w:t>CARAlert</w:t>
            </w:r>
            <w:proofErr w:type="spellEnd"/>
          </w:p>
        </w:tc>
        <w:tc>
          <w:tcPr>
            <w:tcW w:w="7370" w:type="dxa"/>
            <w:tcBorders>
              <w:top w:val="single" w:sz="2" w:space="0" w:color="000000"/>
              <w:left w:val="single" w:sz="2" w:space="0" w:color="000000"/>
              <w:bottom w:val="single" w:sz="2" w:space="0" w:color="000000"/>
              <w:right w:val="nil"/>
            </w:tcBorders>
          </w:tcPr>
          <w:p w14:paraId="12BCED92" w14:textId="77777777" w:rsidR="009D54AF" w:rsidRDefault="00000000">
            <w:pPr>
              <w:pStyle w:val="TableParagraph"/>
              <w:spacing w:before="40"/>
              <w:ind w:left="82"/>
              <w:rPr>
                <w:sz w:val="19"/>
              </w:rPr>
            </w:pPr>
            <w:r>
              <w:rPr>
                <w:sz w:val="19"/>
              </w:rPr>
              <w:t>National</w:t>
            </w:r>
            <w:r>
              <w:rPr>
                <w:spacing w:val="5"/>
                <w:sz w:val="19"/>
              </w:rPr>
              <w:t xml:space="preserve"> </w:t>
            </w:r>
            <w:r>
              <w:rPr>
                <w:sz w:val="19"/>
              </w:rPr>
              <w:t>Alert</w:t>
            </w:r>
            <w:r>
              <w:rPr>
                <w:spacing w:val="6"/>
                <w:sz w:val="19"/>
              </w:rPr>
              <w:t xml:space="preserve"> </w:t>
            </w:r>
            <w:r>
              <w:rPr>
                <w:sz w:val="19"/>
              </w:rPr>
              <w:t>System</w:t>
            </w:r>
            <w:r>
              <w:rPr>
                <w:spacing w:val="5"/>
                <w:sz w:val="19"/>
              </w:rPr>
              <w:t xml:space="preserve"> </w:t>
            </w:r>
            <w:r>
              <w:rPr>
                <w:sz w:val="19"/>
              </w:rPr>
              <w:t>for</w:t>
            </w:r>
            <w:r>
              <w:rPr>
                <w:spacing w:val="6"/>
                <w:sz w:val="19"/>
              </w:rPr>
              <w:t xml:space="preserve"> </w:t>
            </w:r>
            <w:r>
              <w:rPr>
                <w:sz w:val="19"/>
              </w:rPr>
              <w:t>Critical</w:t>
            </w:r>
            <w:r>
              <w:rPr>
                <w:spacing w:val="5"/>
                <w:sz w:val="19"/>
              </w:rPr>
              <w:t xml:space="preserve"> </w:t>
            </w:r>
            <w:r>
              <w:rPr>
                <w:sz w:val="19"/>
              </w:rPr>
              <w:t>Antimicrobial</w:t>
            </w:r>
            <w:r>
              <w:rPr>
                <w:spacing w:val="6"/>
                <w:sz w:val="19"/>
              </w:rPr>
              <w:t xml:space="preserve"> </w:t>
            </w:r>
            <w:r>
              <w:rPr>
                <w:spacing w:val="-2"/>
                <w:sz w:val="19"/>
              </w:rPr>
              <w:t>Resistances</w:t>
            </w:r>
          </w:p>
        </w:tc>
      </w:tr>
      <w:tr w:rsidR="009D54AF" w14:paraId="3AADB3DC" w14:textId="77777777">
        <w:trPr>
          <w:trHeight w:val="505"/>
        </w:trPr>
        <w:tc>
          <w:tcPr>
            <w:tcW w:w="2835" w:type="dxa"/>
            <w:tcBorders>
              <w:top w:val="single" w:sz="2" w:space="0" w:color="000000"/>
              <w:left w:val="nil"/>
              <w:bottom w:val="single" w:sz="2" w:space="0" w:color="000000"/>
              <w:right w:val="single" w:sz="2" w:space="0" w:color="000000"/>
            </w:tcBorders>
          </w:tcPr>
          <w:p w14:paraId="1E1CA570" w14:textId="77777777" w:rsidR="009D54AF" w:rsidRDefault="00000000">
            <w:pPr>
              <w:pStyle w:val="TableParagraph"/>
              <w:spacing w:before="40"/>
              <w:ind w:left="85"/>
              <w:rPr>
                <w:b/>
                <w:sz w:val="19"/>
              </w:rPr>
            </w:pPr>
            <w:r>
              <w:rPr>
                <w:b/>
                <w:spacing w:val="-5"/>
                <w:sz w:val="19"/>
              </w:rPr>
              <w:t>CEO</w:t>
            </w:r>
          </w:p>
        </w:tc>
        <w:tc>
          <w:tcPr>
            <w:tcW w:w="7370" w:type="dxa"/>
            <w:tcBorders>
              <w:top w:val="single" w:sz="2" w:space="0" w:color="000000"/>
              <w:left w:val="single" w:sz="2" w:space="0" w:color="000000"/>
              <w:bottom w:val="single" w:sz="2" w:space="0" w:color="000000"/>
              <w:right w:val="nil"/>
            </w:tcBorders>
          </w:tcPr>
          <w:p w14:paraId="4C036E5D" w14:textId="77777777" w:rsidR="009D54AF" w:rsidRDefault="00000000">
            <w:pPr>
              <w:pStyle w:val="TableParagraph"/>
              <w:spacing w:before="40"/>
              <w:ind w:left="82"/>
              <w:rPr>
                <w:sz w:val="19"/>
              </w:rPr>
            </w:pPr>
            <w:r>
              <w:rPr>
                <w:sz w:val="19"/>
              </w:rPr>
              <w:t>Chief</w:t>
            </w:r>
            <w:r>
              <w:rPr>
                <w:spacing w:val="1"/>
                <w:sz w:val="19"/>
              </w:rPr>
              <w:t xml:space="preserve"> </w:t>
            </w:r>
            <w:r>
              <w:rPr>
                <w:sz w:val="19"/>
              </w:rPr>
              <w:t>Executive</w:t>
            </w:r>
            <w:r>
              <w:rPr>
                <w:spacing w:val="2"/>
                <w:sz w:val="19"/>
              </w:rPr>
              <w:t xml:space="preserve"> </w:t>
            </w:r>
            <w:r>
              <w:rPr>
                <w:spacing w:val="-2"/>
                <w:sz w:val="19"/>
              </w:rPr>
              <w:t>Officer</w:t>
            </w:r>
          </w:p>
        </w:tc>
      </w:tr>
      <w:tr w:rsidR="009D54AF" w14:paraId="2459C9E5" w14:textId="77777777">
        <w:trPr>
          <w:trHeight w:val="505"/>
        </w:trPr>
        <w:tc>
          <w:tcPr>
            <w:tcW w:w="2835" w:type="dxa"/>
            <w:tcBorders>
              <w:top w:val="single" w:sz="2" w:space="0" w:color="000000"/>
              <w:left w:val="nil"/>
              <w:bottom w:val="single" w:sz="2" w:space="0" w:color="000000"/>
              <w:right w:val="single" w:sz="2" w:space="0" w:color="000000"/>
            </w:tcBorders>
          </w:tcPr>
          <w:p w14:paraId="34D9E31A" w14:textId="77777777" w:rsidR="009D54AF" w:rsidRDefault="00000000">
            <w:pPr>
              <w:pStyle w:val="TableParagraph"/>
              <w:spacing w:before="40"/>
              <w:ind w:left="85"/>
              <w:rPr>
                <w:b/>
                <w:sz w:val="19"/>
              </w:rPr>
            </w:pPr>
            <w:proofErr w:type="spellStart"/>
            <w:r>
              <w:rPr>
                <w:b/>
                <w:spacing w:val="-2"/>
                <w:sz w:val="19"/>
              </w:rPr>
              <w:t>CHADx</w:t>
            </w:r>
            <w:proofErr w:type="spellEnd"/>
          </w:p>
        </w:tc>
        <w:tc>
          <w:tcPr>
            <w:tcW w:w="7370" w:type="dxa"/>
            <w:tcBorders>
              <w:top w:val="single" w:sz="2" w:space="0" w:color="000000"/>
              <w:left w:val="single" w:sz="2" w:space="0" w:color="000000"/>
              <w:bottom w:val="single" w:sz="2" w:space="0" w:color="000000"/>
              <w:right w:val="nil"/>
            </w:tcBorders>
          </w:tcPr>
          <w:p w14:paraId="25EA30AB" w14:textId="77777777" w:rsidR="009D54AF" w:rsidRDefault="00000000">
            <w:pPr>
              <w:pStyle w:val="TableParagraph"/>
              <w:spacing w:before="40"/>
              <w:ind w:left="82"/>
              <w:rPr>
                <w:sz w:val="19"/>
              </w:rPr>
            </w:pPr>
            <w:r>
              <w:rPr>
                <w:sz w:val="19"/>
              </w:rPr>
              <w:t>Classification</w:t>
            </w:r>
            <w:r>
              <w:rPr>
                <w:spacing w:val="5"/>
                <w:sz w:val="19"/>
              </w:rPr>
              <w:t xml:space="preserve"> </w:t>
            </w:r>
            <w:r>
              <w:rPr>
                <w:sz w:val="19"/>
              </w:rPr>
              <w:t>of</w:t>
            </w:r>
            <w:r>
              <w:rPr>
                <w:spacing w:val="6"/>
                <w:sz w:val="19"/>
              </w:rPr>
              <w:t xml:space="preserve"> </w:t>
            </w:r>
            <w:r>
              <w:rPr>
                <w:sz w:val="19"/>
              </w:rPr>
              <w:t>Hospital</w:t>
            </w:r>
            <w:r>
              <w:rPr>
                <w:spacing w:val="6"/>
                <w:sz w:val="19"/>
              </w:rPr>
              <w:t xml:space="preserve"> </w:t>
            </w:r>
            <w:r>
              <w:rPr>
                <w:sz w:val="19"/>
              </w:rPr>
              <w:t>Acquired</w:t>
            </w:r>
            <w:r>
              <w:rPr>
                <w:spacing w:val="6"/>
                <w:sz w:val="19"/>
              </w:rPr>
              <w:t xml:space="preserve"> </w:t>
            </w:r>
            <w:r>
              <w:rPr>
                <w:spacing w:val="-2"/>
                <w:sz w:val="19"/>
              </w:rPr>
              <w:t>Diagnoses</w:t>
            </w:r>
          </w:p>
        </w:tc>
      </w:tr>
      <w:tr w:rsidR="009D54AF" w14:paraId="24E2E69F" w14:textId="77777777">
        <w:trPr>
          <w:trHeight w:val="505"/>
        </w:trPr>
        <w:tc>
          <w:tcPr>
            <w:tcW w:w="2835" w:type="dxa"/>
            <w:tcBorders>
              <w:top w:val="single" w:sz="2" w:space="0" w:color="000000"/>
              <w:left w:val="nil"/>
              <w:bottom w:val="single" w:sz="2" w:space="0" w:color="000000"/>
              <w:right w:val="single" w:sz="2" w:space="0" w:color="000000"/>
            </w:tcBorders>
          </w:tcPr>
          <w:p w14:paraId="23A30B64" w14:textId="77777777" w:rsidR="009D54AF" w:rsidRDefault="00000000">
            <w:pPr>
              <w:pStyle w:val="TableParagraph"/>
              <w:spacing w:before="40"/>
              <w:ind w:left="85"/>
              <w:rPr>
                <w:b/>
                <w:sz w:val="19"/>
              </w:rPr>
            </w:pPr>
            <w:r>
              <w:rPr>
                <w:b/>
                <w:spacing w:val="-2"/>
                <w:sz w:val="19"/>
              </w:rPr>
              <w:t>CHBOI</w:t>
            </w:r>
          </w:p>
        </w:tc>
        <w:tc>
          <w:tcPr>
            <w:tcW w:w="7370" w:type="dxa"/>
            <w:tcBorders>
              <w:top w:val="single" w:sz="2" w:space="0" w:color="000000"/>
              <w:left w:val="single" w:sz="2" w:space="0" w:color="000000"/>
              <w:bottom w:val="single" w:sz="2" w:space="0" w:color="000000"/>
              <w:right w:val="nil"/>
            </w:tcBorders>
          </w:tcPr>
          <w:p w14:paraId="40F8D3D2" w14:textId="77777777" w:rsidR="009D54AF" w:rsidRDefault="00000000">
            <w:pPr>
              <w:pStyle w:val="TableParagraph"/>
              <w:spacing w:before="40"/>
              <w:ind w:left="82"/>
              <w:rPr>
                <w:sz w:val="19"/>
              </w:rPr>
            </w:pPr>
            <w:r>
              <w:rPr>
                <w:sz w:val="19"/>
              </w:rPr>
              <w:t>Core</w:t>
            </w:r>
            <w:r>
              <w:rPr>
                <w:spacing w:val="9"/>
                <w:sz w:val="19"/>
              </w:rPr>
              <w:t xml:space="preserve"> </w:t>
            </w:r>
            <w:r>
              <w:rPr>
                <w:sz w:val="19"/>
              </w:rPr>
              <w:t>Hospital-Based</w:t>
            </w:r>
            <w:r>
              <w:rPr>
                <w:spacing w:val="9"/>
                <w:sz w:val="19"/>
              </w:rPr>
              <w:t xml:space="preserve"> </w:t>
            </w:r>
            <w:r>
              <w:rPr>
                <w:sz w:val="19"/>
              </w:rPr>
              <w:t>Outcome</w:t>
            </w:r>
            <w:r>
              <w:rPr>
                <w:spacing w:val="9"/>
                <w:sz w:val="19"/>
              </w:rPr>
              <w:t xml:space="preserve"> </w:t>
            </w:r>
            <w:r>
              <w:rPr>
                <w:spacing w:val="-2"/>
                <w:sz w:val="19"/>
              </w:rPr>
              <w:t>Indicators</w:t>
            </w:r>
          </w:p>
        </w:tc>
      </w:tr>
      <w:tr w:rsidR="009D54AF" w14:paraId="14CF7F2A" w14:textId="77777777">
        <w:trPr>
          <w:trHeight w:val="505"/>
        </w:trPr>
        <w:tc>
          <w:tcPr>
            <w:tcW w:w="2835" w:type="dxa"/>
            <w:tcBorders>
              <w:top w:val="single" w:sz="2" w:space="0" w:color="000000"/>
              <w:left w:val="nil"/>
              <w:bottom w:val="single" w:sz="2" w:space="0" w:color="000000"/>
              <w:right w:val="single" w:sz="2" w:space="0" w:color="000000"/>
            </w:tcBorders>
          </w:tcPr>
          <w:p w14:paraId="2FB6389B" w14:textId="77777777" w:rsidR="009D54AF" w:rsidRDefault="00000000">
            <w:pPr>
              <w:pStyle w:val="TableParagraph"/>
              <w:spacing w:before="40"/>
              <w:ind w:left="85"/>
              <w:rPr>
                <w:b/>
                <w:sz w:val="19"/>
              </w:rPr>
            </w:pPr>
            <w:r>
              <w:rPr>
                <w:b/>
                <w:spacing w:val="-4"/>
                <w:sz w:val="19"/>
              </w:rPr>
              <w:t>COPD</w:t>
            </w:r>
          </w:p>
        </w:tc>
        <w:tc>
          <w:tcPr>
            <w:tcW w:w="7370" w:type="dxa"/>
            <w:tcBorders>
              <w:top w:val="single" w:sz="2" w:space="0" w:color="000000"/>
              <w:left w:val="single" w:sz="2" w:space="0" w:color="000000"/>
              <w:bottom w:val="single" w:sz="2" w:space="0" w:color="000000"/>
              <w:right w:val="nil"/>
            </w:tcBorders>
          </w:tcPr>
          <w:p w14:paraId="7CA659C9" w14:textId="77777777" w:rsidR="009D54AF" w:rsidRDefault="00000000">
            <w:pPr>
              <w:pStyle w:val="TableParagraph"/>
              <w:spacing w:before="40"/>
              <w:ind w:left="82"/>
              <w:rPr>
                <w:sz w:val="19"/>
              </w:rPr>
            </w:pPr>
            <w:r>
              <w:rPr>
                <w:sz w:val="19"/>
              </w:rPr>
              <w:t>chronic</w:t>
            </w:r>
            <w:r>
              <w:rPr>
                <w:spacing w:val="7"/>
                <w:sz w:val="19"/>
              </w:rPr>
              <w:t xml:space="preserve"> </w:t>
            </w:r>
            <w:r>
              <w:rPr>
                <w:sz w:val="19"/>
              </w:rPr>
              <w:t>obstructive</w:t>
            </w:r>
            <w:r>
              <w:rPr>
                <w:spacing w:val="7"/>
                <w:sz w:val="19"/>
              </w:rPr>
              <w:t xml:space="preserve"> </w:t>
            </w:r>
            <w:r>
              <w:rPr>
                <w:sz w:val="19"/>
              </w:rPr>
              <w:t>pulmonary</w:t>
            </w:r>
            <w:r>
              <w:rPr>
                <w:spacing w:val="7"/>
                <w:sz w:val="19"/>
              </w:rPr>
              <w:t xml:space="preserve"> </w:t>
            </w:r>
            <w:r>
              <w:rPr>
                <w:spacing w:val="-2"/>
                <w:sz w:val="19"/>
              </w:rPr>
              <w:t>disease</w:t>
            </w:r>
          </w:p>
        </w:tc>
      </w:tr>
      <w:tr w:rsidR="009D54AF" w14:paraId="17CE3036" w14:textId="77777777">
        <w:trPr>
          <w:trHeight w:val="505"/>
        </w:trPr>
        <w:tc>
          <w:tcPr>
            <w:tcW w:w="2835" w:type="dxa"/>
            <w:tcBorders>
              <w:top w:val="single" w:sz="2" w:space="0" w:color="000000"/>
              <w:left w:val="nil"/>
              <w:bottom w:val="single" w:sz="2" w:space="0" w:color="000000"/>
              <w:right w:val="single" w:sz="2" w:space="0" w:color="000000"/>
            </w:tcBorders>
          </w:tcPr>
          <w:p w14:paraId="774E2D92" w14:textId="77777777" w:rsidR="009D54AF" w:rsidRDefault="00000000">
            <w:pPr>
              <w:pStyle w:val="TableParagraph"/>
              <w:spacing w:before="40"/>
              <w:ind w:left="85"/>
              <w:rPr>
                <w:b/>
                <w:sz w:val="19"/>
              </w:rPr>
            </w:pPr>
            <w:r>
              <w:rPr>
                <w:b/>
                <w:spacing w:val="-5"/>
                <w:sz w:val="19"/>
              </w:rPr>
              <w:t>CQR</w:t>
            </w:r>
          </w:p>
        </w:tc>
        <w:tc>
          <w:tcPr>
            <w:tcW w:w="7370" w:type="dxa"/>
            <w:tcBorders>
              <w:top w:val="single" w:sz="2" w:space="0" w:color="000000"/>
              <w:left w:val="single" w:sz="2" w:space="0" w:color="000000"/>
              <w:bottom w:val="single" w:sz="2" w:space="0" w:color="000000"/>
              <w:right w:val="nil"/>
            </w:tcBorders>
          </w:tcPr>
          <w:p w14:paraId="0D37268A" w14:textId="77777777" w:rsidR="009D54AF" w:rsidRDefault="00000000">
            <w:pPr>
              <w:pStyle w:val="TableParagraph"/>
              <w:spacing w:before="40"/>
              <w:ind w:left="82"/>
              <w:rPr>
                <w:sz w:val="19"/>
              </w:rPr>
            </w:pPr>
            <w:r>
              <w:rPr>
                <w:sz w:val="19"/>
              </w:rPr>
              <w:t>Clinical</w:t>
            </w:r>
            <w:r>
              <w:rPr>
                <w:spacing w:val="5"/>
                <w:sz w:val="19"/>
              </w:rPr>
              <w:t xml:space="preserve"> </w:t>
            </w:r>
            <w:r>
              <w:rPr>
                <w:sz w:val="19"/>
              </w:rPr>
              <w:t>Quality</w:t>
            </w:r>
            <w:r>
              <w:rPr>
                <w:spacing w:val="6"/>
                <w:sz w:val="19"/>
              </w:rPr>
              <w:t xml:space="preserve"> </w:t>
            </w:r>
            <w:r>
              <w:rPr>
                <w:spacing w:val="-2"/>
                <w:sz w:val="19"/>
              </w:rPr>
              <w:t>Registries</w:t>
            </w:r>
          </w:p>
        </w:tc>
      </w:tr>
      <w:tr w:rsidR="009D54AF" w14:paraId="0A5C8B46" w14:textId="77777777">
        <w:trPr>
          <w:trHeight w:val="505"/>
        </w:trPr>
        <w:tc>
          <w:tcPr>
            <w:tcW w:w="2835" w:type="dxa"/>
            <w:tcBorders>
              <w:top w:val="single" w:sz="2" w:space="0" w:color="000000"/>
              <w:left w:val="nil"/>
              <w:bottom w:val="single" w:sz="2" w:space="0" w:color="000000"/>
              <w:right w:val="single" w:sz="2" w:space="0" w:color="000000"/>
            </w:tcBorders>
          </w:tcPr>
          <w:p w14:paraId="5C1C444F" w14:textId="77777777" w:rsidR="009D54AF" w:rsidRDefault="00000000">
            <w:pPr>
              <w:pStyle w:val="TableParagraph"/>
              <w:spacing w:before="40"/>
              <w:ind w:left="85"/>
              <w:rPr>
                <w:b/>
                <w:sz w:val="19"/>
              </w:rPr>
            </w:pPr>
            <w:r>
              <w:rPr>
                <w:b/>
                <w:spacing w:val="-2"/>
                <w:sz w:val="19"/>
              </w:rPr>
              <w:t>DECAC</w:t>
            </w:r>
          </w:p>
        </w:tc>
        <w:tc>
          <w:tcPr>
            <w:tcW w:w="7370" w:type="dxa"/>
            <w:tcBorders>
              <w:top w:val="single" w:sz="2" w:space="0" w:color="000000"/>
              <w:left w:val="single" w:sz="2" w:space="0" w:color="000000"/>
              <w:bottom w:val="single" w:sz="2" w:space="0" w:color="000000"/>
              <w:right w:val="nil"/>
            </w:tcBorders>
          </w:tcPr>
          <w:p w14:paraId="4375697C" w14:textId="77777777" w:rsidR="009D54AF" w:rsidRDefault="00000000">
            <w:pPr>
              <w:pStyle w:val="TableParagraph"/>
              <w:spacing w:before="40"/>
              <w:ind w:left="82"/>
              <w:rPr>
                <w:sz w:val="19"/>
              </w:rPr>
            </w:pPr>
            <w:r>
              <w:rPr>
                <w:sz w:val="19"/>
              </w:rPr>
              <w:t>Digitally</w:t>
            </w:r>
            <w:r>
              <w:rPr>
                <w:spacing w:val="4"/>
                <w:sz w:val="19"/>
              </w:rPr>
              <w:t xml:space="preserve"> </w:t>
            </w:r>
            <w:r>
              <w:rPr>
                <w:sz w:val="19"/>
              </w:rPr>
              <w:t>Enabled</w:t>
            </w:r>
            <w:r>
              <w:rPr>
                <w:spacing w:val="5"/>
                <w:sz w:val="19"/>
              </w:rPr>
              <w:t xml:space="preserve"> </w:t>
            </w:r>
            <w:r>
              <w:rPr>
                <w:sz w:val="19"/>
              </w:rPr>
              <w:t>Care</w:t>
            </w:r>
            <w:r>
              <w:rPr>
                <w:spacing w:val="4"/>
                <w:sz w:val="19"/>
              </w:rPr>
              <w:t xml:space="preserve"> </w:t>
            </w:r>
            <w:r>
              <w:rPr>
                <w:sz w:val="19"/>
              </w:rPr>
              <w:t>Advisory</w:t>
            </w:r>
            <w:r>
              <w:rPr>
                <w:spacing w:val="5"/>
                <w:sz w:val="19"/>
              </w:rPr>
              <w:t xml:space="preserve"> </w:t>
            </w:r>
            <w:r>
              <w:rPr>
                <w:spacing w:val="-2"/>
                <w:sz w:val="19"/>
              </w:rPr>
              <w:t>Committee</w:t>
            </w:r>
          </w:p>
        </w:tc>
      </w:tr>
      <w:tr w:rsidR="009D54AF" w14:paraId="6A566FB7" w14:textId="77777777">
        <w:trPr>
          <w:trHeight w:val="505"/>
        </w:trPr>
        <w:tc>
          <w:tcPr>
            <w:tcW w:w="2835" w:type="dxa"/>
            <w:tcBorders>
              <w:top w:val="single" w:sz="2" w:space="0" w:color="000000"/>
              <w:left w:val="nil"/>
              <w:bottom w:val="single" w:sz="2" w:space="0" w:color="000000"/>
              <w:right w:val="single" w:sz="2" w:space="0" w:color="000000"/>
            </w:tcBorders>
          </w:tcPr>
          <w:p w14:paraId="1B57AC03" w14:textId="77777777" w:rsidR="009D54AF" w:rsidRDefault="00000000">
            <w:pPr>
              <w:pStyle w:val="TableParagraph"/>
              <w:spacing w:before="40"/>
              <w:ind w:left="85"/>
              <w:rPr>
                <w:b/>
                <w:sz w:val="19"/>
              </w:rPr>
            </w:pPr>
            <w:r>
              <w:rPr>
                <w:b/>
                <w:spacing w:val="-4"/>
                <w:sz w:val="19"/>
              </w:rPr>
              <w:t>DIAS</w:t>
            </w:r>
          </w:p>
        </w:tc>
        <w:tc>
          <w:tcPr>
            <w:tcW w:w="7370" w:type="dxa"/>
            <w:tcBorders>
              <w:top w:val="single" w:sz="2" w:space="0" w:color="000000"/>
              <w:left w:val="single" w:sz="2" w:space="0" w:color="000000"/>
              <w:bottom w:val="single" w:sz="2" w:space="0" w:color="000000"/>
              <w:right w:val="nil"/>
            </w:tcBorders>
          </w:tcPr>
          <w:p w14:paraId="0D6EAFAE" w14:textId="77777777" w:rsidR="009D54AF" w:rsidRDefault="00000000">
            <w:pPr>
              <w:pStyle w:val="TableParagraph"/>
              <w:spacing w:before="40"/>
              <w:ind w:left="82"/>
              <w:rPr>
                <w:sz w:val="19"/>
              </w:rPr>
            </w:pPr>
            <w:r>
              <w:rPr>
                <w:sz w:val="19"/>
              </w:rPr>
              <w:t>Diagnostic</w:t>
            </w:r>
            <w:r>
              <w:rPr>
                <w:spacing w:val="5"/>
                <w:sz w:val="19"/>
              </w:rPr>
              <w:t xml:space="preserve"> </w:t>
            </w:r>
            <w:r>
              <w:rPr>
                <w:sz w:val="19"/>
              </w:rPr>
              <w:t>Imaging</w:t>
            </w:r>
            <w:r>
              <w:rPr>
                <w:spacing w:val="5"/>
                <w:sz w:val="19"/>
              </w:rPr>
              <w:t xml:space="preserve"> </w:t>
            </w:r>
            <w:r>
              <w:rPr>
                <w:sz w:val="19"/>
              </w:rPr>
              <w:t>Accreditation</w:t>
            </w:r>
            <w:r>
              <w:rPr>
                <w:spacing w:val="5"/>
                <w:sz w:val="19"/>
              </w:rPr>
              <w:t xml:space="preserve"> </w:t>
            </w:r>
            <w:r>
              <w:rPr>
                <w:spacing w:val="-2"/>
                <w:sz w:val="19"/>
              </w:rPr>
              <w:t>Scheme</w:t>
            </w:r>
          </w:p>
        </w:tc>
      </w:tr>
      <w:tr w:rsidR="009D54AF" w14:paraId="55A297A6" w14:textId="77777777">
        <w:trPr>
          <w:trHeight w:val="505"/>
        </w:trPr>
        <w:tc>
          <w:tcPr>
            <w:tcW w:w="2835" w:type="dxa"/>
            <w:tcBorders>
              <w:top w:val="single" w:sz="2" w:space="0" w:color="000000"/>
              <w:left w:val="nil"/>
              <w:bottom w:val="single" w:sz="2" w:space="0" w:color="000000"/>
              <w:right w:val="single" w:sz="2" w:space="0" w:color="000000"/>
            </w:tcBorders>
          </w:tcPr>
          <w:p w14:paraId="1108A097" w14:textId="77777777" w:rsidR="009D54AF" w:rsidRDefault="00000000">
            <w:pPr>
              <w:pStyle w:val="TableParagraph"/>
              <w:spacing w:before="40"/>
              <w:ind w:left="85"/>
              <w:rPr>
                <w:b/>
                <w:sz w:val="19"/>
              </w:rPr>
            </w:pPr>
            <w:r>
              <w:rPr>
                <w:b/>
                <w:spacing w:val="-2"/>
                <w:sz w:val="19"/>
              </w:rPr>
              <w:t>EMMSAT</w:t>
            </w:r>
          </w:p>
        </w:tc>
        <w:tc>
          <w:tcPr>
            <w:tcW w:w="7370" w:type="dxa"/>
            <w:tcBorders>
              <w:top w:val="single" w:sz="2" w:space="0" w:color="000000"/>
              <w:left w:val="single" w:sz="2" w:space="0" w:color="000000"/>
              <w:bottom w:val="single" w:sz="2" w:space="0" w:color="000000"/>
              <w:right w:val="nil"/>
            </w:tcBorders>
          </w:tcPr>
          <w:p w14:paraId="130583EB" w14:textId="77777777" w:rsidR="009D54AF" w:rsidRDefault="00000000">
            <w:pPr>
              <w:pStyle w:val="TableParagraph"/>
              <w:spacing w:before="40"/>
              <w:ind w:left="82"/>
              <w:rPr>
                <w:sz w:val="19"/>
              </w:rPr>
            </w:pPr>
            <w:r>
              <w:rPr>
                <w:sz w:val="19"/>
              </w:rPr>
              <w:t>Electronic</w:t>
            </w:r>
            <w:r>
              <w:rPr>
                <w:spacing w:val="8"/>
                <w:sz w:val="19"/>
              </w:rPr>
              <w:t xml:space="preserve"> </w:t>
            </w:r>
            <w:r>
              <w:rPr>
                <w:sz w:val="19"/>
              </w:rPr>
              <w:t>Medication</w:t>
            </w:r>
            <w:r>
              <w:rPr>
                <w:spacing w:val="9"/>
                <w:sz w:val="19"/>
              </w:rPr>
              <w:t xml:space="preserve"> </w:t>
            </w:r>
            <w:r>
              <w:rPr>
                <w:sz w:val="19"/>
              </w:rPr>
              <w:t>Management</w:t>
            </w:r>
            <w:r>
              <w:rPr>
                <w:spacing w:val="9"/>
                <w:sz w:val="19"/>
              </w:rPr>
              <w:t xml:space="preserve"> </w:t>
            </w:r>
            <w:r>
              <w:rPr>
                <w:sz w:val="19"/>
              </w:rPr>
              <w:t>Self-Assessment</w:t>
            </w:r>
            <w:r>
              <w:rPr>
                <w:spacing w:val="9"/>
                <w:sz w:val="19"/>
              </w:rPr>
              <w:t xml:space="preserve"> </w:t>
            </w:r>
            <w:r>
              <w:rPr>
                <w:spacing w:val="-4"/>
                <w:sz w:val="19"/>
              </w:rPr>
              <w:t>Tool</w:t>
            </w:r>
          </w:p>
        </w:tc>
      </w:tr>
    </w:tbl>
    <w:p w14:paraId="59A0ADDE" w14:textId="77777777" w:rsidR="009D54AF" w:rsidRDefault="009D54AF">
      <w:pPr>
        <w:pStyle w:val="TableParagraph"/>
        <w:rPr>
          <w:sz w:val="19"/>
        </w:rPr>
        <w:sectPr w:rsidR="009D54AF">
          <w:pgSz w:w="11910" w:h="16840"/>
          <w:pgMar w:top="660" w:right="708" w:bottom="779" w:left="708" w:header="720" w:footer="720" w:gutter="0"/>
          <w:cols w:space="720"/>
        </w:sectPr>
      </w:pPr>
    </w:p>
    <w:tbl>
      <w:tblPr>
        <w:tblW w:w="0" w:type="auto"/>
        <w:tblInd w:w="149"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CellMar>
          <w:left w:w="0" w:type="dxa"/>
          <w:right w:w="0" w:type="dxa"/>
        </w:tblCellMar>
        <w:tblLook w:val="01E0" w:firstRow="1" w:lastRow="1" w:firstColumn="1" w:lastColumn="1" w:noHBand="0" w:noVBand="0"/>
      </w:tblPr>
      <w:tblGrid>
        <w:gridCol w:w="2835"/>
        <w:gridCol w:w="7370"/>
      </w:tblGrid>
      <w:tr w:rsidR="009D54AF" w14:paraId="74B3703C" w14:textId="77777777">
        <w:trPr>
          <w:trHeight w:val="510"/>
        </w:trPr>
        <w:tc>
          <w:tcPr>
            <w:tcW w:w="2835" w:type="dxa"/>
            <w:tcBorders>
              <w:top w:val="nil"/>
              <w:left w:val="nil"/>
              <w:bottom w:val="nil"/>
            </w:tcBorders>
            <w:shd w:val="clear" w:color="auto" w:fill="000000"/>
          </w:tcPr>
          <w:p w14:paraId="043B1371" w14:textId="77777777" w:rsidR="009D54AF" w:rsidRDefault="00000000">
            <w:pPr>
              <w:pStyle w:val="TableParagraph"/>
              <w:spacing w:before="145"/>
              <w:ind w:left="85"/>
              <w:rPr>
                <w:b/>
                <w:sz w:val="19"/>
              </w:rPr>
            </w:pPr>
            <w:r>
              <w:rPr>
                <w:b/>
                <w:color w:val="FFFFFF"/>
                <w:spacing w:val="-2"/>
                <w:sz w:val="19"/>
              </w:rPr>
              <w:lastRenderedPageBreak/>
              <w:t>Acronym</w:t>
            </w:r>
          </w:p>
        </w:tc>
        <w:tc>
          <w:tcPr>
            <w:tcW w:w="7370" w:type="dxa"/>
            <w:tcBorders>
              <w:top w:val="nil"/>
              <w:bottom w:val="nil"/>
              <w:right w:val="nil"/>
            </w:tcBorders>
            <w:shd w:val="clear" w:color="auto" w:fill="000000"/>
          </w:tcPr>
          <w:p w14:paraId="696577D7" w14:textId="77777777" w:rsidR="009D54AF" w:rsidRDefault="00000000">
            <w:pPr>
              <w:pStyle w:val="TableParagraph"/>
              <w:spacing w:before="145"/>
              <w:ind w:left="79"/>
              <w:rPr>
                <w:b/>
                <w:sz w:val="19"/>
              </w:rPr>
            </w:pPr>
            <w:r>
              <w:rPr>
                <w:b/>
                <w:color w:val="FFFFFF"/>
                <w:spacing w:val="-2"/>
                <w:sz w:val="19"/>
              </w:rPr>
              <w:t>Description</w:t>
            </w:r>
          </w:p>
        </w:tc>
      </w:tr>
      <w:tr w:rsidR="009D54AF" w14:paraId="06AB3BB4" w14:textId="77777777">
        <w:trPr>
          <w:trHeight w:val="505"/>
        </w:trPr>
        <w:tc>
          <w:tcPr>
            <w:tcW w:w="2835" w:type="dxa"/>
            <w:tcBorders>
              <w:top w:val="nil"/>
              <w:left w:val="nil"/>
              <w:bottom w:val="single" w:sz="2" w:space="0" w:color="000000"/>
              <w:right w:val="single" w:sz="2" w:space="0" w:color="000000"/>
            </w:tcBorders>
          </w:tcPr>
          <w:p w14:paraId="22E594AD" w14:textId="77777777" w:rsidR="009D54AF" w:rsidRDefault="00000000">
            <w:pPr>
              <w:pStyle w:val="TableParagraph"/>
              <w:spacing w:before="40"/>
              <w:ind w:left="85"/>
              <w:rPr>
                <w:b/>
                <w:sz w:val="19"/>
              </w:rPr>
            </w:pPr>
            <w:r>
              <w:rPr>
                <w:b/>
                <w:spacing w:val="-2"/>
                <w:sz w:val="19"/>
              </w:rPr>
              <w:t>FRACGP</w:t>
            </w:r>
          </w:p>
        </w:tc>
        <w:tc>
          <w:tcPr>
            <w:tcW w:w="7370" w:type="dxa"/>
            <w:tcBorders>
              <w:top w:val="nil"/>
              <w:left w:val="single" w:sz="2" w:space="0" w:color="000000"/>
              <w:bottom w:val="single" w:sz="2" w:space="0" w:color="000000"/>
              <w:right w:val="nil"/>
            </w:tcBorders>
          </w:tcPr>
          <w:p w14:paraId="5C857375" w14:textId="77777777" w:rsidR="009D54AF" w:rsidRDefault="00000000">
            <w:pPr>
              <w:pStyle w:val="TableParagraph"/>
              <w:spacing w:before="40"/>
              <w:ind w:left="82"/>
              <w:rPr>
                <w:sz w:val="19"/>
              </w:rPr>
            </w:pPr>
            <w:r>
              <w:rPr>
                <w:sz w:val="19"/>
              </w:rPr>
              <w:t>Fellow of the Royal</w:t>
            </w:r>
            <w:r>
              <w:rPr>
                <w:spacing w:val="1"/>
                <w:sz w:val="19"/>
              </w:rPr>
              <w:t xml:space="preserve"> </w:t>
            </w:r>
            <w:r>
              <w:rPr>
                <w:sz w:val="19"/>
              </w:rPr>
              <w:t>Australian College of General</w:t>
            </w:r>
            <w:r>
              <w:rPr>
                <w:spacing w:val="1"/>
                <w:sz w:val="19"/>
              </w:rPr>
              <w:t xml:space="preserve"> </w:t>
            </w:r>
            <w:r>
              <w:rPr>
                <w:spacing w:val="-2"/>
                <w:sz w:val="19"/>
              </w:rPr>
              <w:t>Practitioners</w:t>
            </w:r>
          </w:p>
        </w:tc>
      </w:tr>
      <w:tr w:rsidR="009D54AF" w14:paraId="0B628C26" w14:textId="77777777">
        <w:trPr>
          <w:trHeight w:val="505"/>
        </w:trPr>
        <w:tc>
          <w:tcPr>
            <w:tcW w:w="2835" w:type="dxa"/>
            <w:tcBorders>
              <w:top w:val="single" w:sz="2" w:space="0" w:color="000000"/>
              <w:left w:val="nil"/>
              <w:bottom w:val="single" w:sz="2" w:space="0" w:color="000000"/>
              <w:right w:val="single" w:sz="2" w:space="0" w:color="000000"/>
            </w:tcBorders>
          </w:tcPr>
          <w:p w14:paraId="721E26F4" w14:textId="77777777" w:rsidR="009D54AF" w:rsidRDefault="00000000">
            <w:pPr>
              <w:pStyle w:val="TableParagraph"/>
              <w:spacing w:before="40"/>
              <w:ind w:left="85"/>
              <w:rPr>
                <w:b/>
                <w:sz w:val="19"/>
              </w:rPr>
            </w:pPr>
            <w:r>
              <w:rPr>
                <w:b/>
                <w:spacing w:val="-4"/>
                <w:sz w:val="19"/>
              </w:rPr>
              <w:t>HACs</w:t>
            </w:r>
          </w:p>
        </w:tc>
        <w:tc>
          <w:tcPr>
            <w:tcW w:w="7370" w:type="dxa"/>
            <w:tcBorders>
              <w:top w:val="single" w:sz="2" w:space="0" w:color="000000"/>
              <w:left w:val="single" w:sz="2" w:space="0" w:color="000000"/>
              <w:bottom w:val="single" w:sz="2" w:space="0" w:color="000000"/>
              <w:right w:val="nil"/>
            </w:tcBorders>
          </w:tcPr>
          <w:p w14:paraId="09C9522F" w14:textId="77777777" w:rsidR="009D54AF" w:rsidRDefault="00000000">
            <w:pPr>
              <w:pStyle w:val="TableParagraph"/>
              <w:spacing w:before="40"/>
              <w:ind w:left="82"/>
              <w:rPr>
                <w:sz w:val="19"/>
              </w:rPr>
            </w:pPr>
            <w:r>
              <w:rPr>
                <w:sz w:val="19"/>
              </w:rPr>
              <w:t>Hospital-acquired</w:t>
            </w:r>
            <w:r>
              <w:rPr>
                <w:spacing w:val="16"/>
                <w:sz w:val="19"/>
              </w:rPr>
              <w:t xml:space="preserve"> </w:t>
            </w:r>
            <w:r>
              <w:rPr>
                <w:spacing w:val="-2"/>
                <w:sz w:val="19"/>
              </w:rPr>
              <w:t>complications</w:t>
            </w:r>
          </w:p>
        </w:tc>
      </w:tr>
      <w:tr w:rsidR="009D54AF" w14:paraId="504E1816" w14:textId="77777777">
        <w:trPr>
          <w:trHeight w:val="505"/>
        </w:trPr>
        <w:tc>
          <w:tcPr>
            <w:tcW w:w="2835" w:type="dxa"/>
            <w:tcBorders>
              <w:top w:val="single" w:sz="2" w:space="0" w:color="000000"/>
              <w:left w:val="nil"/>
              <w:bottom w:val="single" w:sz="2" w:space="0" w:color="000000"/>
              <w:right w:val="single" w:sz="2" w:space="0" w:color="000000"/>
            </w:tcBorders>
          </w:tcPr>
          <w:p w14:paraId="5EA754AF" w14:textId="77777777" w:rsidR="009D54AF" w:rsidRDefault="00000000">
            <w:pPr>
              <w:pStyle w:val="TableParagraph"/>
              <w:spacing w:before="40"/>
              <w:ind w:left="85"/>
              <w:rPr>
                <w:b/>
                <w:sz w:val="19"/>
              </w:rPr>
            </w:pPr>
            <w:r>
              <w:rPr>
                <w:b/>
                <w:spacing w:val="-5"/>
                <w:sz w:val="19"/>
              </w:rPr>
              <w:t>HCV</w:t>
            </w:r>
          </w:p>
        </w:tc>
        <w:tc>
          <w:tcPr>
            <w:tcW w:w="7370" w:type="dxa"/>
            <w:tcBorders>
              <w:top w:val="single" w:sz="2" w:space="0" w:color="000000"/>
              <w:left w:val="single" w:sz="2" w:space="0" w:color="000000"/>
              <w:bottom w:val="single" w:sz="2" w:space="0" w:color="000000"/>
              <w:right w:val="nil"/>
            </w:tcBorders>
          </w:tcPr>
          <w:p w14:paraId="5468B755" w14:textId="77777777" w:rsidR="009D54AF" w:rsidRDefault="00000000">
            <w:pPr>
              <w:pStyle w:val="TableParagraph"/>
              <w:spacing w:before="40"/>
              <w:ind w:left="82"/>
              <w:rPr>
                <w:sz w:val="19"/>
              </w:rPr>
            </w:pPr>
            <w:r>
              <w:rPr>
                <w:sz w:val="19"/>
              </w:rPr>
              <w:t>hepatitis</w:t>
            </w:r>
            <w:r>
              <w:rPr>
                <w:spacing w:val="1"/>
                <w:sz w:val="19"/>
              </w:rPr>
              <w:t xml:space="preserve"> </w:t>
            </w:r>
            <w:r>
              <w:rPr>
                <w:sz w:val="19"/>
              </w:rPr>
              <w:t>C</w:t>
            </w:r>
            <w:r>
              <w:rPr>
                <w:spacing w:val="1"/>
                <w:sz w:val="19"/>
              </w:rPr>
              <w:t xml:space="preserve"> </w:t>
            </w:r>
            <w:r>
              <w:rPr>
                <w:spacing w:val="-2"/>
                <w:sz w:val="19"/>
              </w:rPr>
              <w:t>virus</w:t>
            </w:r>
          </w:p>
        </w:tc>
      </w:tr>
      <w:tr w:rsidR="009D54AF" w14:paraId="3889F56E" w14:textId="77777777">
        <w:trPr>
          <w:trHeight w:val="505"/>
        </w:trPr>
        <w:tc>
          <w:tcPr>
            <w:tcW w:w="2835" w:type="dxa"/>
            <w:tcBorders>
              <w:top w:val="single" w:sz="2" w:space="0" w:color="000000"/>
              <w:left w:val="nil"/>
              <w:bottom w:val="single" w:sz="2" w:space="0" w:color="000000"/>
              <w:right w:val="single" w:sz="2" w:space="0" w:color="000000"/>
            </w:tcBorders>
          </w:tcPr>
          <w:p w14:paraId="5EFEE685" w14:textId="77777777" w:rsidR="009D54AF" w:rsidRDefault="00000000">
            <w:pPr>
              <w:pStyle w:val="TableParagraph"/>
              <w:spacing w:before="40"/>
              <w:ind w:left="85"/>
              <w:rPr>
                <w:b/>
                <w:sz w:val="19"/>
              </w:rPr>
            </w:pPr>
            <w:r>
              <w:rPr>
                <w:b/>
                <w:spacing w:val="-5"/>
                <w:sz w:val="19"/>
              </w:rPr>
              <w:t>HIV</w:t>
            </w:r>
          </w:p>
        </w:tc>
        <w:tc>
          <w:tcPr>
            <w:tcW w:w="7370" w:type="dxa"/>
            <w:tcBorders>
              <w:top w:val="single" w:sz="2" w:space="0" w:color="000000"/>
              <w:left w:val="single" w:sz="2" w:space="0" w:color="000000"/>
              <w:bottom w:val="single" w:sz="2" w:space="0" w:color="000000"/>
              <w:right w:val="nil"/>
            </w:tcBorders>
          </w:tcPr>
          <w:p w14:paraId="73DE770C" w14:textId="77777777" w:rsidR="009D54AF" w:rsidRDefault="00000000">
            <w:pPr>
              <w:pStyle w:val="TableParagraph"/>
              <w:spacing w:before="40"/>
              <w:ind w:left="82"/>
              <w:rPr>
                <w:sz w:val="19"/>
              </w:rPr>
            </w:pPr>
            <w:r>
              <w:rPr>
                <w:sz w:val="19"/>
              </w:rPr>
              <w:t>human</w:t>
            </w:r>
            <w:r>
              <w:rPr>
                <w:spacing w:val="3"/>
                <w:sz w:val="19"/>
              </w:rPr>
              <w:t xml:space="preserve"> </w:t>
            </w:r>
            <w:r>
              <w:rPr>
                <w:sz w:val="19"/>
              </w:rPr>
              <w:t>immunodeficiency</w:t>
            </w:r>
            <w:r>
              <w:rPr>
                <w:spacing w:val="6"/>
                <w:sz w:val="19"/>
              </w:rPr>
              <w:t xml:space="preserve"> </w:t>
            </w:r>
            <w:r>
              <w:rPr>
                <w:spacing w:val="-4"/>
                <w:sz w:val="19"/>
              </w:rPr>
              <w:t>virus</w:t>
            </w:r>
          </w:p>
        </w:tc>
      </w:tr>
      <w:tr w:rsidR="009D54AF" w14:paraId="129A7A3D" w14:textId="77777777">
        <w:trPr>
          <w:trHeight w:val="505"/>
        </w:trPr>
        <w:tc>
          <w:tcPr>
            <w:tcW w:w="2835" w:type="dxa"/>
            <w:tcBorders>
              <w:top w:val="single" w:sz="2" w:space="0" w:color="000000"/>
              <w:left w:val="nil"/>
              <w:bottom w:val="single" w:sz="2" w:space="0" w:color="000000"/>
              <w:right w:val="single" w:sz="2" w:space="0" w:color="000000"/>
            </w:tcBorders>
          </w:tcPr>
          <w:p w14:paraId="1F99505C" w14:textId="77777777" w:rsidR="009D54AF" w:rsidRDefault="00000000">
            <w:pPr>
              <w:pStyle w:val="TableParagraph"/>
              <w:spacing w:before="40"/>
              <w:ind w:left="85"/>
              <w:rPr>
                <w:b/>
                <w:sz w:val="19"/>
              </w:rPr>
            </w:pPr>
            <w:r>
              <w:rPr>
                <w:b/>
                <w:spacing w:val="-5"/>
                <w:sz w:val="19"/>
              </w:rPr>
              <w:t>MD</w:t>
            </w:r>
          </w:p>
        </w:tc>
        <w:tc>
          <w:tcPr>
            <w:tcW w:w="7370" w:type="dxa"/>
            <w:tcBorders>
              <w:top w:val="single" w:sz="2" w:space="0" w:color="000000"/>
              <w:left w:val="single" w:sz="2" w:space="0" w:color="000000"/>
              <w:bottom w:val="single" w:sz="2" w:space="0" w:color="000000"/>
              <w:right w:val="nil"/>
            </w:tcBorders>
          </w:tcPr>
          <w:p w14:paraId="57AC9344" w14:textId="77777777" w:rsidR="009D54AF" w:rsidRDefault="00000000">
            <w:pPr>
              <w:pStyle w:val="TableParagraph"/>
              <w:spacing w:before="40"/>
              <w:ind w:left="82"/>
              <w:rPr>
                <w:sz w:val="19"/>
              </w:rPr>
            </w:pPr>
            <w:r>
              <w:rPr>
                <w:sz w:val="19"/>
              </w:rPr>
              <w:t>Doctor</w:t>
            </w:r>
            <w:r>
              <w:rPr>
                <w:spacing w:val="2"/>
                <w:sz w:val="19"/>
              </w:rPr>
              <w:t xml:space="preserve"> </w:t>
            </w:r>
            <w:r>
              <w:rPr>
                <w:sz w:val="19"/>
              </w:rPr>
              <w:t>of</w:t>
            </w:r>
            <w:r>
              <w:rPr>
                <w:spacing w:val="2"/>
                <w:sz w:val="19"/>
              </w:rPr>
              <w:t xml:space="preserve"> </w:t>
            </w:r>
            <w:r>
              <w:rPr>
                <w:spacing w:val="-2"/>
                <w:sz w:val="19"/>
              </w:rPr>
              <w:t>Medicine</w:t>
            </w:r>
          </w:p>
        </w:tc>
      </w:tr>
      <w:tr w:rsidR="009D54AF" w14:paraId="740B62D5" w14:textId="77777777">
        <w:trPr>
          <w:trHeight w:val="505"/>
        </w:trPr>
        <w:tc>
          <w:tcPr>
            <w:tcW w:w="2835" w:type="dxa"/>
            <w:tcBorders>
              <w:top w:val="single" w:sz="2" w:space="0" w:color="000000"/>
              <w:left w:val="nil"/>
              <w:bottom w:val="single" w:sz="2" w:space="0" w:color="000000"/>
              <w:right w:val="single" w:sz="2" w:space="0" w:color="000000"/>
            </w:tcBorders>
          </w:tcPr>
          <w:p w14:paraId="4B50242A" w14:textId="77777777" w:rsidR="009D54AF" w:rsidRDefault="00000000">
            <w:pPr>
              <w:pStyle w:val="TableParagraph"/>
              <w:spacing w:before="40"/>
              <w:ind w:left="85"/>
              <w:rPr>
                <w:b/>
                <w:sz w:val="19"/>
              </w:rPr>
            </w:pPr>
            <w:r>
              <w:rPr>
                <w:b/>
                <w:spacing w:val="-4"/>
                <w:sz w:val="19"/>
              </w:rPr>
              <w:t>MIAS</w:t>
            </w:r>
          </w:p>
        </w:tc>
        <w:tc>
          <w:tcPr>
            <w:tcW w:w="7370" w:type="dxa"/>
            <w:tcBorders>
              <w:top w:val="single" w:sz="2" w:space="0" w:color="000000"/>
              <w:left w:val="single" w:sz="2" w:space="0" w:color="000000"/>
              <w:bottom w:val="single" w:sz="2" w:space="0" w:color="000000"/>
              <w:right w:val="nil"/>
            </w:tcBorders>
          </w:tcPr>
          <w:p w14:paraId="5C884D53" w14:textId="77777777" w:rsidR="009D54AF" w:rsidRDefault="00000000">
            <w:pPr>
              <w:pStyle w:val="TableParagraph"/>
              <w:spacing w:before="40"/>
              <w:ind w:left="82"/>
              <w:rPr>
                <w:sz w:val="19"/>
              </w:rPr>
            </w:pPr>
            <w:r>
              <w:rPr>
                <w:sz w:val="19"/>
              </w:rPr>
              <w:t>Medical</w:t>
            </w:r>
            <w:r>
              <w:rPr>
                <w:spacing w:val="5"/>
                <w:sz w:val="19"/>
              </w:rPr>
              <w:t xml:space="preserve"> </w:t>
            </w:r>
            <w:r>
              <w:rPr>
                <w:sz w:val="19"/>
              </w:rPr>
              <w:t>Imaging</w:t>
            </w:r>
            <w:r>
              <w:rPr>
                <w:spacing w:val="5"/>
                <w:sz w:val="19"/>
              </w:rPr>
              <w:t xml:space="preserve"> </w:t>
            </w:r>
            <w:r>
              <w:rPr>
                <w:sz w:val="19"/>
              </w:rPr>
              <w:t>Accreditation</w:t>
            </w:r>
            <w:r>
              <w:rPr>
                <w:spacing w:val="6"/>
                <w:sz w:val="19"/>
              </w:rPr>
              <w:t xml:space="preserve"> </w:t>
            </w:r>
            <w:r>
              <w:rPr>
                <w:spacing w:val="-2"/>
                <w:sz w:val="19"/>
              </w:rPr>
              <w:t>Scheme</w:t>
            </w:r>
          </w:p>
        </w:tc>
      </w:tr>
      <w:tr w:rsidR="009D54AF" w14:paraId="7FCA00AE" w14:textId="77777777">
        <w:trPr>
          <w:trHeight w:val="505"/>
        </w:trPr>
        <w:tc>
          <w:tcPr>
            <w:tcW w:w="2835" w:type="dxa"/>
            <w:tcBorders>
              <w:top w:val="single" w:sz="2" w:space="0" w:color="000000"/>
              <w:left w:val="nil"/>
              <w:bottom w:val="single" w:sz="2" w:space="0" w:color="000000"/>
              <w:right w:val="single" w:sz="2" w:space="0" w:color="000000"/>
            </w:tcBorders>
          </w:tcPr>
          <w:p w14:paraId="73DB84FB" w14:textId="77777777" w:rsidR="009D54AF" w:rsidRDefault="00000000">
            <w:pPr>
              <w:pStyle w:val="TableParagraph"/>
              <w:spacing w:before="40"/>
              <w:ind w:left="85"/>
              <w:rPr>
                <w:b/>
                <w:sz w:val="19"/>
              </w:rPr>
            </w:pPr>
            <w:r>
              <w:rPr>
                <w:b/>
                <w:spacing w:val="-5"/>
                <w:sz w:val="19"/>
              </w:rPr>
              <w:t>MoU</w:t>
            </w:r>
          </w:p>
        </w:tc>
        <w:tc>
          <w:tcPr>
            <w:tcW w:w="7370" w:type="dxa"/>
            <w:tcBorders>
              <w:top w:val="single" w:sz="2" w:space="0" w:color="000000"/>
              <w:left w:val="single" w:sz="2" w:space="0" w:color="000000"/>
              <w:bottom w:val="single" w:sz="2" w:space="0" w:color="000000"/>
              <w:right w:val="nil"/>
            </w:tcBorders>
          </w:tcPr>
          <w:p w14:paraId="478977E9" w14:textId="77777777" w:rsidR="009D54AF" w:rsidRDefault="00000000">
            <w:pPr>
              <w:pStyle w:val="TableParagraph"/>
              <w:spacing w:before="40"/>
              <w:ind w:left="82"/>
              <w:rPr>
                <w:sz w:val="19"/>
              </w:rPr>
            </w:pPr>
            <w:r>
              <w:rPr>
                <w:sz w:val="19"/>
              </w:rPr>
              <w:t>memorandum</w:t>
            </w:r>
            <w:r>
              <w:rPr>
                <w:spacing w:val="1"/>
                <w:sz w:val="19"/>
              </w:rPr>
              <w:t xml:space="preserve"> </w:t>
            </w:r>
            <w:r>
              <w:rPr>
                <w:sz w:val="19"/>
              </w:rPr>
              <w:t>of</w:t>
            </w:r>
            <w:r>
              <w:rPr>
                <w:spacing w:val="2"/>
                <w:sz w:val="19"/>
              </w:rPr>
              <w:t xml:space="preserve"> </w:t>
            </w:r>
            <w:r>
              <w:rPr>
                <w:spacing w:val="-2"/>
                <w:sz w:val="19"/>
              </w:rPr>
              <w:t>understanding</w:t>
            </w:r>
          </w:p>
        </w:tc>
      </w:tr>
      <w:tr w:rsidR="009D54AF" w14:paraId="3CB6DC02" w14:textId="77777777">
        <w:trPr>
          <w:trHeight w:val="505"/>
        </w:trPr>
        <w:tc>
          <w:tcPr>
            <w:tcW w:w="2835" w:type="dxa"/>
            <w:tcBorders>
              <w:top w:val="single" w:sz="2" w:space="0" w:color="000000"/>
              <w:left w:val="nil"/>
              <w:bottom w:val="single" w:sz="2" w:space="0" w:color="000000"/>
              <w:right w:val="single" w:sz="2" w:space="0" w:color="000000"/>
            </w:tcBorders>
          </w:tcPr>
          <w:p w14:paraId="038907A7" w14:textId="77777777" w:rsidR="009D54AF" w:rsidRDefault="00000000">
            <w:pPr>
              <w:pStyle w:val="TableParagraph"/>
              <w:spacing w:before="40"/>
              <w:ind w:left="85"/>
              <w:rPr>
                <w:b/>
                <w:sz w:val="19"/>
              </w:rPr>
            </w:pPr>
            <w:r>
              <w:rPr>
                <w:b/>
                <w:spacing w:val="-2"/>
                <w:sz w:val="19"/>
              </w:rPr>
              <w:t>NACCHO</w:t>
            </w:r>
          </w:p>
        </w:tc>
        <w:tc>
          <w:tcPr>
            <w:tcW w:w="7370" w:type="dxa"/>
            <w:tcBorders>
              <w:top w:val="single" w:sz="2" w:space="0" w:color="000000"/>
              <w:left w:val="single" w:sz="2" w:space="0" w:color="000000"/>
              <w:bottom w:val="single" w:sz="2" w:space="0" w:color="000000"/>
              <w:right w:val="nil"/>
            </w:tcBorders>
          </w:tcPr>
          <w:p w14:paraId="3AF74FA2" w14:textId="77777777" w:rsidR="009D54AF" w:rsidRDefault="00000000">
            <w:pPr>
              <w:pStyle w:val="TableParagraph"/>
              <w:spacing w:before="40"/>
              <w:ind w:left="82"/>
              <w:rPr>
                <w:sz w:val="19"/>
              </w:rPr>
            </w:pPr>
            <w:r>
              <w:rPr>
                <w:sz w:val="19"/>
              </w:rPr>
              <w:t>National</w:t>
            </w:r>
            <w:r>
              <w:rPr>
                <w:spacing w:val="6"/>
                <w:sz w:val="19"/>
              </w:rPr>
              <w:t xml:space="preserve"> </w:t>
            </w:r>
            <w:r>
              <w:rPr>
                <w:sz w:val="19"/>
              </w:rPr>
              <w:t>Aboriginal</w:t>
            </w:r>
            <w:r>
              <w:rPr>
                <w:spacing w:val="6"/>
                <w:sz w:val="19"/>
              </w:rPr>
              <w:t xml:space="preserve"> </w:t>
            </w:r>
            <w:r>
              <w:rPr>
                <w:sz w:val="19"/>
              </w:rPr>
              <w:t>Community</w:t>
            </w:r>
            <w:r>
              <w:rPr>
                <w:spacing w:val="6"/>
                <w:sz w:val="19"/>
              </w:rPr>
              <w:t xml:space="preserve"> </w:t>
            </w:r>
            <w:r>
              <w:rPr>
                <w:sz w:val="19"/>
              </w:rPr>
              <w:t>Controlled</w:t>
            </w:r>
            <w:r>
              <w:rPr>
                <w:spacing w:val="6"/>
                <w:sz w:val="19"/>
              </w:rPr>
              <w:t xml:space="preserve"> </w:t>
            </w:r>
            <w:r>
              <w:rPr>
                <w:sz w:val="19"/>
              </w:rPr>
              <w:t>Health</w:t>
            </w:r>
            <w:r>
              <w:rPr>
                <w:spacing w:val="6"/>
                <w:sz w:val="19"/>
              </w:rPr>
              <w:t xml:space="preserve"> </w:t>
            </w:r>
            <w:proofErr w:type="spellStart"/>
            <w:r>
              <w:rPr>
                <w:spacing w:val="-2"/>
                <w:sz w:val="19"/>
              </w:rPr>
              <w:t>Organisation</w:t>
            </w:r>
            <w:proofErr w:type="spellEnd"/>
          </w:p>
        </w:tc>
      </w:tr>
      <w:tr w:rsidR="009D54AF" w14:paraId="101B6C91" w14:textId="77777777">
        <w:trPr>
          <w:trHeight w:val="505"/>
        </w:trPr>
        <w:tc>
          <w:tcPr>
            <w:tcW w:w="2835" w:type="dxa"/>
            <w:tcBorders>
              <w:top w:val="single" w:sz="2" w:space="0" w:color="000000"/>
              <w:left w:val="nil"/>
              <w:bottom w:val="single" w:sz="2" w:space="0" w:color="000000"/>
              <w:right w:val="single" w:sz="2" w:space="0" w:color="000000"/>
            </w:tcBorders>
          </w:tcPr>
          <w:p w14:paraId="4E23109E" w14:textId="77777777" w:rsidR="009D54AF" w:rsidRDefault="00000000">
            <w:pPr>
              <w:pStyle w:val="TableParagraph"/>
              <w:spacing w:before="40"/>
              <w:ind w:left="85"/>
              <w:rPr>
                <w:b/>
                <w:sz w:val="19"/>
              </w:rPr>
            </w:pPr>
            <w:r>
              <w:rPr>
                <w:b/>
                <w:spacing w:val="-2"/>
                <w:sz w:val="19"/>
              </w:rPr>
              <w:t>NCTGF</w:t>
            </w:r>
          </w:p>
        </w:tc>
        <w:tc>
          <w:tcPr>
            <w:tcW w:w="7370" w:type="dxa"/>
            <w:tcBorders>
              <w:top w:val="single" w:sz="2" w:space="0" w:color="000000"/>
              <w:left w:val="single" w:sz="2" w:space="0" w:color="000000"/>
              <w:bottom w:val="single" w:sz="2" w:space="0" w:color="000000"/>
              <w:right w:val="nil"/>
            </w:tcBorders>
          </w:tcPr>
          <w:p w14:paraId="324159B6" w14:textId="77777777" w:rsidR="009D54AF" w:rsidRDefault="00000000">
            <w:pPr>
              <w:pStyle w:val="TableParagraph"/>
              <w:spacing w:before="40"/>
              <w:ind w:left="82"/>
              <w:rPr>
                <w:sz w:val="19"/>
              </w:rPr>
            </w:pPr>
            <w:r>
              <w:rPr>
                <w:sz w:val="19"/>
              </w:rPr>
              <w:t>National Clinical</w:t>
            </w:r>
            <w:r>
              <w:rPr>
                <w:spacing w:val="1"/>
                <w:sz w:val="19"/>
              </w:rPr>
              <w:t xml:space="preserve"> </w:t>
            </w:r>
            <w:r>
              <w:rPr>
                <w:sz w:val="19"/>
              </w:rPr>
              <w:t>Trials Governance</w:t>
            </w:r>
            <w:r>
              <w:rPr>
                <w:spacing w:val="1"/>
                <w:sz w:val="19"/>
              </w:rPr>
              <w:t xml:space="preserve"> </w:t>
            </w:r>
            <w:r>
              <w:rPr>
                <w:spacing w:val="-2"/>
                <w:sz w:val="19"/>
              </w:rPr>
              <w:t>Framework</w:t>
            </w:r>
          </w:p>
        </w:tc>
      </w:tr>
      <w:tr w:rsidR="009D54AF" w14:paraId="0AA1D5AE" w14:textId="77777777">
        <w:trPr>
          <w:trHeight w:val="505"/>
        </w:trPr>
        <w:tc>
          <w:tcPr>
            <w:tcW w:w="2835" w:type="dxa"/>
            <w:tcBorders>
              <w:top w:val="single" w:sz="2" w:space="0" w:color="000000"/>
              <w:left w:val="nil"/>
              <w:bottom w:val="single" w:sz="2" w:space="0" w:color="000000"/>
              <w:right w:val="single" w:sz="2" w:space="0" w:color="000000"/>
            </w:tcBorders>
          </w:tcPr>
          <w:p w14:paraId="0720BB2A" w14:textId="77777777" w:rsidR="009D54AF" w:rsidRDefault="00000000">
            <w:pPr>
              <w:pStyle w:val="TableParagraph"/>
              <w:spacing w:before="40"/>
              <w:ind w:left="85"/>
              <w:rPr>
                <w:b/>
                <w:sz w:val="19"/>
              </w:rPr>
            </w:pPr>
            <w:r>
              <w:rPr>
                <w:b/>
                <w:spacing w:val="-4"/>
                <w:sz w:val="19"/>
              </w:rPr>
              <w:t>NGPA</w:t>
            </w:r>
          </w:p>
        </w:tc>
        <w:tc>
          <w:tcPr>
            <w:tcW w:w="7370" w:type="dxa"/>
            <w:tcBorders>
              <w:top w:val="single" w:sz="2" w:space="0" w:color="000000"/>
              <w:left w:val="single" w:sz="2" w:space="0" w:color="000000"/>
              <w:bottom w:val="single" w:sz="2" w:space="0" w:color="000000"/>
              <w:right w:val="nil"/>
            </w:tcBorders>
          </w:tcPr>
          <w:p w14:paraId="0DB8EE7C" w14:textId="77777777" w:rsidR="009D54AF" w:rsidRDefault="00000000">
            <w:pPr>
              <w:pStyle w:val="TableParagraph"/>
              <w:spacing w:before="40"/>
              <w:ind w:left="82"/>
              <w:rPr>
                <w:sz w:val="19"/>
              </w:rPr>
            </w:pPr>
            <w:r>
              <w:rPr>
                <w:sz w:val="19"/>
              </w:rPr>
              <w:t>National</w:t>
            </w:r>
            <w:r>
              <w:rPr>
                <w:spacing w:val="4"/>
                <w:sz w:val="19"/>
              </w:rPr>
              <w:t xml:space="preserve"> </w:t>
            </w:r>
            <w:r>
              <w:rPr>
                <w:sz w:val="19"/>
              </w:rPr>
              <w:t>General</w:t>
            </w:r>
            <w:r>
              <w:rPr>
                <w:spacing w:val="5"/>
                <w:sz w:val="19"/>
              </w:rPr>
              <w:t xml:space="preserve"> </w:t>
            </w:r>
            <w:r>
              <w:rPr>
                <w:sz w:val="19"/>
              </w:rPr>
              <w:t>Practice</w:t>
            </w:r>
            <w:r>
              <w:rPr>
                <w:spacing w:val="5"/>
                <w:sz w:val="19"/>
              </w:rPr>
              <w:t xml:space="preserve"> </w:t>
            </w:r>
            <w:r>
              <w:rPr>
                <w:spacing w:val="-2"/>
                <w:sz w:val="19"/>
              </w:rPr>
              <w:t>Accreditation</w:t>
            </w:r>
          </w:p>
        </w:tc>
      </w:tr>
      <w:tr w:rsidR="009D54AF" w14:paraId="33BD7306" w14:textId="77777777">
        <w:trPr>
          <w:trHeight w:val="505"/>
        </w:trPr>
        <w:tc>
          <w:tcPr>
            <w:tcW w:w="2835" w:type="dxa"/>
            <w:tcBorders>
              <w:top w:val="single" w:sz="2" w:space="0" w:color="000000"/>
              <w:left w:val="nil"/>
              <w:bottom w:val="single" w:sz="2" w:space="0" w:color="000000"/>
              <w:right w:val="single" w:sz="2" w:space="0" w:color="000000"/>
            </w:tcBorders>
          </w:tcPr>
          <w:p w14:paraId="7D8F2463" w14:textId="77777777" w:rsidR="009D54AF" w:rsidRDefault="00000000">
            <w:pPr>
              <w:pStyle w:val="TableParagraph"/>
              <w:spacing w:before="40"/>
              <w:ind w:left="85"/>
              <w:rPr>
                <w:b/>
                <w:sz w:val="19"/>
              </w:rPr>
            </w:pPr>
            <w:r>
              <w:rPr>
                <w:b/>
                <w:sz w:val="19"/>
              </w:rPr>
              <w:t>NSQDMH</w:t>
            </w:r>
            <w:r>
              <w:rPr>
                <w:b/>
                <w:spacing w:val="8"/>
                <w:sz w:val="19"/>
              </w:rPr>
              <w:t xml:space="preserve"> </w:t>
            </w:r>
            <w:r>
              <w:rPr>
                <w:b/>
                <w:spacing w:val="-2"/>
                <w:sz w:val="19"/>
              </w:rPr>
              <w:t>Standards</w:t>
            </w:r>
          </w:p>
        </w:tc>
        <w:tc>
          <w:tcPr>
            <w:tcW w:w="7370" w:type="dxa"/>
            <w:tcBorders>
              <w:top w:val="single" w:sz="2" w:space="0" w:color="000000"/>
              <w:left w:val="single" w:sz="2" w:space="0" w:color="000000"/>
              <w:bottom w:val="single" w:sz="2" w:space="0" w:color="000000"/>
              <w:right w:val="nil"/>
            </w:tcBorders>
          </w:tcPr>
          <w:p w14:paraId="7773E24C" w14:textId="77777777" w:rsidR="009D54AF" w:rsidRDefault="00000000">
            <w:pPr>
              <w:pStyle w:val="TableParagraph"/>
              <w:spacing w:before="40"/>
              <w:ind w:left="82"/>
              <w:rPr>
                <w:sz w:val="19"/>
              </w:rPr>
            </w:pPr>
            <w:r>
              <w:rPr>
                <w:sz w:val="19"/>
              </w:rPr>
              <w:t>National</w:t>
            </w:r>
            <w:r>
              <w:rPr>
                <w:spacing w:val="3"/>
                <w:sz w:val="19"/>
              </w:rPr>
              <w:t xml:space="preserve"> </w:t>
            </w:r>
            <w:r>
              <w:rPr>
                <w:sz w:val="19"/>
              </w:rPr>
              <w:t>Safety</w:t>
            </w:r>
            <w:r>
              <w:rPr>
                <w:spacing w:val="4"/>
                <w:sz w:val="19"/>
              </w:rPr>
              <w:t xml:space="preserve"> </w:t>
            </w:r>
            <w:r>
              <w:rPr>
                <w:sz w:val="19"/>
              </w:rPr>
              <w:t>and</w:t>
            </w:r>
            <w:r>
              <w:rPr>
                <w:spacing w:val="4"/>
                <w:sz w:val="19"/>
              </w:rPr>
              <w:t xml:space="preserve"> </w:t>
            </w:r>
            <w:r>
              <w:rPr>
                <w:sz w:val="19"/>
              </w:rPr>
              <w:t>Quality</w:t>
            </w:r>
            <w:r>
              <w:rPr>
                <w:spacing w:val="3"/>
                <w:sz w:val="19"/>
              </w:rPr>
              <w:t xml:space="preserve"> </w:t>
            </w:r>
            <w:r>
              <w:rPr>
                <w:sz w:val="19"/>
              </w:rPr>
              <w:t>Digital</w:t>
            </w:r>
            <w:r>
              <w:rPr>
                <w:spacing w:val="4"/>
                <w:sz w:val="19"/>
              </w:rPr>
              <w:t xml:space="preserve"> </w:t>
            </w:r>
            <w:r>
              <w:rPr>
                <w:sz w:val="19"/>
              </w:rPr>
              <w:t>Mental</w:t>
            </w:r>
            <w:r>
              <w:rPr>
                <w:spacing w:val="4"/>
                <w:sz w:val="19"/>
              </w:rPr>
              <w:t xml:space="preserve"> </w:t>
            </w:r>
            <w:r>
              <w:rPr>
                <w:sz w:val="19"/>
              </w:rPr>
              <w:t>Health</w:t>
            </w:r>
            <w:r>
              <w:rPr>
                <w:spacing w:val="4"/>
                <w:sz w:val="19"/>
              </w:rPr>
              <w:t xml:space="preserve"> </w:t>
            </w:r>
            <w:r>
              <w:rPr>
                <w:spacing w:val="-2"/>
                <w:sz w:val="19"/>
              </w:rPr>
              <w:t>Standards</w:t>
            </w:r>
          </w:p>
        </w:tc>
      </w:tr>
      <w:tr w:rsidR="009D54AF" w14:paraId="68F47D5A" w14:textId="77777777">
        <w:trPr>
          <w:trHeight w:val="505"/>
        </w:trPr>
        <w:tc>
          <w:tcPr>
            <w:tcW w:w="2835" w:type="dxa"/>
            <w:tcBorders>
              <w:top w:val="single" w:sz="2" w:space="0" w:color="000000"/>
              <w:left w:val="nil"/>
              <w:bottom w:val="single" w:sz="2" w:space="0" w:color="000000"/>
              <w:right w:val="single" w:sz="2" w:space="0" w:color="000000"/>
            </w:tcBorders>
          </w:tcPr>
          <w:p w14:paraId="05F278F0" w14:textId="77777777" w:rsidR="009D54AF" w:rsidRDefault="00000000">
            <w:pPr>
              <w:pStyle w:val="TableParagraph"/>
              <w:spacing w:before="40"/>
              <w:ind w:left="85"/>
              <w:rPr>
                <w:b/>
                <w:sz w:val="19"/>
              </w:rPr>
            </w:pPr>
            <w:r>
              <w:rPr>
                <w:b/>
                <w:sz w:val="19"/>
              </w:rPr>
              <w:t>NSQHS</w:t>
            </w:r>
            <w:r>
              <w:rPr>
                <w:b/>
                <w:spacing w:val="5"/>
                <w:sz w:val="19"/>
              </w:rPr>
              <w:t xml:space="preserve"> </w:t>
            </w:r>
            <w:r>
              <w:rPr>
                <w:b/>
                <w:spacing w:val="-2"/>
                <w:sz w:val="19"/>
              </w:rPr>
              <w:t>Standards</w:t>
            </w:r>
          </w:p>
        </w:tc>
        <w:tc>
          <w:tcPr>
            <w:tcW w:w="7370" w:type="dxa"/>
            <w:tcBorders>
              <w:top w:val="single" w:sz="2" w:space="0" w:color="000000"/>
              <w:left w:val="single" w:sz="2" w:space="0" w:color="000000"/>
              <w:bottom w:val="single" w:sz="2" w:space="0" w:color="000000"/>
              <w:right w:val="nil"/>
            </w:tcBorders>
          </w:tcPr>
          <w:p w14:paraId="421634CD" w14:textId="77777777" w:rsidR="009D54AF" w:rsidRDefault="00000000">
            <w:pPr>
              <w:pStyle w:val="TableParagraph"/>
              <w:spacing w:before="40"/>
              <w:ind w:left="82"/>
              <w:rPr>
                <w:sz w:val="19"/>
              </w:rPr>
            </w:pPr>
            <w:r>
              <w:rPr>
                <w:sz w:val="19"/>
              </w:rPr>
              <w:t>National</w:t>
            </w:r>
            <w:r>
              <w:rPr>
                <w:spacing w:val="5"/>
                <w:sz w:val="19"/>
              </w:rPr>
              <w:t xml:space="preserve"> </w:t>
            </w:r>
            <w:r>
              <w:rPr>
                <w:sz w:val="19"/>
              </w:rPr>
              <w:t>Safety</w:t>
            </w:r>
            <w:r>
              <w:rPr>
                <w:spacing w:val="6"/>
                <w:sz w:val="19"/>
              </w:rPr>
              <w:t xml:space="preserve"> </w:t>
            </w:r>
            <w:r>
              <w:rPr>
                <w:sz w:val="19"/>
              </w:rPr>
              <w:t>and</w:t>
            </w:r>
            <w:r>
              <w:rPr>
                <w:spacing w:val="5"/>
                <w:sz w:val="19"/>
              </w:rPr>
              <w:t xml:space="preserve"> </w:t>
            </w:r>
            <w:r>
              <w:rPr>
                <w:sz w:val="19"/>
              </w:rPr>
              <w:t>Quality</w:t>
            </w:r>
            <w:r>
              <w:rPr>
                <w:spacing w:val="6"/>
                <w:sz w:val="19"/>
              </w:rPr>
              <w:t xml:space="preserve"> </w:t>
            </w:r>
            <w:r>
              <w:rPr>
                <w:sz w:val="19"/>
              </w:rPr>
              <w:t>Health</w:t>
            </w:r>
            <w:r>
              <w:rPr>
                <w:spacing w:val="5"/>
                <w:sz w:val="19"/>
              </w:rPr>
              <w:t xml:space="preserve"> </w:t>
            </w:r>
            <w:r>
              <w:rPr>
                <w:sz w:val="19"/>
              </w:rPr>
              <w:t>Service</w:t>
            </w:r>
            <w:r>
              <w:rPr>
                <w:spacing w:val="6"/>
                <w:sz w:val="19"/>
              </w:rPr>
              <w:t xml:space="preserve"> </w:t>
            </w:r>
            <w:r>
              <w:rPr>
                <w:spacing w:val="-2"/>
                <w:sz w:val="19"/>
              </w:rPr>
              <w:t>Standards</w:t>
            </w:r>
          </w:p>
        </w:tc>
      </w:tr>
      <w:tr w:rsidR="009D54AF" w14:paraId="59577E39" w14:textId="77777777">
        <w:trPr>
          <w:trHeight w:val="505"/>
        </w:trPr>
        <w:tc>
          <w:tcPr>
            <w:tcW w:w="2835" w:type="dxa"/>
            <w:tcBorders>
              <w:top w:val="single" w:sz="2" w:space="0" w:color="000000"/>
              <w:left w:val="nil"/>
              <w:bottom w:val="single" w:sz="2" w:space="0" w:color="000000"/>
              <w:right w:val="single" w:sz="2" w:space="0" w:color="000000"/>
            </w:tcBorders>
          </w:tcPr>
          <w:p w14:paraId="0679E095" w14:textId="77777777" w:rsidR="009D54AF" w:rsidRDefault="00000000">
            <w:pPr>
              <w:pStyle w:val="TableParagraph"/>
              <w:spacing w:before="40"/>
              <w:ind w:left="85"/>
              <w:rPr>
                <w:b/>
                <w:sz w:val="19"/>
              </w:rPr>
            </w:pPr>
            <w:r>
              <w:rPr>
                <w:b/>
                <w:spacing w:val="-5"/>
                <w:sz w:val="19"/>
              </w:rPr>
              <w:t>PBS</w:t>
            </w:r>
          </w:p>
        </w:tc>
        <w:tc>
          <w:tcPr>
            <w:tcW w:w="7370" w:type="dxa"/>
            <w:tcBorders>
              <w:top w:val="single" w:sz="2" w:space="0" w:color="000000"/>
              <w:left w:val="single" w:sz="2" w:space="0" w:color="000000"/>
              <w:bottom w:val="single" w:sz="2" w:space="0" w:color="000000"/>
              <w:right w:val="nil"/>
            </w:tcBorders>
          </w:tcPr>
          <w:p w14:paraId="0CA9636A" w14:textId="77777777" w:rsidR="009D54AF" w:rsidRDefault="00000000">
            <w:pPr>
              <w:pStyle w:val="TableParagraph"/>
              <w:spacing w:before="40"/>
              <w:ind w:left="82"/>
              <w:rPr>
                <w:sz w:val="19"/>
              </w:rPr>
            </w:pPr>
            <w:r>
              <w:rPr>
                <w:sz w:val="19"/>
              </w:rPr>
              <w:t>Pharmaceutical</w:t>
            </w:r>
            <w:r>
              <w:rPr>
                <w:spacing w:val="6"/>
                <w:sz w:val="19"/>
              </w:rPr>
              <w:t xml:space="preserve"> </w:t>
            </w:r>
            <w:r>
              <w:rPr>
                <w:sz w:val="19"/>
              </w:rPr>
              <w:t>Benefits</w:t>
            </w:r>
            <w:r>
              <w:rPr>
                <w:spacing w:val="8"/>
                <w:sz w:val="19"/>
              </w:rPr>
              <w:t xml:space="preserve"> </w:t>
            </w:r>
            <w:r>
              <w:rPr>
                <w:spacing w:val="-2"/>
                <w:sz w:val="19"/>
              </w:rPr>
              <w:t>Scheme</w:t>
            </w:r>
          </w:p>
        </w:tc>
      </w:tr>
      <w:tr w:rsidR="009D54AF" w14:paraId="75022493" w14:textId="77777777">
        <w:trPr>
          <w:trHeight w:val="505"/>
        </w:trPr>
        <w:tc>
          <w:tcPr>
            <w:tcW w:w="2835" w:type="dxa"/>
            <w:tcBorders>
              <w:top w:val="single" w:sz="2" w:space="0" w:color="000000"/>
              <w:left w:val="nil"/>
              <w:bottom w:val="single" w:sz="2" w:space="0" w:color="000000"/>
              <w:right w:val="single" w:sz="2" w:space="0" w:color="000000"/>
            </w:tcBorders>
          </w:tcPr>
          <w:p w14:paraId="0C922AB3" w14:textId="77777777" w:rsidR="009D54AF" w:rsidRDefault="00000000">
            <w:pPr>
              <w:pStyle w:val="TableParagraph"/>
              <w:spacing w:before="40"/>
              <w:ind w:left="85"/>
              <w:rPr>
                <w:b/>
                <w:sz w:val="19"/>
              </w:rPr>
            </w:pPr>
            <w:r>
              <w:rPr>
                <w:b/>
                <w:spacing w:val="-5"/>
                <w:sz w:val="19"/>
              </w:rPr>
              <w:t>PIC</w:t>
            </w:r>
          </w:p>
        </w:tc>
        <w:tc>
          <w:tcPr>
            <w:tcW w:w="7370" w:type="dxa"/>
            <w:tcBorders>
              <w:top w:val="single" w:sz="2" w:space="0" w:color="000000"/>
              <w:left w:val="single" w:sz="2" w:space="0" w:color="000000"/>
              <w:bottom w:val="single" w:sz="2" w:space="0" w:color="000000"/>
              <w:right w:val="nil"/>
            </w:tcBorders>
          </w:tcPr>
          <w:p w14:paraId="5E7CCE45" w14:textId="77777777" w:rsidR="009D54AF" w:rsidRDefault="00000000">
            <w:pPr>
              <w:pStyle w:val="TableParagraph"/>
              <w:spacing w:before="40"/>
              <w:ind w:left="82"/>
              <w:rPr>
                <w:sz w:val="19"/>
              </w:rPr>
            </w:pPr>
            <w:proofErr w:type="spellStart"/>
            <w:r>
              <w:rPr>
                <w:sz w:val="19"/>
              </w:rPr>
              <w:t>Paediatric</w:t>
            </w:r>
            <w:proofErr w:type="spellEnd"/>
            <w:r>
              <w:rPr>
                <w:sz w:val="19"/>
              </w:rPr>
              <w:t xml:space="preserve"> Improvement</w:t>
            </w:r>
            <w:r>
              <w:rPr>
                <w:spacing w:val="1"/>
                <w:sz w:val="19"/>
              </w:rPr>
              <w:t xml:space="preserve"> </w:t>
            </w:r>
            <w:r>
              <w:rPr>
                <w:spacing w:val="-2"/>
                <w:sz w:val="19"/>
              </w:rPr>
              <w:t>Collaborative</w:t>
            </w:r>
          </w:p>
        </w:tc>
      </w:tr>
      <w:tr w:rsidR="009D54AF" w14:paraId="5FE66E3E" w14:textId="77777777">
        <w:trPr>
          <w:trHeight w:val="505"/>
        </w:trPr>
        <w:tc>
          <w:tcPr>
            <w:tcW w:w="2835" w:type="dxa"/>
            <w:tcBorders>
              <w:top w:val="single" w:sz="2" w:space="0" w:color="000000"/>
              <w:left w:val="nil"/>
              <w:bottom w:val="single" w:sz="2" w:space="0" w:color="000000"/>
              <w:right w:val="single" w:sz="2" w:space="0" w:color="000000"/>
            </w:tcBorders>
          </w:tcPr>
          <w:p w14:paraId="6E4210BD" w14:textId="77777777" w:rsidR="009D54AF" w:rsidRDefault="00000000">
            <w:pPr>
              <w:pStyle w:val="TableParagraph"/>
              <w:spacing w:before="40"/>
              <w:ind w:left="85"/>
              <w:rPr>
                <w:b/>
                <w:sz w:val="19"/>
              </w:rPr>
            </w:pPr>
            <w:r>
              <w:rPr>
                <w:b/>
                <w:spacing w:val="-4"/>
                <w:sz w:val="19"/>
              </w:rPr>
              <w:t>PREM</w:t>
            </w:r>
          </w:p>
        </w:tc>
        <w:tc>
          <w:tcPr>
            <w:tcW w:w="7370" w:type="dxa"/>
            <w:tcBorders>
              <w:top w:val="single" w:sz="2" w:space="0" w:color="000000"/>
              <w:left w:val="single" w:sz="2" w:space="0" w:color="000000"/>
              <w:bottom w:val="single" w:sz="2" w:space="0" w:color="000000"/>
              <w:right w:val="nil"/>
            </w:tcBorders>
          </w:tcPr>
          <w:p w14:paraId="77890DE1" w14:textId="77777777" w:rsidR="009D54AF" w:rsidRDefault="00000000">
            <w:pPr>
              <w:pStyle w:val="TableParagraph"/>
              <w:spacing w:before="40"/>
              <w:ind w:left="82"/>
              <w:rPr>
                <w:sz w:val="19"/>
              </w:rPr>
            </w:pPr>
            <w:r>
              <w:rPr>
                <w:sz w:val="19"/>
              </w:rPr>
              <w:t>patient-reported</w:t>
            </w:r>
            <w:r>
              <w:rPr>
                <w:spacing w:val="9"/>
                <w:sz w:val="19"/>
              </w:rPr>
              <w:t xml:space="preserve"> </w:t>
            </w:r>
            <w:r>
              <w:rPr>
                <w:sz w:val="19"/>
              </w:rPr>
              <w:t>experience</w:t>
            </w:r>
            <w:r>
              <w:rPr>
                <w:spacing w:val="10"/>
                <w:sz w:val="19"/>
              </w:rPr>
              <w:t xml:space="preserve"> </w:t>
            </w:r>
            <w:r>
              <w:rPr>
                <w:spacing w:val="-2"/>
                <w:sz w:val="19"/>
              </w:rPr>
              <w:t>measures</w:t>
            </w:r>
          </w:p>
        </w:tc>
      </w:tr>
      <w:tr w:rsidR="009D54AF" w14:paraId="1817DAE7" w14:textId="77777777">
        <w:trPr>
          <w:trHeight w:val="505"/>
        </w:trPr>
        <w:tc>
          <w:tcPr>
            <w:tcW w:w="2835" w:type="dxa"/>
            <w:tcBorders>
              <w:top w:val="single" w:sz="2" w:space="0" w:color="000000"/>
              <w:left w:val="nil"/>
              <w:bottom w:val="single" w:sz="2" w:space="0" w:color="000000"/>
              <w:right w:val="single" w:sz="2" w:space="0" w:color="000000"/>
            </w:tcBorders>
          </w:tcPr>
          <w:p w14:paraId="262023F5" w14:textId="77777777" w:rsidR="009D54AF" w:rsidRDefault="00000000">
            <w:pPr>
              <w:pStyle w:val="TableParagraph"/>
              <w:spacing w:before="40"/>
              <w:ind w:left="85"/>
              <w:rPr>
                <w:b/>
                <w:sz w:val="19"/>
              </w:rPr>
            </w:pPr>
            <w:r>
              <w:rPr>
                <w:b/>
                <w:spacing w:val="-4"/>
                <w:sz w:val="19"/>
              </w:rPr>
              <w:t>PROM</w:t>
            </w:r>
          </w:p>
        </w:tc>
        <w:tc>
          <w:tcPr>
            <w:tcW w:w="7370" w:type="dxa"/>
            <w:tcBorders>
              <w:top w:val="single" w:sz="2" w:space="0" w:color="000000"/>
              <w:left w:val="single" w:sz="2" w:space="0" w:color="000000"/>
              <w:bottom w:val="single" w:sz="2" w:space="0" w:color="000000"/>
              <w:right w:val="nil"/>
            </w:tcBorders>
          </w:tcPr>
          <w:p w14:paraId="3A1022E7" w14:textId="77777777" w:rsidR="009D54AF" w:rsidRDefault="00000000">
            <w:pPr>
              <w:pStyle w:val="TableParagraph"/>
              <w:spacing w:before="40"/>
              <w:ind w:left="82"/>
              <w:rPr>
                <w:sz w:val="19"/>
              </w:rPr>
            </w:pPr>
            <w:r>
              <w:rPr>
                <w:sz w:val="19"/>
              </w:rPr>
              <w:t>patient-reported</w:t>
            </w:r>
            <w:r>
              <w:rPr>
                <w:spacing w:val="8"/>
                <w:sz w:val="19"/>
              </w:rPr>
              <w:t xml:space="preserve"> </w:t>
            </w:r>
            <w:r>
              <w:rPr>
                <w:sz w:val="19"/>
              </w:rPr>
              <w:t>outcome</w:t>
            </w:r>
            <w:r>
              <w:rPr>
                <w:spacing w:val="9"/>
                <w:sz w:val="19"/>
              </w:rPr>
              <w:t xml:space="preserve"> </w:t>
            </w:r>
            <w:r>
              <w:rPr>
                <w:spacing w:val="-2"/>
                <w:sz w:val="19"/>
              </w:rPr>
              <w:t>measures</w:t>
            </w:r>
          </w:p>
        </w:tc>
      </w:tr>
      <w:tr w:rsidR="009D54AF" w14:paraId="77C81D20" w14:textId="77777777">
        <w:trPr>
          <w:trHeight w:val="505"/>
        </w:trPr>
        <w:tc>
          <w:tcPr>
            <w:tcW w:w="2835" w:type="dxa"/>
            <w:tcBorders>
              <w:top w:val="single" w:sz="2" w:space="0" w:color="000000"/>
              <w:left w:val="nil"/>
              <w:bottom w:val="single" w:sz="2" w:space="0" w:color="000000"/>
              <w:right w:val="single" w:sz="2" w:space="0" w:color="000000"/>
            </w:tcBorders>
          </w:tcPr>
          <w:p w14:paraId="6635815E" w14:textId="77777777" w:rsidR="009D54AF" w:rsidRDefault="00000000">
            <w:pPr>
              <w:pStyle w:val="TableParagraph"/>
              <w:spacing w:before="40"/>
              <w:ind w:left="85"/>
              <w:rPr>
                <w:b/>
                <w:sz w:val="19"/>
              </w:rPr>
            </w:pPr>
            <w:r>
              <w:rPr>
                <w:b/>
                <w:spacing w:val="-5"/>
                <w:sz w:val="19"/>
              </w:rPr>
              <w:t>QUM</w:t>
            </w:r>
          </w:p>
        </w:tc>
        <w:tc>
          <w:tcPr>
            <w:tcW w:w="7370" w:type="dxa"/>
            <w:tcBorders>
              <w:top w:val="single" w:sz="2" w:space="0" w:color="000000"/>
              <w:left w:val="single" w:sz="2" w:space="0" w:color="000000"/>
              <w:bottom w:val="single" w:sz="2" w:space="0" w:color="000000"/>
              <w:right w:val="nil"/>
            </w:tcBorders>
          </w:tcPr>
          <w:p w14:paraId="2DB0EEDB" w14:textId="77777777" w:rsidR="009D54AF" w:rsidRDefault="00000000">
            <w:pPr>
              <w:pStyle w:val="TableParagraph"/>
              <w:spacing w:before="40"/>
              <w:ind w:left="82"/>
              <w:rPr>
                <w:sz w:val="19"/>
              </w:rPr>
            </w:pPr>
            <w:r>
              <w:rPr>
                <w:sz w:val="19"/>
              </w:rPr>
              <w:t>quality</w:t>
            </w:r>
            <w:r>
              <w:rPr>
                <w:spacing w:val="1"/>
                <w:sz w:val="19"/>
              </w:rPr>
              <w:t xml:space="preserve"> </w:t>
            </w:r>
            <w:r>
              <w:rPr>
                <w:sz w:val="19"/>
              </w:rPr>
              <w:t>use</w:t>
            </w:r>
            <w:r>
              <w:rPr>
                <w:spacing w:val="1"/>
                <w:sz w:val="19"/>
              </w:rPr>
              <w:t xml:space="preserve"> </w:t>
            </w:r>
            <w:r>
              <w:rPr>
                <w:sz w:val="19"/>
              </w:rPr>
              <w:t>of</w:t>
            </w:r>
            <w:r>
              <w:rPr>
                <w:spacing w:val="1"/>
                <w:sz w:val="19"/>
              </w:rPr>
              <w:t xml:space="preserve"> </w:t>
            </w:r>
            <w:r>
              <w:rPr>
                <w:spacing w:val="-2"/>
                <w:sz w:val="19"/>
              </w:rPr>
              <w:t>medicines</w:t>
            </w:r>
          </w:p>
        </w:tc>
      </w:tr>
      <w:tr w:rsidR="009D54AF" w14:paraId="1A4496E8" w14:textId="77777777">
        <w:trPr>
          <w:trHeight w:val="505"/>
        </w:trPr>
        <w:tc>
          <w:tcPr>
            <w:tcW w:w="2835" w:type="dxa"/>
            <w:tcBorders>
              <w:top w:val="single" w:sz="2" w:space="0" w:color="000000"/>
              <w:left w:val="nil"/>
              <w:bottom w:val="single" w:sz="2" w:space="0" w:color="000000"/>
              <w:right w:val="single" w:sz="2" w:space="0" w:color="000000"/>
            </w:tcBorders>
          </w:tcPr>
          <w:p w14:paraId="53123F19" w14:textId="77777777" w:rsidR="009D54AF" w:rsidRDefault="00000000">
            <w:pPr>
              <w:pStyle w:val="TableParagraph"/>
              <w:spacing w:before="40"/>
              <w:ind w:left="85"/>
              <w:rPr>
                <w:b/>
                <w:sz w:val="19"/>
              </w:rPr>
            </w:pPr>
            <w:r>
              <w:rPr>
                <w:b/>
                <w:spacing w:val="-2"/>
                <w:sz w:val="19"/>
              </w:rPr>
              <w:t>RACGP</w:t>
            </w:r>
          </w:p>
        </w:tc>
        <w:tc>
          <w:tcPr>
            <w:tcW w:w="7370" w:type="dxa"/>
            <w:tcBorders>
              <w:top w:val="single" w:sz="2" w:space="0" w:color="000000"/>
              <w:left w:val="single" w:sz="2" w:space="0" w:color="000000"/>
              <w:bottom w:val="single" w:sz="2" w:space="0" w:color="000000"/>
              <w:right w:val="nil"/>
            </w:tcBorders>
          </w:tcPr>
          <w:p w14:paraId="7E0B8043" w14:textId="77777777" w:rsidR="009D54AF" w:rsidRDefault="00000000">
            <w:pPr>
              <w:pStyle w:val="TableParagraph"/>
              <w:spacing w:before="40"/>
              <w:ind w:left="82"/>
              <w:rPr>
                <w:sz w:val="19"/>
              </w:rPr>
            </w:pPr>
            <w:r>
              <w:rPr>
                <w:sz w:val="19"/>
              </w:rPr>
              <w:t>Royal</w:t>
            </w:r>
            <w:r>
              <w:rPr>
                <w:spacing w:val="1"/>
                <w:sz w:val="19"/>
              </w:rPr>
              <w:t xml:space="preserve"> </w:t>
            </w:r>
            <w:r>
              <w:rPr>
                <w:sz w:val="19"/>
              </w:rPr>
              <w:t>Australian</w:t>
            </w:r>
            <w:r>
              <w:rPr>
                <w:spacing w:val="1"/>
                <w:sz w:val="19"/>
              </w:rPr>
              <w:t xml:space="preserve"> </w:t>
            </w:r>
            <w:r>
              <w:rPr>
                <w:sz w:val="19"/>
              </w:rPr>
              <w:t>College</w:t>
            </w:r>
            <w:r>
              <w:rPr>
                <w:spacing w:val="1"/>
                <w:sz w:val="19"/>
              </w:rPr>
              <w:t xml:space="preserve"> </w:t>
            </w:r>
            <w:r>
              <w:rPr>
                <w:sz w:val="19"/>
              </w:rPr>
              <w:t>of</w:t>
            </w:r>
            <w:r>
              <w:rPr>
                <w:spacing w:val="1"/>
                <w:sz w:val="19"/>
              </w:rPr>
              <w:t xml:space="preserve"> </w:t>
            </w:r>
            <w:r>
              <w:rPr>
                <w:sz w:val="19"/>
              </w:rPr>
              <w:t>General</w:t>
            </w:r>
            <w:r>
              <w:rPr>
                <w:spacing w:val="1"/>
                <w:sz w:val="19"/>
              </w:rPr>
              <w:t xml:space="preserve"> </w:t>
            </w:r>
            <w:r>
              <w:rPr>
                <w:spacing w:val="-2"/>
                <w:sz w:val="19"/>
              </w:rPr>
              <w:t>Practitioners</w:t>
            </w:r>
          </w:p>
        </w:tc>
      </w:tr>
      <w:tr w:rsidR="009D54AF" w14:paraId="3A8139C6" w14:textId="77777777">
        <w:trPr>
          <w:trHeight w:val="505"/>
        </w:trPr>
        <w:tc>
          <w:tcPr>
            <w:tcW w:w="2835" w:type="dxa"/>
            <w:tcBorders>
              <w:top w:val="single" w:sz="2" w:space="0" w:color="000000"/>
              <w:left w:val="nil"/>
              <w:bottom w:val="single" w:sz="2" w:space="0" w:color="000000"/>
              <w:right w:val="single" w:sz="2" w:space="0" w:color="000000"/>
            </w:tcBorders>
          </w:tcPr>
          <w:p w14:paraId="545E12D4" w14:textId="77777777" w:rsidR="009D54AF" w:rsidRDefault="00000000">
            <w:pPr>
              <w:pStyle w:val="TableParagraph"/>
              <w:spacing w:before="40"/>
              <w:ind w:left="85"/>
              <w:rPr>
                <w:b/>
                <w:sz w:val="19"/>
              </w:rPr>
            </w:pPr>
            <w:r>
              <w:rPr>
                <w:b/>
                <w:spacing w:val="-5"/>
                <w:sz w:val="19"/>
              </w:rPr>
              <w:t>RAP</w:t>
            </w:r>
          </w:p>
        </w:tc>
        <w:tc>
          <w:tcPr>
            <w:tcW w:w="7370" w:type="dxa"/>
            <w:tcBorders>
              <w:top w:val="single" w:sz="2" w:space="0" w:color="000000"/>
              <w:left w:val="single" w:sz="2" w:space="0" w:color="000000"/>
              <w:bottom w:val="single" w:sz="2" w:space="0" w:color="000000"/>
              <w:right w:val="nil"/>
            </w:tcBorders>
          </w:tcPr>
          <w:p w14:paraId="380532F9" w14:textId="77777777" w:rsidR="009D54AF" w:rsidRDefault="00000000">
            <w:pPr>
              <w:pStyle w:val="TableParagraph"/>
              <w:spacing w:before="40"/>
              <w:ind w:left="82"/>
              <w:rPr>
                <w:sz w:val="19"/>
              </w:rPr>
            </w:pPr>
            <w:r>
              <w:rPr>
                <w:sz w:val="19"/>
              </w:rPr>
              <w:t>Reconciliation</w:t>
            </w:r>
            <w:r>
              <w:rPr>
                <w:spacing w:val="4"/>
                <w:sz w:val="19"/>
              </w:rPr>
              <w:t xml:space="preserve"> </w:t>
            </w:r>
            <w:r>
              <w:rPr>
                <w:sz w:val="19"/>
              </w:rPr>
              <w:t>Action</w:t>
            </w:r>
            <w:r>
              <w:rPr>
                <w:spacing w:val="6"/>
                <w:sz w:val="19"/>
              </w:rPr>
              <w:t xml:space="preserve"> </w:t>
            </w:r>
            <w:r>
              <w:rPr>
                <w:spacing w:val="-4"/>
                <w:sz w:val="19"/>
              </w:rPr>
              <w:t>Plan</w:t>
            </w:r>
          </w:p>
        </w:tc>
      </w:tr>
      <w:tr w:rsidR="009D54AF" w14:paraId="7FAC594D" w14:textId="77777777">
        <w:trPr>
          <w:trHeight w:val="505"/>
        </w:trPr>
        <w:tc>
          <w:tcPr>
            <w:tcW w:w="2835" w:type="dxa"/>
            <w:tcBorders>
              <w:top w:val="single" w:sz="2" w:space="0" w:color="000000"/>
              <w:left w:val="nil"/>
              <w:bottom w:val="single" w:sz="2" w:space="0" w:color="000000"/>
              <w:right w:val="single" w:sz="2" w:space="0" w:color="000000"/>
            </w:tcBorders>
          </w:tcPr>
          <w:p w14:paraId="0A922711" w14:textId="77777777" w:rsidR="009D54AF" w:rsidRDefault="00000000">
            <w:pPr>
              <w:pStyle w:val="TableParagraph"/>
              <w:spacing w:before="40"/>
              <w:ind w:left="85"/>
              <w:rPr>
                <w:b/>
                <w:sz w:val="19"/>
              </w:rPr>
            </w:pPr>
            <w:r>
              <w:rPr>
                <w:b/>
                <w:spacing w:val="-2"/>
                <w:sz w:val="19"/>
              </w:rPr>
              <w:t>SEISC</w:t>
            </w:r>
          </w:p>
        </w:tc>
        <w:tc>
          <w:tcPr>
            <w:tcW w:w="7370" w:type="dxa"/>
            <w:tcBorders>
              <w:top w:val="single" w:sz="2" w:space="0" w:color="000000"/>
              <w:left w:val="single" w:sz="2" w:space="0" w:color="000000"/>
              <w:bottom w:val="single" w:sz="2" w:space="0" w:color="000000"/>
              <w:right w:val="nil"/>
            </w:tcBorders>
          </w:tcPr>
          <w:p w14:paraId="23F16B41" w14:textId="77777777" w:rsidR="009D54AF" w:rsidRDefault="00000000">
            <w:pPr>
              <w:pStyle w:val="TableParagraph"/>
              <w:spacing w:before="40"/>
              <w:ind w:left="82"/>
              <w:rPr>
                <w:sz w:val="19"/>
              </w:rPr>
            </w:pPr>
            <w:r>
              <w:rPr>
                <w:sz w:val="19"/>
              </w:rPr>
              <w:t>Sentinel Event</w:t>
            </w:r>
            <w:r>
              <w:rPr>
                <w:spacing w:val="1"/>
                <w:sz w:val="19"/>
              </w:rPr>
              <w:t xml:space="preserve"> </w:t>
            </w:r>
            <w:r>
              <w:rPr>
                <w:sz w:val="19"/>
              </w:rPr>
              <w:t>Internal Steering</w:t>
            </w:r>
            <w:r>
              <w:rPr>
                <w:spacing w:val="1"/>
                <w:sz w:val="19"/>
              </w:rPr>
              <w:t xml:space="preserve"> </w:t>
            </w:r>
            <w:r>
              <w:rPr>
                <w:spacing w:val="-2"/>
                <w:sz w:val="19"/>
              </w:rPr>
              <w:t>Committee</w:t>
            </w:r>
          </w:p>
        </w:tc>
      </w:tr>
      <w:tr w:rsidR="009D54AF" w14:paraId="1FBF2CDD" w14:textId="77777777">
        <w:trPr>
          <w:trHeight w:val="505"/>
        </w:trPr>
        <w:tc>
          <w:tcPr>
            <w:tcW w:w="2835" w:type="dxa"/>
            <w:tcBorders>
              <w:top w:val="single" w:sz="2" w:space="0" w:color="000000"/>
              <w:left w:val="nil"/>
              <w:bottom w:val="single" w:sz="2" w:space="0" w:color="000000"/>
              <w:right w:val="single" w:sz="2" w:space="0" w:color="000000"/>
            </w:tcBorders>
          </w:tcPr>
          <w:p w14:paraId="11EAE420" w14:textId="77777777" w:rsidR="009D54AF" w:rsidRDefault="00000000">
            <w:pPr>
              <w:pStyle w:val="TableParagraph"/>
              <w:spacing w:before="40"/>
              <w:ind w:left="85"/>
              <w:rPr>
                <w:b/>
                <w:sz w:val="19"/>
              </w:rPr>
            </w:pPr>
            <w:r>
              <w:rPr>
                <w:b/>
                <w:spacing w:val="-5"/>
                <w:sz w:val="19"/>
              </w:rPr>
              <w:t>TGA</w:t>
            </w:r>
          </w:p>
        </w:tc>
        <w:tc>
          <w:tcPr>
            <w:tcW w:w="7370" w:type="dxa"/>
            <w:tcBorders>
              <w:top w:val="single" w:sz="2" w:space="0" w:color="000000"/>
              <w:left w:val="single" w:sz="2" w:space="0" w:color="000000"/>
              <w:bottom w:val="single" w:sz="2" w:space="0" w:color="000000"/>
              <w:right w:val="nil"/>
            </w:tcBorders>
          </w:tcPr>
          <w:p w14:paraId="7B3E4A8E" w14:textId="77777777" w:rsidR="009D54AF" w:rsidRDefault="00000000">
            <w:pPr>
              <w:pStyle w:val="TableParagraph"/>
              <w:spacing w:before="40"/>
              <w:ind w:left="82"/>
              <w:rPr>
                <w:sz w:val="19"/>
              </w:rPr>
            </w:pPr>
            <w:r>
              <w:rPr>
                <w:sz w:val="19"/>
              </w:rPr>
              <w:t>Therapeutic</w:t>
            </w:r>
            <w:r>
              <w:rPr>
                <w:spacing w:val="5"/>
                <w:sz w:val="19"/>
              </w:rPr>
              <w:t xml:space="preserve"> </w:t>
            </w:r>
            <w:r>
              <w:rPr>
                <w:sz w:val="19"/>
              </w:rPr>
              <w:t>Goods</w:t>
            </w:r>
            <w:r>
              <w:rPr>
                <w:spacing w:val="6"/>
                <w:sz w:val="19"/>
              </w:rPr>
              <w:t xml:space="preserve"> </w:t>
            </w:r>
            <w:r>
              <w:rPr>
                <w:spacing w:val="-2"/>
                <w:sz w:val="19"/>
              </w:rPr>
              <w:t>Administration</w:t>
            </w:r>
          </w:p>
        </w:tc>
      </w:tr>
    </w:tbl>
    <w:p w14:paraId="4556CCEF" w14:textId="77777777" w:rsidR="00400729" w:rsidRDefault="00400729">
      <w:pPr>
        <w:pStyle w:val="Heading1"/>
        <w:spacing w:before="116"/>
        <w:rPr>
          <w:spacing w:val="-2"/>
        </w:rPr>
      </w:pPr>
      <w:bookmarkStart w:id="86" w:name="_TOC_250004"/>
      <w:bookmarkStart w:id="87" w:name="_Glossary"/>
      <w:bookmarkEnd w:id="86"/>
      <w:bookmarkEnd w:id="87"/>
    </w:p>
    <w:p w14:paraId="6C1D7898" w14:textId="77777777" w:rsidR="00400729" w:rsidRDefault="00400729">
      <w:pPr>
        <w:rPr>
          <w:b/>
          <w:bCs/>
          <w:spacing w:val="-2"/>
          <w:sz w:val="40"/>
          <w:szCs w:val="40"/>
        </w:rPr>
      </w:pPr>
      <w:r>
        <w:rPr>
          <w:spacing w:val="-2"/>
        </w:rPr>
        <w:br w:type="page"/>
      </w:r>
    </w:p>
    <w:p w14:paraId="0428D6C2" w14:textId="2E00B49B" w:rsidR="009D54AF" w:rsidRDefault="00000000">
      <w:pPr>
        <w:pStyle w:val="Heading1"/>
        <w:spacing w:before="116"/>
      </w:pPr>
      <w:bookmarkStart w:id="88" w:name="_Toc243037295"/>
      <w:r>
        <w:rPr>
          <w:spacing w:val="-2"/>
        </w:rPr>
        <w:lastRenderedPageBreak/>
        <w:t>Glossary</w:t>
      </w:r>
      <w:bookmarkEnd w:id="88"/>
    </w:p>
    <w:p w14:paraId="2DC373FE" w14:textId="77777777" w:rsidR="009D54AF" w:rsidRDefault="009D54AF">
      <w:pPr>
        <w:pStyle w:val="BodyText"/>
        <w:spacing w:before="1" w:after="1"/>
        <w:rPr>
          <w:b/>
          <w:sz w:val="14"/>
        </w:rPr>
      </w:pPr>
    </w:p>
    <w:tbl>
      <w:tblPr>
        <w:tblW w:w="0" w:type="auto"/>
        <w:tblInd w:w="149"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CellMar>
          <w:left w:w="0" w:type="dxa"/>
          <w:right w:w="0" w:type="dxa"/>
        </w:tblCellMar>
        <w:tblLook w:val="01E0" w:firstRow="1" w:lastRow="1" w:firstColumn="1" w:lastColumn="1" w:noHBand="0" w:noVBand="0"/>
      </w:tblPr>
      <w:tblGrid>
        <w:gridCol w:w="2835"/>
        <w:gridCol w:w="7370"/>
      </w:tblGrid>
      <w:tr w:rsidR="009D54AF" w14:paraId="6DB2B42D" w14:textId="77777777" w:rsidTr="00400729">
        <w:trPr>
          <w:trHeight w:val="510"/>
          <w:tblHeader/>
        </w:trPr>
        <w:tc>
          <w:tcPr>
            <w:tcW w:w="2835" w:type="dxa"/>
            <w:tcBorders>
              <w:top w:val="nil"/>
              <w:left w:val="nil"/>
              <w:bottom w:val="nil"/>
            </w:tcBorders>
            <w:shd w:val="clear" w:color="auto" w:fill="000000"/>
          </w:tcPr>
          <w:p w14:paraId="3E45B4DC" w14:textId="77777777" w:rsidR="009D54AF" w:rsidRDefault="00000000">
            <w:pPr>
              <w:pStyle w:val="TableParagraph"/>
              <w:spacing w:before="145"/>
              <w:ind w:left="85"/>
              <w:rPr>
                <w:b/>
                <w:sz w:val="19"/>
              </w:rPr>
            </w:pPr>
            <w:r>
              <w:rPr>
                <w:b/>
                <w:color w:val="FFFFFF"/>
                <w:spacing w:val="-4"/>
                <w:sz w:val="19"/>
              </w:rPr>
              <w:t>Word</w:t>
            </w:r>
          </w:p>
        </w:tc>
        <w:tc>
          <w:tcPr>
            <w:tcW w:w="7370" w:type="dxa"/>
            <w:tcBorders>
              <w:top w:val="nil"/>
              <w:bottom w:val="nil"/>
              <w:right w:val="nil"/>
            </w:tcBorders>
            <w:shd w:val="clear" w:color="auto" w:fill="000000"/>
          </w:tcPr>
          <w:p w14:paraId="133830BE" w14:textId="77777777" w:rsidR="009D54AF" w:rsidRDefault="00000000">
            <w:pPr>
              <w:pStyle w:val="TableParagraph"/>
              <w:spacing w:before="145"/>
              <w:ind w:left="79"/>
              <w:rPr>
                <w:b/>
                <w:sz w:val="19"/>
              </w:rPr>
            </w:pPr>
            <w:r>
              <w:rPr>
                <w:b/>
                <w:color w:val="FFFFFF"/>
                <w:spacing w:val="-2"/>
                <w:sz w:val="19"/>
              </w:rPr>
              <w:t>Description</w:t>
            </w:r>
          </w:p>
        </w:tc>
      </w:tr>
      <w:tr w:rsidR="009D54AF" w14:paraId="14A709FE" w14:textId="77777777">
        <w:trPr>
          <w:trHeight w:val="713"/>
        </w:trPr>
        <w:tc>
          <w:tcPr>
            <w:tcW w:w="2835" w:type="dxa"/>
            <w:tcBorders>
              <w:top w:val="nil"/>
              <w:left w:val="nil"/>
              <w:bottom w:val="single" w:sz="2" w:space="0" w:color="000000"/>
              <w:right w:val="single" w:sz="2" w:space="0" w:color="000000"/>
            </w:tcBorders>
          </w:tcPr>
          <w:p w14:paraId="7BB7034D" w14:textId="77777777" w:rsidR="009D54AF" w:rsidRDefault="00000000">
            <w:pPr>
              <w:pStyle w:val="TableParagraph"/>
              <w:spacing w:before="33"/>
              <w:ind w:left="85"/>
              <w:rPr>
                <w:b/>
                <w:sz w:val="19"/>
              </w:rPr>
            </w:pPr>
            <w:r>
              <w:rPr>
                <w:b/>
                <w:spacing w:val="-2"/>
                <w:sz w:val="19"/>
              </w:rPr>
              <w:t>Accreditation</w:t>
            </w:r>
          </w:p>
        </w:tc>
        <w:tc>
          <w:tcPr>
            <w:tcW w:w="7370" w:type="dxa"/>
            <w:tcBorders>
              <w:top w:val="nil"/>
              <w:left w:val="single" w:sz="2" w:space="0" w:color="000000"/>
              <w:bottom w:val="single" w:sz="2" w:space="0" w:color="000000"/>
              <w:right w:val="nil"/>
            </w:tcBorders>
          </w:tcPr>
          <w:p w14:paraId="3706A2F9" w14:textId="77777777" w:rsidR="009D54AF" w:rsidRDefault="00000000">
            <w:pPr>
              <w:pStyle w:val="TableParagraph"/>
              <w:spacing w:before="40" w:line="230" w:lineRule="auto"/>
              <w:ind w:left="82"/>
              <w:rPr>
                <w:sz w:val="19"/>
              </w:rPr>
            </w:pPr>
            <w:r>
              <w:rPr>
                <w:sz w:val="19"/>
              </w:rPr>
              <w:t>A formal program where trained independent reviewers assess evidence of implementation for specified standards. In this document, the relevant standards are the National Safety and Quality Health Service (NSQHS) Standards.</w:t>
            </w:r>
          </w:p>
        </w:tc>
      </w:tr>
      <w:tr w:rsidR="009D54AF" w14:paraId="4E17807F" w14:textId="77777777">
        <w:trPr>
          <w:trHeight w:val="505"/>
        </w:trPr>
        <w:tc>
          <w:tcPr>
            <w:tcW w:w="2835" w:type="dxa"/>
            <w:tcBorders>
              <w:top w:val="single" w:sz="2" w:space="0" w:color="000000"/>
              <w:left w:val="nil"/>
              <w:bottom w:val="single" w:sz="2" w:space="0" w:color="000000"/>
              <w:right w:val="single" w:sz="2" w:space="0" w:color="000000"/>
            </w:tcBorders>
          </w:tcPr>
          <w:p w14:paraId="67371F73" w14:textId="77777777" w:rsidR="009D54AF" w:rsidRDefault="00000000">
            <w:pPr>
              <w:pStyle w:val="TableParagraph"/>
              <w:spacing w:before="142"/>
              <w:ind w:left="85"/>
              <w:rPr>
                <w:b/>
                <w:sz w:val="19"/>
              </w:rPr>
            </w:pPr>
            <w:r>
              <w:rPr>
                <w:b/>
                <w:sz w:val="19"/>
              </w:rPr>
              <w:t>Adverse</w:t>
            </w:r>
            <w:r>
              <w:rPr>
                <w:b/>
                <w:spacing w:val="5"/>
                <w:sz w:val="19"/>
              </w:rPr>
              <w:t xml:space="preserve"> </w:t>
            </w:r>
            <w:r>
              <w:rPr>
                <w:b/>
                <w:spacing w:val="-2"/>
                <w:sz w:val="19"/>
              </w:rPr>
              <w:t>event</w:t>
            </w:r>
          </w:p>
        </w:tc>
        <w:tc>
          <w:tcPr>
            <w:tcW w:w="7370" w:type="dxa"/>
            <w:tcBorders>
              <w:top w:val="single" w:sz="2" w:space="0" w:color="000000"/>
              <w:left w:val="single" w:sz="2" w:space="0" w:color="000000"/>
              <w:bottom w:val="single" w:sz="2" w:space="0" w:color="000000"/>
              <w:right w:val="nil"/>
            </w:tcBorders>
          </w:tcPr>
          <w:p w14:paraId="48BE783C" w14:textId="77777777" w:rsidR="009D54AF" w:rsidRDefault="00000000">
            <w:pPr>
              <w:pStyle w:val="TableParagraph"/>
              <w:spacing w:before="142"/>
              <w:ind w:left="82"/>
              <w:rPr>
                <w:sz w:val="19"/>
              </w:rPr>
            </w:pPr>
            <w:r>
              <w:rPr>
                <w:sz w:val="19"/>
              </w:rPr>
              <w:t>An</w:t>
            </w:r>
            <w:r>
              <w:rPr>
                <w:spacing w:val="-1"/>
                <w:sz w:val="19"/>
              </w:rPr>
              <w:t xml:space="preserve"> </w:t>
            </w:r>
            <w:r>
              <w:rPr>
                <w:sz w:val="19"/>
              </w:rPr>
              <w:t>incident</w:t>
            </w:r>
            <w:r>
              <w:rPr>
                <w:spacing w:val="1"/>
                <w:sz w:val="19"/>
              </w:rPr>
              <w:t xml:space="preserve"> </w:t>
            </w:r>
            <w:r>
              <w:rPr>
                <w:sz w:val="19"/>
              </w:rPr>
              <w:t>that</w:t>
            </w:r>
            <w:r>
              <w:rPr>
                <w:spacing w:val="1"/>
                <w:sz w:val="19"/>
              </w:rPr>
              <w:t xml:space="preserve"> </w:t>
            </w:r>
            <w:r>
              <w:rPr>
                <w:sz w:val="19"/>
              </w:rPr>
              <w:t>results</w:t>
            </w:r>
            <w:r>
              <w:rPr>
                <w:spacing w:val="1"/>
                <w:sz w:val="19"/>
              </w:rPr>
              <w:t xml:space="preserve"> </w:t>
            </w:r>
            <w:r>
              <w:rPr>
                <w:sz w:val="19"/>
              </w:rPr>
              <w:t>in</w:t>
            </w:r>
            <w:r>
              <w:rPr>
                <w:spacing w:val="1"/>
                <w:sz w:val="19"/>
              </w:rPr>
              <w:t xml:space="preserve"> </w:t>
            </w:r>
            <w:r>
              <w:rPr>
                <w:sz w:val="19"/>
              </w:rPr>
              <w:t>harm</w:t>
            </w:r>
            <w:r>
              <w:rPr>
                <w:spacing w:val="1"/>
                <w:sz w:val="19"/>
              </w:rPr>
              <w:t xml:space="preserve"> </w:t>
            </w:r>
            <w:r>
              <w:rPr>
                <w:sz w:val="19"/>
              </w:rPr>
              <w:t>to</w:t>
            </w:r>
            <w:r>
              <w:rPr>
                <w:spacing w:val="1"/>
                <w:sz w:val="19"/>
              </w:rPr>
              <w:t xml:space="preserve"> </w:t>
            </w:r>
            <w:r>
              <w:rPr>
                <w:sz w:val="19"/>
              </w:rPr>
              <w:t>a</w:t>
            </w:r>
            <w:r>
              <w:rPr>
                <w:spacing w:val="1"/>
                <w:sz w:val="19"/>
              </w:rPr>
              <w:t xml:space="preserve"> </w:t>
            </w:r>
            <w:r>
              <w:rPr>
                <w:sz w:val="19"/>
              </w:rPr>
              <w:t>patient</w:t>
            </w:r>
            <w:r>
              <w:rPr>
                <w:spacing w:val="1"/>
                <w:sz w:val="19"/>
              </w:rPr>
              <w:t xml:space="preserve"> </w:t>
            </w:r>
            <w:r>
              <w:rPr>
                <w:sz w:val="19"/>
              </w:rPr>
              <w:t>or</w:t>
            </w:r>
            <w:r>
              <w:rPr>
                <w:spacing w:val="1"/>
                <w:sz w:val="19"/>
              </w:rPr>
              <w:t xml:space="preserve"> </w:t>
            </w:r>
            <w:r>
              <w:rPr>
                <w:spacing w:val="-2"/>
                <w:sz w:val="19"/>
              </w:rPr>
              <w:t>consumer.</w:t>
            </w:r>
          </w:p>
        </w:tc>
      </w:tr>
      <w:tr w:rsidR="009D54AF" w14:paraId="39453F8F" w14:textId="77777777">
        <w:trPr>
          <w:trHeight w:val="511"/>
        </w:trPr>
        <w:tc>
          <w:tcPr>
            <w:tcW w:w="2835" w:type="dxa"/>
            <w:tcBorders>
              <w:top w:val="single" w:sz="2" w:space="0" w:color="000000"/>
              <w:left w:val="nil"/>
              <w:bottom w:val="single" w:sz="2" w:space="0" w:color="000000"/>
              <w:right w:val="single" w:sz="2" w:space="0" w:color="000000"/>
            </w:tcBorders>
          </w:tcPr>
          <w:p w14:paraId="76A954C9" w14:textId="77777777" w:rsidR="009D54AF" w:rsidRDefault="00000000">
            <w:pPr>
              <w:pStyle w:val="TableParagraph"/>
              <w:spacing w:before="40"/>
              <w:ind w:left="85"/>
              <w:rPr>
                <w:b/>
                <w:sz w:val="19"/>
              </w:rPr>
            </w:pPr>
            <w:r>
              <w:rPr>
                <w:b/>
                <w:spacing w:val="-2"/>
                <w:sz w:val="19"/>
              </w:rPr>
              <w:t>Antimicrobial</w:t>
            </w:r>
          </w:p>
        </w:tc>
        <w:tc>
          <w:tcPr>
            <w:tcW w:w="7370" w:type="dxa"/>
            <w:tcBorders>
              <w:top w:val="single" w:sz="2" w:space="0" w:color="000000"/>
              <w:left w:val="single" w:sz="2" w:space="0" w:color="000000"/>
              <w:bottom w:val="single" w:sz="2" w:space="0" w:color="000000"/>
              <w:right w:val="nil"/>
            </w:tcBorders>
          </w:tcPr>
          <w:p w14:paraId="59269C41" w14:textId="77777777" w:rsidR="009D54AF" w:rsidRDefault="00000000">
            <w:pPr>
              <w:pStyle w:val="TableParagraph"/>
              <w:spacing w:before="47" w:line="230" w:lineRule="auto"/>
              <w:ind w:left="82"/>
              <w:rPr>
                <w:sz w:val="19"/>
              </w:rPr>
            </w:pPr>
            <w:r>
              <w:rPr>
                <w:sz w:val="19"/>
              </w:rPr>
              <w:t xml:space="preserve">A chemical substance that inhibits or destroys bacteria, viruses or fungi, including yeasts and </w:t>
            </w:r>
            <w:proofErr w:type="spellStart"/>
            <w:r>
              <w:rPr>
                <w:sz w:val="19"/>
              </w:rPr>
              <w:t>moulds</w:t>
            </w:r>
            <w:proofErr w:type="spellEnd"/>
            <w:r>
              <w:rPr>
                <w:sz w:val="19"/>
              </w:rPr>
              <w:t>.</w:t>
            </w:r>
          </w:p>
        </w:tc>
      </w:tr>
      <w:tr w:rsidR="009D54AF" w14:paraId="6E55E252" w14:textId="77777777">
        <w:trPr>
          <w:trHeight w:val="721"/>
        </w:trPr>
        <w:tc>
          <w:tcPr>
            <w:tcW w:w="2835" w:type="dxa"/>
            <w:tcBorders>
              <w:top w:val="single" w:sz="2" w:space="0" w:color="000000"/>
              <w:left w:val="nil"/>
              <w:bottom w:val="single" w:sz="2" w:space="0" w:color="000000"/>
              <w:right w:val="single" w:sz="2" w:space="0" w:color="000000"/>
            </w:tcBorders>
          </w:tcPr>
          <w:p w14:paraId="30A4118A" w14:textId="77777777" w:rsidR="009D54AF" w:rsidRDefault="00000000">
            <w:pPr>
              <w:pStyle w:val="TableParagraph"/>
              <w:spacing w:before="40"/>
              <w:ind w:left="85"/>
              <w:rPr>
                <w:b/>
                <w:sz w:val="19"/>
              </w:rPr>
            </w:pPr>
            <w:r>
              <w:rPr>
                <w:b/>
                <w:sz w:val="19"/>
              </w:rPr>
              <w:t>Antimicrobial</w:t>
            </w:r>
            <w:r>
              <w:rPr>
                <w:b/>
                <w:spacing w:val="19"/>
                <w:sz w:val="19"/>
              </w:rPr>
              <w:t xml:space="preserve"> </w:t>
            </w:r>
            <w:r>
              <w:rPr>
                <w:b/>
                <w:spacing w:val="-2"/>
                <w:sz w:val="19"/>
              </w:rPr>
              <w:t>resistance</w:t>
            </w:r>
          </w:p>
        </w:tc>
        <w:tc>
          <w:tcPr>
            <w:tcW w:w="7370" w:type="dxa"/>
            <w:tcBorders>
              <w:top w:val="single" w:sz="2" w:space="0" w:color="000000"/>
              <w:left w:val="single" w:sz="2" w:space="0" w:color="000000"/>
              <w:bottom w:val="single" w:sz="2" w:space="0" w:color="000000"/>
              <w:right w:val="nil"/>
            </w:tcBorders>
          </w:tcPr>
          <w:p w14:paraId="2141A4A4" w14:textId="77777777" w:rsidR="009D54AF" w:rsidRDefault="00000000">
            <w:pPr>
              <w:pStyle w:val="TableParagraph"/>
              <w:spacing w:before="47" w:line="230" w:lineRule="auto"/>
              <w:ind w:left="82" w:right="141"/>
              <w:rPr>
                <w:sz w:val="19"/>
              </w:rPr>
            </w:pPr>
            <w:r>
              <w:rPr>
                <w:sz w:val="19"/>
              </w:rPr>
              <w:t>A property of organisms – including bacteria, viruses, fungi and parasites – that allows them to survive and/or grow in the presence of antimicrobial levels that would normally suppress growth of or kill susceptible organisms.</w:t>
            </w:r>
          </w:p>
        </w:tc>
      </w:tr>
      <w:tr w:rsidR="00400729" w14:paraId="1B1F695E" w14:textId="77777777">
        <w:trPr>
          <w:trHeight w:val="721"/>
        </w:trPr>
        <w:tc>
          <w:tcPr>
            <w:tcW w:w="2835" w:type="dxa"/>
            <w:tcBorders>
              <w:top w:val="single" w:sz="2" w:space="0" w:color="000000"/>
              <w:left w:val="nil"/>
              <w:bottom w:val="single" w:sz="2" w:space="0" w:color="000000"/>
              <w:right w:val="single" w:sz="2" w:space="0" w:color="000000"/>
            </w:tcBorders>
          </w:tcPr>
          <w:p w14:paraId="5BBA258F" w14:textId="374EC924" w:rsidR="00400729" w:rsidRDefault="00400729" w:rsidP="00400729">
            <w:pPr>
              <w:pStyle w:val="TableParagraph"/>
              <w:spacing w:before="40"/>
              <w:ind w:left="85"/>
              <w:rPr>
                <w:b/>
                <w:sz w:val="19"/>
              </w:rPr>
            </w:pPr>
            <w:r>
              <w:rPr>
                <w:b/>
                <w:sz w:val="19"/>
              </w:rPr>
              <w:t>Antimicrobial</w:t>
            </w:r>
            <w:r>
              <w:rPr>
                <w:b/>
                <w:spacing w:val="19"/>
                <w:sz w:val="19"/>
              </w:rPr>
              <w:t xml:space="preserve"> </w:t>
            </w:r>
            <w:r>
              <w:rPr>
                <w:b/>
                <w:spacing w:val="-2"/>
                <w:sz w:val="19"/>
              </w:rPr>
              <w:t>stewardship</w:t>
            </w:r>
          </w:p>
        </w:tc>
        <w:tc>
          <w:tcPr>
            <w:tcW w:w="7370" w:type="dxa"/>
            <w:tcBorders>
              <w:top w:val="single" w:sz="2" w:space="0" w:color="000000"/>
              <w:left w:val="single" w:sz="2" w:space="0" w:color="000000"/>
              <w:bottom w:val="single" w:sz="2" w:space="0" w:color="000000"/>
              <w:right w:val="nil"/>
            </w:tcBorders>
          </w:tcPr>
          <w:p w14:paraId="0F3FBC17" w14:textId="64873335" w:rsidR="00400729" w:rsidRDefault="00400729" w:rsidP="00400729">
            <w:pPr>
              <w:pStyle w:val="TableParagraph"/>
              <w:spacing w:before="47" w:line="230" w:lineRule="auto"/>
              <w:ind w:left="82" w:right="141"/>
              <w:rPr>
                <w:sz w:val="19"/>
              </w:rPr>
            </w:pPr>
            <w:r>
              <w:rPr>
                <w:sz w:val="19"/>
              </w:rPr>
              <w:t xml:space="preserve">A program implemented in a health service </w:t>
            </w:r>
            <w:proofErr w:type="spellStart"/>
            <w:r>
              <w:rPr>
                <w:sz w:val="19"/>
              </w:rPr>
              <w:t>organisation</w:t>
            </w:r>
            <w:proofErr w:type="spellEnd"/>
            <w:r>
              <w:rPr>
                <w:sz w:val="19"/>
              </w:rPr>
              <w:t xml:space="preserve"> to reduce the risks associated with increasing antimicrobial resistance and extend the effectiveness of antimicrobial treatments. Antimicrobial stewardship may incorporate a broad range of strategies, including monitoring and reviewing antimicrobial use.</w:t>
            </w:r>
          </w:p>
        </w:tc>
      </w:tr>
      <w:tr w:rsidR="00400729" w14:paraId="0FB33AC6" w14:textId="77777777">
        <w:trPr>
          <w:trHeight w:val="721"/>
        </w:trPr>
        <w:tc>
          <w:tcPr>
            <w:tcW w:w="2835" w:type="dxa"/>
            <w:tcBorders>
              <w:top w:val="single" w:sz="2" w:space="0" w:color="000000"/>
              <w:left w:val="nil"/>
              <w:bottom w:val="single" w:sz="2" w:space="0" w:color="000000"/>
              <w:right w:val="single" w:sz="2" w:space="0" w:color="000000"/>
            </w:tcBorders>
          </w:tcPr>
          <w:p w14:paraId="489875D9" w14:textId="31C45CE2" w:rsidR="00400729" w:rsidRDefault="00400729" w:rsidP="00400729">
            <w:pPr>
              <w:pStyle w:val="TableParagraph"/>
              <w:spacing w:before="40"/>
              <w:ind w:left="85"/>
              <w:rPr>
                <w:b/>
                <w:sz w:val="19"/>
              </w:rPr>
            </w:pPr>
            <w:r>
              <w:rPr>
                <w:b/>
                <w:sz w:val="19"/>
              </w:rPr>
              <w:t>Appropriate</w:t>
            </w:r>
            <w:r>
              <w:rPr>
                <w:b/>
                <w:spacing w:val="17"/>
                <w:sz w:val="19"/>
              </w:rPr>
              <w:t xml:space="preserve"> </w:t>
            </w:r>
            <w:r>
              <w:rPr>
                <w:b/>
                <w:spacing w:val="-4"/>
                <w:sz w:val="19"/>
              </w:rPr>
              <w:t>care</w:t>
            </w:r>
          </w:p>
        </w:tc>
        <w:tc>
          <w:tcPr>
            <w:tcW w:w="7370" w:type="dxa"/>
            <w:tcBorders>
              <w:top w:val="single" w:sz="2" w:space="0" w:color="000000"/>
              <w:left w:val="single" w:sz="2" w:space="0" w:color="000000"/>
              <w:bottom w:val="single" w:sz="2" w:space="0" w:color="000000"/>
              <w:right w:val="nil"/>
            </w:tcBorders>
          </w:tcPr>
          <w:p w14:paraId="1BEDDFE6" w14:textId="552C21C4" w:rsidR="00400729" w:rsidRDefault="00400729" w:rsidP="00400729">
            <w:pPr>
              <w:pStyle w:val="TableParagraph"/>
              <w:spacing w:before="47" w:line="230" w:lineRule="auto"/>
              <w:ind w:left="82" w:right="141"/>
              <w:rPr>
                <w:sz w:val="19"/>
              </w:rPr>
            </w:pPr>
            <w:r>
              <w:rPr>
                <w:sz w:val="19"/>
              </w:rPr>
              <w:t>Appropriate care should see that patients receive the right type and amount of care, in the right place, at the right time. The care offered should also be based on the best available evidence.</w:t>
            </w:r>
          </w:p>
        </w:tc>
      </w:tr>
      <w:tr w:rsidR="00400729" w14:paraId="3A86F125" w14:textId="77777777">
        <w:trPr>
          <w:trHeight w:val="721"/>
        </w:trPr>
        <w:tc>
          <w:tcPr>
            <w:tcW w:w="2835" w:type="dxa"/>
            <w:tcBorders>
              <w:top w:val="single" w:sz="2" w:space="0" w:color="000000"/>
              <w:left w:val="nil"/>
              <w:bottom w:val="single" w:sz="2" w:space="0" w:color="000000"/>
              <w:right w:val="single" w:sz="2" w:space="0" w:color="000000"/>
            </w:tcBorders>
          </w:tcPr>
          <w:p w14:paraId="16C29320" w14:textId="191849FA" w:rsidR="00400729" w:rsidRDefault="00400729" w:rsidP="00400729">
            <w:pPr>
              <w:pStyle w:val="TableParagraph"/>
              <w:spacing w:before="40"/>
              <w:ind w:left="85"/>
              <w:rPr>
                <w:b/>
                <w:sz w:val="19"/>
              </w:rPr>
            </w:pPr>
            <w:r>
              <w:rPr>
                <w:b/>
                <w:sz w:val="19"/>
              </w:rPr>
              <w:t>Artificial</w:t>
            </w:r>
            <w:r>
              <w:rPr>
                <w:b/>
                <w:spacing w:val="25"/>
                <w:sz w:val="19"/>
              </w:rPr>
              <w:t xml:space="preserve"> </w:t>
            </w:r>
            <w:r>
              <w:rPr>
                <w:b/>
                <w:spacing w:val="-2"/>
                <w:sz w:val="19"/>
              </w:rPr>
              <w:t>intelligence</w:t>
            </w:r>
          </w:p>
        </w:tc>
        <w:tc>
          <w:tcPr>
            <w:tcW w:w="7370" w:type="dxa"/>
            <w:tcBorders>
              <w:top w:val="single" w:sz="2" w:space="0" w:color="000000"/>
              <w:left w:val="single" w:sz="2" w:space="0" w:color="000000"/>
              <w:bottom w:val="single" w:sz="2" w:space="0" w:color="000000"/>
              <w:right w:val="nil"/>
            </w:tcBorders>
          </w:tcPr>
          <w:p w14:paraId="4192DF22" w14:textId="53DAB344" w:rsidR="00400729" w:rsidRDefault="00400729" w:rsidP="00400729">
            <w:pPr>
              <w:pStyle w:val="TableParagraph"/>
              <w:spacing w:before="47" w:line="230" w:lineRule="auto"/>
              <w:ind w:left="82" w:right="141"/>
              <w:rPr>
                <w:sz w:val="19"/>
              </w:rPr>
            </w:pPr>
            <w:r>
              <w:rPr>
                <w:sz w:val="19"/>
              </w:rPr>
              <w:t>Computer systems able to perform tasks that normally require human intelligence, such as visual perception, speech recognition, decision-making and translation between languages.</w:t>
            </w:r>
          </w:p>
        </w:tc>
      </w:tr>
      <w:tr w:rsidR="00400729" w14:paraId="7B18D26B" w14:textId="77777777">
        <w:trPr>
          <w:trHeight w:val="721"/>
        </w:trPr>
        <w:tc>
          <w:tcPr>
            <w:tcW w:w="2835" w:type="dxa"/>
            <w:tcBorders>
              <w:top w:val="single" w:sz="2" w:space="0" w:color="000000"/>
              <w:left w:val="nil"/>
              <w:bottom w:val="single" w:sz="2" w:space="0" w:color="000000"/>
              <w:right w:val="single" w:sz="2" w:space="0" w:color="000000"/>
            </w:tcBorders>
          </w:tcPr>
          <w:p w14:paraId="1BA8629C" w14:textId="081C216E" w:rsidR="00400729" w:rsidRDefault="00400729" w:rsidP="00400729">
            <w:pPr>
              <w:pStyle w:val="TableParagraph"/>
              <w:spacing w:before="40"/>
              <w:ind w:left="85"/>
              <w:rPr>
                <w:b/>
                <w:sz w:val="19"/>
              </w:rPr>
            </w:pPr>
            <w:r>
              <w:rPr>
                <w:b/>
                <w:spacing w:val="-2"/>
                <w:sz w:val="19"/>
              </w:rPr>
              <w:t>Carer</w:t>
            </w:r>
          </w:p>
        </w:tc>
        <w:tc>
          <w:tcPr>
            <w:tcW w:w="7370" w:type="dxa"/>
            <w:tcBorders>
              <w:top w:val="single" w:sz="2" w:space="0" w:color="000000"/>
              <w:left w:val="single" w:sz="2" w:space="0" w:color="000000"/>
              <w:bottom w:val="single" w:sz="2" w:space="0" w:color="000000"/>
              <w:right w:val="nil"/>
            </w:tcBorders>
          </w:tcPr>
          <w:p w14:paraId="3A3B37C0" w14:textId="77777777" w:rsidR="00400729" w:rsidRDefault="00400729" w:rsidP="00400729">
            <w:pPr>
              <w:pStyle w:val="TableParagraph"/>
              <w:spacing w:before="47" w:line="230" w:lineRule="auto"/>
              <w:ind w:left="82" w:right="257"/>
              <w:jc w:val="both"/>
              <w:rPr>
                <w:sz w:val="19"/>
              </w:rPr>
            </w:pPr>
            <w:r>
              <w:rPr>
                <w:sz w:val="19"/>
              </w:rPr>
              <w:t>A person who provides personal care, support and assistance to another individual who needs it because they have a disability, medical condition (including a terminal or chronic illness) or mental illness, or they are frail or aged. An individual is not</w:t>
            </w:r>
          </w:p>
          <w:p w14:paraId="25DBC4C7" w14:textId="0CD6A2D6" w:rsidR="00400729" w:rsidRDefault="00400729" w:rsidP="00400729">
            <w:pPr>
              <w:pStyle w:val="TableParagraph"/>
              <w:spacing w:before="47" w:line="230" w:lineRule="auto"/>
              <w:ind w:left="82" w:right="141"/>
              <w:rPr>
                <w:sz w:val="19"/>
              </w:rPr>
            </w:pPr>
            <w:r>
              <w:rPr>
                <w:sz w:val="19"/>
              </w:rPr>
              <w:t xml:space="preserve">a carer merely because they are a spouse, de facto partner, parent, child, other relative or guardian of an individual, or live with an individual who requires care. A person is not considered a carer if they are paid, a volunteer for an </w:t>
            </w:r>
            <w:proofErr w:type="spellStart"/>
            <w:r>
              <w:rPr>
                <w:sz w:val="19"/>
              </w:rPr>
              <w:t>organisation</w:t>
            </w:r>
            <w:proofErr w:type="spellEnd"/>
            <w:r>
              <w:rPr>
                <w:sz w:val="19"/>
              </w:rPr>
              <w:t>, or caring as part of a training or education program. For Aboriginal and Torres Strait Islander people, there may be a collective approach to carer responsibilities.</w:t>
            </w:r>
          </w:p>
        </w:tc>
      </w:tr>
      <w:tr w:rsidR="00400729" w14:paraId="56BD611A" w14:textId="77777777">
        <w:trPr>
          <w:trHeight w:val="721"/>
        </w:trPr>
        <w:tc>
          <w:tcPr>
            <w:tcW w:w="2835" w:type="dxa"/>
            <w:tcBorders>
              <w:top w:val="single" w:sz="2" w:space="0" w:color="000000"/>
              <w:left w:val="nil"/>
              <w:bottom w:val="single" w:sz="2" w:space="0" w:color="000000"/>
              <w:right w:val="single" w:sz="2" w:space="0" w:color="000000"/>
            </w:tcBorders>
          </w:tcPr>
          <w:p w14:paraId="253FB708" w14:textId="2131964E" w:rsidR="00400729" w:rsidRDefault="00400729" w:rsidP="00400729">
            <w:pPr>
              <w:pStyle w:val="TableParagraph"/>
              <w:spacing w:before="40"/>
              <w:ind w:left="85"/>
              <w:rPr>
                <w:b/>
                <w:sz w:val="19"/>
              </w:rPr>
            </w:pPr>
            <w:r>
              <w:rPr>
                <w:b/>
                <w:sz w:val="19"/>
              </w:rPr>
              <w:t>Clinical</w:t>
            </w:r>
            <w:r>
              <w:rPr>
                <w:b/>
                <w:spacing w:val="5"/>
                <w:sz w:val="19"/>
              </w:rPr>
              <w:t xml:space="preserve"> </w:t>
            </w:r>
            <w:r>
              <w:rPr>
                <w:b/>
                <w:sz w:val="19"/>
              </w:rPr>
              <w:t>Care</w:t>
            </w:r>
            <w:r>
              <w:rPr>
                <w:b/>
                <w:spacing w:val="5"/>
                <w:sz w:val="19"/>
              </w:rPr>
              <w:t xml:space="preserve"> </w:t>
            </w:r>
            <w:r>
              <w:rPr>
                <w:b/>
                <w:spacing w:val="-2"/>
                <w:sz w:val="19"/>
              </w:rPr>
              <w:t>Standards</w:t>
            </w:r>
          </w:p>
        </w:tc>
        <w:tc>
          <w:tcPr>
            <w:tcW w:w="7370" w:type="dxa"/>
            <w:tcBorders>
              <w:top w:val="single" w:sz="2" w:space="0" w:color="000000"/>
              <w:left w:val="single" w:sz="2" w:space="0" w:color="000000"/>
              <w:bottom w:val="single" w:sz="2" w:space="0" w:color="000000"/>
              <w:right w:val="nil"/>
            </w:tcBorders>
          </w:tcPr>
          <w:p w14:paraId="185D84D3" w14:textId="065FE869" w:rsidR="00400729" w:rsidRDefault="00400729" w:rsidP="00400729">
            <w:pPr>
              <w:pStyle w:val="TableParagraph"/>
              <w:spacing w:before="47" w:line="230" w:lineRule="auto"/>
              <w:ind w:left="82" w:right="141"/>
              <w:rPr>
                <w:sz w:val="19"/>
              </w:rPr>
            </w:pPr>
            <w:r>
              <w:rPr>
                <w:sz w:val="19"/>
              </w:rPr>
              <w:t>Standards developed by the Commission and endorsed by health ministers that identify and define the care people should expect to be offered or receive for specific clinical conditions or procedures. The Clinical Care Standards highlight best-practice care and priority areas for quality improvement, and include indicators to support quality improvement.</w:t>
            </w:r>
          </w:p>
        </w:tc>
      </w:tr>
      <w:tr w:rsidR="00400729" w14:paraId="055233E1" w14:textId="77777777">
        <w:trPr>
          <w:trHeight w:val="721"/>
        </w:trPr>
        <w:tc>
          <w:tcPr>
            <w:tcW w:w="2835" w:type="dxa"/>
            <w:tcBorders>
              <w:top w:val="single" w:sz="2" w:space="0" w:color="000000"/>
              <w:left w:val="nil"/>
              <w:bottom w:val="single" w:sz="2" w:space="0" w:color="000000"/>
              <w:right w:val="single" w:sz="2" w:space="0" w:color="000000"/>
            </w:tcBorders>
          </w:tcPr>
          <w:p w14:paraId="632D2B3D" w14:textId="2863AEDB" w:rsidR="00400729" w:rsidRDefault="00400729" w:rsidP="00400729">
            <w:pPr>
              <w:pStyle w:val="TableParagraph"/>
              <w:spacing w:before="40"/>
              <w:ind w:left="85"/>
              <w:rPr>
                <w:b/>
                <w:sz w:val="19"/>
              </w:rPr>
            </w:pPr>
            <w:r>
              <w:rPr>
                <w:b/>
                <w:sz w:val="19"/>
              </w:rPr>
              <w:t>Clinical</w:t>
            </w:r>
            <w:r>
              <w:rPr>
                <w:b/>
                <w:spacing w:val="7"/>
                <w:sz w:val="19"/>
              </w:rPr>
              <w:t xml:space="preserve"> </w:t>
            </w:r>
            <w:r>
              <w:rPr>
                <w:b/>
                <w:spacing w:val="-2"/>
                <w:sz w:val="19"/>
              </w:rPr>
              <w:t>governance</w:t>
            </w:r>
          </w:p>
        </w:tc>
        <w:tc>
          <w:tcPr>
            <w:tcW w:w="7370" w:type="dxa"/>
            <w:tcBorders>
              <w:top w:val="single" w:sz="2" w:space="0" w:color="000000"/>
              <w:left w:val="single" w:sz="2" w:space="0" w:color="000000"/>
              <w:bottom w:val="single" w:sz="2" w:space="0" w:color="000000"/>
              <w:right w:val="nil"/>
            </w:tcBorders>
          </w:tcPr>
          <w:p w14:paraId="1337CF91" w14:textId="77777777" w:rsidR="00400729" w:rsidRDefault="00400729" w:rsidP="00400729">
            <w:pPr>
              <w:pStyle w:val="TableParagraph"/>
              <w:spacing w:before="47" w:line="230" w:lineRule="auto"/>
              <w:ind w:left="82" w:right="335"/>
              <w:rPr>
                <w:sz w:val="19"/>
              </w:rPr>
            </w:pPr>
            <w:r>
              <w:rPr>
                <w:sz w:val="19"/>
              </w:rPr>
              <w:t xml:space="preserve">Clinical governance is central to providing the best possible outcomes for patients. It is the combination of </w:t>
            </w:r>
            <w:proofErr w:type="spellStart"/>
            <w:r>
              <w:rPr>
                <w:sz w:val="19"/>
              </w:rPr>
              <w:t>organisational</w:t>
            </w:r>
            <w:proofErr w:type="spellEnd"/>
            <w:r>
              <w:rPr>
                <w:sz w:val="19"/>
              </w:rPr>
              <w:t xml:space="preserve"> culture, systems and structures that enables everyone in a health service to deliver care that is consistently high quality and improving. Effective clinical governance means that boards, executives, clinical</w:t>
            </w:r>
          </w:p>
          <w:p w14:paraId="56E0B37A" w14:textId="5F22B681" w:rsidR="00400729" w:rsidRDefault="00400729" w:rsidP="00400729">
            <w:pPr>
              <w:pStyle w:val="TableParagraph"/>
              <w:spacing w:before="47" w:line="230" w:lineRule="auto"/>
              <w:ind w:left="82" w:right="141"/>
              <w:rPr>
                <w:sz w:val="19"/>
              </w:rPr>
            </w:pPr>
            <w:r>
              <w:rPr>
                <w:sz w:val="19"/>
              </w:rPr>
              <w:t>leaders and the workforce are clearly accountable to patients and the community for providing high-quality care – care that is person-</w:t>
            </w:r>
            <w:proofErr w:type="spellStart"/>
            <w:r>
              <w:rPr>
                <w:sz w:val="19"/>
              </w:rPr>
              <w:t>centred</w:t>
            </w:r>
            <w:proofErr w:type="spellEnd"/>
            <w:r>
              <w:rPr>
                <w:sz w:val="19"/>
              </w:rPr>
              <w:t>, safe, effective, accessible and integrated, in a health system that is equitable, efficient and sustainable.</w:t>
            </w:r>
          </w:p>
        </w:tc>
      </w:tr>
      <w:tr w:rsidR="00400729" w14:paraId="74A38B94" w14:textId="77777777">
        <w:trPr>
          <w:trHeight w:val="721"/>
        </w:trPr>
        <w:tc>
          <w:tcPr>
            <w:tcW w:w="2835" w:type="dxa"/>
            <w:tcBorders>
              <w:top w:val="single" w:sz="2" w:space="0" w:color="000000"/>
              <w:left w:val="nil"/>
              <w:bottom w:val="single" w:sz="2" w:space="0" w:color="000000"/>
              <w:right w:val="single" w:sz="2" w:space="0" w:color="000000"/>
            </w:tcBorders>
          </w:tcPr>
          <w:p w14:paraId="515BDE65" w14:textId="51C061FB" w:rsidR="00400729" w:rsidRDefault="00400729" w:rsidP="00400729">
            <w:pPr>
              <w:pStyle w:val="TableParagraph"/>
              <w:spacing w:before="40"/>
              <w:ind w:left="85"/>
              <w:rPr>
                <w:b/>
                <w:sz w:val="19"/>
              </w:rPr>
            </w:pPr>
            <w:r>
              <w:rPr>
                <w:b/>
                <w:spacing w:val="-2"/>
                <w:sz w:val="19"/>
              </w:rPr>
              <w:t>Clinician</w:t>
            </w:r>
          </w:p>
        </w:tc>
        <w:tc>
          <w:tcPr>
            <w:tcW w:w="7370" w:type="dxa"/>
            <w:tcBorders>
              <w:top w:val="single" w:sz="2" w:space="0" w:color="000000"/>
              <w:left w:val="single" w:sz="2" w:space="0" w:color="000000"/>
              <w:bottom w:val="single" w:sz="2" w:space="0" w:color="000000"/>
              <w:right w:val="nil"/>
            </w:tcBorders>
          </w:tcPr>
          <w:p w14:paraId="4C6FB5F0" w14:textId="5C7BC255" w:rsidR="00400729" w:rsidRDefault="00400729" w:rsidP="00400729">
            <w:pPr>
              <w:pStyle w:val="TableParagraph"/>
              <w:spacing w:before="47" w:line="230" w:lineRule="auto"/>
              <w:ind w:left="82" w:right="141"/>
              <w:rPr>
                <w:sz w:val="19"/>
              </w:rPr>
            </w:pPr>
            <w:r>
              <w:rPr>
                <w:sz w:val="19"/>
              </w:rPr>
              <w:t>A trained health professional who provides direct clinical care to patients. Includes registered and non-registered practitioners, nurses, midwives, medical practitioners, allied health professionals, paramedics and other professionals who provide health care, and students who provide health care under supervision.</w:t>
            </w:r>
          </w:p>
        </w:tc>
      </w:tr>
      <w:tr w:rsidR="00400729" w14:paraId="2D6ECF9C" w14:textId="77777777">
        <w:trPr>
          <w:trHeight w:val="721"/>
        </w:trPr>
        <w:tc>
          <w:tcPr>
            <w:tcW w:w="2835" w:type="dxa"/>
            <w:tcBorders>
              <w:top w:val="single" w:sz="2" w:space="0" w:color="000000"/>
              <w:left w:val="nil"/>
              <w:bottom w:val="single" w:sz="2" w:space="0" w:color="000000"/>
              <w:right w:val="single" w:sz="2" w:space="0" w:color="000000"/>
            </w:tcBorders>
          </w:tcPr>
          <w:p w14:paraId="7B969C4C" w14:textId="12DB2327" w:rsidR="00400729" w:rsidRDefault="00400729" w:rsidP="00400729">
            <w:pPr>
              <w:pStyle w:val="TableParagraph"/>
              <w:spacing w:before="40"/>
              <w:ind w:left="85"/>
              <w:rPr>
                <w:b/>
                <w:sz w:val="19"/>
              </w:rPr>
            </w:pPr>
            <w:r>
              <w:rPr>
                <w:b/>
                <w:sz w:val="19"/>
              </w:rPr>
              <w:t>Consumer</w:t>
            </w:r>
            <w:r>
              <w:rPr>
                <w:b/>
                <w:spacing w:val="9"/>
                <w:sz w:val="19"/>
              </w:rPr>
              <w:t xml:space="preserve"> </w:t>
            </w:r>
            <w:r>
              <w:rPr>
                <w:b/>
                <w:spacing w:val="-2"/>
                <w:sz w:val="19"/>
              </w:rPr>
              <w:t>(healthcare)</w:t>
            </w:r>
          </w:p>
        </w:tc>
        <w:tc>
          <w:tcPr>
            <w:tcW w:w="7370" w:type="dxa"/>
            <w:tcBorders>
              <w:top w:val="single" w:sz="2" w:space="0" w:color="000000"/>
              <w:left w:val="single" w:sz="2" w:space="0" w:color="000000"/>
              <w:bottom w:val="single" w:sz="2" w:space="0" w:color="000000"/>
              <w:right w:val="nil"/>
            </w:tcBorders>
          </w:tcPr>
          <w:p w14:paraId="5BF6FDAD" w14:textId="7BE054B3" w:rsidR="00400729" w:rsidRDefault="00400729" w:rsidP="00400729">
            <w:pPr>
              <w:pStyle w:val="TableParagraph"/>
              <w:spacing w:before="47" w:line="230" w:lineRule="auto"/>
              <w:ind w:left="82" w:right="141"/>
              <w:rPr>
                <w:sz w:val="19"/>
              </w:rPr>
            </w:pPr>
            <w:r>
              <w:rPr>
                <w:sz w:val="19"/>
              </w:rPr>
              <w:t>A person who has used, or may potentially use, health services, or is a carer for a patient using health services. A healthcare consumer may also act as a consumer advocate or representative to provide a consumer perspective, contribute consumer experiences, advocate for the interests of current and potential health service users, and take part in decision-making processes.</w:t>
            </w:r>
          </w:p>
        </w:tc>
      </w:tr>
      <w:tr w:rsidR="00400729" w14:paraId="49A53116" w14:textId="77777777">
        <w:trPr>
          <w:trHeight w:val="721"/>
        </w:trPr>
        <w:tc>
          <w:tcPr>
            <w:tcW w:w="2835" w:type="dxa"/>
            <w:tcBorders>
              <w:top w:val="single" w:sz="2" w:space="0" w:color="000000"/>
              <w:left w:val="nil"/>
              <w:bottom w:val="single" w:sz="2" w:space="0" w:color="000000"/>
              <w:right w:val="single" w:sz="2" w:space="0" w:color="000000"/>
            </w:tcBorders>
          </w:tcPr>
          <w:p w14:paraId="3DA5A06B" w14:textId="681E4672" w:rsidR="00400729" w:rsidRDefault="00400729" w:rsidP="00400729">
            <w:pPr>
              <w:pStyle w:val="TableParagraph"/>
              <w:spacing w:before="40"/>
              <w:ind w:left="85"/>
              <w:rPr>
                <w:b/>
                <w:sz w:val="19"/>
              </w:rPr>
            </w:pPr>
            <w:r>
              <w:rPr>
                <w:b/>
                <w:spacing w:val="-2"/>
                <w:sz w:val="19"/>
              </w:rPr>
              <w:t>Credentialing</w:t>
            </w:r>
          </w:p>
        </w:tc>
        <w:tc>
          <w:tcPr>
            <w:tcW w:w="7370" w:type="dxa"/>
            <w:tcBorders>
              <w:top w:val="single" w:sz="2" w:space="0" w:color="000000"/>
              <w:left w:val="single" w:sz="2" w:space="0" w:color="000000"/>
              <w:bottom w:val="single" w:sz="2" w:space="0" w:color="000000"/>
              <w:right w:val="nil"/>
            </w:tcBorders>
          </w:tcPr>
          <w:p w14:paraId="1607F095" w14:textId="6C816126" w:rsidR="00400729" w:rsidRDefault="00400729" w:rsidP="00400729">
            <w:pPr>
              <w:pStyle w:val="TableParagraph"/>
              <w:spacing w:before="47" w:line="230" w:lineRule="auto"/>
              <w:ind w:left="82" w:right="141"/>
              <w:rPr>
                <w:sz w:val="19"/>
              </w:rPr>
            </w:pPr>
            <w:r>
              <w:rPr>
                <w:sz w:val="19"/>
              </w:rPr>
              <w:t>A process that verifies the qualifications and experience of a clinician to determine their ability to provide safe, high-quality healthcare services within a specific healthcare setting and role.</w:t>
            </w:r>
          </w:p>
        </w:tc>
      </w:tr>
      <w:tr w:rsidR="00400729" w14:paraId="6BBF86A3" w14:textId="77777777">
        <w:trPr>
          <w:trHeight w:val="721"/>
        </w:trPr>
        <w:tc>
          <w:tcPr>
            <w:tcW w:w="2835" w:type="dxa"/>
            <w:tcBorders>
              <w:top w:val="single" w:sz="2" w:space="0" w:color="000000"/>
              <w:left w:val="nil"/>
              <w:bottom w:val="single" w:sz="2" w:space="0" w:color="000000"/>
              <w:right w:val="single" w:sz="2" w:space="0" w:color="000000"/>
            </w:tcBorders>
          </w:tcPr>
          <w:p w14:paraId="53AA27FC" w14:textId="3A78D190" w:rsidR="00400729" w:rsidRDefault="00400729" w:rsidP="00400729">
            <w:pPr>
              <w:pStyle w:val="TableParagraph"/>
              <w:spacing w:before="40"/>
              <w:ind w:left="85"/>
              <w:rPr>
                <w:b/>
                <w:sz w:val="19"/>
              </w:rPr>
            </w:pPr>
            <w:r>
              <w:rPr>
                <w:b/>
                <w:sz w:val="19"/>
              </w:rPr>
              <w:t>Cultural</w:t>
            </w:r>
            <w:r>
              <w:rPr>
                <w:b/>
                <w:spacing w:val="6"/>
                <w:sz w:val="19"/>
              </w:rPr>
              <w:t xml:space="preserve"> </w:t>
            </w:r>
            <w:r>
              <w:rPr>
                <w:b/>
                <w:spacing w:val="-2"/>
                <w:sz w:val="19"/>
              </w:rPr>
              <w:t>safety</w:t>
            </w:r>
          </w:p>
        </w:tc>
        <w:tc>
          <w:tcPr>
            <w:tcW w:w="7370" w:type="dxa"/>
            <w:tcBorders>
              <w:top w:val="single" w:sz="2" w:space="0" w:color="000000"/>
              <w:left w:val="single" w:sz="2" w:space="0" w:color="000000"/>
              <w:bottom w:val="single" w:sz="2" w:space="0" w:color="000000"/>
              <w:right w:val="nil"/>
            </w:tcBorders>
          </w:tcPr>
          <w:p w14:paraId="41CCE023" w14:textId="480C4460" w:rsidR="00400729" w:rsidRDefault="00400729" w:rsidP="00400729">
            <w:pPr>
              <w:pStyle w:val="TableParagraph"/>
              <w:spacing w:before="47" w:line="230" w:lineRule="auto"/>
              <w:ind w:left="82" w:right="141"/>
              <w:rPr>
                <w:sz w:val="19"/>
              </w:rPr>
            </w:pPr>
            <w:r>
              <w:rPr>
                <w:sz w:val="19"/>
              </w:rPr>
              <w:t xml:space="preserve">Cultural safety is determined by Aboriginal and Torres Strait Islander individuals, families and communities. Culturally safe practice is the ongoing critical reflection of health practitioner knowledge, skills, attitudes, </w:t>
            </w:r>
            <w:proofErr w:type="spellStart"/>
            <w:r>
              <w:rPr>
                <w:sz w:val="19"/>
              </w:rPr>
              <w:t>practising</w:t>
            </w:r>
            <w:proofErr w:type="spellEnd"/>
            <w:r>
              <w:rPr>
                <w:sz w:val="19"/>
              </w:rPr>
              <w:t xml:space="preserve"> </w:t>
            </w:r>
            <w:proofErr w:type="spellStart"/>
            <w:r>
              <w:rPr>
                <w:sz w:val="19"/>
              </w:rPr>
              <w:t>behaviours</w:t>
            </w:r>
            <w:proofErr w:type="spellEnd"/>
            <w:r>
              <w:rPr>
                <w:sz w:val="19"/>
              </w:rPr>
              <w:t xml:space="preserve"> and power differentials in delivering safe, accessible and responsive health care free from </w:t>
            </w:r>
            <w:r>
              <w:rPr>
                <w:spacing w:val="-2"/>
                <w:sz w:val="19"/>
              </w:rPr>
              <w:t>racism.</w:t>
            </w:r>
          </w:p>
        </w:tc>
      </w:tr>
      <w:tr w:rsidR="00400729" w14:paraId="6A625B19" w14:textId="77777777">
        <w:trPr>
          <w:trHeight w:val="721"/>
        </w:trPr>
        <w:tc>
          <w:tcPr>
            <w:tcW w:w="2835" w:type="dxa"/>
            <w:tcBorders>
              <w:top w:val="single" w:sz="2" w:space="0" w:color="000000"/>
              <w:left w:val="nil"/>
              <w:bottom w:val="single" w:sz="2" w:space="0" w:color="000000"/>
              <w:right w:val="single" w:sz="2" w:space="0" w:color="000000"/>
            </w:tcBorders>
          </w:tcPr>
          <w:p w14:paraId="78342C3B" w14:textId="19A7E028" w:rsidR="00400729" w:rsidRDefault="00400729" w:rsidP="00400729">
            <w:pPr>
              <w:pStyle w:val="TableParagraph"/>
              <w:spacing w:before="40"/>
              <w:ind w:left="85"/>
              <w:rPr>
                <w:b/>
                <w:sz w:val="19"/>
              </w:rPr>
            </w:pPr>
            <w:r>
              <w:rPr>
                <w:b/>
                <w:sz w:val="19"/>
              </w:rPr>
              <w:t>Digital</w:t>
            </w:r>
            <w:r>
              <w:rPr>
                <w:b/>
                <w:spacing w:val="10"/>
                <w:sz w:val="19"/>
              </w:rPr>
              <w:t xml:space="preserve"> </w:t>
            </w:r>
            <w:r>
              <w:rPr>
                <w:b/>
                <w:spacing w:val="-2"/>
                <w:sz w:val="19"/>
              </w:rPr>
              <w:t>health</w:t>
            </w:r>
          </w:p>
        </w:tc>
        <w:tc>
          <w:tcPr>
            <w:tcW w:w="7370" w:type="dxa"/>
            <w:tcBorders>
              <w:top w:val="single" w:sz="2" w:space="0" w:color="000000"/>
              <w:left w:val="single" w:sz="2" w:space="0" w:color="000000"/>
              <w:bottom w:val="single" w:sz="2" w:space="0" w:color="000000"/>
              <w:right w:val="nil"/>
            </w:tcBorders>
          </w:tcPr>
          <w:p w14:paraId="0491D9EF" w14:textId="584F2ABB" w:rsidR="00400729" w:rsidRDefault="00400729" w:rsidP="00400729">
            <w:pPr>
              <w:pStyle w:val="TableParagraph"/>
              <w:spacing w:before="47" w:line="230" w:lineRule="auto"/>
              <w:ind w:left="82" w:right="141"/>
              <w:rPr>
                <w:sz w:val="19"/>
              </w:rPr>
            </w:pPr>
            <w:r>
              <w:rPr>
                <w:sz w:val="19"/>
              </w:rPr>
              <w:t>The use of technology to help Australians live healthier lives with greater control and better access to their information. It includes My Health Record, electronic prescriptions and telehealth.</w:t>
            </w:r>
          </w:p>
        </w:tc>
      </w:tr>
      <w:tr w:rsidR="00400729" w14:paraId="1CE9730C" w14:textId="77777777">
        <w:trPr>
          <w:trHeight w:val="721"/>
        </w:trPr>
        <w:tc>
          <w:tcPr>
            <w:tcW w:w="2835" w:type="dxa"/>
            <w:tcBorders>
              <w:top w:val="single" w:sz="2" w:space="0" w:color="000000"/>
              <w:left w:val="nil"/>
              <w:bottom w:val="single" w:sz="2" w:space="0" w:color="000000"/>
              <w:right w:val="single" w:sz="2" w:space="0" w:color="000000"/>
            </w:tcBorders>
          </w:tcPr>
          <w:p w14:paraId="457BA6F8" w14:textId="70273DB8" w:rsidR="00400729" w:rsidRDefault="00400729" w:rsidP="00400729">
            <w:pPr>
              <w:pStyle w:val="TableParagraph"/>
              <w:spacing w:before="40"/>
              <w:ind w:left="85"/>
              <w:rPr>
                <w:b/>
                <w:sz w:val="19"/>
              </w:rPr>
            </w:pPr>
            <w:r>
              <w:rPr>
                <w:b/>
                <w:sz w:val="19"/>
              </w:rPr>
              <w:lastRenderedPageBreak/>
              <w:t>Digitally</w:t>
            </w:r>
            <w:r>
              <w:rPr>
                <w:b/>
                <w:spacing w:val="12"/>
                <w:sz w:val="19"/>
              </w:rPr>
              <w:t xml:space="preserve"> </w:t>
            </w:r>
            <w:r>
              <w:rPr>
                <w:b/>
                <w:sz w:val="19"/>
              </w:rPr>
              <w:t>enabled</w:t>
            </w:r>
            <w:r>
              <w:rPr>
                <w:b/>
                <w:spacing w:val="12"/>
                <w:sz w:val="19"/>
              </w:rPr>
              <w:t xml:space="preserve"> </w:t>
            </w:r>
            <w:r>
              <w:rPr>
                <w:b/>
                <w:spacing w:val="-4"/>
                <w:sz w:val="19"/>
              </w:rPr>
              <w:t>care</w:t>
            </w:r>
          </w:p>
        </w:tc>
        <w:tc>
          <w:tcPr>
            <w:tcW w:w="7370" w:type="dxa"/>
            <w:tcBorders>
              <w:top w:val="single" w:sz="2" w:space="0" w:color="000000"/>
              <w:left w:val="single" w:sz="2" w:space="0" w:color="000000"/>
              <w:bottom w:val="single" w:sz="2" w:space="0" w:color="000000"/>
              <w:right w:val="nil"/>
            </w:tcBorders>
          </w:tcPr>
          <w:p w14:paraId="33C1626B" w14:textId="2C77AA5D" w:rsidR="00400729" w:rsidRDefault="00400729" w:rsidP="00400729">
            <w:pPr>
              <w:pStyle w:val="TableParagraph"/>
              <w:spacing w:before="47" w:line="230" w:lineRule="auto"/>
              <w:ind w:left="82" w:right="141"/>
              <w:rPr>
                <w:sz w:val="19"/>
              </w:rPr>
            </w:pPr>
            <w:r>
              <w:rPr>
                <w:sz w:val="19"/>
              </w:rPr>
              <w:t>The appropriate application and integration of digital health tools and technologies in clinical settings to deliver, coordinate or enhance patient care.</w:t>
            </w:r>
          </w:p>
        </w:tc>
      </w:tr>
      <w:tr w:rsidR="00400729" w14:paraId="17493A84" w14:textId="77777777">
        <w:trPr>
          <w:trHeight w:val="721"/>
        </w:trPr>
        <w:tc>
          <w:tcPr>
            <w:tcW w:w="2835" w:type="dxa"/>
            <w:tcBorders>
              <w:top w:val="single" w:sz="2" w:space="0" w:color="000000"/>
              <w:left w:val="nil"/>
              <w:bottom w:val="single" w:sz="2" w:space="0" w:color="000000"/>
              <w:right w:val="single" w:sz="2" w:space="0" w:color="000000"/>
            </w:tcBorders>
          </w:tcPr>
          <w:p w14:paraId="78B870FF" w14:textId="05CF88A2" w:rsidR="00400729" w:rsidRDefault="00400729" w:rsidP="00400729">
            <w:pPr>
              <w:pStyle w:val="TableParagraph"/>
              <w:spacing w:before="40"/>
              <w:ind w:left="85"/>
              <w:rPr>
                <w:b/>
                <w:sz w:val="19"/>
              </w:rPr>
            </w:pPr>
            <w:r>
              <w:rPr>
                <w:b/>
                <w:sz w:val="19"/>
              </w:rPr>
              <w:t>End</w:t>
            </w:r>
            <w:r>
              <w:rPr>
                <w:b/>
                <w:spacing w:val="1"/>
                <w:sz w:val="19"/>
              </w:rPr>
              <w:t xml:space="preserve"> </w:t>
            </w:r>
            <w:r>
              <w:rPr>
                <w:b/>
                <w:sz w:val="19"/>
              </w:rPr>
              <w:t>of</w:t>
            </w:r>
            <w:r>
              <w:rPr>
                <w:b/>
                <w:spacing w:val="2"/>
                <w:sz w:val="19"/>
              </w:rPr>
              <w:t xml:space="preserve"> </w:t>
            </w:r>
            <w:r>
              <w:rPr>
                <w:b/>
                <w:spacing w:val="-4"/>
                <w:sz w:val="19"/>
              </w:rPr>
              <w:t>life</w:t>
            </w:r>
          </w:p>
        </w:tc>
        <w:tc>
          <w:tcPr>
            <w:tcW w:w="7370" w:type="dxa"/>
            <w:tcBorders>
              <w:top w:val="single" w:sz="2" w:space="0" w:color="000000"/>
              <w:left w:val="single" w:sz="2" w:space="0" w:color="000000"/>
              <w:bottom w:val="single" w:sz="2" w:space="0" w:color="000000"/>
              <w:right w:val="nil"/>
            </w:tcBorders>
          </w:tcPr>
          <w:p w14:paraId="56D3D2C2" w14:textId="05B94FF9" w:rsidR="00400729" w:rsidRDefault="00400729" w:rsidP="00400729">
            <w:pPr>
              <w:pStyle w:val="TableParagraph"/>
              <w:spacing w:before="47" w:line="230" w:lineRule="auto"/>
              <w:ind w:left="82" w:right="141"/>
              <w:rPr>
                <w:sz w:val="19"/>
              </w:rPr>
            </w:pPr>
            <w:r>
              <w:rPr>
                <w:sz w:val="19"/>
              </w:rPr>
              <w:t>The period when a patient is living with, and impaired by, a fatal condition, even if the trajectory is ambiguous or unknown. This period may be years, in the case of patients with chronic or malignant disease, or very brief, in the case of patients who suffer acute and unexpected illnesses or events such as sepsis, stroke or trauma.</w:t>
            </w:r>
          </w:p>
        </w:tc>
      </w:tr>
      <w:tr w:rsidR="00400729" w14:paraId="70B9C6A4" w14:textId="77777777">
        <w:trPr>
          <w:trHeight w:val="721"/>
        </w:trPr>
        <w:tc>
          <w:tcPr>
            <w:tcW w:w="2835" w:type="dxa"/>
            <w:tcBorders>
              <w:top w:val="single" w:sz="2" w:space="0" w:color="000000"/>
              <w:left w:val="nil"/>
              <w:bottom w:val="single" w:sz="2" w:space="0" w:color="000000"/>
              <w:right w:val="single" w:sz="2" w:space="0" w:color="000000"/>
            </w:tcBorders>
          </w:tcPr>
          <w:p w14:paraId="467F1E9D" w14:textId="313DC1E0" w:rsidR="00400729" w:rsidRDefault="00400729" w:rsidP="00400729">
            <w:pPr>
              <w:pStyle w:val="TableParagraph"/>
              <w:spacing w:before="40"/>
              <w:ind w:left="85"/>
              <w:rPr>
                <w:b/>
                <w:sz w:val="19"/>
              </w:rPr>
            </w:pPr>
            <w:r>
              <w:rPr>
                <w:b/>
                <w:sz w:val="19"/>
              </w:rPr>
              <w:t>Environmentally sustainable health care</w:t>
            </w:r>
          </w:p>
        </w:tc>
        <w:tc>
          <w:tcPr>
            <w:tcW w:w="7370" w:type="dxa"/>
            <w:tcBorders>
              <w:top w:val="single" w:sz="2" w:space="0" w:color="000000"/>
              <w:left w:val="single" w:sz="2" w:space="0" w:color="000000"/>
              <w:bottom w:val="single" w:sz="2" w:space="0" w:color="000000"/>
              <w:right w:val="nil"/>
            </w:tcBorders>
          </w:tcPr>
          <w:p w14:paraId="15C63A5D" w14:textId="29436D9E" w:rsidR="00400729" w:rsidRDefault="00400729" w:rsidP="00400729">
            <w:pPr>
              <w:pStyle w:val="TableParagraph"/>
              <w:spacing w:before="47" w:line="230" w:lineRule="auto"/>
              <w:ind w:left="82" w:right="141"/>
              <w:rPr>
                <w:sz w:val="19"/>
              </w:rPr>
            </w:pPr>
            <w:r>
              <w:rPr>
                <w:sz w:val="19"/>
              </w:rPr>
              <w:t xml:space="preserve">Health care that </w:t>
            </w:r>
            <w:proofErr w:type="spellStart"/>
            <w:r>
              <w:rPr>
                <w:sz w:val="19"/>
              </w:rPr>
              <w:t>minimises</w:t>
            </w:r>
            <w:proofErr w:type="spellEnd"/>
            <w:r>
              <w:rPr>
                <w:sz w:val="19"/>
              </w:rPr>
              <w:t xml:space="preserve"> environmental impact and reduces emissions while providing high-quality care.</w:t>
            </w:r>
          </w:p>
        </w:tc>
      </w:tr>
      <w:tr w:rsidR="00400729" w14:paraId="743AFA78" w14:textId="77777777">
        <w:trPr>
          <w:trHeight w:val="721"/>
        </w:trPr>
        <w:tc>
          <w:tcPr>
            <w:tcW w:w="2835" w:type="dxa"/>
            <w:tcBorders>
              <w:top w:val="single" w:sz="2" w:space="0" w:color="000000"/>
              <w:left w:val="nil"/>
              <w:bottom w:val="single" w:sz="2" w:space="0" w:color="000000"/>
              <w:right w:val="single" w:sz="2" w:space="0" w:color="000000"/>
            </w:tcBorders>
          </w:tcPr>
          <w:p w14:paraId="26D18CB2" w14:textId="1AD10591" w:rsidR="00400729" w:rsidRDefault="00400729" w:rsidP="00400729">
            <w:pPr>
              <w:pStyle w:val="TableParagraph"/>
              <w:spacing w:before="40"/>
              <w:ind w:left="85"/>
              <w:rPr>
                <w:b/>
                <w:sz w:val="19"/>
              </w:rPr>
            </w:pPr>
            <w:r>
              <w:rPr>
                <w:b/>
                <w:spacing w:val="-2"/>
                <w:sz w:val="19"/>
              </w:rPr>
              <w:t>Equity</w:t>
            </w:r>
          </w:p>
        </w:tc>
        <w:tc>
          <w:tcPr>
            <w:tcW w:w="7370" w:type="dxa"/>
            <w:tcBorders>
              <w:top w:val="single" w:sz="2" w:space="0" w:color="000000"/>
              <w:left w:val="single" w:sz="2" w:space="0" w:color="000000"/>
              <w:bottom w:val="single" w:sz="2" w:space="0" w:color="000000"/>
              <w:right w:val="nil"/>
            </w:tcBorders>
          </w:tcPr>
          <w:p w14:paraId="500F40EF" w14:textId="5FCF43DF" w:rsidR="00400729" w:rsidRDefault="00400729" w:rsidP="00400729">
            <w:pPr>
              <w:pStyle w:val="TableParagraph"/>
              <w:spacing w:before="47" w:line="230" w:lineRule="auto"/>
              <w:ind w:left="82" w:right="141"/>
              <w:rPr>
                <w:sz w:val="19"/>
              </w:rPr>
            </w:pPr>
            <w:r>
              <w:rPr>
                <w:sz w:val="19"/>
              </w:rPr>
              <w:t>The absence of unfair, avoidable or remediable differences among groups of people, whether those groups are defined socially, economically, demographically or geographically or by other dimensions of inequality (e.g. sex, gender, ethnicity, disability or sexual orientation).</w:t>
            </w:r>
          </w:p>
        </w:tc>
      </w:tr>
      <w:tr w:rsidR="00400729" w14:paraId="6D4A36D5" w14:textId="77777777">
        <w:trPr>
          <w:trHeight w:val="721"/>
        </w:trPr>
        <w:tc>
          <w:tcPr>
            <w:tcW w:w="2835" w:type="dxa"/>
            <w:tcBorders>
              <w:top w:val="single" w:sz="2" w:space="0" w:color="000000"/>
              <w:left w:val="nil"/>
              <w:bottom w:val="single" w:sz="2" w:space="0" w:color="000000"/>
              <w:right w:val="single" w:sz="2" w:space="0" w:color="000000"/>
            </w:tcBorders>
          </w:tcPr>
          <w:p w14:paraId="188F315B" w14:textId="72CC29D4" w:rsidR="00400729" w:rsidRDefault="00400729" w:rsidP="00400729">
            <w:pPr>
              <w:pStyle w:val="TableParagraph"/>
              <w:spacing w:before="40"/>
              <w:ind w:left="85"/>
              <w:rPr>
                <w:b/>
                <w:spacing w:val="-2"/>
                <w:sz w:val="19"/>
              </w:rPr>
            </w:pPr>
            <w:r>
              <w:rPr>
                <w:b/>
                <w:sz w:val="19"/>
              </w:rPr>
              <w:t>Evidence-based</w:t>
            </w:r>
            <w:r>
              <w:rPr>
                <w:b/>
                <w:spacing w:val="27"/>
                <w:sz w:val="19"/>
              </w:rPr>
              <w:t xml:space="preserve"> </w:t>
            </w:r>
            <w:r>
              <w:rPr>
                <w:b/>
                <w:spacing w:val="-2"/>
                <w:sz w:val="19"/>
              </w:rPr>
              <w:t>practice</w:t>
            </w:r>
          </w:p>
        </w:tc>
        <w:tc>
          <w:tcPr>
            <w:tcW w:w="7370" w:type="dxa"/>
            <w:tcBorders>
              <w:top w:val="single" w:sz="2" w:space="0" w:color="000000"/>
              <w:left w:val="single" w:sz="2" w:space="0" w:color="000000"/>
              <w:bottom w:val="single" w:sz="2" w:space="0" w:color="000000"/>
              <w:right w:val="nil"/>
            </w:tcBorders>
          </w:tcPr>
          <w:p w14:paraId="4865325F" w14:textId="1D6DA906" w:rsidR="00400729" w:rsidRDefault="00400729" w:rsidP="00400729">
            <w:pPr>
              <w:pStyle w:val="TableParagraph"/>
              <w:spacing w:before="47" w:line="230" w:lineRule="auto"/>
              <w:ind w:left="82" w:right="141"/>
              <w:rPr>
                <w:sz w:val="19"/>
              </w:rPr>
            </w:pPr>
            <w:r>
              <w:rPr>
                <w:sz w:val="19"/>
              </w:rPr>
              <w:t>Health care that integrates the best available research evidence with clinical expertise and the patient’s unique values and circumstances.</w:t>
            </w:r>
          </w:p>
        </w:tc>
      </w:tr>
      <w:tr w:rsidR="00400729" w14:paraId="4218BF69" w14:textId="77777777">
        <w:trPr>
          <w:trHeight w:val="721"/>
        </w:trPr>
        <w:tc>
          <w:tcPr>
            <w:tcW w:w="2835" w:type="dxa"/>
            <w:tcBorders>
              <w:top w:val="single" w:sz="2" w:space="0" w:color="000000"/>
              <w:left w:val="nil"/>
              <w:bottom w:val="single" w:sz="2" w:space="0" w:color="000000"/>
              <w:right w:val="single" w:sz="2" w:space="0" w:color="000000"/>
            </w:tcBorders>
          </w:tcPr>
          <w:p w14:paraId="1A3BE37B" w14:textId="12F9FA2A" w:rsidR="00400729" w:rsidRDefault="00400729" w:rsidP="00400729">
            <w:pPr>
              <w:pStyle w:val="TableParagraph"/>
              <w:spacing w:before="40"/>
              <w:ind w:left="85"/>
              <w:rPr>
                <w:b/>
                <w:spacing w:val="-2"/>
                <w:sz w:val="19"/>
              </w:rPr>
            </w:pPr>
            <w:r>
              <w:rPr>
                <w:b/>
                <w:sz w:val="19"/>
              </w:rPr>
              <w:t>Hand</w:t>
            </w:r>
            <w:r>
              <w:rPr>
                <w:b/>
                <w:spacing w:val="3"/>
                <w:sz w:val="19"/>
              </w:rPr>
              <w:t xml:space="preserve"> </w:t>
            </w:r>
            <w:r>
              <w:rPr>
                <w:b/>
                <w:spacing w:val="-2"/>
                <w:sz w:val="19"/>
              </w:rPr>
              <w:t>hygiene</w:t>
            </w:r>
          </w:p>
        </w:tc>
        <w:tc>
          <w:tcPr>
            <w:tcW w:w="7370" w:type="dxa"/>
            <w:tcBorders>
              <w:top w:val="single" w:sz="2" w:space="0" w:color="000000"/>
              <w:left w:val="single" w:sz="2" w:space="0" w:color="000000"/>
              <w:bottom w:val="single" w:sz="2" w:space="0" w:color="000000"/>
              <w:right w:val="nil"/>
            </w:tcBorders>
          </w:tcPr>
          <w:p w14:paraId="0692A035" w14:textId="1AFECC77" w:rsidR="00400729" w:rsidRDefault="00400729" w:rsidP="00400729">
            <w:pPr>
              <w:pStyle w:val="TableParagraph"/>
              <w:spacing w:before="47" w:line="230" w:lineRule="auto"/>
              <w:ind w:left="82" w:right="141"/>
              <w:rPr>
                <w:sz w:val="19"/>
              </w:rPr>
            </w:pPr>
            <w:r>
              <w:rPr>
                <w:sz w:val="19"/>
              </w:rPr>
              <w:t>A</w:t>
            </w:r>
            <w:r>
              <w:rPr>
                <w:spacing w:val="3"/>
                <w:sz w:val="19"/>
              </w:rPr>
              <w:t xml:space="preserve"> </w:t>
            </w:r>
            <w:r>
              <w:rPr>
                <w:sz w:val="19"/>
              </w:rPr>
              <w:t>general</w:t>
            </w:r>
            <w:r>
              <w:rPr>
                <w:spacing w:val="3"/>
                <w:sz w:val="19"/>
              </w:rPr>
              <w:t xml:space="preserve"> </w:t>
            </w:r>
            <w:r>
              <w:rPr>
                <w:sz w:val="19"/>
              </w:rPr>
              <w:t>term</w:t>
            </w:r>
            <w:r>
              <w:rPr>
                <w:spacing w:val="3"/>
                <w:sz w:val="19"/>
              </w:rPr>
              <w:t xml:space="preserve"> </w:t>
            </w:r>
            <w:r>
              <w:rPr>
                <w:sz w:val="19"/>
              </w:rPr>
              <w:t>referring</w:t>
            </w:r>
            <w:r>
              <w:rPr>
                <w:spacing w:val="3"/>
                <w:sz w:val="19"/>
              </w:rPr>
              <w:t xml:space="preserve"> </w:t>
            </w:r>
            <w:r>
              <w:rPr>
                <w:sz w:val="19"/>
              </w:rPr>
              <w:t>to</w:t>
            </w:r>
            <w:r>
              <w:rPr>
                <w:spacing w:val="3"/>
                <w:sz w:val="19"/>
              </w:rPr>
              <w:t xml:space="preserve"> </w:t>
            </w:r>
            <w:r>
              <w:rPr>
                <w:sz w:val="19"/>
              </w:rPr>
              <w:t>any</w:t>
            </w:r>
            <w:r>
              <w:rPr>
                <w:spacing w:val="3"/>
                <w:sz w:val="19"/>
              </w:rPr>
              <w:t xml:space="preserve"> </w:t>
            </w:r>
            <w:r>
              <w:rPr>
                <w:sz w:val="19"/>
              </w:rPr>
              <w:t>hand-cleansing</w:t>
            </w:r>
            <w:r>
              <w:rPr>
                <w:spacing w:val="3"/>
                <w:sz w:val="19"/>
              </w:rPr>
              <w:t xml:space="preserve"> </w:t>
            </w:r>
            <w:r>
              <w:rPr>
                <w:spacing w:val="-2"/>
                <w:sz w:val="19"/>
              </w:rPr>
              <w:t>action.</w:t>
            </w:r>
          </w:p>
        </w:tc>
      </w:tr>
      <w:tr w:rsidR="00400729" w14:paraId="43F7145D" w14:textId="77777777">
        <w:trPr>
          <w:trHeight w:val="721"/>
        </w:trPr>
        <w:tc>
          <w:tcPr>
            <w:tcW w:w="2835" w:type="dxa"/>
            <w:tcBorders>
              <w:top w:val="single" w:sz="2" w:space="0" w:color="000000"/>
              <w:left w:val="nil"/>
              <w:bottom w:val="single" w:sz="2" w:space="0" w:color="000000"/>
              <w:right w:val="single" w:sz="2" w:space="0" w:color="000000"/>
            </w:tcBorders>
          </w:tcPr>
          <w:p w14:paraId="68F99E25" w14:textId="3BF6B557" w:rsidR="00400729" w:rsidRDefault="00400729" w:rsidP="00400729">
            <w:pPr>
              <w:pStyle w:val="TableParagraph"/>
              <w:spacing w:before="40"/>
              <w:ind w:left="85"/>
              <w:rPr>
                <w:b/>
                <w:spacing w:val="-2"/>
                <w:sz w:val="19"/>
              </w:rPr>
            </w:pPr>
            <w:r>
              <w:rPr>
                <w:b/>
                <w:sz w:val="19"/>
              </w:rPr>
              <w:t>Healthcare</w:t>
            </w:r>
            <w:r>
              <w:rPr>
                <w:b/>
                <w:spacing w:val="18"/>
                <w:sz w:val="19"/>
              </w:rPr>
              <w:t xml:space="preserve"> </w:t>
            </w:r>
            <w:r>
              <w:rPr>
                <w:b/>
                <w:spacing w:val="-2"/>
                <w:sz w:val="19"/>
              </w:rPr>
              <w:t>variation</w:t>
            </w:r>
          </w:p>
        </w:tc>
        <w:tc>
          <w:tcPr>
            <w:tcW w:w="7370" w:type="dxa"/>
            <w:tcBorders>
              <w:top w:val="single" w:sz="2" w:space="0" w:color="000000"/>
              <w:left w:val="single" w:sz="2" w:space="0" w:color="000000"/>
              <w:bottom w:val="single" w:sz="2" w:space="0" w:color="000000"/>
              <w:right w:val="nil"/>
            </w:tcBorders>
          </w:tcPr>
          <w:p w14:paraId="4B34CF07" w14:textId="0297A8B8" w:rsidR="00400729" w:rsidRDefault="00400729" w:rsidP="00400729">
            <w:pPr>
              <w:pStyle w:val="TableParagraph"/>
              <w:spacing w:before="47" w:line="230" w:lineRule="auto"/>
              <w:ind w:left="82" w:right="141"/>
              <w:rPr>
                <w:sz w:val="19"/>
              </w:rPr>
            </w:pPr>
            <w:r>
              <w:rPr>
                <w:sz w:val="19"/>
              </w:rPr>
              <w:t>A situation in which patients with the same condition receive different types of care. For example, in a group of patients with the same condition, some may have no active treatment, some may be treated in the community and others in hospital, and some may have surgery while others receive medication. Some variation in how health care is provided is desirable because of differences in patients’ needs, wants and preferences (see ‘unwarranted healthcare variation’).</w:t>
            </w:r>
          </w:p>
        </w:tc>
      </w:tr>
      <w:tr w:rsidR="00400729" w14:paraId="4C27BDC8" w14:textId="77777777">
        <w:trPr>
          <w:trHeight w:val="721"/>
        </w:trPr>
        <w:tc>
          <w:tcPr>
            <w:tcW w:w="2835" w:type="dxa"/>
            <w:tcBorders>
              <w:top w:val="single" w:sz="2" w:space="0" w:color="000000"/>
              <w:left w:val="nil"/>
              <w:bottom w:val="single" w:sz="2" w:space="0" w:color="000000"/>
              <w:right w:val="single" w:sz="2" w:space="0" w:color="000000"/>
            </w:tcBorders>
          </w:tcPr>
          <w:p w14:paraId="5CA24D14" w14:textId="0F3053B8" w:rsidR="00400729" w:rsidRDefault="00400729" w:rsidP="00400729">
            <w:pPr>
              <w:pStyle w:val="TableParagraph"/>
              <w:spacing w:before="40"/>
              <w:ind w:left="85"/>
              <w:rPr>
                <w:b/>
                <w:spacing w:val="-2"/>
                <w:sz w:val="19"/>
              </w:rPr>
            </w:pPr>
            <w:r>
              <w:rPr>
                <w:b/>
                <w:spacing w:val="-2"/>
                <w:sz w:val="19"/>
              </w:rPr>
              <w:t>Healthcare-associated infections</w:t>
            </w:r>
          </w:p>
        </w:tc>
        <w:tc>
          <w:tcPr>
            <w:tcW w:w="7370" w:type="dxa"/>
            <w:tcBorders>
              <w:top w:val="single" w:sz="2" w:space="0" w:color="000000"/>
              <w:left w:val="single" w:sz="2" w:space="0" w:color="000000"/>
              <w:bottom w:val="single" w:sz="2" w:space="0" w:color="000000"/>
              <w:right w:val="nil"/>
            </w:tcBorders>
          </w:tcPr>
          <w:p w14:paraId="5973D7B9" w14:textId="4C086827" w:rsidR="00400729" w:rsidRDefault="00400729" w:rsidP="00400729">
            <w:pPr>
              <w:pStyle w:val="TableParagraph"/>
              <w:spacing w:before="47" w:line="230" w:lineRule="auto"/>
              <w:ind w:left="82" w:right="141"/>
              <w:rPr>
                <w:sz w:val="19"/>
              </w:rPr>
            </w:pPr>
            <w:r>
              <w:rPr>
                <w:sz w:val="19"/>
              </w:rPr>
              <w:t>Infections that are acquired in healthcare facilities (nosocomial infections) or that occur because of healthcare interventions (iatrogenic infections). Healthcare-associated infections may manifest after people leave healthcare facilities.</w:t>
            </w:r>
          </w:p>
        </w:tc>
      </w:tr>
      <w:tr w:rsidR="00400729" w14:paraId="3DF98835" w14:textId="77777777">
        <w:trPr>
          <w:trHeight w:val="721"/>
        </w:trPr>
        <w:tc>
          <w:tcPr>
            <w:tcW w:w="2835" w:type="dxa"/>
            <w:tcBorders>
              <w:top w:val="single" w:sz="2" w:space="0" w:color="000000"/>
              <w:left w:val="nil"/>
              <w:bottom w:val="single" w:sz="2" w:space="0" w:color="000000"/>
              <w:right w:val="single" w:sz="2" w:space="0" w:color="000000"/>
            </w:tcBorders>
          </w:tcPr>
          <w:p w14:paraId="0B6ACC6B" w14:textId="79907462" w:rsidR="00400729" w:rsidRDefault="00400729" w:rsidP="00400729">
            <w:pPr>
              <w:pStyle w:val="TableParagraph"/>
              <w:spacing w:before="40"/>
              <w:ind w:left="85"/>
              <w:rPr>
                <w:b/>
                <w:spacing w:val="-2"/>
                <w:sz w:val="19"/>
              </w:rPr>
            </w:pPr>
            <w:r>
              <w:rPr>
                <w:b/>
                <w:sz w:val="19"/>
              </w:rPr>
              <w:t>High-quality</w:t>
            </w:r>
            <w:r>
              <w:rPr>
                <w:b/>
                <w:spacing w:val="28"/>
                <w:sz w:val="19"/>
              </w:rPr>
              <w:t xml:space="preserve"> </w:t>
            </w:r>
            <w:r>
              <w:rPr>
                <w:b/>
                <w:spacing w:val="-4"/>
                <w:sz w:val="19"/>
              </w:rPr>
              <w:t>care</w:t>
            </w:r>
          </w:p>
        </w:tc>
        <w:tc>
          <w:tcPr>
            <w:tcW w:w="7370" w:type="dxa"/>
            <w:tcBorders>
              <w:top w:val="single" w:sz="2" w:space="0" w:color="000000"/>
              <w:left w:val="single" w:sz="2" w:space="0" w:color="000000"/>
              <w:bottom w:val="single" w:sz="2" w:space="0" w:color="000000"/>
              <w:right w:val="nil"/>
            </w:tcBorders>
          </w:tcPr>
          <w:p w14:paraId="1B30E623" w14:textId="35CDDA19" w:rsidR="00400729" w:rsidRDefault="00400729" w:rsidP="00400729">
            <w:pPr>
              <w:pStyle w:val="TableParagraph"/>
              <w:spacing w:before="47" w:line="230" w:lineRule="auto"/>
              <w:ind w:left="82" w:right="141"/>
              <w:rPr>
                <w:sz w:val="19"/>
              </w:rPr>
            </w:pPr>
            <w:r>
              <w:rPr>
                <w:sz w:val="19"/>
              </w:rPr>
              <w:t>Health care that is person-</w:t>
            </w:r>
            <w:proofErr w:type="spellStart"/>
            <w:r>
              <w:rPr>
                <w:sz w:val="19"/>
              </w:rPr>
              <w:t>centred</w:t>
            </w:r>
            <w:proofErr w:type="spellEnd"/>
            <w:r>
              <w:rPr>
                <w:sz w:val="19"/>
              </w:rPr>
              <w:t>, safe, effective, accessible and integrated, provided in a way that is equitable, efficient and sustainable.</w:t>
            </w:r>
          </w:p>
        </w:tc>
      </w:tr>
      <w:tr w:rsidR="00400729" w14:paraId="4C87955B" w14:textId="77777777">
        <w:trPr>
          <w:trHeight w:val="721"/>
        </w:trPr>
        <w:tc>
          <w:tcPr>
            <w:tcW w:w="2835" w:type="dxa"/>
            <w:tcBorders>
              <w:top w:val="single" w:sz="2" w:space="0" w:color="000000"/>
              <w:left w:val="nil"/>
              <w:bottom w:val="single" w:sz="2" w:space="0" w:color="000000"/>
              <w:right w:val="single" w:sz="2" w:space="0" w:color="000000"/>
            </w:tcBorders>
          </w:tcPr>
          <w:p w14:paraId="4D7B8A41" w14:textId="3534CCB8" w:rsidR="00400729" w:rsidRDefault="00400729" w:rsidP="00400729">
            <w:pPr>
              <w:pStyle w:val="TableParagraph"/>
              <w:spacing w:before="40"/>
              <w:ind w:left="85"/>
              <w:rPr>
                <w:b/>
                <w:spacing w:val="-2"/>
                <w:sz w:val="19"/>
              </w:rPr>
            </w:pPr>
            <w:r>
              <w:rPr>
                <w:b/>
                <w:spacing w:val="-2"/>
                <w:sz w:val="19"/>
              </w:rPr>
              <w:t>Hospital-acquired complication</w:t>
            </w:r>
          </w:p>
        </w:tc>
        <w:tc>
          <w:tcPr>
            <w:tcW w:w="7370" w:type="dxa"/>
            <w:tcBorders>
              <w:top w:val="single" w:sz="2" w:space="0" w:color="000000"/>
              <w:left w:val="single" w:sz="2" w:space="0" w:color="000000"/>
              <w:bottom w:val="single" w:sz="2" w:space="0" w:color="000000"/>
              <w:right w:val="nil"/>
            </w:tcBorders>
          </w:tcPr>
          <w:p w14:paraId="1773B230" w14:textId="459E8E4D" w:rsidR="00400729" w:rsidRDefault="00400729" w:rsidP="00400729">
            <w:pPr>
              <w:pStyle w:val="TableParagraph"/>
              <w:spacing w:before="47" w:line="230" w:lineRule="auto"/>
              <w:ind w:left="82" w:right="141"/>
              <w:rPr>
                <w:sz w:val="19"/>
              </w:rPr>
            </w:pPr>
            <w:r>
              <w:rPr>
                <w:sz w:val="19"/>
              </w:rPr>
              <w:t>A complication for which clinical risk mitigation strategies may reduce (but not necessarily eliminate) the risk of that complication occurring.</w:t>
            </w:r>
          </w:p>
        </w:tc>
      </w:tr>
      <w:tr w:rsidR="00400729" w14:paraId="23359598" w14:textId="77777777">
        <w:trPr>
          <w:trHeight w:val="721"/>
        </w:trPr>
        <w:tc>
          <w:tcPr>
            <w:tcW w:w="2835" w:type="dxa"/>
            <w:tcBorders>
              <w:top w:val="single" w:sz="2" w:space="0" w:color="000000"/>
              <w:left w:val="nil"/>
              <w:bottom w:val="single" w:sz="2" w:space="0" w:color="000000"/>
              <w:right w:val="single" w:sz="2" w:space="0" w:color="000000"/>
            </w:tcBorders>
          </w:tcPr>
          <w:p w14:paraId="1AFAC79C" w14:textId="6EC6098B" w:rsidR="00400729" w:rsidRDefault="00400729" w:rsidP="00400729">
            <w:pPr>
              <w:pStyle w:val="TableParagraph"/>
              <w:spacing w:before="40"/>
              <w:ind w:left="85"/>
              <w:rPr>
                <w:b/>
                <w:spacing w:val="-2"/>
                <w:sz w:val="19"/>
              </w:rPr>
            </w:pPr>
            <w:r>
              <w:rPr>
                <w:b/>
                <w:sz w:val="19"/>
              </w:rPr>
              <w:t>Integrated</w:t>
            </w:r>
            <w:r>
              <w:rPr>
                <w:b/>
                <w:spacing w:val="15"/>
                <w:sz w:val="19"/>
              </w:rPr>
              <w:t xml:space="preserve"> </w:t>
            </w:r>
            <w:r>
              <w:rPr>
                <w:b/>
                <w:spacing w:val="-4"/>
                <w:sz w:val="19"/>
              </w:rPr>
              <w:t>care</w:t>
            </w:r>
          </w:p>
        </w:tc>
        <w:tc>
          <w:tcPr>
            <w:tcW w:w="7370" w:type="dxa"/>
            <w:tcBorders>
              <w:top w:val="single" w:sz="2" w:space="0" w:color="000000"/>
              <w:left w:val="single" w:sz="2" w:space="0" w:color="000000"/>
              <w:bottom w:val="single" w:sz="2" w:space="0" w:color="000000"/>
              <w:right w:val="nil"/>
            </w:tcBorders>
          </w:tcPr>
          <w:p w14:paraId="21C87B79" w14:textId="3E691714" w:rsidR="00400729" w:rsidRDefault="00400729" w:rsidP="00400729">
            <w:pPr>
              <w:pStyle w:val="TableParagraph"/>
              <w:spacing w:before="47" w:line="230" w:lineRule="auto"/>
              <w:ind w:left="82" w:right="141"/>
              <w:rPr>
                <w:sz w:val="19"/>
              </w:rPr>
            </w:pPr>
            <w:r>
              <w:rPr>
                <w:sz w:val="19"/>
              </w:rPr>
              <w:t>Where all parts of the health system work together to deliver person-</w:t>
            </w:r>
            <w:proofErr w:type="spellStart"/>
            <w:r>
              <w:rPr>
                <w:sz w:val="19"/>
              </w:rPr>
              <w:t>centred</w:t>
            </w:r>
            <w:proofErr w:type="spellEnd"/>
            <w:r>
              <w:rPr>
                <w:sz w:val="19"/>
              </w:rPr>
              <w:t xml:space="preserve"> care that is seamless, comprehensive, coordinated and efficient across the continuum of </w:t>
            </w:r>
            <w:r>
              <w:rPr>
                <w:spacing w:val="-2"/>
                <w:sz w:val="19"/>
              </w:rPr>
              <w:t>care.</w:t>
            </w:r>
          </w:p>
        </w:tc>
      </w:tr>
      <w:tr w:rsidR="00400729" w14:paraId="3914ED58" w14:textId="77777777">
        <w:trPr>
          <w:trHeight w:val="721"/>
        </w:trPr>
        <w:tc>
          <w:tcPr>
            <w:tcW w:w="2835" w:type="dxa"/>
            <w:tcBorders>
              <w:top w:val="single" w:sz="2" w:space="0" w:color="000000"/>
              <w:left w:val="nil"/>
              <w:bottom w:val="single" w:sz="2" w:space="0" w:color="000000"/>
              <w:right w:val="single" w:sz="2" w:space="0" w:color="000000"/>
            </w:tcBorders>
          </w:tcPr>
          <w:p w14:paraId="24704834" w14:textId="60A71E39" w:rsidR="00400729" w:rsidRDefault="00400729" w:rsidP="00400729">
            <w:pPr>
              <w:pStyle w:val="TableParagraph"/>
              <w:spacing w:before="40"/>
              <w:ind w:left="85"/>
              <w:rPr>
                <w:b/>
                <w:spacing w:val="-2"/>
                <w:sz w:val="19"/>
              </w:rPr>
            </w:pPr>
            <w:r>
              <w:rPr>
                <w:b/>
                <w:sz w:val="19"/>
              </w:rPr>
              <w:t>Lived</w:t>
            </w:r>
            <w:r>
              <w:rPr>
                <w:b/>
                <w:spacing w:val="2"/>
                <w:sz w:val="19"/>
              </w:rPr>
              <w:t xml:space="preserve"> </w:t>
            </w:r>
            <w:r>
              <w:rPr>
                <w:b/>
                <w:spacing w:val="-2"/>
                <w:sz w:val="19"/>
              </w:rPr>
              <w:t>experience</w:t>
            </w:r>
          </w:p>
        </w:tc>
        <w:tc>
          <w:tcPr>
            <w:tcW w:w="7370" w:type="dxa"/>
            <w:tcBorders>
              <w:top w:val="single" w:sz="2" w:space="0" w:color="000000"/>
              <w:left w:val="single" w:sz="2" w:space="0" w:color="000000"/>
              <w:bottom w:val="single" w:sz="2" w:space="0" w:color="000000"/>
              <w:right w:val="nil"/>
            </w:tcBorders>
          </w:tcPr>
          <w:p w14:paraId="028EBDD3" w14:textId="063F673F" w:rsidR="00400729" w:rsidRDefault="00400729" w:rsidP="00400729">
            <w:pPr>
              <w:pStyle w:val="TableParagraph"/>
              <w:spacing w:before="47" w:line="230" w:lineRule="auto"/>
              <w:ind w:left="82" w:right="141"/>
              <w:rPr>
                <w:sz w:val="19"/>
              </w:rPr>
            </w:pPr>
            <w:r>
              <w:rPr>
                <w:sz w:val="19"/>
              </w:rPr>
              <w:t xml:space="preserve">Someone with personal experience of ill-health, including mental, chronic or acute </w:t>
            </w:r>
            <w:r>
              <w:rPr>
                <w:spacing w:val="-2"/>
                <w:sz w:val="19"/>
              </w:rPr>
              <w:t>illness.</w:t>
            </w:r>
          </w:p>
        </w:tc>
      </w:tr>
      <w:tr w:rsidR="00400729" w14:paraId="1AA6C606" w14:textId="77777777">
        <w:trPr>
          <w:trHeight w:val="721"/>
        </w:trPr>
        <w:tc>
          <w:tcPr>
            <w:tcW w:w="2835" w:type="dxa"/>
            <w:tcBorders>
              <w:top w:val="single" w:sz="2" w:space="0" w:color="000000"/>
              <w:left w:val="nil"/>
              <w:bottom w:val="single" w:sz="2" w:space="0" w:color="000000"/>
              <w:right w:val="single" w:sz="2" w:space="0" w:color="000000"/>
            </w:tcBorders>
          </w:tcPr>
          <w:p w14:paraId="0493BE3D" w14:textId="49689D00" w:rsidR="00400729" w:rsidRDefault="00400729" w:rsidP="00400729">
            <w:pPr>
              <w:pStyle w:val="TableParagraph"/>
              <w:spacing w:before="40"/>
              <w:ind w:left="85"/>
              <w:rPr>
                <w:b/>
                <w:spacing w:val="-2"/>
                <w:sz w:val="19"/>
              </w:rPr>
            </w:pPr>
            <w:r>
              <w:rPr>
                <w:b/>
                <w:sz w:val="19"/>
              </w:rPr>
              <w:t>Low-value</w:t>
            </w:r>
            <w:r>
              <w:rPr>
                <w:b/>
                <w:spacing w:val="5"/>
                <w:sz w:val="19"/>
              </w:rPr>
              <w:t xml:space="preserve"> </w:t>
            </w:r>
            <w:r>
              <w:rPr>
                <w:b/>
                <w:spacing w:val="-4"/>
                <w:sz w:val="19"/>
              </w:rPr>
              <w:t>care</w:t>
            </w:r>
          </w:p>
        </w:tc>
        <w:tc>
          <w:tcPr>
            <w:tcW w:w="7370" w:type="dxa"/>
            <w:tcBorders>
              <w:top w:val="single" w:sz="2" w:space="0" w:color="000000"/>
              <w:left w:val="single" w:sz="2" w:space="0" w:color="000000"/>
              <w:bottom w:val="single" w:sz="2" w:space="0" w:color="000000"/>
              <w:right w:val="nil"/>
            </w:tcBorders>
          </w:tcPr>
          <w:p w14:paraId="32F5CC2E" w14:textId="4D5BDCEB" w:rsidR="00400729" w:rsidRDefault="00400729" w:rsidP="00400729">
            <w:pPr>
              <w:pStyle w:val="TableParagraph"/>
              <w:spacing w:before="47" w:line="230" w:lineRule="auto"/>
              <w:ind w:left="82" w:right="141"/>
              <w:rPr>
                <w:sz w:val="19"/>
              </w:rPr>
            </w:pPr>
            <w:r>
              <w:rPr>
                <w:sz w:val="19"/>
              </w:rPr>
              <w:t>Care that provides little or no benefit, may cause patient harm, or yields marginal benefits at a disproportionately high cost.</w:t>
            </w:r>
          </w:p>
        </w:tc>
      </w:tr>
      <w:tr w:rsidR="00400729" w14:paraId="6DB6393F" w14:textId="77777777">
        <w:trPr>
          <w:trHeight w:val="721"/>
        </w:trPr>
        <w:tc>
          <w:tcPr>
            <w:tcW w:w="2835" w:type="dxa"/>
            <w:tcBorders>
              <w:top w:val="single" w:sz="2" w:space="0" w:color="000000"/>
              <w:left w:val="nil"/>
              <w:bottom w:val="single" w:sz="2" w:space="0" w:color="000000"/>
              <w:right w:val="single" w:sz="2" w:space="0" w:color="000000"/>
            </w:tcBorders>
          </w:tcPr>
          <w:p w14:paraId="6CB6D0CB" w14:textId="58370DFE" w:rsidR="00400729" w:rsidRDefault="00400729" w:rsidP="00400729">
            <w:pPr>
              <w:pStyle w:val="TableParagraph"/>
              <w:spacing w:before="40"/>
              <w:ind w:left="85"/>
              <w:rPr>
                <w:b/>
                <w:spacing w:val="-2"/>
                <w:sz w:val="19"/>
              </w:rPr>
            </w:pPr>
            <w:r>
              <w:rPr>
                <w:b/>
                <w:sz w:val="19"/>
              </w:rPr>
              <w:t>Medication</w:t>
            </w:r>
            <w:r>
              <w:rPr>
                <w:b/>
                <w:spacing w:val="18"/>
                <w:sz w:val="19"/>
              </w:rPr>
              <w:t xml:space="preserve"> </w:t>
            </w:r>
            <w:r>
              <w:rPr>
                <w:b/>
                <w:spacing w:val="-2"/>
                <w:sz w:val="19"/>
              </w:rPr>
              <w:t>management</w:t>
            </w:r>
          </w:p>
        </w:tc>
        <w:tc>
          <w:tcPr>
            <w:tcW w:w="7370" w:type="dxa"/>
            <w:tcBorders>
              <w:top w:val="single" w:sz="2" w:space="0" w:color="000000"/>
              <w:left w:val="single" w:sz="2" w:space="0" w:color="000000"/>
              <w:bottom w:val="single" w:sz="2" w:space="0" w:color="000000"/>
              <w:right w:val="nil"/>
            </w:tcBorders>
          </w:tcPr>
          <w:p w14:paraId="5320B552" w14:textId="77777777" w:rsidR="00400729" w:rsidRDefault="00400729" w:rsidP="00400729">
            <w:pPr>
              <w:pStyle w:val="TableParagraph"/>
              <w:spacing w:before="47" w:line="230" w:lineRule="auto"/>
              <w:ind w:left="82" w:right="372"/>
              <w:rPr>
                <w:sz w:val="19"/>
              </w:rPr>
            </w:pPr>
            <w:r>
              <w:rPr>
                <w:sz w:val="19"/>
              </w:rPr>
              <w:t>Practices used to manage the provision of medicines. Medication management has also been described as a cycle, pathway or system, which is complex and</w:t>
            </w:r>
          </w:p>
          <w:p w14:paraId="3C74F3B5" w14:textId="28D8E1C8" w:rsidR="00400729" w:rsidRDefault="00400729" w:rsidP="00400729">
            <w:pPr>
              <w:pStyle w:val="TableParagraph"/>
              <w:spacing w:before="47" w:line="230" w:lineRule="auto"/>
              <w:ind w:left="82" w:right="141"/>
              <w:rPr>
                <w:sz w:val="19"/>
              </w:rPr>
            </w:pPr>
            <w:r>
              <w:rPr>
                <w:sz w:val="19"/>
              </w:rPr>
              <w:t>involves a number of different clinicians. The patient is the central focus. The system includes manufacturing, compounding, procuring, dispensing, prescribing, storing, administering, supplying and monitoring the effects of medicines. It also includes decision-making, and rules, guidelines, support tools, policies and procedures that are in place to direct the use of medicines.</w:t>
            </w:r>
          </w:p>
        </w:tc>
      </w:tr>
      <w:tr w:rsidR="00400729" w14:paraId="12251D23" w14:textId="77777777">
        <w:trPr>
          <w:trHeight w:val="721"/>
        </w:trPr>
        <w:tc>
          <w:tcPr>
            <w:tcW w:w="2835" w:type="dxa"/>
            <w:tcBorders>
              <w:top w:val="single" w:sz="2" w:space="0" w:color="000000"/>
              <w:left w:val="nil"/>
              <w:bottom w:val="single" w:sz="2" w:space="0" w:color="000000"/>
              <w:right w:val="single" w:sz="2" w:space="0" w:color="000000"/>
            </w:tcBorders>
          </w:tcPr>
          <w:p w14:paraId="77448AB2" w14:textId="235A8B14" w:rsidR="00400729" w:rsidRDefault="00400729" w:rsidP="00400729">
            <w:pPr>
              <w:pStyle w:val="TableParagraph"/>
              <w:spacing w:before="40"/>
              <w:ind w:left="85"/>
              <w:rPr>
                <w:b/>
                <w:spacing w:val="-2"/>
                <w:sz w:val="19"/>
              </w:rPr>
            </w:pPr>
            <w:r>
              <w:rPr>
                <w:b/>
                <w:sz w:val="19"/>
              </w:rPr>
              <w:t>My</w:t>
            </w:r>
            <w:r>
              <w:rPr>
                <w:b/>
                <w:spacing w:val="6"/>
                <w:sz w:val="19"/>
              </w:rPr>
              <w:t xml:space="preserve"> </w:t>
            </w:r>
            <w:r>
              <w:rPr>
                <w:b/>
                <w:sz w:val="19"/>
              </w:rPr>
              <w:t>Health</w:t>
            </w:r>
            <w:r>
              <w:rPr>
                <w:b/>
                <w:spacing w:val="7"/>
                <w:sz w:val="19"/>
              </w:rPr>
              <w:t xml:space="preserve"> </w:t>
            </w:r>
            <w:r>
              <w:rPr>
                <w:b/>
                <w:spacing w:val="-2"/>
                <w:sz w:val="19"/>
              </w:rPr>
              <w:t>Record</w:t>
            </w:r>
          </w:p>
        </w:tc>
        <w:tc>
          <w:tcPr>
            <w:tcW w:w="7370" w:type="dxa"/>
            <w:tcBorders>
              <w:top w:val="single" w:sz="2" w:space="0" w:color="000000"/>
              <w:left w:val="single" w:sz="2" w:space="0" w:color="000000"/>
              <w:bottom w:val="single" w:sz="2" w:space="0" w:color="000000"/>
              <w:right w:val="nil"/>
            </w:tcBorders>
          </w:tcPr>
          <w:p w14:paraId="1B89D7B6" w14:textId="63963470" w:rsidR="00400729" w:rsidRDefault="00400729" w:rsidP="00400729">
            <w:pPr>
              <w:pStyle w:val="TableParagraph"/>
              <w:spacing w:before="47" w:line="230" w:lineRule="auto"/>
              <w:ind w:left="82" w:right="141"/>
              <w:rPr>
                <w:sz w:val="19"/>
              </w:rPr>
            </w:pPr>
            <w:r>
              <w:rPr>
                <w:sz w:val="19"/>
              </w:rPr>
              <w:t>A</w:t>
            </w:r>
            <w:r>
              <w:rPr>
                <w:spacing w:val="14"/>
                <w:sz w:val="19"/>
              </w:rPr>
              <w:t xml:space="preserve"> </w:t>
            </w:r>
            <w:r>
              <w:rPr>
                <w:sz w:val="19"/>
              </w:rPr>
              <w:t>secure</w:t>
            </w:r>
            <w:r>
              <w:rPr>
                <w:spacing w:val="14"/>
                <w:sz w:val="19"/>
              </w:rPr>
              <w:t xml:space="preserve"> </w:t>
            </w:r>
            <w:r>
              <w:rPr>
                <w:sz w:val="19"/>
              </w:rPr>
              <w:t>online</w:t>
            </w:r>
            <w:r>
              <w:rPr>
                <w:spacing w:val="14"/>
                <w:sz w:val="19"/>
              </w:rPr>
              <w:t xml:space="preserve"> </w:t>
            </w:r>
            <w:r>
              <w:rPr>
                <w:sz w:val="19"/>
              </w:rPr>
              <w:t>summary</w:t>
            </w:r>
            <w:r>
              <w:rPr>
                <w:spacing w:val="14"/>
                <w:sz w:val="19"/>
              </w:rPr>
              <w:t xml:space="preserve"> </w:t>
            </w:r>
            <w:r>
              <w:rPr>
                <w:sz w:val="19"/>
              </w:rPr>
              <w:t>of</w:t>
            </w:r>
            <w:r>
              <w:rPr>
                <w:spacing w:val="14"/>
                <w:sz w:val="19"/>
              </w:rPr>
              <w:t xml:space="preserve"> </w:t>
            </w:r>
            <w:r>
              <w:rPr>
                <w:sz w:val="19"/>
              </w:rPr>
              <w:t>a</w:t>
            </w:r>
            <w:r>
              <w:rPr>
                <w:spacing w:val="14"/>
                <w:sz w:val="19"/>
              </w:rPr>
              <w:t xml:space="preserve"> </w:t>
            </w:r>
            <w:r>
              <w:rPr>
                <w:sz w:val="19"/>
              </w:rPr>
              <w:t>consumer’s</w:t>
            </w:r>
            <w:r>
              <w:rPr>
                <w:spacing w:val="14"/>
                <w:sz w:val="19"/>
              </w:rPr>
              <w:t xml:space="preserve"> </w:t>
            </w:r>
            <w:r>
              <w:rPr>
                <w:sz w:val="19"/>
              </w:rPr>
              <w:t>health</w:t>
            </w:r>
            <w:r>
              <w:rPr>
                <w:spacing w:val="14"/>
                <w:sz w:val="19"/>
              </w:rPr>
              <w:t xml:space="preserve"> </w:t>
            </w:r>
            <w:r>
              <w:rPr>
                <w:sz w:val="19"/>
              </w:rPr>
              <w:t>information</w:t>
            </w:r>
            <w:r>
              <w:rPr>
                <w:spacing w:val="14"/>
                <w:sz w:val="19"/>
              </w:rPr>
              <w:t xml:space="preserve"> </w:t>
            </w:r>
            <w:r>
              <w:rPr>
                <w:sz w:val="19"/>
              </w:rPr>
              <w:t>that</w:t>
            </w:r>
            <w:r>
              <w:rPr>
                <w:spacing w:val="14"/>
                <w:sz w:val="19"/>
              </w:rPr>
              <w:t xml:space="preserve"> </w:t>
            </w:r>
            <w:r>
              <w:rPr>
                <w:sz w:val="19"/>
              </w:rPr>
              <w:t>is</w:t>
            </w:r>
            <w:r>
              <w:rPr>
                <w:spacing w:val="14"/>
                <w:sz w:val="19"/>
              </w:rPr>
              <w:t xml:space="preserve"> </w:t>
            </w:r>
            <w:r>
              <w:rPr>
                <w:sz w:val="19"/>
              </w:rPr>
              <w:t>managed</w:t>
            </w:r>
            <w:r>
              <w:rPr>
                <w:spacing w:val="14"/>
                <w:sz w:val="19"/>
              </w:rPr>
              <w:t xml:space="preserve"> </w:t>
            </w:r>
            <w:r>
              <w:rPr>
                <w:sz w:val="19"/>
              </w:rPr>
              <w:t>by the System Operator of the national e-health record system (the Secretary of the Department of Health, Disability and Ageing). Healthcare providers can share health records to a consumer’s My Health Record in accordance with the consumer’s access controls. This may include information such as medical history, treatments, diagnoses, medications and allergies.</w:t>
            </w:r>
          </w:p>
        </w:tc>
      </w:tr>
      <w:tr w:rsidR="00400729" w14:paraId="39A9710F" w14:textId="77777777">
        <w:trPr>
          <w:trHeight w:val="721"/>
        </w:trPr>
        <w:tc>
          <w:tcPr>
            <w:tcW w:w="2835" w:type="dxa"/>
            <w:tcBorders>
              <w:top w:val="single" w:sz="2" w:space="0" w:color="000000"/>
              <w:left w:val="nil"/>
              <w:bottom w:val="single" w:sz="2" w:space="0" w:color="000000"/>
              <w:right w:val="single" w:sz="2" w:space="0" w:color="000000"/>
            </w:tcBorders>
          </w:tcPr>
          <w:p w14:paraId="3A4119AF" w14:textId="1466930B" w:rsidR="00400729" w:rsidRDefault="00400729" w:rsidP="00400729">
            <w:pPr>
              <w:pStyle w:val="TableParagraph"/>
              <w:spacing w:before="40"/>
              <w:ind w:left="85"/>
              <w:rPr>
                <w:b/>
                <w:spacing w:val="-2"/>
                <w:sz w:val="19"/>
              </w:rPr>
            </w:pPr>
            <w:r>
              <w:rPr>
                <w:b/>
                <w:sz w:val="19"/>
              </w:rPr>
              <w:t xml:space="preserve">National Safety and Quality Health Service (NSQHS) </w:t>
            </w:r>
            <w:r>
              <w:rPr>
                <w:b/>
                <w:spacing w:val="-2"/>
                <w:sz w:val="19"/>
              </w:rPr>
              <w:t>Standards</w:t>
            </w:r>
          </w:p>
        </w:tc>
        <w:tc>
          <w:tcPr>
            <w:tcW w:w="7370" w:type="dxa"/>
            <w:tcBorders>
              <w:top w:val="single" w:sz="2" w:space="0" w:color="000000"/>
              <w:left w:val="single" w:sz="2" w:space="0" w:color="000000"/>
              <w:bottom w:val="single" w:sz="2" w:space="0" w:color="000000"/>
              <w:right w:val="nil"/>
            </w:tcBorders>
          </w:tcPr>
          <w:p w14:paraId="6E832EDB" w14:textId="3E23C51E" w:rsidR="00400729" w:rsidRDefault="00400729" w:rsidP="00400729">
            <w:pPr>
              <w:pStyle w:val="TableParagraph"/>
              <w:spacing w:before="47" w:line="230" w:lineRule="auto"/>
              <w:ind w:left="82" w:right="141"/>
              <w:rPr>
                <w:sz w:val="19"/>
              </w:rPr>
            </w:pPr>
            <w:r>
              <w:rPr>
                <w:sz w:val="19"/>
              </w:rPr>
              <w:t xml:space="preserve">Standards developed by the Commission in consultation and collaboration with states and territories, technical experts, health service </w:t>
            </w:r>
            <w:proofErr w:type="spellStart"/>
            <w:r>
              <w:rPr>
                <w:sz w:val="19"/>
              </w:rPr>
              <w:t>organisations</w:t>
            </w:r>
            <w:proofErr w:type="spellEnd"/>
            <w:r>
              <w:rPr>
                <w:sz w:val="19"/>
              </w:rPr>
              <w:t xml:space="preserve"> and patients that aim to protect the public from harm and improve the quality of health services. The NSQHS Standards provide a quality assurance mechanism that tests whether relevant systems are in place to ensure that minimum safety and quality standards are met, and a quality improvement mechanism that allows health service </w:t>
            </w:r>
            <w:proofErr w:type="spellStart"/>
            <w:r>
              <w:rPr>
                <w:sz w:val="19"/>
              </w:rPr>
              <w:lastRenderedPageBreak/>
              <w:t>organisations</w:t>
            </w:r>
            <w:proofErr w:type="spellEnd"/>
            <w:r>
              <w:rPr>
                <w:sz w:val="19"/>
              </w:rPr>
              <w:t xml:space="preserve"> to </w:t>
            </w:r>
            <w:proofErr w:type="spellStart"/>
            <w:r>
              <w:rPr>
                <w:sz w:val="19"/>
              </w:rPr>
              <w:t>realise</w:t>
            </w:r>
            <w:proofErr w:type="spellEnd"/>
            <w:r>
              <w:rPr>
                <w:sz w:val="19"/>
              </w:rPr>
              <w:t xml:space="preserve"> aspirational or developmental goals.</w:t>
            </w:r>
          </w:p>
        </w:tc>
      </w:tr>
      <w:tr w:rsidR="00400729" w14:paraId="5782A7E1" w14:textId="77777777">
        <w:trPr>
          <w:trHeight w:val="721"/>
        </w:trPr>
        <w:tc>
          <w:tcPr>
            <w:tcW w:w="2835" w:type="dxa"/>
            <w:tcBorders>
              <w:top w:val="single" w:sz="2" w:space="0" w:color="000000"/>
              <w:left w:val="nil"/>
              <w:bottom w:val="single" w:sz="2" w:space="0" w:color="000000"/>
              <w:right w:val="single" w:sz="2" w:space="0" w:color="000000"/>
            </w:tcBorders>
          </w:tcPr>
          <w:p w14:paraId="0AF34CF9" w14:textId="7D4DEB9B" w:rsidR="00400729" w:rsidRDefault="00400729" w:rsidP="00400729">
            <w:pPr>
              <w:pStyle w:val="TableParagraph"/>
              <w:spacing w:before="40"/>
              <w:ind w:left="85"/>
              <w:rPr>
                <w:b/>
                <w:spacing w:val="-2"/>
                <w:sz w:val="19"/>
              </w:rPr>
            </w:pPr>
            <w:r>
              <w:rPr>
                <w:b/>
                <w:sz w:val="19"/>
              </w:rPr>
              <w:lastRenderedPageBreak/>
              <w:t>Open</w:t>
            </w:r>
            <w:r>
              <w:rPr>
                <w:b/>
                <w:spacing w:val="7"/>
                <w:sz w:val="19"/>
              </w:rPr>
              <w:t xml:space="preserve"> </w:t>
            </w:r>
            <w:r>
              <w:rPr>
                <w:b/>
                <w:spacing w:val="-2"/>
                <w:sz w:val="19"/>
              </w:rPr>
              <w:t>disclosure</w:t>
            </w:r>
          </w:p>
        </w:tc>
        <w:tc>
          <w:tcPr>
            <w:tcW w:w="7370" w:type="dxa"/>
            <w:tcBorders>
              <w:top w:val="single" w:sz="2" w:space="0" w:color="000000"/>
              <w:left w:val="single" w:sz="2" w:space="0" w:color="000000"/>
              <w:bottom w:val="single" w:sz="2" w:space="0" w:color="000000"/>
              <w:right w:val="nil"/>
            </w:tcBorders>
          </w:tcPr>
          <w:p w14:paraId="32DCB118" w14:textId="3154A61A" w:rsidR="00400729" w:rsidRDefault="00400729" w:rsidP="00400729">
            <w:pPr>
              <w:pStyle w:val="TableParagraph"/>
              <w:spacing w:before="47" w:line="230" w:lineRule="auto"/>
              <w:ind w:left="82" w:right="141"/>
              <w:rPr>
                <w:sz w:val="19"/>
              </w:rPr>
            </w:pPr>
            <w:r>
              <w:rPr>
                <w:sz w:val="19"/>
              </w:rPr>
              <w:t>An open discussion between a healthcare provider and a patient when things go wrong that have harmed or had the potential to cause harm to the patient. The discussion</w:t>
            </w:r>
            <w:r>
              <w:rPr>
                <w:spacing w:val="-1"/>
                <w:sz w:val="19"/>
              </w:rPr>
              <w:t xml:space="preserve"> </w:t>
            </w:r>
            <w:r>
              <w:rPr>
                <w:sz w:val="19"/>
              </w:rPr>
              <w:t>may</w:t>
            </w:r>
            <w:r>
              <w:rPr>
                <w:spacing w:val="-1"/>
                <w:sz w:val="19"/>
              </w:rPr>
              <w:t xml:space="preserve"> </w:t>
            </w:r>
            <w:r>
              <w:rPr>
                <w:sz w:val="19"/>
              </w:rPr>
              <w:t>include</w:t>
            </w:r>
            <w:r>
              <w:rPr>
                <w:spacing w:val="-1"/>
                <w:sz w:val="19"/>
              </w:rPr>
              <w:t xml:space="preserve"> </w:t>
            </w:r>
            <w:r>
              <w:rPr>
                <w:sz w:val="19"/>
              </w:rPr>
              <w:t>an</w:t>
            </w:r>
            <w:r>
              <w:rPr>
                <w:spacing w:val="-1"/>
                <w:sz w:val="19"/>
              </w:rPr>
              <w:t xml:space="preserve"> </w:t>
            </w:r>
            <w:r>
              <w:rPr>
                <w:sz w:val="19"/>
              </w:rPr>
              <w:t>expression</w:t>
            </w:r>
            <w:r>
              <w:rPr>
                <w:spacing w:val="-1"/>
                <w:sz w:val="19"/>
              </w:rPr>
              <w:t xml:space="preserve"> </w:t>
            </w:r>
            <w:r>
              <w:rPr>
                <w:sz w:val="19"/>
              </w:rPr>
              <w:t>of</w:t>
            </w:r>
            <w:r>
              <w:rPr>
                <w:spacing w:val="-1"/>
                <w:sz w:val="19"/>
              </w:rPr>
              <w:t xml:space="preserve"> </w:t>
            </w:r>
            <w:r>
              <w:rPr>
                <w:sz w:val="19"/>
              </w:rPr>
              <w:t>regret</w:t>
            </w:r>
            <w:r>
              <w:rPr>
                <w:spacing w:val="-1"/>
                <w:sz w:val="19"/>
              </w:rPr>
              <w:t xml:space="preserve"> </w:t>
            </w:r>
            <w:r>
              <w:rPr>
                <w:sz w:val="19"/>
              </w:rPr>
              <w:t>by</w:t>
            </w:r>
            <w:r>
              <w:rPr>
                <w:spacing w:val="-1"/>
                <w:sz w:val="19"/>
              </w:rPr>
              <w:t xml:space="preserve"> </w:t>
            </w:r>
            <w:r>
              <w:rPr>
                <w:sz w:val="19"/>
              </w:rPr>
              <w:t>the</w:t>
            </w:r>
            <w:r>
              <w:rPr>
                <w:spacing w:val="-1"/>
                <w:sz w:val="19"/>
              </w:rPr>
              <w:t xml:space="preserve"> </w:t>
            </w:r>
            <w:r>
              <w:rPr>
                <w:sz w:val="19"/>
              </w:rPr>
              <w:t>provider,</w:t>
            </w:r>
            <w:r>
              <w:rPr>
                <w:spacing w:val="-1"/>
                <w:sz w:val="19"/>
              </w:rPr>
              <w:t xml:space="preserve"> </w:t>
            </w:r>
            <w:r>
              <w:rPr>
                <w:sz w:val="19"/>
              </w:rPr>
              <w:t>an</w:t>
            </w:r>
            <w:r>
              <w:rPr>
                <w:spacing w:val="-1"/>
                <w:sz w:val="19"/>
              </w:rPr>
              <w:t xml:space="preserve"> </w:t>
            </w:r>
            <w:r>
              <w:rPr>
                <w:sz w:val="19"/>
              </w:rPr>
              <w:t>explanation</w:t>
            </w:r>
            <w:r>
              <w:rPr>
                <w:spacing w:val="-1"/>
                <w:sz w:val="19"/>
              </w:rPr>
              <w:t xml:space="preserve"> </w:t>
            </w:r>
            <w:r>
              <w:rPr>
                <w:sz w:val="19"/>
              </w:rPr>
              <w:t>of what happened and its consequences, and steps to prevent it happening again.</w:t>
            </w:r>
          </w:p>
        </w:tc>
      </w:tr>
      <w:tr w:rsidR="00400729" w14:paraId="0A0BB9F6" w14:textId="77777777">
        <w:trPr>
          <w:trHeight w:val="721"/>
        </w:trPr>
        <w:tc>
          <w:tcPr>
            <w:tcW w:w="2835" w:type="dxa"/>
            <w:tcBorders>
              <w:top w:val="single" w:sz="2" w:space="0" w:color="000000"/>
              <w:left w:val="nil"/>
              <w:bottom w:val="single" w:sz="2" w:space="0" w:color="000000"/>
              <w:right w:val="single" w:sz="2" w:space="0" w:color="000000"/>
            </w:tcBorders>
          </w:tcPr>
          <w:p w14:paraId="360CB152" w14:textId="1774F29D" w:rsidR="00400729" w:rsidRDefault="00400729" w:rsidP="00400729">
            <w:pPr>
              <w:pStyle w:val="TableParagraph"/>
              <w:spacing w:before="40"/>
              <w:ind w:left="85"/>
              <w:rPr>
                <w:b/>
                <w:spacing w:val="-2"/>
                <w:sz w:val="19"/>
              </w:rPr>
            </w:pPr>
            <w:proofErr w:type="spellStart"/>
            <w:r>
              <w:rPr>
                <w:b/>
                <w:sz w:val="19"/>
              </w:rPr>
              <w:t>Organisational</w:t>
            </w:r>
            <w:proofErr w:type="spellEnd"/>
            <w:r>
              <w:rPr>
                <w:b/>
                <w:spacing w:val="20"/>
                <w:sz w:val="19"/>
              </w:rPr>
              <w:t xml:space="preserve"> </w:t>
            </w:r>
            <w:r>
              <w:rPr>
                <w:b/>
                <w:spacing w:val="-2"/>
                <w:sz w:val="19"/>
              </w:rPr>
              <w:t>culture</w:t>
            </w:r>
          </w:p>
        </w:tc>
        <w:tc>
          <w:tcPr>
            <w:tcW w:w="7370" w:type="dxa"/>
            <w:tcBorders>
              <w:top w:val="single" w:sz="2" w:space="0" w:color="000000"/>
              <w:left w:val="single" w:sz="2" w:space="0" w:color="000000"/>
              <w:bottom w:val="single" w:sz="2" w:space="0" w:color="000000"/>
              <w:right w:val="nil"/>
            </w:tcBorders>
          </w:tcPr>
          <w:p w14:paraId="1FFB62D8" w14:textId="7C8C293A" w:rsidR="00400729" w:rsidRDefault="00400729" w:rsidP="00400729">
            <w:pPr>
              <w:pStyle w:val="TableParagraph"/>
              <w:spacing w:before="47" w:line="230" w:lineRule="auto"/>
              <w:ind w:left="82" w:right="141"/>
              <w:rPr>
                <w:sz w:val="19"/>
              </w:rPr>
            </w:pPr>
            <w:r>
              <w:rPr>
                <w:sz w:val="19"/>
              </w:rPr>
              <w:t xml:space="preserve">A set of values, expectations, formal and informal practices, and </w:t>
            </w:r>
            <w:proofErr w:type="spellStart"/>
            <w:r>
              <w:rPr>
                <w:sz w:val="19"/>
              </w:rPr>
              <w:t>behaviours</w:t>
            </w:r>
            <w:proofErr w:type="spellEnd"/>
            <w:r>
              <w:rPr>
                <w:sz w:val="19"/>
              </w:rPr>
              <w:t xml:space="preserve"> that define the unique </w:t>
            </w:r>
            <w:proofErr w:type="spellStart"/>
            <w:r>
              <w:rPr>
                <w:sz w:val="19"/>
              </w:rPr>
              <w:t>organisational</w:t>
            </w:r>
            <w:proofErr w:type="spellEnd"/>
            <w:r>
              <w:rPr>
                <w:sz w:val="19"/>
              </w:rPr>
              <w:t xml:space="preserve"> environment. ‘The way things are done around </w:t>
            </w:r>
            <w:r>
              <w:rPr>
                <w:spacing w:val="-2"/>
                <w:sz w:val="19"/>
              </w:rPr>
              <w:t>here’.</w:t>
            </w:r>
          </w:p>
        </w:tc>
      </w:tr>
      <w:tr w:rsidR="00400729" w14:paraId="6F9EBB8C" w14:textId="77777777">
        <w:trPr>
          <w:trHeight w:val="721"/>
        </w:trPr>
        <w:tc>
          <w:tcPr>
            <w:tcW w:w="2835" w:type="dxa"/>
            <w:tcBorders>
              <w:top w:val="single" w:sz="2" w:space="0" w:color="000000"/>
              <w:left w:val="nil"/>
              <w:bottom w:val="single" w:sz="2" w:space="0" w:color="000000"/>
              <w:right w:val="single" w:sz="2" w:space="0" w:color="000000"/>
            </w:tcBorders>
          </w:tcPr>
          <w:p w14:paraId="1FF13D3F" w14:textId="28169F1E" w:rsidR="00400729" w:rsidRDefault="00400729" w:rsidP="00400729">
            <w:pPr>
              <w:pStyle w:val="TableParagraph"/>
              <w:spacing w:before="40"/>
              <w:ind w:left="85"/>
              <w:rPr>
                <w:b/>
                <w:spacing w:val="-2"/>
                <w:sz w:val="19"/>
              </w:rPr>
            </w:pPr>
            <w:r>
              <w:rPr>
                <w:b/>
                <w:sz w:val="19"/>
              </w:rPr>
              <w:t>Partnering</w:t>
            </w:r>
            <w:r>
              <w:rPr>
                <w:b/>
                <w:spacing w:val="14"/>
                <w:sz w:val="19"/>
              </w:rPr>
              <w:t xml:space="preserve"> </w:t>
            </w:r>
            <w:r>
              <w:rPr>
                <w:b/>
                <w:sz w:val="19"/>
              </w:rPr>
              <w:t>with</w:t>
            </w:r>
            <w:r>
              <w:rPr>
                <w:b/>
                <w:spacing w:val="15"/>
                <w:sz w:val="19"/>
              </w:rPr>
              <w:t xml:space="preserve"> </w:t>
            </w:r>
            <w:r>
              <w:rPr>
                <w:b/>
                <w:spacing w:val="-2"/>
                <w:sz w:val="19"/>
              </w:rPr>
              <w:t>consumers</w:t>
            </w:r>
          </w:p>
        </w:tc>
        <w:tc>
          <w:tcPr>
            <w:tcW w:w="7370" w:type="dxa"/>
            <w:tcBorders>
              <w:top w:val="single" w:sz="2" w:space="0" w:color="000000"/>
              <w:left w:val="single" w:sz="2" w:space="0" w:color="000000"/>
              <w:bottom w:val="single" w:sz="2" w:space="0" w:color="000000"/>
              <w:right w:val="nil"/>
            </w:tcBorders>
          </w:tcPr>
          <w:p w14:paraId="06E2FDEB" w14:textId="77777777" w:rsidR="00400729" w:rsidRDefault="00400729" w:rsidP="00400729">
            <w:pPr>
              <w:pStyle w:val="TableParagraph"/>
              <w:spacing w:before="47" w:line="230" w:lineRule="auto"/>
              <w:ind w:left="82" w:right="372"/>
              <w:rPr>
                <w:sz w:val="19"/>
              </w:rPr>
            </w:pPr>
            <w:r>
              <w:rPr>
                <w:sz w:val="19"/>
              </w:rPr>
              <w:t>A type of relationship with consumers that involves treating consumers and</w:t>
            </w:r>
            <w:r>
              <w:rPr>
                <w:spacing w:val="80"/>
                <w:sz w:val="19"/>
              </w:rPr>
              <w:t xml:space="preserve"> </w:t>
            </w:r>
            <w:r>
              <w:rPr>
                <w:sz w:val="19"/>
              </w:rPr>
              <w:t xml:space="preserve">carers with dignity and respect; communicating and sharing information between consumers, carers (when relevant) and health service </w:t>
            </w:r>
            <w:proofErr w:type="spellStart"/>
            <w:r>
              <w:rPr>
                <w:sz w:val="19"/>
              </w:rPr>
              <w:t>organisations</w:t>
            </w:r>
            <w:proofErr w:type="spellEnd"/>
            <w:r>
              <w:rPr>
                <w:sz w:val="19"/>
              </w:rPr>
              <w:t xml:space="preserve">; encouraging and supporting consumers’ participation in decision-making; and fostering collaboration between consumers, carers and health service </w:t>
            </w:r>
            <w:proofErr w:type="spellStart"/>
            <w:r>
              <w:rPr>
                <w:sz w:val="19"/>
              </w:rPr>
              <w:t>organisations</w:t>
            </w:r>
            <w:proofErr w:type="spellEnd"/>
            <w:r>
              <w:rPr>
                <w:sz w:val="19"/>
              </w:rPr>
              <w:t xml:space="preserve"> in planning, designing, delivering and evaluating health care. Other terms used</w:t>
            </w:r>
          </w:p>
          <w:p w14:paraId="04C75F46" w14:textId="4D33E6CE" w:rsidR="00400729" w:rsidRDefault="00400729" w:rsidP="00400729">
            <w:pPr>
              <w:pStyle w:val="TableParagraph"/>
              <w:spacing w:before="47" w:line="230" w:lineRule="auto"/>
              <w:ind w:left="82" w:right="141"/>
              <w:rPr>
                <w:sz w:val="19"/>
              </w:rPr>
            </w:pPr>
            <w:r>
              <w:rPr>
                <w:sz w:val="19"/>
              </w:rPr>
              <w:t>internationally to describe a similar concept include ‘patient-based care’, ‘consumer-</w:t>
            </w:r>
            <w:proofErr w:type="spellStart"/>
            <w:r>
              <w:rPr>
                <w:sz w:val="19"/>
              </w:rPr>
              <w:t>centred</w:t>
            </w:r>
            <w:proofErr w:type="spellEnd"/>
            <w:r>
              <w:rPr>
                <w:sz w:val="19"/>
              </w:rPr>
              <w:t xml:space="preserve"> care’, ‘person-</w:t>
            </w:r>
            <w:proofErr w:type="spellStart"/>
            <w:r>
              <w:rPr>
                <w:sz w:val="19"/>
              </w:rPr>
              <w:t>centred</w:t>
            </w:r>
            <w:proofErr w:type="spellEnd"/>
            <w:r>
              <w:rPr>
                <w:sz w:val="19"/>
              </w:rPr>
              <w:t xml:space="preserve"> care’, ‘relationship-based care’, ‘patient-</w:t>
            </w:r>
            <w:proofErr w:type="spellStart"/>
            <w:r>
              <w:rPr>
                <w:sz w:val="19"/>
              </w:rPr>
              <w:t>centred</w:t>
            </w:r>
            <w:proofErr w:type="spellEnd"/>
            <w:r>
              <w:rPr>
                <w:sz w:val="19"/>
              </w:rPr>
              <w:t xml:space="preserve"> care’ and ‘patient- and family-</w:t>
            </w:r>
            <w:proofErr w:type="spellStart"/>
            <w:r>
              <w:rPr>
                <w:sz w:val="19"/>
              </w:rPr>
              <w:t>centred</w:t>
            </w:r>
            <w:proofErr w:type="spellEnd"/>
            <w:r>
              <w:rPr>
                <w:sz w:val="19"/>
              </w:rPr>
              <w:t xml:space="preserve"> care’.</w:t>
            </w:r>
          </w:p>
        </w:tc>
      </w:tr>
      <w:tr w:rsidR="00400729" w14:paraId="47D58B51" w14:textId="77777777">
        <w:trPr>
          <w:trHeight w:val="721"/>
        </w:trPr>
        <w:tc>
          <w:tcPr>
            <w:tcW w:w="2835" w:type="dxa"/>
            <w:tcBorders>
              <w:top w:val="single" w:sz="2" w:space="0" w:color="000000"/>
              <w:left w:val="nil"/>
              <w:bottom w:val="single" w:sz="2" w:space="0" w:color="000000"/>
              <w:right w:val="single" w:sz="2" w:space="0" w:color="000000"/>
            </w:tcBorders>
          </w:tcPr>
          <w:p w14:paraId="7973F3CF" w14:textId="5B2A3CC8" w:rsidR="00400729" w:rsidRDefault="00400729" w:rsidP="00400729">
            <w:pPr>
              <w:pStyle w:val="TableParagraph"/>
              <w:spacing w:before="40"/>
              <w:ind w:left="85"/>
              <w:rPr>
                <w:b/>
                <w:spacing w:val="-2"/>
                <w:sz w:val="19"/>
              </w:rPr>
            </w:pPr>
            <w:r>
              <w:rPr>
                <w:b/>
                <w:spacing w:val="-2"/>
                <w:sz w:val="19"/>
              </w:rPr>
              <w:t>Patient</w:t>
            </w:r>
          </w:p>
        </w:tc>
        <w:tc>
          <w:tcPr>
            <w:tcW w:w="7370" w:type="dxa"/>
            <w:tcBorders>
              <w:top w:val="single" w:sz="2" w:space="0" w:color="000000"/>
              <w:left w:val="single" w:sz="2" w:space="0" w:color="000000"/>
              <w:bottom w:val="single" w:sz="2" w:space="0" w:color="000000"/>
              <w:right w:val="nil"/>
            </w:tcBorders>
          </w:tcPr>
          <w:p w14:paraId="705D56BD" w14:textId="7E6ABD96" w:rsidR="00400729" w:rsidRDefault="00400729" w:rsidP="00400729">
            <w:pPr>
              <w:pStyle w:val="TableParagraph"/>
              <w:spacing w:before="47" w:line="230" w:lineRule="auto"/>
              <w:ind w:left="82" w:right="141"/>
              <w:rPr>
                <w:sz w:val="19"/>
              </w:rPr>
            </w:pPr>
            <w:r>
              <w:rPr>
                <w:sz w:val="19"/>
              </w:rPr>
              <w:t xml:space="preserve">A person receiving health care. Synonyms for ‘patient’ include ‘consumer’ and </w:t>
            </w:r>
            <w:r>
              <w:rPr>
                <w:spacing w:val="-2"/>
                <w:sz w:val="19"/>
              </w:rPr>
              <w:t>‘client’.</w:t>
            </w:r>
          </w:p>
        </w:tc>
      </w:tr>
      <w:tr w:rsidR="00445608" w14:paraId="2C35A184" w14:textId="77777777">
        <w:trPr>
          <w:trHeight w:val="721"/>
        </w:trPr>
        <w:tc>
          <w:tcPr>
            <w:tcW w:w="2835" w:type="dxa"/>
            <w:tcBorders>
              <w:top w:val="single" w:sz="2" w:space="0" w:color="000000"/>
              <w:left w:val="nil"/>
              <w:bottom w:val="single" w:sz="2" w:space="0" w:color="000000"/>
              <w:right w:val="single" w:sz="2" w:space="0" w:color="000000"/>
            </w:tcBorders>
          </w:tcPr>
          <w:p w14:paraId="25752604" w14:textId="45FA455D" w:rsidR="00445608" w:rsidRDefault="00445608" w:rsidP="00445608">
            <w:pPr>
              <w:pStyle w:val="TableParagraph"/>
              <w:spacing w:before="40"/>
              <w:ind w:left="85"/>
              <w:rPr>
                <w:b/>
                <w:spacing w:val="-2"/>
                <w:sz w:val="19"/>
              </w:rPr>
            </w:pPr>
            <w:r>
              <w:rPr>
                <w:b/>
                <w:sz w:val="19"/>
              </w:rPr>
              <w:t>Patient</w:t>
            </w:r>
            <w:r>
              <w:rPr>
                <w:b/>
                <w:spacing w:val="7"/>
                <w:sz w:val="19"/>
              </w:rPr>
              <w:t xml:space="preserve"> </w:t>
            </w:r>
            <w:r>
              <w:rPr>
                <w:b/>
                <w:spacing w:val="-2"/>
                <w:sz w:val="19"/>
              </w:rPr>
              <w:t>outcome</w:t>
            </w:r>
          </w:p>
        </w:tc>
        <w:tc>
          <w:tcPr>
            <w:tcW w:w="7370" w:type="dxa"/>
            <w:tcBorders>
              <w:top w:val="single" w:sz="2" w:space="0" w:color="000000"/>
              <w:left w:val="single" w:sz="2" w:space="0" w:color="000000"/>
              <w:bottom w:val="single" w:sz="2" w:space="0" w:color="000000"/>
              <w:right w:val="nil"/>
            </w:tcBorders>
          </w:tcPr>
          <w:p w14:paraId="1A4034C8" w14:textId="2D43CB31" w:rsidR="00445608" w:rsidRDefault="00445608" w:rsidP="00445608">
            <w:pPr>
              <w:pStyle w:val="TableParagraph"/>
              <w:spacing w:before="47" w:line="230" w:lineRule="auto"/>
              <w:ind w:left="82" w:right="141"/>
              <w:rPr>
                <w:sz w:val="19"/>
              </w:rPr>
            </w:pPr>
            <w:r>
              <w:rPr>
                <w:sz w:val="19"/>
              </w:rPr>
              <w:t xml:space="preserve">The status of a patient that is wholly or partially attributable to an action, agent or </w:t>
            </w:r>
            <w:r>
              <w:rPr>
                <w:spacing w:val="-2"/>
                <w:sz w:val="19"/>
              </w:rPr>
              <w:t>circumstance.</w:t>
            </w:r>
          </w:p>
        </w:tc>
      </w:tr>
      <w:tr w:rsidR="00445608" w14:paraId="5693FED9" w14:textId="77777777">
        <w:trPr>
          <w:trHeight w:val="721"/>
        </w:trPr>
        <w:tc>
          <w:tcPr>
            <w:tcW w:w="2835" w:type="dxa"/>
            <w:tcBorders>
              <w:top w:val="single" w:sz="2" w:space="0" w:color="000000"/>
              <w:left w:val="nil"/>
              <w:bottom w:val="single" w:sz="2" w:space="0" w:color="000000"/>
              <w:right w:val="single" w:sz="2" w:space="0" w:color="000000"/>
            </w:tcBorders>
          </w:tcPr>
          <w:p w14:paraId="6D024B4E" w14:textId="1CD6D871" w:rsidR="00445608" w:rsidRDefault="00445608" w:rsidP="00445608">
            <w:pPr>
              <w:pStyle w:val="TableParagraph"/>
              <w:spacing w:before="40"/>
              <w:ind w:left="85"/>
              <w:rPr>
                <w:b/>
                <w:spacing w:val="-2"/>
                <w:sz w:val="19"/>
              </w:rPr>
            </w:pPr>
            <w:r>
              <w:rPr>
                <w:b/>
                <w:sz w:val="19"/>
              </w:rPr>
              <w:t>Patient</w:t>
            </w:r>
            <w:r>
              <w:rPr>
                <w:b/>
                <w:spacing w:val="5"/>
                <w:sz w:val="19"/>
              </w:rPr>
              <w:t xml:space="preserve"> </w:t>
            </w:r>
            <w:r>
              <w:rPr>
                <w:b/>
                <w:spacing w:val="-2"/>
                <w:sz w:val="19"/>
              </w:rPr>
              <w:t>safety</w:t>
            </w:r>
          </w:p>
        </w:tc>
        <w:tc>
          <w:tcPr>
            <w:tcW w:w="7370" w:type="dxa"/>
            <w:tcBorders>
              <w:top w:val="single" w:sz="2" w:space="0" w:color="000000"/>
              <w:left w:val="single" w:sz="2" w:space="0" w:color="000000"/>
              <w:bottom w:val="single" w:sz="2" w:space="0" w:color="000000"/>
              <w:right w:val="nil"/>
            </w:tcBorders>
          </w:tcPr>
          <w:p w14:paraId="0C0FD611" w14:textId="793A1F05" w:rsidR="00445608" w:rsidRDefault="00445608" w:rsidP="00445608">
            <w:pPr>
              <w:pStyle w:val="TableParagraph"/>
              <w:spacing w:before="47" w:line="230" w:lineRule="auto"/>
              <w:ind w:left="82" w:right="141"/>
              <w:rPr>
                <w:sz w:val="19"/>
              </w:rPr>
            </w:pPr>
            <w:proofErr w:type="spellStart"/>
            <w:r>
              <w:rPr>
                <w:sz w:val="19"/>
              </w:rPr>
              <w:t>Minimising</w:t>
            </w:r>
            <w:proofErr w:type="spellEnd"/>
            <w:r>
              <w:rPr>
                <w:spacing w:val="3"/>
                <w:sz w:val="19"/>
              </w:rPr>
              <w:t xml:space="preserve"> </w:t>
            </w:r>
            <w:r>
              <w:rPr>
                <w:sz w:val="19"/>
              </w:rPr>
              <w:t>the</w:t>
            </w:r>
            <w:r>
              <w:rPr>
                <w:spacing w:val="4"/>
                <w:sz w:val="19"/>
              </w:rPr>
              <w:t xml:space="preserve"> </w:t>
            </w:r>
            <w:r>
              <w:rPr>
                <w:sz w:val="19"/>
              </w:rPr>
              <w:t>risk</w:t>
            </w:r>
            <w:r>
              <w:rPr>
                <w:spacing w:val="4"/>
                <w:sz w:val="19"/>
              </w:rPr>
              <w:t xml:space="preserve"> </w:t>
            </w:r>
            <w:r>
              <w:rPr>
                <w:sz w:val="19"/>
              </w:rPr>
              <w:t>of</w:t>
            </w:r>
            <w:r>
              <w:rPr>
                <w:spacing w:val="3"/>
                <w:sz w:val="19"/>
              </w:rPr>
              <w:t xml:space="preserve"> </w:t>
            </w:r>
            <w:r>
              <w:rPr>
                <w:sz w:val="19"/>
              </w:rPr>
              <w:t>unnecessary</w:t>
            </w:r>
            <w:r>
              <w:rPr>
                <w:spacing w:val="4"/>
                <w:sz w:val="19"/>
              </w:rPr>
              <w:t xml:space="preserve"> </w:t>
            </w:r>
            <w:r>
              <w:rPr>
                <w:sz w:val="19"/>
              </w:rPr>
              <w:t>harm</w:t>
            </w:r>
            <w:r>
              <w:rPr>
                <w:spacing w:val="4"/>
                <w:sz w:val="19"/>
              </w:rPr>
              <w:t xml:space="preserve"> </w:t>
            </w:r>
            <w:r>
              <w:rPr>
                <w:sz w:val="19"/>
              </w:rPr>
              <w:t>associated</w:t>
            </w:r>
            <w:r>
              <w:rPr>
                <w:spacing w:val="3"/>
                <w:sz w:val="19"/>
              </w:rPr>
              <w:t xml:space="preserve"> </w:t>
            </w:r>
            <w:r>
              <w:rPr>
                <w:sz w:val="19"/>
              </w:rPr>
              <w:t>with</w:t>
            </w:r>
            <w:r>
              <w:rPr>
                <w:spacing w:val="4"/>
                <w:sz w:val="19"/>
              </w:rPr>
              <w:t xml:space="preserve"> </w:t>
            </w:r>
            <w:r>
              <w:rPr>
                <w:sz w:val="19"/>
              </w:rPr>
              <w:t>health</w:t>
            </w:r>
            <w:r>
              <w:rPr>
                <w:spacing w:val="4"/>
                <w:sz w:val="19"/>
              </w:rPr>
              <w:t xml:space="preserve"> </w:t>
            </w:r>
            <w:r>
              <w:rPr>
                <w:spacing w:val="-2"/>
                <w:sz w:val="19"/>
              </w:rPr>
              <w:t>care.</w:t>
            </w:r>
          </w:p>
        </w:tc>
      </w:tr>
      <w:tr w:rsidR="00445608" w14:paraId="078A9B1E" w14:textId="77777777">
        <w:trPr>
          <w:trHeight w:val="721"/>
        </w:trPr>
        <w:tc>
          <w:tcPr>
            <w:tcW w:w="2835" w:type="dxa"/>
            <w:tcBorders>
              <w:top w:val="single" w:sz="2" w:space="0" w:color="000000"/>
              <w:left w:val="nil"/>
              <w:bottom w:val="single" w:sz="2" w:space="0" w:color="000000"/>
              <w:right w:val="single" w:sz="2" w:space="0" w:color="000000"/>
            </w:tcBorders>
          </w:tcPr>
          <w:p w14:paraId="3EA5AB1B" w14:textId="45C4F6F5" w:rsidR="00445608" w:rsidRDefault="00445608" w:rsidP="00445608">
            <w:pPr>
              <w:pStyle w:val="TableParagraph"/>
              <w:spacing w:before="40"/>
              <w:ind w:left="85"/>
              <w:rPr>
                <w:b/>
                <w:spacing w:val="-2"/>
                <w:sz w:val="19"/>
              </w:rPr>
            </w:pPr>
            <w:r>
              <w:rPr>
                <w:b/>
                <w:sz w:val="19"/>
              </w:rPr>
              <w:t>Patient</w:t>
            </w:r>
            <w:r>
              <w:rPr>
                <w:b/>
                <w:spacing w:val="9"/>
                <w:sz w:val="19"/>
              </w:rPr>
              <w:t xml:space="preserve"> </w:t>
            </w:r>
            <w:r>
              <w:rPr>
                <w:b/>
                <w:sz w:val="19"/>
              </w:rPr>
              <w:t>safety</w:t>
            </w:r>
            <w:r>
              <w:rPr>
                <w:b/>
                <w:spacing w:val="9"/>
                <w:sz w:val="19"/>
              </w:rPr>
              <w:t xml:space="preserve"> </w:t>
            </w:r>
            <w:r>
              <w:rPr>
                <w:b/>
                <w:spacing w:val="-2"/>
                <w:sz w:val="19"/>
              </w:rPr>
              <w:t>incident</w:t>
            </w:r>
          </w:p>
        </w:tc>
        <w:tc>
          <w:tcPr>
            <w:tcW w:w="7370" w:type="dxa"/>
            <w:tcBorders>
              <w:top w:val="single" w:sz="2" w:space="0" w:color="000000"/>
              <w:left w:val="single" w:sz="2" w:space="0" w:color="000000"/>
              <w:bottom w:val="single" w:sz="2" w:space="0" w:color="000000"/>
              <w:right w:val="nil"/>
            </w:tcBorders>
          </w:tcPr>
          <w:p w14:paraId="74A20AF0" w14:textId="3042DD76" w:rsidR="00445608" w:rsidRDefault="00445608" w:rsidP="00445608">
            <w:pPr>
              <w:pStyle w:val="TableParagraph"/>
              <w:spacing w:before="47" w:line="230" w:lineRule="auto"/>
              <w:ind w:left="82" w:right="141"/>
              <w:rPr>
                <w:sz w:val="19"/>
              </w:rPr>
            </w:pPr>
            <w:r>
              <w:rPr>
                <w:sz w:val="19"/>
              </w:rPr>
              <w:t>An event or circumstance that could have resulted, or did result, in unnecessary harm to a patient.</w:t>
            </w:r>
          </w:p>
        </w:tc>
      </w:tr>
      <w:tr w:rsidR="00445608" w14:paraId="3247EBF4" w14:textId="77777777">
        <w:trPr>
          <w:trHeight w:val="721"/>
        </w:trPr>
        <w:tc>
          <w:tcPr>
            <w:tcW w:w="2835" w:type="dxa"/>
            <w:tcBorders>
              <w:top w:val="single" w:sz="2" w:space="0" w:color="000000"/>
              <w:left w:val="nil"/>
              <w:bottom w:val="single" w:sz="2" w:space="0" w:color="000000"/>
              <w:right w:val="single" w:sz="2" w:space="0" w:color="000000"/>
            </w:tcBorders>
          </w:tcPr>
          <w:p w14:paraId="098C6327" w14:textId="1036C426" w:rsidR="00445608" w:rsidRDefault="00445608" w:rsidP="00445608">
            <w:pPr>
              <w:pStyle w:val="TableParagraph"/>
              <w:spacing w:before="40"/>
              <w:ind w:left="85"/>
              <w:rPr>
                <w:b/>
                <w:spacing w:val="-2"/>
                <w:sz w:val="19"/>
              </w:rPr>
            </w:pPr>
            <w:r>
              <w:rPr>
                <w:b/>
                <w:sz w:val="19"/>
              </w:rPr>
              <w:t>Patient-reported experience and outcome measures</w:t>
            </w:r>
          </w:p>
        </w:tc>
        <w:tc>
          <w:tcPr>
            <w:tcW w:w="7370" w:type="dxa"/>
            <w:tcBorders>
              <w:top w:val="single" w:sz="2" w:space="0" w:color="000000"/>
              <w:left w:val="single" w:sz="2" w:space="0" w:color="000000"/>
              <w:bottom w:val="single" w:sz="2" w:space="0" w:color="000000"/>
              <w:right w:val="nil"/>
            </w:tcBorders>
          </w:tcPr>
          <w:p w14:paraId="69C47EF8" w14:textId="200F95D6" w:rsidR="00445608" w:rsidRDefault="00445608" w:rsidP="00445608">
            <w:pPr>
              <w:pStyle w:val="TableParagraph"/>
              <w:spacing w:before="47" w:line="230" w:lineRule="auto"/>
              <w:ind w:left="82" w:right="141"/>
              <w:rPr>
                <w:sz w:val="19"/>
              </w:rPr>
            </w:pPr>
            <w:r>
              <w:rPr>
                <w:sz w:val="19"/>
              </w:rPr>
              <w:t>Information collected directly from patients about their experience of health</w:t>
            </w:r>
            <w:r>
              <w:rPr>
                <w:spacing w:val="80"/>
                <w:sz w:val="19"/>
              </w:rPr>
              <w:t xml:space="preserve"> </w:t>
            </w:r>
            <w:r>
              <w:rPr>
                <w:sz w:val="19"/>
              </w:rPr>
              <w:t>services, and the outcomes of health services. Patient-reported experience measures (PREMs) include patients’ views and observations on matters such as</w:t>
            </w:r>
            <w:r>
              <w:rPr>
                <w:spacing w:val="80"/>
                <w:sz w:val="19"/>
              </w:rPr>
              <w:t xml:space="preserve"> </w:t>
            </w:r>
            <w:r>
              <w:rPr>
                <w:sz w:val="19"/>
              </w:rPr>
              <w:t>the accessibility and physical environment of services and aspects of the patient–clinician interaction. Patient-reported outcome measures (PROMs) are used to obtain information from patients on their health status such as overall health and wellbeing, the severity of symptoms such as pain, measures of daily functioning and psychological symptoms.</w:t>
            </w:r>
          </w:p>
        </w:tc>
      </w:tr>
      <w:tr w:rsidR="00445608" w14:paraId="76EA12CA" w14:textId="77777777">
        <w:trPr>
          <w:trHeight w:val="721"/>
        </w:trPr>
        <w:tc>
          <w:tcPr>
            <w:tcW w:w="2835" w:type="dxa"/>
            <w:tcBorders>
              <w:top w:val="single" w:sz="2" w:space="0" w:color="000000"/>
              <w:left w:val="nil"/>
              <w:bottom w:val="single" w:sz="2" w:space="0" w:color="000000"/>
              <w:right w:val="single" w:sz="2" w:space="0" w:color="000000"/>
            </w:tcBorders>
          </w:tcPr>
          <w:p w14:paraId="64AA2152" w14:textId="10F3F6C8" w:rsidR="00445608" w:rsidRDefault="00445608" w:rsidP="00445608">
            <w:pPr>
              <w:pStyle w:val="TableParagraph"/>
              <w:spacing w:before="40"/>
              <w:ind w:left="85"/>
              <w:rPr>
                <w:b/>
                <w:spacing w:val="-2"/>
                <w:sz w:val="19"/>
              </w:rPr>
            </w:pPr>
            <w:r>
              <w:rPr>
                <w:b/>
                <w:sz w:val="19"/>
              </w:rPr>
              <w:t>Person-</w:t>
            </w:r>
            <w:proofErr w:type="spellStart"/>
            <w:r>
              <w:rPr>
                <w:b/>
                <w:sz w:val="19"/>
              </w:rPr>
              <w:t>centred</w:t>
            </w:r>
            <w:proofErr w:type="spellEnd"/>
            <w:r>
              <w:rPr>
                <w:b/>
                <w:spacing w:val="25"/>
                <w:sz w:val="19"/>
              </w:rPr>
              <w:t xml:space="preserve"> </w:t>
            </w:r>
            <w:r>
              <w:rPr>
                <w:b/>
                <w:spacing w:val="-4"/>
                <w:sz w:val="19"/>
              </w:rPr>
              <w:t>care</w:t>
            </w:r>
          </w:p>
        </w:tc>
        <w:tc>
          <w:tcPr>
            <w:tcW w:w="7370" w:type="dxa"/>
            <w:tcBorders>
              <w:top w:val="single" w:sz="2" w:space="0" w:color="000000"/>
              <w:left w:val="single" w:sz="2" w:space="0" w:color="000000"/>
              <w:bottom w:val="single" w:sz="2" w:space="0" w:color="000000"/>
              <w:right w:val="nil"/>
            </w:tcBorders>
          </w:tcPr>
          <w:p w14:paraId="6DCD4557" w14:textId="7A4F076E" w:rsidR="00445608" w:rsidRDefault="00445608" w:rsidP="00445608">
            <w:pPr>
              <w:pStyle w:val="TableParagraph"/>
              <w:spacing w:before="47" w:line="230" w:lineRule="auto"/>
              <w:ind w:left="82" w:right="141"/>
              <w:rPr>
                <w:sz w:val="19"/>
              </w:rPr>
            </w:pPr>
            <w:r>
              <w:rPr>
                <w:sz w:val="19"/>
              </w:rPr>
              <w:t>Health care that respects the patient, their family and carers, and responds to the person’s preferences, needs and values. Person-</w:t>
            </w:r>
            <w:proofErr w:type="spellStart"/>
            <w:r>
              <w:rPr>
                <w:sz w:val="19"/>
              </w:rPr>
              <w:t>centred</w:t>
            </w:r>
            <w:proofErr w:type="spellEnd"/>
            <w:r>
              <w:rPr>
                <w:sz w:val="19"/>
              </w:rPr>
              <w:t xml:space="preserve"> care is equitable, culturally safe and free from racism and all other forms of discrimination.</w:t>
            </w:r>
          </w:p>
        </w:tc>
      </w:tr>
      <w:tr w:rsidR="00445608" w14:paraId="680CE3AB" w14:textId="77777777">
        <w:trPr>
          <w:trHeight w:val="721"/>
        </w:trPr>
        <w:tc>
          <w:tcPr>
            <w:tcW w:w="2835" w:type="dxa"/>
            <w:tcBorders>
              <w:top w:val="single" w:sz="2" w:space="0" w:color="000000"/>
              <w:left w:val="nil"/>
              <w:bottom w:val="single" w:sz="2" w:space="0" w:color="000000"/>
              <w:right w:val="single" w:sz="2" w:space="0" w:color="000000"/>
            </w:tcBorders>
          </w:tcPr>
          <w:p w14:paraId="796BD3D1" w14:textId="44DD10AE" w:rsidR="00445608" w:rsidRDefault="00445608" w:rsidP="00445608">
            <w:pPr>
              <w:pStyle w:val="TableParagraph"/>
              <w:spacing w:before="40"/>
              <w:ind w:left="85"/>
              <w:rPr>
                <w:b/>
                <w:spacing w:val="-2"/>
                <w:sz w:val="19"/>
              </w:rPr>
            </w:pPr>
            <w:r>
              <w:rPr>
                <w:b/>
                <w:sz w:val="19"/>
              </w:rPr>
              <w:t>Priority</w:t>
            </w:r>
            <w:r>
              <w:rPr>
                <w:b/>
                <w:spacing w:val="15"/>
                <w:sz w:val="19"/>
              </w:rPr>
              <w:t xml:space="preserve"> </w:t>
            </w:r>
            <w:r>
              <w:rPr>
                <w:b/>
                <w:spacing w:val="-2"/>
                <w:sz w:val="19"/>
              </w:rPr>
              <w:t>group</w:t>
            </w:r>
          </w:p>
        </w:tc>
        <w:tc>
          <w:tcPr>
            <w:tcW w:w="7370" w:type="dxa"/>
            <w:tcBorders>
              <w:top w:val="single" w:sz="2" w:space="0" w:color="000000"/>
              <w:left w:val="single" w:sz="2" w:space="0" w:color="000000"/>
              <w:bottom w:val="single" w:sz="2" w:space="0" w:color="000000"/>
              <w:right w:val="nil"/>
            </w:tcBorders>
          </w:tcPr>
          <w:p w14:paraId="38A9E041" w14:textId="6FD5B7A7" w:rsidR="00445608" w:rsidRDefault="00445608" w:rsidP="00445608">
            <w:pPr>
              <w:pStyle w:val="TableParagraph"/>
              <w:spacing w:before="47" w:line="230" w:lineRule="auto"/>
              <w:ind w:left="82" w:right="141"/>
              <w:rPr>
                <w:sz w:val="19"/>
              </w:rPr>
            </w:pPr>
            <w:r>
              <w:rPr>
                <w:sz w:val="19"/>
              </w:rPr>
              <w:t>Specific population group at elevated risk of poorer health outcomes, including Aboriginal and Torres Strait Islander people, people with mental health conditions, those living in rural/remote or lower socioeconomic areas, and people identifying as gay, lesbian, bisexual, transgender or intersex.</w:t>
            </w:r>
          </w:p>
        </w:tc>
      </w:tr>
      <w:tr w:rsidR="00445608" w14:paraId="32793C2C" w14:textId="77777777">
        <w:trPr>
          <w:trHeight w:val="721"/>
        </w:trPr>
        <w:tc>
          <w:tcPr>
            <w:tcW w:w="2835" w:type="dxa"/>
            <w:tcBorders>
              <w:top w:val="single" w:sz="2" w:space="0" w:color="000000"/>
              <w:left w:val="nil"/>
              <w:bottom w:val="single" w:sz="2" w:space="0" w:color="000000"/>
              <w:right w:val="single" w:sz="2" w:space="0" w:color="000000"/>
            </w:tcBorders>
          </w:tcPr>
          <w:p w14:paraId="7DA9FB55" w14:textId="74F376B4" w:rsidR="00445608" w:rsidRDefault="00445608" w:rsidP="00445608">
            <w:pPr>
              <w:pStyle w:val="TableParagraph"/>
              <w:spacing w:before="40"/>
              <w:ind w:left="85"/>
              <w:rPr>
                <w:b/>
                <w:spacing w:val="-2"/>
                <w:sz w:val="19"/>
              </w:rPr>
            </w:pPr>
            <w:r>
              <w:rPr>
                <w:b/>
                <w:sz w:val="19"/>
              </w:rPr>
              <w:t>Quality</w:t>
            </w:r>
            <w:r>
              <w:rPr>
                <w:b/>
                <w:spacing w:val="16"/>
                <w:sz w:val="19"/>
              </w:rPr>
              <w:t xml:space="preserve"> </w:t>
            </w:r>
            <w:r>
              <w:rPr>
                <w:b/>
                <w:spacing w:val="-2"/>
                <w:sz w:val="19"/>
              </w:rPr>
              <w:t>improvement</w:t>
            </w:r>
          </w:p>
        </w:tc>
        <w:tc>
          <w:tcPr>
            <w:tcW w:w="7370" w:type="dxa"/>
            <w:tcBorders>
              <w:top w:val="single" w:sz="2" w:space="0" w:color="000000"/>
              <w:left w:val="single" w:sz="2" w:space="0" w:color="000000"/>
              <w:bottom w:val="single" w:sz="2" w:space="0" w:color="000000"/>
              <w:right w:val="nil"/>
            </w:tcBorders>
          </w:tcPr>
          <w:p w14:paraId="7D1BE6FC" w14:textId="3B1DCD1B" w:rsidR="00445608" w:rsidRDefault="00445608" w:rsidP="00445608">
            <w:pPr>
              <w:pStyle w:val="TableParagraph"/>
              <w:spacing w:before="47" w:line="230" w:lineRule="auto"/>
              <w:ind w:left="82" w:right="141"/>
              <w:rPr>
                <w:sz w:val="19"/>
              </w:rPr>
            </w:pPr>
            <w:r>
              <w:rPr>
                <w:sz w:val="19"/>
              </w:rPr>
              <w:t>The efforts of the individuals, the workforce and others – including consumers, patients and their families, researchers, planners and educators – to make changes that will lead to better patient outcomes (health), better system performance (care) and better professional development. Quality improvement activities may be undertaken in sequence, intermittently or continually.</w:t>
            </w:r>
          </w:p>
        </w:tc>
      </w:tr>
      <w:tr w:rsidR="00445608" w14:paraId="705809D9" w14:textId="77777777">
        <w:trPr>
          <w:trHeight w:val="721"/>
        </w:trPr>
        <w:tc>
          <w:tcPr>
            <w:tcW w:w="2835" w:type="dxa"/>
            <w:tcBorders>
              <w:top w:val="single" w:sz="2" w:space="0" w:color="000000"/>
              <w:left w:val="nil"/>
              <w:bottom w:val="single" w:sz="2" w:space="0" w:color="000000"/>
              <w:right w:val="single" w:sz="2" w:space="0" w:color="000000"/>
            </w:tcBorders>
          </w:tcPr>
          <w:p w14:paraId="341603FF" w14:textId="01524613" w:rsidR="00445608" w:rsidRDefault="00445608" w:rsidP="00445608">
            <w:pPr>
              <w:pStyle w:val="TableParagraph"/>
              <w:spacing w:before="40"/>
              <w:ind w:left="85"/>
              <w:rPr>
                <w:b/>
                <w:spacing w:val="-2"/>
                <w:sz w:val="19"/>
              </w:rPr>
            </w:pPr>
            <w:r>
              <w:rPr>
                <w:b/>
                <w:sz w:val="19"/>
              </w:rPr>
              <w:t xml:space="preserve">Quality use of medicines </w:t>
            </w:r>
            <w:r>
              <w:rPr>
                <w:b/>
                <w:spacing w:val="-2"/>
                <w:sz w:val="19"/>
              </w:rPr>
              <w:t>(QUM)</w:t>
            </w:r>
          </w:p>
        </w:tc>
        <w:tc>
          <w:tcPr>
            <w:tcW w:w="7370" w:type="dxa"/>
            <w:tcBorders>
              <w:top w:val="single" w:sz="2" w:space="0" w:color="000000"/>
              <w:left w:val="single" w:sz="2" w:space="0" w:color="000000"/>
              <w:bottom w:val="single" w:sz="2" w:space="0" w:color="000000"/>
              <w:right w:val="nil"/>
            </w:tcBorders>
          </w:tcPr>
          <w:p w14:paraId="4BA4121F" w14:textId="4C570265" w:rsidR="00445608" w:rsidRDefault="00445608" w:rsidP="00445608">
            <w:pPr>
              <w:pStyle w:val="TableParagraph"/>
              <w:spacing w:before="47" w:line="230" w:lineRule="auto"/>
              <w:ind w:left="82" w:right="141"/>
              <w:rPr>
                <w:sz w:val="19"/>
              </w:rPr>
            </w:pPr>
            <w:r>
              <w:rPr>
                <w:sz w:val="19"/>
              </w:rPr>
              <w:t>Quality use of medicines refers to selecting medicine management options wisely. It includes choosing suitable medicines and using only if a medicine is considered necessary with the aim of using medicines safely and effectively to get the best possible outcome.</w:t>
            </w:r>
          </w:p>
        </w:tc>
      </w:tr>
      <w:tr w:rsidR="00445608" w14:paraId="117C8108" w14:textId="77777777">
        <w:trPr>
          <w:trHeight w:val="721"/>
        </w:trPr>
        <w:tc>
          <w:tcPr>
            <w:tcW w:w="2835" w:type="dxa"/>
            <w:tcBorders>
              <w:top w:val="single" w:sz="2" w:space="0" w:color="000000"/>
              <w:left w:val="nil"/>
              <w:bottom w:val="single" w:sz="2" w:space="0" w:color="000000"/>
              <w:right w:val="single" w:sz="2" w:space="0" w:color="000000"/>
            </w:tcBorders>
          </w:tcPr>
          <w:p w14:paraId="286ADB36" w14:textId="4103BF13" w:rsidR="00445608" w:rsidRDefault="00445608" w:rsidP="00445608">
            <w:pPr>
              <w:pStyle w:val="TableParagraph"/>
              <w:spacing w:before="40"/>
              <w:ind w:left="85"/>
              <w:rPr>
                <w:b/>
                <w:spacing w:val="-2"/>
                <w:sz w:val="19"/>
              </w:rPr>
            </w:pPr>
            <w:r>
              <w:rPr>
                <w:b/>
                <w:sz w:val="19"/>
              </w:rPr>
              <w:t>Safety</w:t>
            </w:r>
            <w:r>
              <w:rPr>
                <w:b/>
                <w:spacing w:val="9"/>
                <w:sz w:val="19"/>
              </w:rPr>
              <w:t xml:space="preserve"> </w:t>
            </w:r>
            <w:r>
              <w:rPr>
                <w:b/>
                <w:spacing w:val="-2"/>
                <w:sz w:val="19"/>
              </w:rPr>
              <w:t>culture</w:t>
            </w:r>
          </w:p>
        </w:tc>
        <w:tc>
          <w:tcPr>
            <w:tcW w:w="7370" w:type="dxa"/>
            <w:tcBorders>
              <w:top w:val="single" w:sz="2" w:space="0" w:color="000000"/>
              <w:left w:val="single" w:sz="2" w:space="0" w:color="000000"/>
              <w:bottom w:val="single" w:sz="2" w:space="0" w:color="000000"/>
              <w:right w:val="nil"/>
            </w:tcBorders>
          </w:tcPr>
          <w:p w14:paraId="26687C7D" w14:textId="47C60DCC" w:rsidR="00445608" w:rsidRDefault="00445608" w:rsidP="00445608">
            <w:pPr>
              <w:pStyle w:val="TableParagraph"/>
              <w:spacing w:before="47" w:line="230" w:lineRule="auto"/>
              <w:ind w:left="82" w:right="141"/>
              <w:rPr>
                <w:sz w:val="19"/>
              </w:rPr>
            </w:pPr>
            <w:r>
              <w:rPr>
                <w:sz w:val="19"/>
              </w:rPr>
              <w:t xml:space="preserve">A culture in which everyone enables and cares for each other to adopt patient safety as part of routine business, with the wellbeing of the workforce and consumers at the </w:t>
            </w:r>
            <w:proofErr w:type="spellStart"/>
            <w:r>
              <w:rPr>
                <w:spacing w:val="-2"/>
                <w:sz w:val="19"/>
              </w:rPr>
              <w:t>centre</w:t>
            </w:r>
            <w:proofErr w:type="spellEnd"/>
            <w:r>
              <w:rPr>
                <w:spacing w:val="-2"/>
                <w:sz w:val="19"/>
              </w:rPr>
              <w:t>.</w:t>
            </w:r>
          </w:p>
        </w:tc>
      </w:tr>
      <w:tr w:rsidR="00445608" w14:paraId="402A4560" w14:textId="77777777">
        <w:trPr>
          <w:trHeight w:val="721"/>
        </w:trPr>
        <w:tc>
          <w:tcPr>
            <w:tcW w:w="2835" w:type="dxa"/>
            <w:tcBorders>
              <w:top w:val="single" w:sz="2" w:space="0" w:color="000000"/>
              <w:left w:val="nil"/>
              <w:bottom w:val="single" w:sz="2" w:space="0" w:color="000000"/>
              <w:right w:val="single" w:sz="2" w:space="0" w:color="000000"/>
            </w:tcBorders>
          </w:tcPr>
          <w:p w14:paraId="6927AABC" w14:textId="140C3968" w:rsidR="00445608" w:rsidRDefault="00445608" w:rsidP="00445608">
            <w:pPr>
              <w:pStyle w:val="TableParagraph"/>
              <w:spacing w:before="40"/>
              <w:ind w:left="85"/>
              <w:rPr>
                <w:b/>
                <w:spacing w:val="-2"/>
                <w:sz w:val="19"/>
              </w:rPr>
            </w:pPr>
            <w:r>
              <w:rPr>
                <w:b/>
                <w:sz w:val="19"/>
              </w:rPr>
              <w:t>Shared</w:t>
            </w:r>
            <w:r>
              <w:rPr>
                <w:b/>
                <w:spacing w:val="6"/>
                <w:sz w:val="19"/>
              </w:rPr>
              <w:t xml:space="preserve"> </w:t>
            </w:r>
            <w:r>
              <w:rPr>
                <w:b/>
                <w:sz w:val="19"/>
              </w:rPr>
              <w:t>decision</w:t>
            </w:r>
            <w:r>
              <w:rPr>
                <w:b/>
                <w:spacing w:val="9"/>
                <w:sz w:val="19"/>
              </w:rPr>
              <w:t xml:space="preserve"> </w:t>
            </w:r>
            <w:r>
              <w:rPr>
                <w:b/>
                <w:spacing w:val="-2"/>
                <w:sz w:val="19"/>
              </w:rPr>
              <w:t>making</w:t>
            </w:r>
          </w:p>
        </w:tc>
        <w:tc>
          <w:tcPr>
            <w:tcW w:w="7370" w:type="dxa"/>
            <w:tcBorders>
              <w:top w:val="single" w:sz="2" w:space="0" w:color="000000"/>
              <w:left w:val="single" w:sz="2" w:space="0" w:color="000000"/>
              <w:bottom w:val="single" w:sz="2" w:space="0" w:color="000000"/>
              <w:right w:val="nil"/>
            </w:tcBorders>
          </w:tcPr>
          <w:p w14:paraId="31CDD327" w14:textId="34030CA5" w:rsidR="00445608" w:rsidRDefault="00445608" w:rsidP="00445608">
            <w:pPr>
              <w:pStyle w:val="TableParagraph"/>
              <w:spacing w:before="47" w:line="230" w:lineRule="auto"/>
              <w:ind w:left="82" w:right="141"/>
              <w:rPr>
                <w:sz w:val="19"/>
              </w:rPr>
            </w:pPr>
            <w:r>
              <w:rPr>
                <w:sz w:val="19"/>
              </w:rPr>
              <w:t>Discussion and collaboration between a patient or consumer and their healthcare provider. The process aims to bring together the patient/consumer’s values,</w:t>
            </w:r>
            <w:r>
              <w:rPr>
                <w:spacing w:val="80"/>
                <w:sz w:val="19"/>
              </w:rPr>
              <w:t xml:space="preserve"> </w:t>
            </w:r>
            <w:r>
              <w:rPr>
                <w:sz w:val="19"/>
              </w:rPr>
              <w:t>goals and preferences with the best available evidence about benefits, risks and uncertainties of treatment, in order to reach the most appropriate healthcare decisions for that person.</w:t>
            </w:r>
          </w:p>
        </w:tc>
      </w:tr>
      <w:tr w:rsidR="00445608" w14:paraId="46A15A5E" w14:textId="77777777">
        <w:trPr>
          <w:trHeight w:val="721"/>
        </w:trPr>
        <w:tc>
          <w:tcPr>
            <w:tcW w:w="2835" w:type="dxa"/>
            <w:tcBorders>
              <w:top w:val="single" w:sz="2" w:space="0" w:color="000000"/>
              <w:left w:val="nil"/>
              <w:bottom w:val="single" w:sz="2" w:space="0" w:color="000000"/>
              <w:right w:val="single" w:sz="2" w:space="0" w:color="000000"/>
            </w:tcBorders>
          </w:tcPr>
          <w:p w14:paraId="41167384" w14:textId="7408E2D1" w:rsidR="00445608" w:rsidRDefault="00445608" w:rsidP="00445608">
            <w:pPr>
              <w:pStyle w:val="TableParagraph"/>
              <w:spacing w:before="40"/>
              <w:ind w:left="85"/>
              <w:rPr>
                <w:b/>
                <w:spacing w:val="-2"/>
                <w:sz w:val="19"/>
              </w:rPr>
            </w:pPr>
            <w:r>
              <w:rPr>
                <w:b/>
                <w:spacing w:val="-2"/>
                <w:sz w:val="19"/>
              </w:rPr>
              <w:lastRenderedPageBreak/>
              <w:t>Standard</w:t>
            </w:r>
          </w:p>
        </w:tc>
        <w:tc>
          <w:tcPr>
            <w:tcW w:w="7370" w:type="dxa"/>
            <w:tcBorders>
              <w:top w:val="single" w:sz="2" w:space="0" w:color="000000"/>
              <w:left w:val="single" w:sz="2" w:space="0" w:color="000000"/>
              <w:bottom w:val="single" w:sz="2" w:space="0" w:color="000000"/>
              <w:right w:val="nil"/>
            </w:tcBorders>
          </w:tcPr>
          <w:p w14:paraId="155A5CA8" w14:textId="13F253B4" w:rsidR="00445608" w:rsidRDefault="00445608" w:rsidP="00445608">
            <w:pPr>
              <w:pStyle w:val="TableParagraph"/>
              <w:spacing w:before="47" w:line="230" w:lineRule="auto"/>
              <w:ind w:left="82" w:right="141"/>
              <w:rPr>
                <w:sz w:val="19"/>
              </w:rPr>
            </w:pPr>
            <w:r>
              <w:rPr>
                <w:sz w:val="19"/>
              </w:rPr>
              <w:t>Agreed attributes and processes designed to ensure that a product, service or method will perform consistently at a designated level.</w:t>
            </w:r>
          </w:p>
        </w:tc>
      </w:tr>
      <w:tr w:rsidR="00445608" w14:paraId="09219B0D" w14:textId="77777777">
        <w:trPr>
          <w:trHeight w:val="721"/>
        </w:trPr>
        <w:tc>
          <w:tcPr>
            <w:tcW w:w="2835" w:type="dxa"/>
            <w:tcBorders>
              <w:top w:val="single" w:sz="2" w:space="0" w:color="000000"/>
              <w:left w:val="nil"/>
              <w:bottom w:val="single" w:sz="2" w:space="0" w:color="000000"/>
              <w:right w:val="single" w:sz="2" w:space="0" w:color="000000"/>
            </w:tcBorders>
          </w:tcPr>
          <w:p w14:paraId="44653FA7" w14:textId="5281E9E5" w:rsidR="00445608" w:rsidRDefault="00445608" w:rsidP="00445608">
            <w:pPr>
              <w:pStyle w:val="TableParagraph"/>
              <w:spacing w:before="40"/>
              <w:ind w:left="85"/>
              <w:rPr>
                <w:b/>
                <w:spacing w:val="-2"/>
                <w:sz w:val="19"/>
              </w:rPr>
            </w:pPr>
            <w:r>
              <w:rPr>
                <w:b/>
                <w:sz w:val="19"/>
              </w:rPr>
              <w:t>Transitions of</w:t>
            </w:r>
            <w:r>
              <w:rPr>
                <w:b/>
                <w:spacing w:val="2"/>
                <w:sz w:val="19"/>
              </w:rPr>
              <w:t xml:space="preserve"> </w:t>
            </w:r>
            <w:r>
              <w:rPr>
                <w:b/>
                <w:spacing w:val="-4"/>
                <w:sz w:val="19"/>
              </w:rPr>
              <w:t>care</w:t>
            </w:r>
          </w:p>
        </w:tc>
        <w:tc>
          <w:tcPr>
            <w:tcW w:w="7370" w:type="dxa"/>
            <w:tcBorders>
              <w:top w:val="single" w:sz="2" w:space="0" w:color="000000"/>
              <w:left w:val="single" w:sz="2" w:space="0" w:color="000000"/>
              <w:bottom w:val="single" w:sz="2" w:space="0" w:color="000000"/>
              <w:right w:val="nil"/>
            </w:tcBorders>
          </w:tcPr>
          <w:p w14:paraId="7B47B617" w14:textId="5CF6D74C" w:rsidR="00445608" w:rsidRDefault="00445608" w:rsidP="00445608">
            <w:pPr>
              <w:pStyle w:val="TableParagraph"/>
              <w:spacing w:before="47" w:line="230" w:lineRule="auto"/>
              <w:ind w:left="82" w:right="141"/>
              <w:rPr>
                <w:sz w:val="19"/>
              </w:rPr>
            </w:pPr>
            <w:r>
              <w:rPr>
                <w:sz w:val="19"/>
              </w:rPr>
              <w:t>When all or part of a person’s health care is transferred between care providers. Transitions of care may occur within and between healthcare locations, settings, care delivery types, levels of care and involve a range of healthcare providers.</w:t>
            </w:r>
          </w:p>
        </w:tc>
      </w:tr>
      <w:tr w:rsidR="00445608" w14:paraId="26573BAA" w14:textId="77777777">
        <w:trPr>
          <w:trHeight w:val="721"/>
        </w:trPr>
        <w:tc>
          <w:tcPr>
            <w:tcW w:w="2835" w:type="dxa"/>
            <w:tcBorders>
              <w:top w:val="single" w:sz="2" w:space="0" w:color="000000"/>
              <w:left w:val="nil"/>
              <w:bottom w:val="single" w:sz="2" w:space="0" w:color="000000"/>
              <w:right w:val="single" w:sz="2" w:space="0" w:color="000000"/>
            </w:tcBorders>
          </w:tcPr>
          <w:p w14:paraId="52A40CAC" w14:textId="04AE680A" w:rsidR="00445608" w:rsidRDefault="00445608" w:rsidP="00445608">
            <w:pPr>
              <w:pStyle w:val="TableParagraph"/>
              <w:spacing w:before="40"/>
              <w:ind w:left="85"/>
              <w:rPr>
                <w:b/>
                <w:spacing w:val="-2"/>
                <w:sz w:val="19"/>
              </w:rPr>
            </w:pPr>
            <w:r>
              <w:rPr>
                <w:b/>
                <w:sz w:val="19"/>
              </w:rPr>
              <w:t xml:space="preserve">Unwarranted healthcare </w:t>
            </w:r>
            <w:r>
              <w:rPr>
                <w:b/>
                <w:spacing w:val="-2"/>
                <w:sz w:val="19"/>
              </w:rPr>
              <w:t>variation</w:t>
            </w:r>
          </w:p>
        </w:tc>
        <w:tc>
          <w:tcPr>
            <w:tcW w:w="7370" w:type="dxa"/>
            <w:tcBorders>
              <w:top w:val="single" w:sz="2" w:space="0" w:color="000000"/>
              <w:left w:val="single" w:sz="2" w:space="0" w:color="000000"/>
              <w:bottom w:val="single" w:sz="2" w:space="0" w:color="000000"/>
              <w:right w:val="nil"/>
            </w:tcBorders>
          </w:tcPr>
          <w:p w14:paraId="7A86F44E" w14:textId="31D9EA8D" w:rsidR="00445608" w:rsidRDefault="00445608" w:rsidP="00445608">
            <w:pPr>
              <w:pStyle w:val="TableParagraph"/>
              <w:spacing w:before="47" w:line="230" w:lineRule="auto"/>
              <w:ind w:left="82" w:right="141"/>
              <w:rPr>
                <w:sz w:val="19"/>
              </w:rPr>
            </w:pPr>
            <w:r>
              <w:rPr>
                <w:sz w:val="19"/>
              </w:rPr>
              <w:t>Differences in clinical practices, treatments, or outcomes that cannot be explained by differences in patient needs, preferences or evidence-based guidelines.</w:t>
            </w:r>
          </w:p>
        </w:tc>
      </w:tr>
      <w:tr w:rsidR="00445608" w14:paraId="7CA576F9" w14:textId="77777777">
        <w:trPr>
          <w:trHeight w:val="721"/>
        </w:trPr>
        <w:tc>
          <w:tcPr>
            <w:tcW w:w="2835" w:type="dxa"/>
            <w:tcBorders>
              <w:top w:val="single" w:sz="2" w:space="0" w:color="000000"/>
              <w:left w:val="nil"/>
              <w:bottom w:val="single" w:sz="2" w:space="0" w:color="000000"/>
              <w:right w:val="single" w:sz="2" w:space="0" w:color="000000"/>
            </w:tcBorders>
          </w:tcPr>
          <w:p w14:paraId="1CFA1905" w14:textId="1007EF6E" w:rsidR="00445608" w:rsidRDefault="00445608" w:rsidP="00445608">
            <w:pPr>
              <w:pStyle w:val="TableParagraph"/>
              <w:spacing w:before="40"/>
              <w:ind w:left="85"/>
              <w:rPr>
                <w:b/>
                <w:spacing w:val="-2"/>
                <w:sz w:val="19"/>
              </w:rPr>
            </w:pPr>
            <w:r>
              <w:rPr>
                <w:b/>
                <w:sz w:val="19"/>
              </w:rPr>
              <w:t>Virtual</w:t>
            </w:r>
            <w:r>
              <w:rPr>
                <w:b/>
                <w:spacing w:val="14"/>
                <w:sz w:val="19"/>
              </w:rPr>
              <w:t xml:space="preserve"> </w:t>
            </w:r>
            <w:r>
              <w:rPr>
                <w:b/>
                <w:spacing w:val="-4"/>
                <w:sz w:val="19"/>
              </w:rPr>
              <w:t>care</w:t>
            </w:r>
          </w:p>
        </w:tc>
        <w:tc>
          <w:tcPr>
            <w:tcW w:w="7370" w:type="dxa"/>
            <w:tcBorders>
              <w:top w:val="single" w:sz="2" w:space="0" w:color="000000"/>
              <w:left w:val="single" w:sz="2" w:space="0" w:color="000000"/>
              <w:bottom w:val="single" w:sz="2" w:space="0" w:color="000000"/>
              <w:right w:val="nil"/>
            </w:tcBorders>
          </w:tcPr>
          <w:p w14:paraId="419E9ACD" w14:textId="1B78F806" w:rsidR="00445608" w:rsidRDefault="00445608" w:rsidP="00445608">
            <w:pPr>
              <w:pStyle w:val="TableParagraph"/>
              <w:spacing w:before="47" w:line="230" w:lineRule="auto"/>
              <w:ind w:left="82" w:right="141"/>
              <w:rPr>
                <w:sz w:val="19"/>
              </w:rPr>
            </w:pPr>
            <w:r>
              <w:rPr>
                <w:sz w:val="19"/>
              </w:rPr>
              <w:t>Any interaction between a patient and a clinician(s), occurring remotely with the use of information technologies.</w:t>
            </w:r>
          </w:p>
        </w:tc>
      </w:tr>
    </w:tbl>
    <w:p w14:paraId="4891CC77" w14:textId="77777777" w:rsidR="00445608" w:rsidRDefault="00445608">
      <w:pPr>
        <w:pStyle w:val="Heading1"/>
        <w:spacing w:before="396"/>
        <w:rPr>
          <w:spacing w:val="-2"/>
        </w:rPr>
      </w:pPr>
      <w:bookmarkStart w:id="89" w:name="_bookmark14"/>
      <w:bookmarkStart w:id="90" w:name="_TOC_250003"/>
      <w:bookmarkStart w:id="91" w:name="_Index_of_figures"/>
      <w:bookmarkEnd w:id="89"/>
      <w:bookmarkEnd w:id="91"/>
    </w:p>
    <w:p w14:paraId="579A284F" w14:textId="77777777" w:rsidR="00445608" w:rsidRDefault="00445608">
      <w:pPr>
        <w:rPr>
          <w:b/>
          <w:bCs/>
          <w:spacing w:val="-2"/>
          <w:sz w:val="40"/>
          <w:szCs w:val="40"/>
        </w:rPr>
      </w:pPr>
      <w:r>
        <w:rPr>
          <w:spacing w:val="-2"/>
        </w:rPr>
        <w:br w:type="page"/>
      </w:r>
    </w:p>
    <w:p w14:paraId="7A64B515" w14:textId="1C5DDAA8" w:rsidR="009D54AF" w:rsidRDefault="00000000">
      <w:pPr>
        <w:pStyle w:val="Heading1"/>
        <w:spacing w:before="396"/>
      </w:pPr>
      <w:bookmarkStart w:id="92" w:name="_Toc243037296"/>
      <w:r>
        <w:rPr>
          <w:spacing w:val="-2"/>
        </w:rPr>
        <w:lastRenderedPageBreak/>
        <w:t>Index</w:t>
      </w:r>
      <w:r>
        <w:rPr>
          <w:spacing w:val="-22"/>
        </w:rPr>
        <w:t xml:space="preserve"> </w:t>
      </w:r>
      <w:r>
        <w:rPr>
          <w:spacing w:val="-2"/>
        </w:rPr>
        <w:t>of</w:t>
      </w:r>
      <w:r>
        <w:rPr>
          <w:spacing w:val="-21"/>
        </w:rPr>
        <w:t xml:space="preserve"> </w:t>
      </w:r>
      <w:bookmarkEnd w:id="90"/>
      <w:r>
        <w:rPr>
          <w:spacing w:val="-2"/>
        </w:rPr>
        <w:t>figures</w:t>
      </w:r>
      <w:bookmarkEnd w:id="92"/>
    </w:p>
    <w:p w14:paraId="0483EB7B" w14:textId="77777777" w:rsidR="009D54AF" w:rsidRDefault="009D54AF">
      <w:pPr>
        <w:pStyle w:val="BodyText"/>
        <w:spacing w:before="1"/>
        <w:rPr>
          <w:b/>
          <w:sz w:val="14"/>
        </w:rPr>
      </w:pPr>
    </w:p>
    <w:tbl>
      <w:tblPr>
        <w:tblW w:w="0" w:type="auto"/>
        <w:tblInd w:w="149"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CellMar>
          <w:left w:w="0" w:type="dxa"/>
          <w:right w:w="0" w:type="dxa"/>
        </w:tblCellMar>
        <w:tblLook w:val="01E0" w:firstRow="1" w:lastRow="1" w:firstColumn="1" w:lastColumn="1" w:noHBand="0" w:noVBand="0"/>
      </w:tblPr>
      <w:tblGrid>
        <w:gridCol w:w="1134"/>
        <w:gridCol w:w="7937"/>
        <w:gridCol w:w="1134"/>
      </w:tblGrid>
      <w:tr w:rsidR="009D54AF" w14:paraId="3D43EEAC" w14:textId="77777777">
        <w:trPr>
          <w:trHeight w:val="510"/>
        </w:trPr>
        <w:tc>
          <w:tcPr>
            <w:tcW w:w="1134" w:type="dxa"/>
            <w:tcBorders>
              <w:top w:val="nil"/>
              <w:left w:val="nil"/>
              <w:bottom w:val="nil"/>
            </w:tcBorders>
            <w:shd w:val="clear" w:color="auto" w:fill="000000"/>
          </w:tcPr>
          <w:p w14:paraId="53ED831B" w14:textId="77777777" w:rsidR="009D54AF" w:rsidRDefault="00000000">
            <w:pPr>
              <w:pStyle w:val="TableParagraph"/>
              <w:spacing w:before="145"/>
              <w:ind w:left="85"/>
              <w:rPr>
                <w:b/>
                <w:sz w:val="19"/>
              </w:rPr>
            </w:pPr>
            <w:r>
              <w:rPr>
                <w:b/>
                <w:color w:val="FFFFFF"/>
                <w:spacing w:val="-2"/>
                <w:sz w:val="19"/>
              </w:rPr>
              <w:t>Figure</w:t>
            </w:r>
          </w:p>
        </w:tc>
        <w:tc>
          <w:tcPr>
            <w:tcW w:w="7937" w:type="dxa"/>
            <w:tcBorders>
              <w:top w:val="nil"/>
              <w:bottom w:val="nil"/>
            </w:tcBorders>
            <w:shd w:val="clear" w:color="auto" w:fill="000000"/>
          </w:tcPr>
          <w:p w14:paraId="59CB9034" w14:textId="77777777" w:rsidR="009D54AF" w:rsidRDefault="00000000">
            <w:pPr>
              <w:pStyle w:val="TableParagraph"/>
              <w:spacing w:before="145"/>
              <w:ind w:left="79"/>
              <w:rPr>
                <w:b/>
                <w:sz w:val="19"/>
              </w:rPr>
            </w:pPr>
            <w:r>
              <w:rPr>
                <w:b/>
                <w:color w:val="FFFFFF"/>
                <w:spacing w:val="-2"/>
                <w:sz w:val="19"/>
              </w:rPr>
              <w:t>Title</w:t>
            </w:r>
          </w:p>
        </w:tc>
        <w:tc>
          <w:tcPr>
            <w:tcW w:w="1134" w:type="dxa"/>
            <w:tcBorders>
              <w:top w:val="nil"/>
              <w:bottom w:val="nil"/>
              <w:right w:val="nil"/>
            </w:tcBorders>
            <w:shd w:val="clear" w:color="auto" w:fill="000000"/>
          </w:tcPr>
          <w:p w14:paraId="7167FC38" w14:textId="77777777" w:rsidR="009D54AF" w:rsidRDefault="00000000">
            <w:pPr>
              <w:pStyle w:val="TableParagraph"/>
              <w:spacing w:before="145"/>
              <w:ind w:left="51" w:right="54"/>
              <w:jc w:val="center"/>
              <w:rPr>
                <w:b/>
                <w:sz w:val="19"/>
              </w:rPr>
            </w:pPr>
            <w:r>
              <w:rPr>
                <w:b/>
                <w:color w:val="FFFFFF"/>
                <w:spacing w:val="-4"/>
                <w:sz w:val="19"/>
              </w:rPr>
              <w:t>Page</w:t>
            </w:r>
          </w:p>
        </w:tc>
      </w:tr>
      <w:tr w:rsidR="009D54AF" w14:paraId="52FD5CEA" w14:textId="77777777">
        <w:trPr>
          <w:trHeight w:val="497"/>
        </w:trPr>
        <w:tc>
          <w:tcPr>
            <w:tcW w:w="1134" w:type="dxa"/>
            <w:tcBorders>
              <w:top w:val="nil"/>
              <w:left w:val="nil"/>
              <w:bottom w:val="single" w:sz="2" w:space="0" w:color="000000"/>
              <w:right w:val="single" w:sz="2" w:space="0" w:color="000000"/>
            </w:tcBorders>
          </w:tcPr>
          <w:p w14:paraId="72281FE9" w14:textId="77777777" w:rsidR="009D54AF" w:rsidRDefault="00000000">
            <w:pPr>
              <w:pStyle w:val="TableParagraph"/>
              <w:spacing w:before="135"/>
              <w:ind w:left="85"/>
              <w:rPr>
                <w:b/>
                <w:sz w:val="19"/>
              </w:rPr>
            </w:pPr>
            <w:r>
              <w:rPr>
                <w:b/>
                <w:sz w:val="19"/>
              </w:rPr>
              <w:t>Figure</w:t>
            </w:r>
            <w:r>
              <w:rPr>
                <w:b/>
                <w:spacing w:val="3"/>
                <w:sz w:val="19"/>
              </w:rPr>
              <w:t xml:space="preserve"> </w:t>
            </w:r>
            <w:r>
              <w:rPr>
                <w:b/>
                <w:spacing w:val="-10"/>
                <w:sz w:val="19"/>
              </w:rPr>
              <w:t>1</w:t>
            </w:r>
          </w:p>
        </w:tc>
        <w:tc>
          <w:tcPr>
            <w:tcW w:w="7937" w:type="dxa"/>
            <w:tcBorders>
              <w:top w:val="nil"/>
              <w:left w:val="single" w:sz="2" w:space="0" w:color="000000"/>
              <w:bottom w:val="single" w:sz="2" w:space="0" w:color="000000"/>
              <w:right w:val="single" w:sz="2" w:space="0" w:color="000000"/>
            </w:tcBorders>
          </w:tcPr>
          <w:p w14:paraId="085D2F46" w14:textId="77777777" w:rsidR="009D54AF" w:rsidRDefault="00000000">
            <w:pPr>
              <w:pStyle w:val="TableParagraph"/>
              <w:spacing w:before="135"/>
              <w:ind w:left="82"/>
              <w:rPr>
                <w:sz w:val="19"/>
              </w:rPr>
            </w:pPr>
            <w:r>
              <w:rPr>
                <w:sz w:val="19"/>
              </w:rPr>
              <w:t>Health</w:t>
            </w:r>
            <w:r>
              <w:rPr>
                <w:spacing w:val="11"/>
                <w:sz w:val="19"/>
              </w:rPr>
              <w:t xml:space="preserve"> </w:t>
            </w:r>
            <w:r>
              <w:rPr>
                <w:sz w:val="19"/>
              </w:rPr>
              <w:t>service</w:t>
            </w:r>
            <w:r>
              <w:rPr>
                <w:spacing w:val="11"/>
                <w:sz w:val="19"/>
              </w:rPr>
              <w:t xml:space="preserve"> </w:t>
            </w:r>
            <w:proofErr w:type="spellStart"/>
            <w:r>
              <w:rPr>
                <w:sz w:val="19"/>
              </w:rPr>
              <w:t>organisation</w:t>
            </w:r>
            <w:proofErr w:type="spellEnd"/>
            <w:r>
              <w:rPr>
                <w:spacing w:val="11"/>
                <w:sz w:val="19"/>
              </w:rPr>
              <w:t xml:space="preserve"> </w:t>
            </w:r>
            <w:r>
              <w:rPr>
                <w:sz w:val="19"/>
              </w:rPr>
              <w:t>accreditation,</w:t>
            </w:r>
            <w:r>
              <w:rPr>
                <w:spacing w:val="12"/>
                <w:sz w:val="19"/>
              </w:rPr>
              <w:t xml:space="preserve"> </w:t>
            </w:r>
            <w:r>
              <w:rPr>
                <w:sz w:val="19"/>
              </w:rPr>
              <w:t>2025–</w:t>
            </w:r>
            <w:r>
              <w:rPr>
                <w:spacing w:val="-5"/>
                <w:sz w:val="19"/>
              </w:rPr>
              <w:t>26</w:t>
            </w:r>
          </w:p>
        </w:tc>
        <w:tc>
          <w:tcPr>
            <w:tcW w:w="1134" w:type="dxa"/>
            <w:tcBorders>
              <w:top w:val="nil"/>
              <w:left w:val="single" w:sz="2" w:space="0" w:color="000000"/>
              <w:bottom w:val="single" w:sz="2" w:space="0" w:color="000000"/>
              <w:right w:val="nil"/>
            </w:tcBorders>
          </w:tcPr>
          <w:p w14:paraId="79EB4D31" w14:textId="77777777" w:rsidR="009D54AF" w:rsidRDefault="00000000">
            <w:pPr>
              <w:pStyle w:val="TableParagraph"/>
              <w:spacing w:before="136"/>
              <w:ind w:left="2" w:right="2"/>
              <w:jc w:val="center"/>
              <w:rPr>
                <w:sz w:val="19"/>
              </w:rPr>
            </w:pPr>
            <w:r>
              <w:rPr>
                <w:spacing w:val="-5"/>
                <w:sz w:val="19"/>
              </w:rPr>
              <w:t>38</w:t>
            </w:r>
          </w:p>
        </w:tc>
      </w:tr>
      <w:tr w:rsidR="009D54AF" w14:paraId="29D93BAB" w14:textId="77777777">
        <w:trPr>
          <w:trHeight w:val="505"/>
        </w:trPr>
        <w:tc>
          <w:tcPr>
            <w:tcW w:w="1134" w:type="dxa"/>
            <w:tcBorders>
              <w:top w:val="single" w:sz="2" w:space="0" w:color="000000"/>
              <w:left w:val="nil"/>
              <w:bottom w:val="single" w:sz="2" w:space="0" w:color="000000"/>
              <w:right w:val="single" w:sz="2" w:space="0" w:color="000000"/>
            </w:tcBorders>
          </w:tcPr>
          <w:p w14:paraId="5CE2709F" w14:textId="77777777" w:rsidR="009D54AF" w:rsidRDefault="00000000">
            <w:pPr>
              <w:pStyle w:val="TableParagraph"/>
              <w:spacing w:before="142"/>
              <w:ind w:left="85"/>
              <w:rPr>
                <w:b/>
                <w:sz w:val="19"/>
              </w:rPr>
            </w:pPr>
            <w:r>
              <w:rPr>
                <w:b/>
                <w:sz w:val="19"/>
              </w:rPr>
              <w:t>Figure</w:t>
            </w:r>
            <w:r>
              <w:rPr>
                <w:b/>
                <w:spacing w:val="3"/>
                <w:sz w:val="19"/>
              </w:rPr>
              <w:t xml:space="preserve"> </w:t>
            </w:r>
            <w:r>
              <w:rPr>
                <w:b/>
                <w:spacing w:val="-10"/>
                <w:sz w:val="19"/>
              </w:rPr>
              <w:t>2</w:t>
            </w:r>
          </w:p>
        </w:tc>
        <w:tc>
          <w:tcPr>
            <w:tcW w:w="7937" w:type="dxa"/>
            <w:tcBorders>
              <w:top w:val="single" w:sz="2" w:space="0" w:color="000000"/>
              <w:left w:val="single" w:sz="2" w:space="0" w:color="000000"/>
              <w:bottom w:val="single" w:sz="2" w:space="0" w:color="000000"/>
              <w:right w:val="single" w:sz="2" w:space="0" w:color="000000"/>
            </w:tcBorders>
          </w:tcPr>
          <w:p w14:paraId="76076803" w14:textId="77777777" w:rsidR="009D54AF" w:rsidRDefault="00000000">
            <w:pPr>
              <w:pStyle w:val="TableParagraph"/>
              <w:spacing w:before="142"/>
              <w:ind w:left="82"/>
              <w:rPr>
                <w:sz w:val="19"/>
              </w:rPr>
            </w:pPr>
            <w:proofErr w:type="spellStart"/>
            <w:r>
              <w:rPr>
                <w:sz w:val="19"/>
              </w:rPr>
              <w:t>Organisational</w:t>
            </w:r>
            <w:proofErr w:type="spellEnd"/>
            <w:r>
              <w:rPr>
                <w:spacing w:val="8"/>
                <w:sz w:val="19"/>
              </w:rPr>
              <w:t xml:space="preserve"> </w:t>
            </w:r>
            <w:r>
              <w:rPr>
                <w:spacing w:val="-2"/>
                <w:sz w:val="19"/>
              </w:rPr>
              <w:t>structure</w:t>
            </w:r>
          </w:p>
        </w:tc>
        <w:tc>
          <w:tcPr>
            <w:tcW w:w="1134" w:type="dxa"/>
            <w:tcBorders>
              <w:top w:val="single" w:sz="2" w:space="0" w:color="000000"/>
              <w:left w:val="single" w:sz="2" w:space="0" w:color="000000"/>
              <w:bottom w:val="single" w:sz="2" w:space="0" w:color="000000"/>
              <w:right w:val="nil"/>
            </w:tcBorders>
          </w:tcPr>
          <w:p w14:paraId="152E3CA5" w14:textId="77777777" w:rsidR="009D54AF" w:rsidRDefault="00000000">
            <w:pPr>
              <w:pStyle w:val="TableParagraph"/>
              <w:spacing w:before="143"/>
              <w:ind w:left="3" w:right="2"/>
              <w:jc w:val="center"/>
              <w:rPr>
                <w:sz w:val="19"/>
              </w:rPr>
            </w:pPr>
            <w:r>
              <w:rPr>
                <w:spacing w:val="-5"/>
                <w:sz w:val="19"/>
              </w:rPr>
              <w:t>98</w:t>
            </w:r>
          </w:p>
        </w:tc>
      </w:tr>
    </w:tbl>
    <w:p w14:paraId="0DD2CBAB" w14:textId="77777777" w:rsidR="009D54AF" w:rsidRDefault="00000000">
      <w:pPr>
        <w:pStyle w:val="Heading1"/>
        <w:spacing w:before="272"/>
      </w:pPr>
      <w:bookmarkStart w:id="93" w:name="_TOC_250002"/>
      <w:bookmarkStart w:id="94" w:name="_Index_of_tables"/>
      <w:bookmarkStart w:id="95" w:name="_Toc243037297"/>
      <w:bookmarkEnd w:id="94"/>
      <w:r>
        <w:rPr>
          <w:spacing w:val="-2"/>
        </w:rPr>
        <w:t>Index</w:t>
      </w:r>
      <w:r>
        <w:rPr>
          <w:spacing w:val="-22"/>
        </w:rPr>
        <w:t xml:space="preserve"> </w:t>
      </w:r>
      <w:r>
        <w:rPr>
          <w:spacing w:val="-2"/>
        </w:rPr>
        <w:t>of</w:t>
      </w:r>
      <w:r>
        <w:rPr>
          <w:spacing w:val="-21"/>
        </w:rPr>
        <w:t xml:space="preserve"> </w:t>
      </w:r>
      <w:bookmarkEnd w:id="93"/>
      <w:r>
        <w:rPr>
          <w:spacing w:val="-2"/>
        </w:rPr>
        <w:t>tables</w:t>
      </w:r>
      <w:bookmarkEnd w:id="95"/>
    </w:p>
    <w:tbl>
      <w:tblPr>
        <w:tblW w:w="0" w:type="auto"/>
        <w:tblInd w:w="149"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CellMar>
          <w:left w:w="0" w:type="dxa"/>
          <w:right w:w="0" w:type="dxa"/>
        </w:tblCellMar>
        <w:tblLook w:val="01E0" w:firstRow="1" w:lastRow="1" w:firstColumn="1" w:lastColumn="1" w:noHBand="0" w:noVBand="0"/>
      </w:tblPr>
      <w:tblGrid>
        <w:gridCol w:w="1134"/>
        <w:gridCol w:w="7937"/>
        <w:gridCol w:w="1134"/>
      </w:tblGrid>
      <w:tr w:rsidR="009D54AF" w14:paraId="2242EC1D" w14:textId="77777777">
        <w:trPr>
          <w:trHeight w:val="510"/>
        </w:trPr>
        <w:tc>
          <w:tcPr>
            <w:tcW w:w="1134" w:type="dxa"/>
            <w:tcBorders>
              <w:top w:val="nil"/>
              <w:left w:val="nil"/>
              <w:bottom w:val="nil"/>
            </w:tcBorders>
            <w:shd w:val="clear" w:color="auto" w:fill="000000"/>
          </w:tcPr>
          <w:p w14:paraId="166958C7" w14:textId="77777777" w:rsidR="009D54AF" w:rsidRDefault="00000000">
            <w:pPr>
              <w:pStyle w:val="TableParagraph"/>
              <w:spacing w:before="145"/>
              <w:ind w:left="85"/>
              <w:rPr>
                <w:b/>
                <w:sz w:val="19"/>
              </w:rPr>
            </w:pPr>
            <w:r>
              <w:rPr>
                <w:b/>
                <w:color w:val="FFFFFF"/>
                <w:spacing w:val="-2"/>
                <w:sz w:val="19"/>
              </w:rPr>
              <w:t>Table</w:t>
            </w:r>
          </w:p>
        </w:tc>
        <w:tc>
          <w:tcPr>
            <w:tcW w:w="7937" w:type="dxa"/>
            <w:tcBorders>
              <w:top w:val="nil"/>
              <w:bottom w:val="nil"/>
            </w:tcBorders>
            <w:shd w:val="clear" w:color="auto" w:fill="000000"/>
          </w:tcPr>
          <w:p w14:paraId="627F7945" w14:textId="77777777" w:rsidR="009D54AF" w:rsidRDefault="00000000">
            <w:pPr>
              <w:pStyle w:val="TableParagraph"/>
              <w:spacing w:before="145"/>
              <w:ind w:left="79"/>
              <w:rPr>
                <w:b/>
                <w:sz w:val="19"/>
              </w:rPr>
            </w:pPr>
            <w:r>
              <w:rPr>
                <w:b/>
                <w:color w:val="FFFFFF"/>
                <w:spacing w:val="-2"/>
                <w:sz w:val="19"/>
              </w:rPr>
              <w:t>Title</w:t>
            </w:r>
          </w:p>
        </w:tc>
        <w:tc>
          <w:tcPr>
            <w:tcW w:w="1134" w:type="dxa"/>
            <w:tcBorders>
              <w:top w:val="nil"/>
              <w:bottom w:val="nil"/>
              <w:right w:val="nil"/>
            </w:tcBorders>
            <w:shd w:val="clear" w:color="auto" w:fill="000000"/>
          </w:tcPr>
          <w:p w14:paraId="4F5C47FF" w14:textId="77777777" w:rsidR="009D54AF" w:rsidRDefault="00000000">
            <w:pPr>
              <w:pStyle w:val="TableParagraph"/>
              <w:spacing w:before="145"/>
              <w:ind w:left="51" w:right="54"/>
              <w:jc w:val="center"/>
              <w:rPr>
                <w:b/>
                <w:sz w:val="19"/>
              </w:rPr>
            </w:pPr>
            <w:r>
              <w:rPr>
                <w:b/>
                <w:color w:val="FFFFFF"/>
                <w:spacing w:val="-4"/>
                <w:sz w:val="19"/>
              </w:rPr>
              <w:t>Page</w:t>
            </w:r>
          </w:p>
        </w:tc>
      </w:tr>
      <w:tr w:rsidR="009D54AF" w14:paraId="5AF53716" w14:textId="77777777">
        <w:trPr>
          <w:trHeight w:val="503"/>
        </w:trPr>
        <w:tc>
          <w:tcPr>
            <w:tcW w:w="1134" w:type="dxa"/>
            <w:tcBorders>
              <w:top w:val="nil"/>
              <w:left w:val="nil"/>
              <w:bottom w:val="single" w:sz="2" w:space="0" w:color="000000"/>
              <w:right w:val="single" w:sz="2" w:space="0" w:color="000000"/>
            </w:tcBorders>
          </w:tcPr>
          <w:p w14:paraId="7C68CC47" w14:textId="77777777" w:rsidR="009D54AF" w:rsidRDefault="00000000">
            <w:pPr>
              <w:pStyle w:val="TableParagraph"/>
              <w:spacing w:before="33"/>
              <w:ind w:left="85"/>
              <w:rPr>
                <w:b/>
                <w:sz w:val="19"/>
              </w:rPr>
            </w:pPr>
            <w:r>
              <w:rPr>
                <w:b/>
                <w:sz w:val="19"/>
              </w:rPr>
              <w:t>Table</w:t>
            </w:r>
            <w:r>
              <w:rPr>
                <w:b/>
                <w:spacing w:val="-7"/>
                <w:sz w:val="19"/>
              </w:rPr>
              <w:t xml:space="preserve"> </w:t>
            </w:r>
            <w:r>
              <w:rPr>
                <w:b/>
                <w:spacing w:val="-10"/>
                <w:sz w:val="19"/>
              </w:rPr>
              <w:t>1</w:t>
            </w:r>
          </w:p>
        </w:tc>
        <w:tc>
          <w:tcPr>
            <w:tcW w:w="7937" w:type="dxa"/>
            <w:tcBorders>
              <w:top w:val="nil"/>
              <w:left w:val="single" w:sz="2" w:space="0" w:color="000000"/>
              <w:bottom w:val="single" w:sz="2" w:space="0" w:color="000000"/>
              <w:right w:val="single" w:sz="2" w:space="0" w:color="000000"/>
            </w:tcBorders>
          </w:tcPr>
          <w:p w14:paraId="5B71C564" w14:textId="77777777" w:rsidR="009D54AF" w:rsidRDefault="00000000">
            <w:pPr>
              <w:pStyle w:val="TableParagraph"/>
              <w:spacing w:before="40" w:line="230" w:lineRule="auto"/>
              <w:ind w:left="82"/>
              <w:rPr>
                <w:sz w:val="19"/>
              </w:rPr>
            </w:pPr>
            <w:r>
              <w:rPr>
                <w:sz w:val="19"/>
              </w:rPr>
              <w:t>Report against performance criteria and targets in the 2025 -26 Corporate Plan and Health Portfolio Budget Statements</w:t>
            </w:r>
          </w:p>
        </w:tc>
        <w:tc>
          <w:tcPr>
            <w:tcW w:w="1134" w:type="dxa"/>
            <w:tcBorders>
              <w:top w:val="nil"/>
              <w:left w:val="single" w:sz="2" w:space="0" w:color="000000"/>
              <w:bottom w:val="single" w:sz="2" w:space="0" w:color="000000"/>
              <w:right w:val="nil"/>
            </w:tcBorders>
          </w:tcPr>
          <w:p w14:paraId="36AE6213" w14:textId="77777777" w:rsidR="009D54AF" w:rsidRDefault="00000000">
            <w:pPr>
              <w:pStyle w:val="TableParagraph"/>
              <w:spacing w:before="35"/>
              <w:ind w:left="2" w:right="2"/>
              <w:jc w:val="center"/>
              <w:rPr>
                <w:sz w:val="19"/>
              </w:rPr>
            </w:pPr>
            <w:r>
              <w:rPr>
                <w:spacing w:val="-5"/>
                <w:sz w:val="19"/>
              </w:rPr>
              <w:t>69</w:t>
            </w:r>
          </w:p>
        </w:tc>
      </w:tr>
      <w:tr w:rsidR="009D54AF" w14:paraId="5FA5462C" w14:textId="77777777">
        <w:trPr>
          <w:trHeight w:val="505"/>
        </w:trPr>
        <w:tc>
          <w:tcPr>
            <w:tcW w:w="1134" w:type="dxa"/>
            <w:tcBorders>
              <w:top w:val="single" w:sz="2" w:space="0" w:color="000000"/>
              <w:left w:val="nil"/>
              <w:bottom w:val="single" w:sz="2" w:space="0" w:color="000000"/>
              <w:right w:val="single" w:sz="2" w:space="0" w:color="000000"/>
            </w:tcBorders>
          </w:tcPr>
          <w:p w14:paraId="0C4F2C13" w14:textId="77777777" w:rsidR="009D54AF" w:rsidRDefault="00000000">
            <w:pPr>
              <w:pStyle w:val="TableParagraph"/>
              <w:spacing w:before="40"/>
              <w:ind w:left="85"/>
              <w:rPr>
                <w:b/>
                <w:sz w:val="19"/>
              </w:rPr>
            </w:pPr>
            <w:r>
              <w:rPr>
                <w:b/>
                <w:sz w:val="19"/>
              </w:rPr>
              <w:t>Table</w:t>
            </w:r>
            <w:r>
              <w:rPr>
                <w:b/>
                <w:spacing w:val="-7"/>
                <w:sz w:val="19"/>
              </w:rPr>
              <w:t xml:space="preserve"> </w:t>
            </w:r>
            <w:r>
              <w:rPr>
                <w:b/>
                <w:spacing w:val="-10"/>
                <w:sz w:val="19"/>
              </w:rPr>
              <w:t>2</w:t>
            </w:r>
          </w:p>
        </w:tc>
        <w:tc>
          <w:tcPr>
            <w:tcW w:w="7937" w:type="dxa"/>
            <w:tcBorders>
              <w:top w:val="single" w:sz="2" w:space="0" w:color="000000"/>
              <w:left w:val="single" w:sz="2" w:space="0" w:color="000000"/>
              <w:bottom w:val="single" w:sz="2" w:space="0" w:color="000000"/>
              <w:right w:val="single" w:sz="2" w:space="0" w:color="000000"/>
            </w:tcBorders>
          </w:tcPr>
          <w:p w14:paraId="545A89A7" w14:textId="77777777" w:rsidR="009D54AF" w:rsidRDefault="00000000">
            <w:pPr>
              <w:pStyle w:val="TableParagraph"/>
              <w:spacing w:before="40"/>
              <w:ind w:left="82"/>
              <w:rPr>
                <w:sz w:val="19"/>
              </w:rPr>
            </w:pPr>
            <w:r>
              <w:rPr>
                <w:sz w:val="19"/>
              </w:rPr>
              <w:t>Attendance</w:t>
            </w:r>
            <w:r>
              <w:rPr>
                <w:spacing w:val="3"/>
                <w:sz w:val="19"/>
              </w:rPr>
              <w:t xml:space="preserve"> </w:t>
            </w:r>
            <w:r>
              <w:rPr>
                <w:sz w:val="19"/>
              </w:rPr>
              <w:t>at</w:t>
            </w:r>
            <w:r>
              <w:rPr>
                <w:spacing w:val="6"/>
                <w:sz w:val="19"/>
              </w:rPr>
              <w:t xml:space="preserve"> </w:t>
            </w:r>
            <w:r>
              <w:rPr>
                <w:sz w:val="19"/>
              </w:rPr>
              <w:t>Board</w:t>
            </w:r>
            <w:r>
              <w:rPr>
                <w:spacing w:val="5"/>
                <w:sz w:val="19"/>
              </w:rPr>
              <w:t xml:space="preserve"> </w:t>
            </w:r>
            <w:r>
              <w:rPr>
                <w:sz w:val="19"/>
              </w:rPr>
              <w:t>meetings,</w:t>
            </w:r>
            <w:r>
              <w:rPr>
                <w:spacing w:val="6"/>
                <w:sz w:val="19"/>
              </w:rPr>
              <w:t xml:space="preserve"> </w:t>
            </w:r>
            <w:r>
              <w:rPr>
                <w:sz w:val="19"/>
              </w:rPr>
              <w:t>2025–</w:t>
            </w:r>
            <w:r>
              <w:rPr>
                <w:spacing w:val="-5"/>
                <w:sz w:val="19"/>
              </w:rPr>
              <w:t>26</w:t>
            </w:r>
          </w:p>
        </w:tc>
        <w:tc>
          <w:tcPr>
            <w:tcW w:w="1134" w:type="dxa"/>
            <w:tcBorders>
              <w:top w:val="single" w:sz="2" w:space="0" w:color="000000"/>
              <w:left w:val="single" w:sz="2" w:space="0" w:color="000000"/>
              <w:bottom w:val="single" w:sz="2" w:space="0" w:color="000000"/>
              <w:right w:val="nil"/>
            </w:tcBorders>
          </w:tcPr>
          <w:p w14:paraId="305FA0B6" w14:textId="77777777" w:rsidR="009D54AF" w:rsidRDefault="00000000">
            <w:pPr>
              <w:pStyle w:val="TableParagraph"/>
              <w:spacing w:before="42"/>
              <w:ind w:left="2" w:right="2"/>
              <w:jc w:val="center"/>
              <w:rPr>
                <w:sz w:val="19"/>
              </w:rPr>
            </w:pPr>
            <w:r>
              <w:rPr>
                <w:spacing w:val="-5"/>
                <w:sz w:val="19"/>
              </w:rPr>
              <w:t>85</w:t>
            </w:r>
          </w:p>
        </w:tc>
      </w:tr>
      <w:tr w:rsidR="009D54AF" w14:paraId="4A3EEC58" w14:textId="77777777">
        <w:trPr>
          <w:trHeight w:val="505"/>
        </w:trPr>
        <w:tc>
          <w:tcPr>
            <w:tcW w:w="1134" w:type="dxa"/>
            <w:tcBorders>
              <w:top w:val="single" w:sz="2" w:space="0" w:color="000000"/>
              <w:left w:val="nil"/>
              <w:bottom w:val="single" w:sz="2" w:space="0" w:color="000000"/>
              <w:right w:val="single" w:sz="2" w:space="0" w:color="000000"/>
            </w:tcBorders>
          </w:tcPr>
          <w:p w14:paraId="628200F1" w14:textId="77777777" w:rsidR="009D54AF" w:rsidRDefault="00000000">
            <w:pPr>
              <w:pStyle w:val="TableParagraph"/>
              <w:spacing w:before="40"/>
              <w:ind w:left="85"/>
              <w:rPr>
                <w:b/>
                <w:sz w:val="19"/>
              </w:rPr>
            </w:pPr>
            <w:r>
              <w:rPr>
                <w:b/>
                <w:sz w:val="19"/>
              </w:rPr>
              <w:t>Table</w:t>
            </w:r>
            <w:r>
              <w:rPr>
                <w:b/>
                <w:spacing w:val="-7"/>
                <w:sz w:val="19"/>
              </w:rPr>
              <w:t xml:space="preserve"> </w:t>
            </w:r>
            <w:r>
              <w:rPr>
                <w:b/>
                <w:spacing w:val="-10"/>
                <w:sz w:val="19"/>
              </w:rPr>
              <w:t>3</w:t>
            </w:r>
          </w:p>
        </w:tc>
        <w:tc>
          <w:tcPr>
            <w:tcW w:w="7937" w:type="dxa"/>
            <w:tcBorders>
              <w:top w:val="single" w:sz="2" w:space="0" w:color="000000"/>
              <w:left w:val="single" w:sz="2" w:space="0" w:color="000000"/>
              <w:bottom w:val="single" w:sz="2" w:space="0" w:color="000000"/>
              <w:right w:val="single" w:sz="2" w:space="0" w:color="000000"/>
            </w:tcBorders>
          </w:tcPr>
          <w:p w14:paraId="306AFA2A" w14:textId="77777777" w:rsidR="009D54AF" w:rsidRDefault="00000000">
            <w:pPr>
              <w:pStyle w:val="TableParagraph"/>
              <w:spacing w:before="40"/>
              <w:ind w:left="82"/>
              <w:rPr>
                <w:sz w:val="19"/>
              </w:rPr>
            </w:pPr>
            <w:r>
              <w:rPr>
                <w:sz w:val="19"/>
              </w:rPr>
              <w:t>Audit</w:t>
            </w:r>
            <w:r>
              <w:rPr>
                <w:spacing w:val="4"/>
                <w:sz w:val="19"/>
              </w:rPr>
              <w:t xml:space="preserve"> </w:t>
            </w:r>
            <w:r>
              <w:rPr>
                <w:sz w:val="19"/>
              </w:rPr>
              <w:t>and</w:t>
            </w:r>
            <w:r>
              <w:rPr>
                <w:spacing w:val="5"/>
                <w:sz w:val="19"/>
              </w:rPr>
              <w:t xml:space="preserve"> </w:t>
            </w:r>
            <w:r>
              <w:rPr>
                <w:sz w:val="19"/>
              </w:rPr>
              <w:t>Risk</w:t>
            </w:r>
            <w:r>
              <w:rPr>
                <w:spacing w:val="5"/>
                <w:sz w:val="19"/>
              </w:rPr>
              <w:t xml:space="preserve"> </w:t>
            </w:r>
            <w:r>
              <w:rPr>
                <w:sz w:val="19"/>
              </w:rPr>
              <w:t>Committee</w:t>
            </w:r>
            <w:r>
              <w:rPr>
                <w:spacing w:val="5"/>
                <w:sz w:val="19"/>
              </w:rPr>
              <w:t xml:space="preserve"> </w:t>
            </w:r>
            <w:r>
              <w:rPr>
                <w:sz w:val="19"/>
              </w:rPr>
              <w:t>attendance</w:t>
            </w:r>
            <w:r>
              <w:rPr>
                <w:spacing w:val="5"/>
                <w:sz w:val="19"/>
              </w:rPr>
              <w:t xml:space="preserve"> </w:t>
            </w:r>
            <w:r>
              <w:rPr>
                <w:sz w:val="19"/>
              </w:rPr>
              <w:t>and</w:t>
            </w:r>
            <w:r>
              <w:rPr>
                <w:spacing w:val="5"/>
                <w:sz w:val="19"/>
              </w:rPr>
              <w:t xml:space="preserve"> </w:t>
            </w:r>
            <w:r>
              <w:rPr>
                <w:sz w:val="19"/>
              </w:rPr>
              <w:t>remuneration,</w:t>
            </w:r>
            <w:r>
              <w:rPr>
                <w:spacing w:val="5"/>
                <w:sz w:val="19"/>
              </w:rPr>
              <w:t xml:space="preserve"> </w:t>
            </w:r>
            <w:r>
              <w:rPr>
                <w:sz w:val="19"/>
              </w:rPr>
              <w:t>2025–</w:t>
            </w:r>
            <w:r>
              <w:rPr>
                <w:spacing w:val="-5"/>
                <w:sz w:val="19"/>
              </w:rPr>
              <w:t>26</w:t>
            </w:r>
          </w:p>
        </w:tc>
        <w:tc>
          <w:tcPr>
            <w:tcW w:w="1134" w:type="dxa"/>
            <w:tcBorders>
              <w:top w:val="single" w:sz="2" w:space="0" w:color="000000"/>
              <w:left w:val="single" w:sz="2" w:space="0" w:color="000000"/>
              <w:bottom w:val="single" w:sz="2" w:space="0" w:color="000000"/>
              <w:right w:val="nil"/>
            </w:tcBorders>
          </w:tcPr>
          <w:p w14:paraId="130BE438" w14:textId="77777777" w:rsidR="009D54AF" w:rsidRDefault="00000000">
            <w:pPr>
              <w:pStyle w:val="TableParagraph"/>
              <w:spacing w:before="42"/>
              <w:ind w:left="2" w:right="2"/>
              <w:jc w:val="center"/>
              <w:rPr>
                <w:sz w:val="19"/>
              </w:rPr>
            </w:pPr>
            <w:r>
              <w:rPr>
                <w:spacing w:val="-5"/>
                <w:sz w:val="19"/>
              </w:rPr>
              <w:t>88</w:t>
            </w:r>
          </w:p>
        </w:tc>
      </w:tr>
      <w:tr w:rsidR="009D54AF" w14:paraId="503A36BA" w14:textId="77777777">
        <w:trPr>
          <w:trHeight w:val="505"/>
        </w:trPr>
        <w:tc>
          <w:tcPr>
            <w:tcW w:w="1134" w:type="dxa"/>
            <w:tcBorders>
              <w:top w:val="single" w:sz="2" w:space="0" w:color="000000"/>
              <w:left w:val="nil"/>
              <w:bottom w:val="single" w:sz="2" w:space="0" w:color="000000"/>
              <w:right w:val="single" w:sz="2" w:space="0" w:color="000000"/>
            </w:tcBorders>
          </w:tcPr>
          <w:p w14:paraId="6AFDC80E" w14:textId="77777777" w:rsidR="009D54AF" w:rsidRDefault="00000000">
            <w:pPr>
              <w:pStyle w:val="TableParagraph"/>
              <w:spacing w:before="40"/>
              <w:ind w:left="85"/>
              <w:rPr>
                <w:b/>
                <w:sz w:val="19"/>
              </w:rPr>
            </w:pPr>
            <w:r>
              <w:rPr>
                <w:b/>
                <w:sz w:val="19"/>
              </w:rPr>
              <w:t>Table</w:t>
            </w:r>
            <w:r>
              <w:rPr>
                <w:b/>
                <w:spacing w:val="-7"/>
                <w:sz w:val="19"/>
              </w:rPr>
              <w:t xml:space="preserve"> </w:t>
            </w:r>
            <w:r>
              <w:rPr>
                <w:b/>
                <w:spacing w:val="-10"/>
                <w:sz w:val="19"/>
              </w:rPr>
              <w:t>4</w:t>
            </w:r>
          </w:p>
        </w:tc>
        <w:tc>
          <w:tcPr>
            <w:tcW w:w="7937" w:type="dxa"/>
            <w:tcBorders>
              <w:top w:val="single" w:sz="2" w:space="0" w:color="000000"/>
              <w:left w:val="single" w:sz="2" w:space="0" w:color="000000"/>
              <w:bottom w:val="single" w:sz="2" w:space="0" w:color="000000"/>
              <w:right w:val="single" w:sz="2" w:space="0" w:color="000000"/>
            </w:tcBorders>
          </w:tcPr>
          <w:p w14:paraId="24F0A3FE" w14:textId="77777777" w:rsidR="009D54AF" w:rsidRDefault="00000000">
            <w:pPr>
              <w:pStyle w:val="TableParagraph"/>
              <w:spacing w:before="40"/>
              <w:ind w:left="82"/>
              <w:rPr>
                <w:sz w:val="19"/>
              </w:rPr>
            </w:pPr>
            <w:r>
              <w:rPr>
                <w:sz w:val="19"/>
              </w:rPr>
              <w:t>Remuneration</w:t>
            </w:r>
            <w:r>
              <w:rPr>
                <w:spacing w:val="2"/>
                <w:sz w:val="19"/>
              </w:rPr>
              <w:t xml:space="preserve"> </w:t>
            </w:r>
            <w:r>
              <w:rPr>
                <w:sz w:val="19"/>
              </w:rPr>
              <w:t>paid</w:t>
            </w:r>
            <w:r>
              <w:rPr>
                <w:spacing w:val="3"/>
                <w:sz w:val="19"/>
              </w:rPr>
              <w:t xml:space="preserve"> </w:t>
            </w:r>
            <w:r>
              <w:rPr>
                <w:sz w:val="19"/>
              </w:rPr>
              <w:t>to</w:t>
            </w:r>
            <w:r>
              <w:rPr>
                <w:spacing w:val="2"/>
                <w:sz w:val="19"/>
              </w:rPr>
              <w:t xml:space="preserve"> </w:t>
            </w:r>
            <w:r>
              <w:rPr>
                <w:sz w:val="19"/>
              </w:rPr>
              <w:t>Key</w:t>
            </w:r>
            <w:r>
              <w:rPr>
                <w:spacing w:val="3"/>
                <w:sz w:val="19"/>
              </w:rPr>
              <w:t xml:space="preserve"> </w:t>
            </w:r>
            <w:r>
              <w:rPr>
                <w:sz w:val="19"/>
              </w:rPr>
              <w:t>Management</w:t>
            </w:r>
            <w:r>
              <w:rPr>
                <w:spacing w:val="2"/>
                <w:sz w:val="19"/>
              </w:rPr>
              <w:t xml:space="preserve"> </w:t>
            </w:r>
            <w:r>
              <w:rPr>
                <w:sz w:val="19"/>
              </w:rPr>
              <w:t>Personnel,</w:t>
            </w:r>
            <w:r>
              <w:rPr>
                <w:spacing w:val="3"/>
                <w:sz w:val="19"/>
              </w:rPr>
              <w:t xml:space="preserve"> </w:t>
            </w:r>
            <w:r>
              <w:rPr>
                <w:sz w:val="19"/>
              </w:rPr>
              <w:t>2025–</w:t>
            </w:r>
            <w:r>
              <w:rPr>
                <w:spacing w:val="-5"/>
                <w:sz w:val="19"/>
              </w:rPr>
              <w:t>26</w:t>
            </w:r>
          </w:p>
        </w:tc>
        <w:tc>
          <w:tcPr>
            <w:tcW w:w="1134" w:type="dxa"/>
            <w:tcBorders>
              <w:top w:val="single" w:sz="2" w:space="0" w:color="000000"/>
              <w:left w:val="single" w:sz="2" w:space="0" w:color="000000"/>
              <w:bottom w:val="single" w:sz="2" w:space="0" w:color="000000"/>
              <w:right w:val="nil"/>
            </w:tcBorders>
          </w:tcPr>
          <w:p w14:paraId="3ED0181F" w14:textId="77777777" w:rsidR="009D54AF" w:rsidRDefault="00000000">
            <w:pPr>
              <w:pStyle w:val="TableParagraph"/>
              <w:spacing w:before="42"/>
              <w:ind w:left="4" w:right="2"/>
              <w:jc w:val="center"/>
              <w:rPr>
                <w:sz w:val="19"/>
              </w:rPr>
            </w:pPr>
            <w:r>
              <w:rPr>
                <w:spacing w:val="-5"/>
                <w:sz w:val="19"/>
              </w:rPr>
              <w:t>94</w:t>
            </w:r>
          </w:p>
        </w:tc>
      </w:tr>
      <w:tr w:rsidR="009D54AF" w14:paraId="4B228C14" w14:textId="77777777">
        <w:trPr>
          <w:trHeight w:val="505"/>
        </w:trPr>
        <w:tc>
          <w:tcPr>
            <w:tcW w:w="1134" w:type="dxa"/>
            <w:tcBorders>
              <w:top w:val="single" w:sz="2" w:space="0" w:color="000000"/>
              <w:left w:val="nil"/>
              <w:bottom w:val="single" w:sz="2" w:space="0" w:color="000000"/>
              <w:right w:val="single" w:sz="2" w:space="0" w:color="000000"/>
            </w:tcBorders>
          </w:tcPr>
          <w:p w14:paraId="645252C3" w14:textId="77777777" w:rsidR="009D54AF" w:rsidRDefault="00000000">
            <w:pPr>
              <w:pStyle w:val="TableParagraph"/>
              <w:spacing w:before="40"/>
              <w:ind w:left="85"/>
              <w:rPr>
                <w:b/>
                <w:sz w:val="19"/>
              </w:rPr>
            </w:pPr>
            <w:r>
              <w:rPr>
                <w:b/>
                <w:sz w:val="19"/>
              </w:rPr>
              <w:t>Table</w:t>
            </w:r>
            <w:r>
              <w:rPr>
                <w:b/>
                <w:spacing w:val="-7"/>
                <w:sz w:val="19"/>
              </w:rPr>
              <w:t xml:space="preserve"> </w:t>
            </w:r>
            <w:r>
              <w:rPr>
                <w:b/>
                <w:spacing w:val="-10"/>
                <w:sz w:val="19"/>
              </w:rPr>
              <w:t>5</w:t>
            </w:r>
          </w:p>
        </w:tc>
        <w:tc>
          <w:tcPr>
            <w:tcW w:w="7937" w:type="dxa"/>
            <w:tcBorders>
              <w:top w:val="single" w:sz="2" w:space="0" w:color="000000"/>
              <w:left w:val="single" w:sz="2" w:space="0" w:color="000000"/>
              <w:bottom w:val="single" w:sz="2" w:space="0" w:color="000000"/>
              <w:right w:val="single" w:sz="2" w:space="0" w:color="000000"/>
            </w:tcBorders>
          </w:tcPr>
          <w:p w14:paraId="453DF0D6" w14:textId="77777777" w:rsidR="009D54AF" w:rsidRDefault="00000000">
            <w:pPr>
              <w:pStyle w:val="TableParagraph"/>
              <w:spacing w:before="40"/>
              <w:ind w:left="82"/>
              <w:rPr>
                <w:sz w:val="19"/>
              </w:rPr>
            </w:pPr>
            <w:r>
              <w:rPr>
                <w:sz w:val="19"/>
              </w:rPr>
              <w:t>Remuneration</w:t>
            </w:r>
            <w:r>
              <w:rPr>
                <w:spacing w:val="3"/>
                <w:sz w:val="19"/>
              </w:rPr>
              <w:t xml:space="preserve"> </w:t>
            </w:r>
            <w:r>
              <w:rPr>
                <w:sz w:val="19"/>
              </w:rPr>
              <w:t>paid</w:t>
            </w:r>
            <w:r>
              <w:rPr>
                <w:spacing w:val="3"/>
                <w:sz w:val="19"/>
              </w:rPr>
              <w:t xml:space="preserve"> </w:t>
            </w:r>
            <w:r>
              <w:rPr>
                <w:sz w:val="19"/>
              </w:rPr>
              <w:t>to</w:t>
            </w:r>
            <w:r>
              <w:rPr>
                <w:spacing w:val="3"/>
                <w:sz w:val="19"/>
              </w:rPr>
              <w:t xml:space="preserve"> </w:t>
            </w:r>
            <w:r>
              <w:rPr>
                <w:sz w:val="19"/>
              </w:rPr>
              <w:t>executive</w:t>
            </w:r>
            <w:r>
              <w:rPr>
                <w:spacing w:val="3"/>
                <w:sz w:val="19"/>
              </w:rPr>
              <w:t xml:space="preserve"> </w:t>
            </w:r>
            <w:r>
              <w:rPr>
                <w:sz w:val="19"/>
              </w:rPr>
              <w:t>staff</w:t>
            </w:r>
            <w:r>
              <w:rPr>
                <w:spacing w:val="3"/>
                <w:sz w:val="19"/>
              </w:rPr>
              <w:t xml:space="preserve"> </w:t>
            </w:r>
            <w:r>
              <w:rPr>
                <w:sz w:val="19"/>
              </w:rPr>
              <w:t>(Senior</w:t>
            </w:r>
            <w:r>
              <w:rPr>
                <w:spacing w:val="3"/>
                <w:sz w:val="19"/>
              </w:rPr>
              <w:t xml:space="preserve"> </w:t>
            </w:r>
            <w:r>
              <w:rPr>
                <w:sz w:val="19"/>
              </w:rPr>
              <w:t>Executive</w:t>
            </w:r>
            <w:r>
              <w:rPr>
                <w:spacing w:val="3"/>
                <w:sz w:val="19"/>
              </w:rPr>
              <w:t xml:space="preserve"> </w:t>
            </w:r>
            <w:r>
              <w:rPr>
                <w:sz w:val="19"/>
              </w:rPr>
              <w:t>Service</w:t>
            </w:r>
            <w:r>
              <w:rPr>
                <w:spacing w:val="3"/>
                <w:sz w:val="19"/>
              </w:rPr>
              <w:t xml:space="preserve"> </w:t>
            </w:r>
            <w:r>
              <w:rPr>
                <w:sz w:val="19"/>
              </w:rPr>
              <w:t>equivalent),</w:t>
            </w:r>
            <w:r>
              <w:rPr>
                <w:spacing w:val="4"/>
                <w:sz w:val="19"/>
              </w:rPr>
              <w:t xml:space="preserve"> </w:t>
            </w:r>
            <w:r>
              <w:rPr>
                <w:sz w:val="19"/>
              </w:rPr>
              <w:t>2025–</w:t>
            </w:r>
            <w:r>
              <w:rPr>
                <w:spacing w:val="-5"/>
                <w:sz w:val="19"/>
              </w:rPr>
              <w:t>26</w:t>
            </w:r>
          </w:p>
        </w:tc>
        <w:tc>
          <w:tcPr>
            <w:tcW w:w="1134" w:type="dxa"/>
            <w:tcBorders>
              <w:top w:val="single" w:sz="2" w:space="0" w:color="000000"/>
              <w:left w:val="single" w:sz="2" w:space="0" w:color="000000"/>
              <w:bottom w:val="single" w:sz="2" w:space="0" w:color="000000"/>
              <w:right w:val="nil"/>
            </w:tcBorders>
          </w:tcPr>
          <w:p w14:paraId="744D0E17" w14:textId="77777777" w:rsidR="009D54AF" w:rsidRDefault="00000000">
            <w:pPr>
              <w:pStyle w:val="TableParagraph"/>
              <w:spacing w:before="42"/>
              <w:ind w:left="2" w:right="2"/>
              <w:jc w:val="center"/>
              <w:rPr>
                <w:sz w:val="19"/>
              </w:rPr>
            </w:pPr>
            <w:r>
              <w:rPr>
                <w:spacing w:val="-5"/>
                <w:sz w:val="19"/>
              </w:rPr>
              <w:t>95</w:t>
            </w:r>
          </w:p>
        </w:tc>
      </w:tr>
      <w:tr w:rsidR="009D54AF" w14:paraId="5BF77F31" w14:textId="77777777">
        <w:trPr>
          <w:trHeight w:val="505"/>
        </w:trPr>
        <w:tc>
          <w:tcPr>
            <w:tcW w:w="1134" w:type="dxa"/>
            <w:tcBorders>
              <w:top w:val="single" w:sz="2" w:space="0" w:color="000000"/>
              <w:left w:val="nil"/>
              <w:bottom w:val="single" w:sz="2" w:space="0" w:color="000000"/>
              <w:right w:val="single" w:sz="2" w:space="0" w:color="000000"/>
            </w:tcBorders>
          </w:tcPr>
          <w:p w14:paraId="0764C1B2" w14:textId="77777777" w:rsidR="009D54AF" w:rsidRDefault="00000000">
            <w:pPr>
              <w:pStyle w:val="TableParagraph"/>
              <w:spacing w:before="40"/>
              <w:ind w:left="85"/>
              <w:rPr>
                <w:b/>
                <w:sz w:val="19"/>
              </w:rPr>
            </w:pPr>
            <w:r>
              <w:rPr>
                <w:b/>
                <w:sz w:val="19"/>
              </w:rPr>
              <w:t>Table</w:t>
            </w:r>
            <w:r>
              <w:rPr>
                <w:b/>
                <w:spacing w:val="-7"/>
                <w:sz w:val="19"/>
              </w:rPr>
              <w:t xml:space="preserve"> </w:t>
            </w:r>
            <w:r>
              <w:rPr>
                <w:b/>
                <w:spacing w:val="-10"/>
                <w:sz w:val="19"/>
              </w:rPr>
              <w:t>6</w:t>
            </w:r>
          </w:p>
        </w:tc>
        <w:tc>
          <w:tcPr>
            <w:tcW w:w="7937" w:type="dxa"/>
            <w:tcBorders>
              <w:top w:val="single" w:sz="2" w:space="0" w:color="000000"/>
              <w:left w:val="single" w:sz="2" w:space="0" w:color="000000"/>
              <w:bottom w:val="single" w:sz="2" w:space="0" w:color="000000"/>
              <w:right w:val="single" w:sz="2" w:space="0" w:color="000000"/>
            </w:tcBorders>
          </w:tcPr>
          <w:p w14:paraId="3F6788C1" w14:textId="77777777" w:rsidR="009D54AF" w:rsidRDefault="00000000">
            <w:pPr>
              <w:pStyle w:val="TableParagraph"/>
              <w:spacing w:before="40"/>
              <w:ind w:left="82"/>
              <w:rPr>
                <w:sz w:val="19"/>
              </w:rPr>
            </w:pPr>
            <w:r>
              <w:rPr>
                <w:sz w:val="19"/>
              </w:rPr>
              <w:t>Remuneration</w:t>
            </w:r>
            <w:r>
              <w:rPr>
                <w:spacing w:val="1"/>
                <w:sz w:val="19"/>
              </w:rPr>
              <w:t xml:space="preserve"> </w:t>
            </w:r>
            <w:r>
              <w:rPr>
                <w:sz w:val="19"/>
              </w:rPr>
              <w:t>paid</w:t>
            </w:r>
            <w:r>
              <w:rPr>
                <w:spacing w:val="3"/>
                <w:sz w:val="19"/>
              </w:rPr>
              <w:t xml:space="preserve"> </w:t>
            </w:r>
            <w:r>
              <w:rPr>
                <w:sz w:val="19"/>
              </w:rPr>
              <w:t>to</w:t>
            </w:r>
            <w:r>
              <w:rPr>
                <w:spacing w:val="3"/>
                <w:sz w:val="19"/>
              </w:rPr>
              <w:t xml:space="preserve"> </w:t>
            </w:r>
            <w:r>
              <w:rPr>
                <w:sz w:val="19"/>
              </w:rPr>
              <w:t>other</w:t>
            </w:r>
            <w:r>
              <w:rPr>
                <w:spacing w:val="4"/>
                <w:sz w:val="19"/>
              </w:rPr>
              <w:t xml:space="preserve"> </w:t>
            </w:r>
            <w:r>
              <w:rPr>
                <w:sz w:val="19"/>
              </w:rPr>
              <w:t>highly</w:t>
            </w:r>
            <w:r>
              <w:rPr>
                <w:spacing w:val="3"/>
                <w:sz w:val="19"/>
              </w:rPr>
              <w:t xml:space="preserve"> </w:t>
            </w:r>
            <w:r>
              <w:rPr>
                <w:sz w:val="19"/>
              </w:rPr>
              <w:t>paid</w:t>
            </w:r>
            <w:r>
              <w:rPr>
                <w:spacing w:val="3"/>
                <w:sz w:val="19"/>
              </w:rPr>
              <w:t xml:space="preserve"> </w:t>
            </w:r>
            <w:r>
              <w:rPr>
                <w:sz w:val="19"/>
              </w:rPr>
              <w:t>staff,</w:t>
            </w:r>
            <w:r>
              <w:rPr>
                <w:spacing w:val="4"/>
                <w:sz w:val="19"/>
              </w:rPr>
              <w:t xml:space="preserve"> </w:t>
            </w:r>
            <w:r>
              <w:rPr>
                <w:sz w:val="19"/>
              </w:rPr>
              <w:t>2025–</w:t>
            </w:r>
            <w:r>
              <w:rPr>
                <w:spacing w:val="-5"/>
                <w:sz w:val="19"/>
              </w:rPr>
              <w:t>26</w:t>
            </w:r>
          </w:p>
        </w:tc>
        <w:tc>
          <w:tcPr>
            <w:tcW w:w="1134" w:type="dxa"/>
            <w:tcBorders>
              <w:top w:val="single" w:sz="2" w:space="0" w:color="000000"/>
              <w:left w:val="single" w:sz="2" w:space="0" w:color="000000"/>
              <w:bottom w:val="single" w:sz="2" w:space="0" w:color="000000"/>
              <w:right w:val="nil"/>
            </w:tcBorders>
          </w:tcPr>
          <w:p w14:paraId="01F62BB5" w14:textId="77777777" w:rsidR="009D54AF" w:rsidRDefault="00000000">
            <w:pPr>
              <w:pStyle w:val="TableParagraph"/>
              <w:spacing w:before="42"/>
              <w:ind w:left="2" w:right="2"/>
              <w:jc w:val="center"/>
              <w:rPr>
                <w:sz w:val="19"/>
              </w:rPr>
            </w:pPr>
            <w:r>
              <w:rPr>
                <w:spacing w:val="-5"/>
                <w:sz w:val="19"/>
              </w:rPr>
              <w:t>95</w:t>
            </w:r>
          </w:p>
        </w:tc>
      </w:tr>
      <w:tr w:rsidR="009D54AF" w14:paraId="6A50D522" w14:textId="77777777">
        <w:trPr>
          <w:trHeight w:val="505"/>
        </w:trPr>
        <w:tc>
          <w:tcPr>
            <w:tcW w:w="1134" w:type="dxa"/>
            <w:tcBorders>
              <w:top w:val="single" w:sz="2" w:space="0" w:color="000000"/>
              <w:left w:val="nil"/>
              <w:bottom w:val="single" w:sz="2" w:space="0" w:color="000000"/>
              <w:right w:val="single" w:sz="2" w:space="0" w:color="000000"/>
            </w:tcBorders>
          </w:tcPr>
          <w:p w14:paraId="40D75CBC" w14:textId="77777777" w:rsidR="009D54AF" w:rsidRDefault="00000000">
            <w:pPr>
              <w:pStyle w:val="TableParagraph"/>
              <w:spacing w:before="40"/>
              <w:ind w:left="85"/>
              <w:rPr>
                <w:b/>
                <w:sz w:val="19"/>
              </w:rPr>
            </w:pPr>
            <w:r>
              <w:rPr>
                <w:b/>
                <w:sz w:val="19"/>
              </w:rPr>
              <w:t>Table</w:t>
            </w:r>
            <w:r>
              <w:rPr>
                <w:b/>
                <w:spacing w:val="-7"/>
                <w:sz w:val="19"/>
              </w:rPr>
              <w:t xml:space="preserve"> </w:t>
            </w:r>
            <w:r>
              <w:rPr>
                <w:b/>
                <w:spacing w:val="-10"/>
                <w:sz w:val="19"/>
              </w:rPr>
              <w:t>7</w:t>
            </w:r>
          </w:p>
        </w:tc>
        <w:tc>
          <w:tcPr>
            <w:tcW w:w="7937" w:type="dxa"/>
            <w:tcBorders>
              <w:top w:val="single" w:sz="2" w:space="0" w:color="000000"/>
              <w:left w:val="single" w:sz="2" w:space="0" w:color="000000"/>
              <w:bottom w:val="single" w:sz="2" w:space="0" w:color="000000"/>
              <w:right w:val="single" w:sz="2" w:space="0" w:color="000000"/>
            </w:tcBorders>
          </w:tcPr>
          <w:p w14:paraId="210D724A" w14:textId="77777777" w:rsidR="009D54AF" w:rsidRDefault="00000000">
            <w:pPr>
              <w:pStyle w:val="TableParagraph"/>
              <w:spacing w:before="40"/>
              <w:ind w:left="82"/>
              <w:rPr>
                <w:sz w:val="19"/>
              </w:rPr>
            </w:pPr>
            <w:r>
              <w:rPr>
                <w:sz w:val="19"/>
              </w:rPr>
              <w:t>Total</w:t>
            </w:r>
            <w:r>
              <w:rPr>
                <w:spacing w:val="-1"/>
                <w:sz w:val="19"/>
              </w:rPr>
              <w:t xml:space="preserve"> </w:t>
            </w:r>
            <w:r>
              <w:rPr>
                <w:sz w:val="19"/>
              </w:rPr>
              <w:t>employee</w:t>
            </w:r>
            <w:r>
              <w:rPr>
                <w:spacing w:val="-1"/>
                <w:sz w:val="19"/>
              </w:rPr>
              <w:t xml:space="preserve"> </w:t>
            </w:r>
            <w:r>
              <w:rPr>
                <w:sz w:val="19"/>
              </w:rPr>
              <w:t>headcount</w:t>
            </w:r>
            <w:r>
              <w:rPr>
                <w:spacing w:val="-1"/>
                <w:sz w:val="19"/>
              </w:rPr>
              <w:t xml:space="preserve"> </w:t>
            </w:r>
            <w:r>
              <w:rPr>
                <w:sz w:val="19"/>
              </w:rPr>
              <w:t>profile, as</w:t>
            </w:r>
            <w:r>
              <w:rPr>
                <w:spacing w:val="-1"/>
                <w:sz w:val="19"/>
              </w:rPr>
              <w:t xml:space="preserve"> </w:t>
            </w:r>
            <w:r>
              <w:rPr>
                <w:sz w:val="19"/>
              </w:rPr>
              <w:t>at</w:t>
            </w:r>
            <w:r>
              <w:rPr>
                <w:spacing w:val="-1"/>
                <w:sz w:val="19"/>
              </w:rPr>
              <w:t xml:space="preserve"> </w:t>
            </w:r>
            <w:r>
              <w:rPr>
                <w:sz w:val="19"/>
              </w:rPr>
              <w:t>30</w:t>
            </w:r>
            <w:r>
              <w:rPr>
                <w:spacing w:val="-1"/>
                <w:sz w:val="19"/>
              </w:rPr>
              <w:t xml:space="preserve"> </w:t>
            </w:r>
            <w:r>
              <w:rPr>
                <w:sz w:val="19"/>
              </w:rPr>
              <w:t xml:space="preserve">June </w:t>
            </w:r>
            <w:r>
              <w:rPr>
                <w:spacing w:val="-4"/>
                <w:sz w:val="19"/>
              </w:rPr>
              <w:t>2026</w:t>
            </w:r>
          </w:p>
        </w:tc>
        <w:tc>
          <w:tcPr>
            <w:tcW w:w="1134" w:type="dxa"/>
            <w:tcBorders>
              <w:top w:val="single" w:sz="2" w:space="0" w:color="000000"/>
              <w:left w:val="single" w:sz="2" w:space="0" w:color="000000"/>
              <w:bottom w:val="single" w:sz="2" w:space="0" w:color="000000"/>
              <w:right w:val="nil"/>
            </w:tcBorders>
          </w:tcPr>
          <w:p w14:paraId="1BE63A21" w14:textId="77777777" w:rsidR="009D54AF" w:rsidRDefault="00000000">
            <w:pPr>
              <w:pStyle w:val="TableParagraph"/>
              <w:spacing w:before="42"/>
              <w:ind w:left="2" w:right="2"/>
              <w:jc w:val="center"/>
              <w:rPr>
                <w:sz w:val="19"/>
              </w:rPr>
            </w:pPr>
            <w:r>
              <w:rPr>
                <w:spacing w:val="-5"/>
                <w:sz w:val="19"/>
              </w:rPr>
              <w:t>100</w:t>
            </w:r>
          </w:p>
        </w:tc>
      </w:tr>
      <w:tr w:rsidR="009D54AF" w14:paraId="79381DF8" w14:textId="77777777">
        <w:trPr>
          <w:trHeight w:val="505"/>
        </w:trPr>
        <w:tc>
          <w:tcPr>
            <w:tcW w:w="1134" w:type="dxa"/>
            <w:tcBorders>
              <w:top w:val="single" w:sz="2" w:space="0" w:color="000000"/>
              <w:left w:val="nil"/>
              <w:bottom w:val="single" w:sz="2" w:space="0" w:color="000000"/>
              <w:right w:val="single" w:sz="2" w:space="0" w:color="000000"/>
            </w:tcBorders>
          </w:tcPr>
          <w:p w14:paraId="3A0D6EB1" w14:textId="77777777" w:rsidR="009D54AF" w:rsidRDefault="00000000">
            <w:pPr>
              <w:pStyle w:val="TableParagraph"/>
              <w:spacing w:before="40"/>
              <w:ind w:left="85"/>
              <w:rPr>
                <w:b/>
                <w:sz w:val="19"/>
              </w:rPr>
            </w:pPr>
            <w:r>
              <w:rPr>
                <w:b/>
                <w:sz w:val="19"/>
              </w:rPr>
              <w:t>Table</w:t>
            </w:r>
            <w:r>
              <w:rPr>
                <w:b/>
                <w:spacing w:val="-7"/>
                <w:sz w:val="19"/>
              </w:rPr>
              <w:t xml:space="preserve"> </w:t>
            </w:r>
            <w:r>
              <w:rPr>
                <w:b/>
                <w:spacing w:val="-10"/>
                <w:sz w:val="19"/>
              </w:rPr>
              <w:t>8</w:t>
            </w:r>
          </w:p>
        </w:tc>
        <w:tc>
          <w:tcPr>
            <w:tcW w:w="7937" w:type="dxa"/>
            <w:tcBorders>
              <w:top w:val="single" w:sz="2" w:space="0" w:color="000000"/>
              <w:left w:val="single" w:sz="2" w:space="0" w:color="000000"/>
              <w:bottom w:val="single" w:sz="2" w:space="0" w:color="000000"/>
              <w:right w:val="single" w:sz="2" w:space="0" w:color="000000"/>
            </w:tcBorders>
          </w:tcPr>
          <w:p w14:paraId="305C4103" w14:textId="77777777" w:rsidR="009D54AF" w:rsidRDefault="00000000">
            <w:pPr>
              <w:pStyle w:val="TableParagraph"/>
              <w:spacing w:before="40"/>
              <w:ind w:left="82"/>
              <w:rPr>
                <w:sz w:val="19"/>
              </w:rPr>
            </w:pPr>
            <w:r>
              <w:rPr>
                <w:sz w:val="19"/>
              </w:rPr>
              <w:t>Female</w:t>
            </w:r>
            <w:r>
              <w:rPr>
                <w:spacing w:val="-2"/>
                <w:sz w:val="19"/>
              </w:rPr>
              <w:t xml:space="preserve"> </w:t>
            </w:r>
            <w:r>
              <w:rPr>
                <w:sz w:val="19"/>
              </w:rPr>
              <w:t>employee</w:t>
            </w:r>
            <w:r>
              <w:rPr>
                <w:spacing w:val="1"/>
                <w:sz w:val="19"/>
              </w:rPr>
              <w:t xml:space="preserve"> </w:t>
            </w:r>
            <w:r>
              <w:rPr>
                <w:sz w:val="19"/>
              </w:rPr>
              <w:t>headcount profile</w:t>
            </w:r>
            <w:r>
              <w:rPr>
                <w:spacing w:val="1"/>
                <w:sz w:val="19"/>
              </w:rPr>
              <w:t xml:space="preserve"> </w:t>
            </w:r>
            <w:r>
              <w:rPr>
                <w:sz w:val="19"/>
              </w:rPr>
              <w:t>by state</w:t>
            </w:r>
            <w:r>
              <w:rPr>
                <w:spacing w:val="1"/>
                <w:sz w:val="19"/>
              </w:rPr>
              <w:t xml:space="preserve"> </w:t>
            </w:r>
            <w:r>
              <w:rPr>
                <w:sz w:val="19"/>
              </w:rPr>
              <w:t>and</w:t>
            </w:r>
            <w:r>
              <w:rPr>
                <w:spacing w:val="1"/>
                <w:sz w:val="19"/>
              </w:rPr>
              <w:t xml:space="preserve"> </w:t>
            </w:r>
            <w:r>
              <w:rPr>
                <w:sz w:val="19"/>
              </w:rPr>
              <w:t>territory, as</w:t>
            </w:r>
            <w:r>
              <w:rPr>
                <w:spacing w:val="1"/>
                <w:sz w:val="19"/>
              </w:rPr>
              <w:t xml:space="preserve"> </w:t>
            </w:r>
            <w:r>
              <w:rPr>
                <w:sz w:val="19"/>
              </w:rPr>
              <w:t>at 30</w:t>
            </w:r>
            <w:r>
              <w:rPr>
                <w:spacing w:val="1"/>
                <w:sz w:val="19"/>
              </w:rPr>
              <w:t xml:space="preserve"> </w:t>
            </w:r>
            <w:r>
              <w:rPr>
                <w:sz w:val="19"/>
              </w:rPr>
              <w:t>June</w:t>
            </w:r>
            <w:r>
              <w:rPr>
                <w:spacing w:val="1"/>
                <w:sz w:val="19"/>
              </w:rPr>
              <w:t xml:space="preserve"> </w:t>
            </w:r>
            <w:r>
              <w:rPr>
                <w:spacing w:val="-4"/>
                <w:sz w:val="19"/>
              </w:rPr>
              <w:t>2026</w:t>
            </w:r>
          </w:p>
        </w:tc>
        <w:tc>
          <w:tcPr>
            <w:tcW w:w="1134" w:type="dxa"/>
            <w:tcBorders>
              <w:top w:val="single" w:sz="2" w:space="0" w:color="000000"/>
              <w:left w:val="single" w:sz="2" w:space="0" w:color="000000"/>
              <w:bottom w:val="single" w:sz="2" w:space="0" w:color="000000"/>
              <w:right w:val="nil"/>
            </w:tcBorders>
          </w:tcPr>
          <w:p w14:paraId="5E36D938" w14:textId="77777777" w:rsidR="009D54AF" w:rsidRDefault="00000000">
            <w:pPr>
              <w:pStyle w:val="TableParagraph"/>
              <w:spacing w:before="42"/>
              <w:ind w:left="2" w:right="2"/>
              <w:jc w:val="center"/>
              <w:rPr>
                <w:sz w:val="19"/>
              </w:rPr>
            </w:pPr>
            <w:r>
              <w:rPr>
                <w:spacing w:val="-5"/>
                <w:sz w:val="19"/>
              </w:rPr>
              <w:t>101</w:t>
            </w:r>
          </w:p>
        </w:tc>
      </w:tr>
      <w:tr w:rsidR="009D54AF" w14:paraId="233CB9DC" w14:textId="77777777">
        <w:trPr>
          <w:trHeight w:val="505"/>
        </w:trPr>
        <w:tc>
          <w:tcPr>
            <w:tcW w:w="1134" w:type="dxa"/>
            <w:tcBorders>
              <w:top w:val="single" w:sz="2" w:space="0" w:color="000000"/>
              <w:left w:val="nil"/>
              <w:bottom w:val="single" w:sz="2" w:space="0" w:color="000000"/>
              <w:right w:val="single" w:sz="2" w:space="0" w:color="000000"/>
            </w:tcBorders>
          </w:tcPr>
          <w:p w14:paraId="78E2B11F" w14:textId="77777777" w:rsidR="009D54AF" w:rsidRDefault="00000000">
            <w:pPr>
              <w:pStyle w:val="TableParagraph"/>
              <w:spacing w:before="40"/>
              <w:ind w:left="85"/>
              <w:rPr>
                <w:b/>
                <w:sz w:val="19"/>
              </w:rPr>
            </w:pPr>
            <w:r>
              <w:rPr>
                <w:b/>
                <w:sz w:val="19"/>
              </w:rPr>
              <w:t>Table</w:t>
            </w:r>
            <w:r>
              <w:rPr>
                <w:b/>
                <w:spacing w:val="-7"/>
                <w:sz w:val="19"/>
              </w:rPr>
              <w:t xml:space="preserve"> </w:t>
            </w:r>
            <w:r>
              <w:rPr>
                <w:b/>
                <w:spacing w:val="-10"/>
                <w:sz w:val="19"/>
              </w:rPr>
              <w:t>9</w:t>
            </w:r>
          </w:p>
        </w:tc>
        <w:tc>
          <w:tcPr>
            <w:tcW w:w="7937" w:type="dxa"/>
            <w:tcBorders>
              <w:top w:val="single" w:sz="2" w:space="0" w:color="000000"/>
              <w:left w:val="single" w:sz="2" w:space="0" w:color="000000"/>
              <w:bottom w:val="single" w:sz="2" w:space="0" w:color="000000"/>
              <w:right w:val="single" w:sz="2" w:space="0" w:color="000000"/>
            </w:tcBorders>
          </w:tcPr>
          <w:p w14:paraId="2BB1E02F" w14:textId="77777777" w:rsidR="009D54AF" w:rsidRDefault="00000000">
            <w:pPr>
              <w:pStyle w:val="TableParagraph"/>
              <w:spacing w:before="40"/>
              <w:ind w:left="82"/>
              <w:rPr>
                <w:sz w:val="19"/>
              </w:rPr>
            </w:pPr>
            <w:r>
              <w:rPr>
                <w:sz w:val="19"/>
              </w:rPr>
              <w:t>Male</w:t>
            </w:r>
            <w:r>
              <w:rPr>
                <w:spacing w:val="-1"/>
                <w:sz w:val="19"/>
              </w:rPr>
              <w:t xml:space="preserve"> </w:t>
            </w:r>
            <w:r>
              <w:rPr>
                <w:sz w:val="19"/>
              </w:rPr>
              <w:t>employee</w:t>
            </w:r>
            <w:r>
              <w:rPr>
                <w:spacing w:val="1"/>
                <w:sz w:val="19"/>
              </w:rPr>
              <w:t xml:space="preserve"> </w:t>
            </w:r>
            <w:r>
              <w:rPr>
                <w:sz w:val="19"/>
              </w:rPr>
              <w:t>headcount</w:t>
            </w:r>
            <w:r>
              <w:rPr>
                <w:spacing w:val="1"/>
                <w:sz w:val="19"/>
              </w:rPr>
              <w:t xml:space="preserve"> </w:t>
            </w:r>
            <w:r>
              <w:rPr>
                <w:sz w:val="19"/>
              </w:rPr>
              <w:t>profile</w:t>
            </w:r>
            <w:r>
              <w:rPr>
                <w:spacing w:val="1"/>
                <w:sz w:val="19"/>
              </w:rPr>
              <w:t xml:space="preserve"> </w:t>
            </w:r>
            <w:r>
              <w:rPr>
                <w:sz w:val="19"/>
              </w:rPr>
              <w:t>by</w:t>
            </w:r>
            <w:r>
              <w:rPr>
                <w:spacing w:val="1"/>
                <w:sz w:val="19"/>
              </w:rPr>
              <w:t xml:space="preserve"> </w:t>
            </w:r>
            <w:r>
              <w:rPr>
                <w:sz w:val="19"/>
              </w:rPr>
              <w:t>state</w:t>
            </w:r>
            <w:r>
              <w:rPr>
                <w:spacing w:val="1"/>
                <w:sz w:val="19"/>
              </w:rPr>
              <w:t xml:space="preserve"> </w:t>
            </w:r>
            <w:r>
              <w:rPr>
                <w:sz w:val="19"/>
              </w:rPr>
              <w:t>and</w:t>
            </w:r>
            <w:r>
              <w:rPr>
                <w:spacing w:val="1"/>
                <w:sz w:val="19"/>
              </w:rPr>
              <w:t xml:space="preserve"> </w:t>
            </w:r>
            <w:r>
              <w:rPr>
                <w:sz w:val="19"/>
              </w:rPr>
              <w:t>territory,</w:t>
            </w:r>
            <w:r>
              <w:rPr>
                <w:spacing w:val="1"/>
                <w:sz w:val="19"/>
              </w:rPr>
              <w:t xml:space="preserve"> </w:t>
            </w:r>
            <w:r>
              <w:rPr>
                <w:sz w:val="19"/>
              </w:rPr>
              <w:t>as</w:t>
            </w:r>
            <w:r>
              <w:rPr>
                <w:spacing w:val="1"/>
                <w:sz w:val="19"/>
              </w:rPr>
              <w:t xml:space="preserve"> </w:t>
            </w:r>
            <w:r>
              <w:rPr>
                <w:sz w:val="19"/>
              </w:rPr>
              <w:t>at</w:t>
            </w:r>
            <w:r>
              <w:rPr>
                <w:spacing w:val="1"/>
                <w:sz w:val="19"/>
              </w:rPr>
              <w:t xml:space="preserve"> </w:t>
            </w:r>
            <w:r>
              <w:rPr>
                <w:sz w:val="19"/>
              </w:rPr>
              <w:t>30</w:t>
            </w:r>
            <w:r>
              <w:rPr>
                <w:spacing w:val="1"/>
                <w:sz w:val="19"/>
              </w:rPr>
              <w:t xml:space="preserve"> </w:t>
            </w:r>
            <w:r>
              <w:rPr>
                <w:sz w:val="19"/>
              </w:rPr>
              <w:t>June</w:t>
            </w:r>
            <w:r>
              <w:rPr>
                <w:spacing w:val="2"/>
                <w:sz w:val="19"/>
              </w:rPr>
              <w:t xml:space="preserve"> </w:t>
            </w:r>
            <w:r>
              <w:rPr>
                <w:spacing w:val="-4"/>
                <w:sz w:val="19"/>
              </w:rPr>
              <w:t>2026</w:t>
            </w:r>
          </w:p>
        </w:tc>
        <w:tc>
          <w:tcPr>
            <w:tcW w:w="1134" w:type="dxa"/>
            <w:tcBorders>
              <w:top w:val="single" w:sz="2" w:space="0" w:color="000000"/>
              <w:left w:val="single" w:sz="2" w:space="0" w:color="000000"/>
              <w:bottom w:val="single" w:sz="2" w:space="0" w:color="000000"/>
              <w:right w:val="nil"/>
            </w:tcBorders>
          </w:tcPr>
          <w:p w14:paraId="61F23088" w14:textId="77777777" w:rsidR="009D54AF" w:rsidRDefault="00000000">
            <w:pPr>
              <w:pStyle w:val="TableParagraph"/>
              <w:spacing w:before="42"/>
              <w:ind w:left="2" w:right="2"/>
              <w:jc w:val="center"/>
              <w:rPr>
                <w:sz w:val="19"/>
              </w:rPr>
            </w:pPr>
            <w:r>
              <w:rPr>
                <w:spacing w:val="-5"/>
                <w:sz w:val="19"/>
              </w:rPr>
              <w:t>102</w:t>
            </w:r>
          </w:p>
        </w:tc>
      </w:tr>
      <w:tr w:rsidR="009D54AF" w14:paraId="49A68316" w14:textId="77777777">
        <w:trPr>
          <w:trHeight w:val="505"/>
        </w:trPr>
        <w:tc>
          <w:tcPr>
            <w:tcW w:w="1134" w:type="dxa"/>
            <w:tcBorders>
              <w:top w:val="single" w:sz="2" w:space="0" w:color="000000"/>
              <w:left w:val="nil"/>
              <w:bottom w:val="single" w:sz="2" w:space="0" w:color="000000"/>
              <w:right w:val="single" w:sz="2" w:space="0" w:color="000000"/>
            </w:tcBorders>
          </w:tcPr>
          <w:p w14:paraId="6BB2E856" w14:textId="77777777" w:rsidR="009D54AF" w:rsidRDefault="00000000">
            <w:pPr>
              <w:pStyle w:val="TableParagraph"/>
              <w:spacing w:before="40"/>
              <w:ind w:left="85"/>
              <w:rPr>
                <w:b/>
                <w:sz w:val="19"/>
              </w:rPr>
            </w:pPr>
            <w:r>
              <w:rPr>
                <w:b/>
                <w:sz w:val="19"/>
              </w:rPr>
              <w:t>Table</w:t>
            </w:r>
            <w:r>
              <w:rPr>
                <w:b/>
                <w:spacing w:val="-7"/>
                <w:sz w:val="19"/>
              </w:rPr>
              <w:t xml:space="preserve"> </w:t>
            </w:r>
            <w:r>
              <w:rPr>
                <w:b/>
                <w:spacing w:val="-5"/>
                <w:sz w:val="19"/>
              </w:rPr>
              <w:t>10</w:t>
            </w:r>
          </w:p>
        </w:tc>
        <w:tc>
          <w:tcPr>
            <w:tcW w:w="7937" w:type="dxa"/>
            <w:tcBorders>
              <w:top w:val="single" w:sz="2" w:space="0" w:color="000000"/>
              <w:left w:val="single" w:sz="2" w:space="0" w:color="000000"/>
              <w:bottom w:val="single" w:sz="2" w:space="0" w:color="000000"/>
              <w:right w:val="single" w:sz="2" w:space="0" w:color="000000"/>
            </w:tcBorders>
          </w:tcPr>
          <w:p w14:paraId="49882D05" w14:textId="77777777" w:rsidR="009D54AF" w:rsidRDefault="00000000">
            <w:pPr>
              <w:pStyle w:val="TableParagraph"/>
              <w:spacing w:before="40"/>
              <w:ind w:left="82"/>
              <w:rPr>
                <w:sz w:val="19"/>
              </w:rPr>
            </w:pPr>
            <w:r>
              <w:rPr>
                <w:sz w:val="19"/>
              </w:rPr>
              <w:t>Non-binary</w:t>
            </w:r>
            <w:r>
              <w:rPr>
                <w:spacing w:val="2"/>
                <w:sz w:val="19"/>
              </w:rPr>
              <w:t xml:space="preserve"> </w:t>
            </w:r>
            <w:r>
              <w:rPr>
                <w:sz w:val="19"/>
              </w:rPr>
              <w:t>employee</w:t>
            </w:r>
            <w:r>
              <w:rPr>
                <w:spacing w:val="2"/>
                <w:sz w:val="19"/>
              </w:rPr>
              <w:t xml:space="preserve"> </w:t>
            </w:r>
            <w:r>
              <w:rPr>
                <w:sz w:val="19"/>
              </w:rPr>
              <w:t>headcount</w:t>
            </w:r>
            <w:r>
              <w:rPr>
                <w:spacing w:val="3"/>
                <w:sz w:val="19"/>
              </w:rPr>
              <w:t xml:space="preserve"> </w:t>
            </w:r>
            <w:r>
              <w:rPr>
                <w:sz w:val="19"/>
              </w:rPr>
              <w:t>profile</w:t>
            </w:r>
            <w:r>
              <w:rPr>
                <w:spacing w:val="2"/>
                <w:sz w:val="19"/>
              </w:rPr>
              <w:t xml:space="preserve"> </w:t>
            </w:r>
            <w:r>
              <w:rPr>
                <w:sz w:val="19"/>
              </w:rPr>
              <w:t>by</w:t>
            </w:r>
            <w:r>
              <w:rPr>
                <w:spacing w:val="2"/>
                <w:sz w:val="19"/>
              </w:rPr>
              <w:t xml:space="preserve"> </w:t>
            </w:r>
            <w:r>
              <w:rPr>
                <w:sz w:val="19"/>
              </w:rPr>
              <w:t>state</w:t>
            </w:r>
            <w:r>
              <w:rPr>
                <w:spacing w:val="3"/>
                <w:sz w:val="19"/>
              </w:rPr>
              <w:t xml:space="preserve"> </w:t>
            </w:r>
            <w:r>
              <w:rPr>
                <w:sz w:val="19"/>
              </w:rPr>
              <w:t>and</w:t>
            </w:r>
            <w:r>
              <w:rPr>
                <w:spacing w:val="2"/>
                <w:sz w:val="19"/>
              </w:rPr>
              <w:t xml:space="preserve"> </w:t>
            </w:r>
            <w:r>
              <w:rPr>
                <w:sz w:val="19"/>
              </w:rPr>
              <w:t>territory,</w:t>
            </w:r>
            <w:r>
              <w:rPr>
                <w:spacing w:val="2"/>
                <w:sz w:val="19"/>
              </w:rPr>
              <w:t xml:space="preserve"> </w:t>
            </w:r>
            <w:r>
              <w:rPr>
                <w:sz w:val="19"/>
              </w:rPr>
              <w:t>as</w:t>
            </w:r>
            <w:r>
              <w:rPr>
                <w:spacing w:val="3"/>
                <w:sz w:val="19"/>
              </w:rPr>
              <w:t xml:space="preserve"> </w:t>
            </w:r>
            <w:r>
              <w:rPr>
                <w:sz w:val="19"/>
              </w:rPr>
              <w:t>at</w:t>
            </w:r>
            <w:r>
              <w:rPr>
                <w:spacing w:val="2"/>
                <w:sz w:val="19"/>
              </w:rPr>
              <w:t xml:space="preserve"> </w:t>
            </w:r>
            <w:r>
              <w:rPr>
                <w:sz w:val="19"/>
              </w:rPr>
              <w:t>30</w:t>
            </w:r>
            <w:r>
              <w:rPr>
                <w:spacing w:val="2"/>
                <w:sz w:val="19"/>
              </w:rPr>
              <w:t xml:space="preserve"> </w:t>
            </w:r>
            <w:r>
              <w:rPr>
                <w:sz w:val="19"/>
              </w:rPr>
              <w:t>June</w:t>
            </w:r>
            <w:r>
              <w:rPr>
                <w:spacing w:val="3"/>
                <w:sz w:val="19"/>
              </w:rPr>
              <w:t xml:space="preserve"> </w:t>
            </w:r>
            <w:r>
              <w:rPr>
                <w:spacing w:val="-4"/>
                <w:sz w:val="19"/>
              </w:rPr>
              <w:t>2026</w:t>
            </w:r>
          </w:p>
        </w:tc>
        <w:tc>
          <w:tcPr>
            <w:tcW w:w="1134" w:type="dxa"/>
            <w:tcBorders>
              <w:top w:val="single" w:sz="2" w:space="0" w:color="000000"/>
              <w:left w:val="single" w:sz="2" w:space="0" w:color="000000"/>
              <w:bottom w:val="single" w:sz="2" w:space="0" w:color="000000"/>
              <w:right w:val="nil"/>
            </w:tcBorders>
          </w:tcPr>
          <w:p w14:paraId="0833E360" w14:textId="77777777" w:rsidR="009D54AF" w:rsidRDefault="00000000">
            <w:pPr>
              <w:pStyle w:val="TableParagraph"/>
              <w:spacing w:before="42"/>
              <w:ind w:left="2" w:right="2"/>
              <w:jc w:val="center"/>
              <w:rPr>
                <w:sz w:val="19"/>
              </w:rPr>
            </w:pPr>
            <w:r>
              <w:rPr>
                <w:spacing w:val="-5"/>
                <w:sz w:val="19"/>
              </w:rPr>
              <w:t>103</w:t>
            </w:r>
          </w:p>
        </w:tc>
      </w:tr>
      <w:tr w:rsidR="009D54AF" w14:paraId="0059A9A0" w14:textId="77777777">
        <w:trPr>
          <w:trHeight w:val="505"/>
        </w:trPr>
        <w:tc>
          <w:tcPr>
            <w:tcW w:w="1134" w:type="dxa"/>
            <w:tcBorders>
              <w:top w:val="single" w:sz="2" w:space="0" w:color="000000"/>
              <w:left w:val="nil"/>
              <w:bottom w:val="single" w:sz="2" w:space="0" w:color="000000"/>
              <w:right w:val="single" w:sz="2" w:space="0" w:color="000000"/>
            </w:tcBorders>
          </w:tcPr>
          <w:p w14:paraId="13FFB916" w14:textId="77777777" w:rsidR="009D54AF" w:rsidRDefault="00000000">
            <w:pPr>
              <w:pStyle w:val="TableParagraph"/>
              <w:spacing w:before="40"/>
              <w:ind w:left="85"/>
              <w:rPr>
                <w:b/>
                <w:sz w:val="19"/>
              </w:rPr>
            </w:pPr>
            <w:r>
              <w:rPr>
                <w:b/>
                <w:sz w:val="19"/>
              </w:rPr>
              <w:t>Table</w:t>
            </w:r>
            <w:r>
              <w:rPr>
                <w:b/>
                <w:spacing w:val="-7"/>
                <w:sz w:val="19"/>
              </w:rPr>
              <w:t xml:space="preserve"> </w:t>
            </w:r>
            <w:r>
              <w:rPr>
                <w:b/>
                <w:spacing w:val="-5"/>
                <w:sz w:val="19"/>
              </w:rPr>
              <w:t>11</w:t>
            </w:r>
          </w:p>
        </w:tc>
        <w:tc>
          <w:tcPr>
            <w:tcW w:w="7937" w:type="dxa"/>
            <w:tcBorders>
              <w:top w:val="single" w:sz="2" w:space="0" w:color="000000"/>
              <w:left w:val="single" w:sz="2" w:space="0" w:color="000000"/>
              <w:bottom w:val="single" w:sz="2" w:space="0" w:color="000000"/>
              <w:right w:val="single" w:sz="2" w:space="0" w:color="000000"/>
            </w:tcBorders>
          </w:tcPr>
          <w:p w14:paraId="546C4F84" w14:textId="77777777" w:rsidR="009D54AF" w:rsidRDefault="00000000">
            <w:pPr>
              <w:pStyle w:val="TableParagraph"/>
              <w:spacing w:before="40"/>
              <w:ind w:left="82"/>
              <w:rPr>
                <w:sz w:val="19"/>
              </w:rPr>
            </w:pPr>
            <w:r>
              <w:rPr>
                <w:sz w:val="19"/>
              </w:rPr>
              <w:t>Related-entity</w:t>
            </w:r>
            <w:r>
              <w:rPr>
                <w:spacing w:val="16"/>
                <w:sz w:val="19"/>
              </w:rPr>
              <w:t xml:space="preserve"> </w:t>
            </w:r>
            <w:r>
              <w:rPr>
                <w:sz w:val="19"/>
              </w:rPr>
              <w:t>transactions,</w:t>
            </w:r>
            <w:r>
              <w:rPr>
                <w:spacing w:val="17"/>
                <w:sz w:val="19"/>
              </w:rPr>
              <w:t xml:space="preserve"> </w:t>
            </w:r>
            <w:r>
              <w:rPr>
                <w:sz w:val="19"/>
              </w:rPr>
              <w:t>2025–</w:t>
            </w:r>
            <w:r>
              <w:rPr>
                <w:spacing w:val="-5"/>
                <w:sz w:val="19"/>
              </w:rPr>
              <w:t>26</w:t>
            </w:r>
          </w:p>
        </w:tc>
        <w:tc>
          <w:tcPr>
            <w:tcW w:w="1134" w:type="dxa"/>
            <w:tcBorders>
              <w:top w:val="single" w:sz="2" w:space="0" w:color="000000"/>
              <w:left w:val="single" w:sz="2" w:space="0" w:color="000000"/>
              <w:bottom w:val="single" w:sz="2" w:space="0" w:color="000000"/>
              <w:right w:val="nil"/>
            </w:tcBorders>
          </w:tcPr>
          <w:p w14:paraId="5A336294" w14:textId="77777777" w:rsidR="009D54AF" w:rsidRDefault="00000000">
            <w:pPr>
              <w:pStyle w:val="TableParagraph"/>
              <w:spacing w:before="42"/>
              <w:ind w:left="2" w:right="2"/>
              <w:jc w:val="center"/>
              <w:rPr>
                <w:sz w:val="19"/>
              </w:rPr>
            </w:pPr>
            <w:r>
              <w:rPr>
                <w:spacing w:val="-5"/>
                <w:sz w:val="19"/>
              </w:rPr>
              <w:t>136</w:t>
            </w:r>
          </w:p>
        </w:tc>
      </w:tr>
      <w:tr w:rsidR="009D54AF" w14:paraId="49C82AF5" w14:textId="77777777">
        <w:trPr>
          <w:trHeight w:val="505"/>
        </w:trPr>
        <w:tc>
          <w:tcPr>
            <w:tcW w:w="1134" w:type="dxa"/>
            <w:tcBorders>
              <w:top w:val="single" w:sz="2" w:space="0" w:color="000000"/>
              <w:left w:val="nil"/>
              <w:bottom w:val="single" w:sz="2" w:space="0" w:color="000000"/>
              <w:right w:val="single" w:sz="2" w:space="0" w:color="000000"/>
            </w:tcBorders>
          </w:tcPr>
          <w:p w14:paraId="0ACD1B25" w14:textId="77777777" w:rsidR="009D54AF" w:rsidRDefault="00000000">
            <w:pPr>
              <w:pStyle w:val="TableParagraph"/>
              <w:spacing w:before="40"/>
              <w:ind w:left="85"/>
              <w:rPr>
                <w:b/>
                <w:sz w:val="19"/>
              </w:rPr>
            </w:pPr>
            <w:r>
              <w:rPr>
                <w:b/>
                <w:sz w:val="19"/>
              </w:rPr>
              <w:t>Table</w:t>
            </w:r>
            <w:r>
              <w:rPr>
                <w:b/>
                <w:spacing w:val="-7"/>
                <w:sz w:val="19"/>
              </w:rPr>
              <w:t xml:space="preserve"> </w:t>
            </w:r>
            <w:r>
              <w:rPr>
                <w:b/>
                <w:spacing w:val="-5"/>
                <w:sz w:val="19"/>
              </w:rPr>
              <w:t>12</w:t>
            </w:r>
          </w:p>
        </w:tc>
        <w:tc>
          <w:tcPr>
            <w:tcW w:w="7937" w:type="dxa"/>
            <w:tcBorders>
              <w:top w:val="single" w:sz="2" w:space="0" w:color="000000"/>
              <w:left w:val="single" w:sz="2" w:space="0" w:color="000000"/>
              <w:bottom w:val="single" w:sz="2" w:space="0" w:color="000000"/>
              <w:right w:val="single" w:sz="2" w:space="0" w:color="000000"/>
            </w:tcBorders>
          </w:tcPr>
          <w:p w14:paraId="799720DF" w14:textId="77777777" w:rsidR="009D54AF" w:rsidRDefault="00000000">
            <w:pPr>
              <w:pStyle w:val="TableParagraph"/>
              <w:spacing w:before="40"/>
              <w:ind w:left="82"/>
              <w:rPr>
                <w:sz w:val="19"/>
              </w:rPr>
            </w:pPr>
            <w:r>
              <w:rPr>
                <w:sz w:val="19"/>
              </w:rPr>
              <w:t>Freedom</w:t>
            </w:r>
            <w:r>
              <w:rPr>
                <w:spacing w:val="2"/>
                <w:sz w:val="19"/>
              </w:rPr>
              <w:t xml:space="preserve"> </w:t>
            </w:r>
            <w:r>
              <w:rPr>
                <w:sz w:val="19"/>
              </w:rPr>
              <w:t>of</w:t>
            </w:r>
            <w:r>
              <w:rPr>
                <w:spacing w:val="3"/>
                <w:sz w:val="19"/>
              </w:rPr>
              <w:t xml:space="preserve"> </w:t>
            </w:r>
            <w:r>
              <w:rPr>
                <w:sz w:val="19"/>
              </w:rPr>
              <w:t>information</w:t>
            </w:r>
            <w:r>
              <w:rPr>
                <w:spacing w:val="3"/>
                <w:sz w:val="19"/>
              </w:rPr>
              <w:t xml:space="preserve"> </w:t>
            </w:r>
            <w:r>
              <w:rPr>
                <w:sz w:val="19"/>
              </w:rPr>
              <w:t>summary,</w:t>
            </w:r>
            <w:r>
              <w:rPr>
                <w:spacing w:val="3"/>
                <w:sz w:val="19"/>
              </w:rPr>
              <w:t xml:space="preserve"> </w:t>
            </w:r>
            <w:r>
              <w:rPr>
                <w:sz w:val="19"/>
              </w:rPr>
              <w:t>2025–</w:t>
            </w:r>
            <w:r>
              <w:rPr>
                <w:spacing w:val="-5"/>
                <w:sz w:val="19"/>
              </w:rPr>
              <w:t>26</w:t>
            </w:r>
          </w:p>
        </w:tc>
        <w:tc>
          <w:tcPr>
            <w:tcW w:w="1134" w:type="dxa"/>
            <w:tcBorders>
              <w:top w:val="single" w:sz="2" w:space="0" w:color="000000"/>
              <w:left w:val="single" w:sz="2" w:space="0" w:color="000000"/>
              <w:bottom w:val="single" w:sz="2" w:space="0" w:color="000000"/>
              <w:right w:val="nil"/>
            </w:tcBorders>
          </w:tcPr>
          <w:p w14:paraId="35D50FB4" w14:textId="77777777" w:rsidR="009D54AF" w:rsidRDefault="00000000">
            <w:pPr>
              <w:pStyle w:val="TableParagraph"/>
              <w:spacing w:before="42"/>
              <w:ind w:left="2" w:right="2"/>
              <w:jc w:val="center"/>
              <w:rPr>
                <w:sz w:val="19"/>
              </w:rPr>
            </w:pPr>
            <w:r>
              <w:rPr>
                <w:spacing w:val="-5"/>
                <w:sz w:val="19"/>
              </w:rPr>
              <w:t>136</w:t>
            </w:r>
          </w:p>
        </w:tc>
      </w:tr>
      <w:tr w:rsidR="009D54AF" w14:paraId="7145278C" w14:textId="77777777">
        <w:trPr>
          <w:trHeight w:val="505"/>
        </w:trPr>
        <w:tc>
          <w:tcPr>
            <w:tcW w:w="1134" w:type="dxa"/>
            <w:tcBorders>
              <w:top w:val="single" w:sz="2" w:space="0" w:color="000000"/>
              <w:left w:val="nil"/>
              <w:bottom w:val="single" w:sz="2" w:space="0" w:color="000000"/>
              <w:right w:val="single" w:sz="2" w:space="0" w:color="000000"/>
            </w:tcBorders>
          </w:tcPr>
          <w:p w14:paraId="1F24C62F" w14:textId="77777777" w:rsidR="009D54AF" w:rsidRDefault="00000000">
            <w:pPr>
              <w:pStyle w:val="TableParagraph"/>
              <w:spacing w:before="40"/>
              <w:ind w:left="85"/>
              <w:rPr>
                <w:b/>
                <w:sz w:val="19"/>
              </w:rPr>
            </w:pPr>
            <w:r>
              <w:rPr>
                <w:b/>
                <w:sz w:val="19"/>
              </w:rPr>
              <w:t>Table</w:t>
            </w:r>
            <w:r>
              <w:rPr>
                <w:b/>
                <w:spacing w:val="-7"/>
                <w:sz w:val="19"/>
              </w:rPr>
              <w:t xml:space="preserve"> </w:t>
            </w:r>
            <w:r>
              <w:rPr>
                <w:b/>
                <w:spacing w:val="-5"/>
                <w:sz w:val="19"/>
              </w:rPr>
              <w:t>13</w:t>
            </w:r>
          </w:p>
        </w:tc>
        <w:tc>
          <w:tcPr>
            <w:tcW w:w="7937" w:type="dxa"/>
            <w:tcBorders>
              <w:top w:val="single" w:sz="2" w:space="0" w:color="000000"/>
              <w:left w:val="single" w:sz="2" w:space="0" w:color="000000"/>
              <w:bottom w:val="single" w:sz="2" w:space="0" w:color="000000"/>
              <w:right w:val="single" w:sz="2" w:space="0" w:color="000000"/>
            </w:tcBorders>
          </w:tcPr>
          <w:p w14:paraId="60D3AFFF" w14:textId="77777777" w:rsidR="009D54AF" w:rsidRDefault="00000000">
            <w:pPr>
              <w:pStyle w:val="TableParagraph"/>
              <w:spacing w:before="40"/>
              <w:ind w:left="82"/>
              <w:rPr>
                <w:sz w:val="19"/>
              </w:rPr>
            </w:pPr>
            <w:r>
              <w:rPr>
                <w:sz w:val="19"/>
              </w:rPr>
              <w:t>Summary</w:t>
            </w:r>
            <w:r>
              <w:rPr>
                <w:spacing w:val="3"/>
                <w:sz w:val="19"/>
              </w:rPr>
              <w:t xml:space="preserve"> </w:t>
            </w:r>
            <w:r>
              <w:rPr>
                <w:sz w:val="19"/>
              </w:rPr>
              <w:t>of</w:t>
            </w:r>
            <w:r>
              <w:rPr>
                <w:spacing w:val="4"/>
                <w:sz w:val="19"/>
              </w:rPr>
              <w:t xml:space="preserve"> </w:t>
            </w:r>
            <w:r>
              <w:rPr>
                <w:sz w:val="19"/>
              </w:rPr>
              <w:t>the</w:t>
            </w:r>
            <w:r>
              <w:rPr>
                <w:spacing w:val="4"/>
                <w:sz w:val="19"/>
              </w:rPr>
              <w:t xml:space="preserve"> </w:t>
            </w:r>
            <w:r>
              <w:rPr>
                <w:sz w:val="19"/>
              </w:rPr>
              <w:t>Commission’s</w:t>
            </w:r>
            <w:r>
              <w:rPr>
                <w:spacing w:val="4"/>
                <w:sz w:val="19"/>
              </w:rPr>
              <w:t xml:space="preserve"> </w:t>
            </w:r>
            <w:r>
              <w:rPr>
                <w:sz w:val="19"/>
              </w:rPr>
              <w:t>compliance</w:t>
            </w:r>
            <w:r>
              <w:rPr>
                <w:spacing w:val="4"/>
                <w:sz w:val="19"/>
              </w:rPr>
              <w:t xml:space="preserve"> </w:t>
            </w:r>
            <w:r>
              <w:rPr>
                <w:sz w:val="19"/>
              </w:rPr>
              <w:t>with</w:t>
            </w:r>
            <w:r>
              <w:rPr>
                <w:spacing w:val="4"/>
                <w:sz w:val="19"/>
              </w:rPr>
              <w:t xml:space="preserve"> </w:t>
            </w:r>
            <w:r>
              <w:rPr>
                <w:sz w:val="19"/>
              </w:rPr>
              <w:t>ecologically</w:t>
            </w:r>
            <w:r>
              <w:rPr>
                <w:spacing w:val="4"/>
                <w:sz w:val="19"/>
              </w:rPr>
              <w:t xml:space="preserve"> </w:t>
            </w:r>
            <w:r>
              <w:rPr>
                <w:sz w:val="19"/>
              </w:rPr>
              <w:t>sustainable</w:t>
            </w:r>
            <w:r>
              <w:rPr>
                <w:spacing w:val="4"/>
                <w:sz w:val="19"/>
              </w:rPr>
              <w:t xml:space="preserve"> </w:t>
            </w:r>
            <w:r>
              <w:rPr>
                <w:spacing w:val="-2"/>
                <w:sz w:val="19"/>
              </w:rPr>
              <w:t>development</w:t>
            </w:r>
          </w:p>
        </w:tc>
        <w:tc>
          <w:tcPr>
            <w:tcW w:w="1134" w:type="dxa"/>
            <w:tcBorders>
              <w:top w:val="single" w:sz="2" w:space="0" w:color="000000"/>
              <w:left w:val="single" w:sz="2" w:space="0" w:color="000000"/>
              <w:bottom w:val="single" w:sz="2" w:space="0" w:color="000000"/>
              <w:right w:val="nil"/>
            </w:tcBorders>
          </w:tcPr>
          <w:p w14:paraId="3413A8F2" w14:textId="77777777" w:rsidR="009D54AF" w:rsidRDefault="00000000">
            <w:pPr>
              <w:pStyle w:val="TableParagraph"/>
              <w:spacing w:before="42"/>
              <w:ind w:left="2" w:right="2"/>
              <w:jc w:val="center"/>
              <w:rPr>
                <w:sz w:val="19"/>
              </w:rPr>
            </w:pPr>
            <w:r>
              <w:rPr>
                <w:spacing w:val="-5"/>
                <w:sz w:val="19"/>
              </w:rPr>
              <w:t>137</w:t>
            </w:r>
          </w:p>
        </w:tc>
      </w:tr>
      <w:tr w:rsidR="009D54AF" w14:paraId="1839CCE7" w14:textId="77777777">
        <w:trPr>
          <w:trHeight w:val="505"/>
        </w:trPr>
        <w:tc>
          <w:tcPr>
            <w:tcW w:w="1134" w:type="dxa"/>
            <w:tcBorders>
              <w:top w:val="single" w:sz="2" w:space="0" w:color="000000"/>
              <w:left w:val="nil"/>
              <w:bottom w:val="single" w:sz="2" w:space="0" w:color="000000"/>
              <w:right w:val="single" w:sz="2" w:space="0" w:color="000000"/>
            </w:tcBorders>
          </w:tcPr>
          <w:p w14:paraId="050B2BAF" w14:textId="77777777" w:rsidR="009D54AF" w:rsidRDefault="00000000">
            <w:pPr>
              <w:pStyle w:val="TableParagraph"/>
              <w:spacing w:before="40"/>
              <w:ind w:left="85"/>
              <w:rPr>
                <w:b/>
                <w:sz w:val="19"/>
              </w:rPr>
            </w:pPr>
            <w:r>
              <w:rPr>
                <w:b/>
                <w:sz w:val="19"/>
              </w:rPr>
              <w:t>Table</w:t>
            </w:r>
            <w:r>
              <w:rPr>
                <w:b/>
                <w:spacing w:val="-7"/>
                <w:sz w:val="19"/>
              </w:rPr>
              <w:t xml:space="preserve"> </w:t>
            </w:r>
            <w:r>
              <w:rPr>
                <w:b/>
                <w:spacing w:val="-5"/>
                <w:sz w:val="19"/>
              </w:rPr>
              <w:t>14</w:t>
            </w:r>
          </w:p>
        </w:tc>
        <w:tc>
          <w:tcPr>
            <w:tcW w:w="7937" w:type="dxa"/>
            <w:tcBorders>
              <w:top w:val="single" w:sz="2" w:space="0" w:color="000000"/>
              <w:left w:val="single" w:sz="2" w:space="0" w:color="000000"/>
              <w:bottom w:val="single" w:sz="2" w:space="0" w:color="000000"/>
              <w:right w:val="single" w:sz="2" w:space="0" w:color="000000"/>
            </w:tcBorders>
          </w:tcPr>
          <w:p w14:paraId="18979BF0" w14:textId="77777777" w:rsidR="009D54AF" w:rsidRDefault="00000000">
            <w:pPr>
              <w:pStyle w:val="TableParagraph"/>
              <w:spacing w:before="40"/>
              <w:ind w:left="82"/>
              <w:rPr>
                <w:sz w:val="19"/>
              </w:rPr>
            </w:pPr>
            <w:r>
              <w:rPr>
                <w:sz w:val="19"/>
              </w:rPr>
              <w:t>Greenhouse</w:t>
            </w:r>
            <w:r>
              <w:rPr>
                <w:spacing w:val="1"/>
                <w:sz w:val="19"/>
              </w:rPr>
              <w:t xml:space="preserve"> </w:t>
            </w:r>
            <w:r>
              <w:rPr>
                <w:sz w:val="19"/>
              </w:rPr>
              <w:t>gas</w:t>
            </w:r>
            <w:r>
              <w:rPr>
                <w:spacing w:val="3"/>
                <w:sz w:val="19"/>
              </w:rPr>
              <w:t xml:space="preserve"> </w:t>
            </w:r>
            <w:r>
              <w:rPr>
                <w:sz w:val="19"/>
              </w:rPr>
              <w:t>emissions</w:t>
            </w:r>
            <w:r>
              <w:rPr>
                <w:spacing w:val="3"/>
                <w:sz w:val="19"/>
              </w:rPr>
              <w:t xml:space="preserve"> </w:t>
            </w:r>
            <w:r>
              <w:rPr>
                <w:sz w:val="19"/>
              </w:rPr>
              <w:t>inventory,</w:t>
            </w:r>
            <w:r>
              <w:rPr>
                <w:spacing w:val="3"/>
                <w:sz w:val="19"/>
              </w:rPr>
              <w:t xml:space="preserve"> </w:t>
            </w:r>
            <w:r>
              <w:rPr>
                <w:sz w:val="19"/>
              </w:rPr>
              <w:t>2025–</w:t>
            </w:r>
            <w:r>
              <w:rPr>
                <w:spacing w:val="-5"/>
                <w:sz w:val="19"/>
              </w:rPr>
              <w:t>26</w:t>
            </w:r>
          </w:p>
        </w:tc>
        <w:tc>
          <w:tcPr>
            <w:tcW w:w="1134" w:type="dxa"/>
            <w:tcBorders>
              <w:top w:val="single" w:sz="2" w:space="0" w:color="000000"/>
              <w:left w:val="single" w:sz="2" w:space="0" w:color="000000"/>
              <w:bottom w:val="single" w:sz="2" w:space="0" w:color="000000"/>
              <w:right w:val="nil"/>
            </w:tcBorders>
          </w:tcPr>
          <w:p w14:paraId="0B4604FB" w14:textId="77777777" w:rsidR="009D54AF" w:rsidRDefault="00000000">
            <w:pPr>
              <w:pStyle w:val="TableParagraph"/>
              <w:spacing w:before="42"/>
              <w:ind w:left="2" w:right="2"/>
              <w:jc w:val="center"/>
              <w:rPr>
                <w:sz w:val="19"/>
              </w:rPr>
            </w:pPr>
            <w:r>
              <w:rPr>
                <w:spacing w:val="-5"/>
                <w:sz w:val="19"/>
              </w:rPr>
              <w:t>138</w:t>
            </w:r>
          </w:p>
        </w:tc>
      </w:tr>
      <w:tr w:rsidR="009D54AF" w14:paraId="405D4622" w14:textId="77777777">
        <w:trPr>
          <w:trHeight w:val="505"/>
        </w:trPr>
        <w:tc>
          <w:tcPr>
            <w:tcW w:w="1134" w:type="dxa"/>
            <w:tcBorders>
              <w:top w:val="single" w:sz="2" w:space="0" w:color="000000"/>
              <w:left w:val="nil"/>
              <w:bottom w:val="single" w:sz="2" w:space="0" w:color="000000"/>
              <w:right w:val="single" w:sz="2" w:space="0" w:color="000000"/>
            </w:tcBorders>
          </w:tcPr>
          <w:p w14:paraId="7C768AD6" w14:textId="77777777" w:rsidR="009D54AF" w:rsidRDefault="00000000">
            <w:pPr>
              <w:pStyle w:val="TableParagraph"/>
              <w:spacing w:before="40"/>
              <w:ind w:left="85"/>
              <w:rPr>
                <w:b/>
                <w:sz w:val="19"/>
              </w:rPr>
            </w:pPr>
            <w:r>
              <w:rPr>
                <w:b/>
                <w:sz w:val="19"/>
              </w:rPr>
              <w:t>Table</w:t>
            </w:r>
            <w:r>
              <w:rPr>
                <w:b/>
                <w:spacing w:val="-7"/>
                <w:sz w:val="19"/>
              </w:rPr>
              <w:t xml:space="preserve"> </w:t>
            </w:r>
            <w:r>
              <w:rPr>
                <w:b/>
                <w:spacing w:val="-5"/>
                <w:sz w:val="19"/>
              </w:rPr>
              <w:t>15</w:t>
            </w:r>
          </w:p>
        </w:tc>
        <w:tc>
          <w:tcPr>
            <w:tcW w:w="7937" w:type="dxa"/>
            <w:tcBorders>
              <w:top w:val="single" w:sz="2" w:space="0" w:color="000000"/>
              <w:left w:val="single" w:sz="2" w:space="0" w:color="000000"/>
              <w:bottom w:val="single" w:sz="2" w:space="0" w:color="000000"/>
              <w:right w:val="single" w:sz="2" w:space="0" w:color="000000"/>
            </w:tcBorders>
          </w:tcPr>
          <w:p w14:paraId="6AB93A89" w14:textId="77777777" w:rsidR="009D54AF" w:rsidRDefault="00000000">
            <w:pPr>
              <w:pStyle w:val="TableParagraph"/>
              <w:spacing w:before="40"/>
              <w:ind w:left="82"/>
              <w:rPr>
                <w:sz w:val="19"/>
              </w:rPr>
            </w:pPr>
            <w:r>
              <w:rPr>
                <w:sz w:val="19"/>
              </w:rPr>
              <w:t>Electricity</w:t>
            </w:r>
            <w:r>
              <w:rPr>
                <w:spacing w:val="8"/>
                <w:sz w:val="19"/>
              </w:rPr>
              <w:t xml:space="preserve"> </w:t>
            </w:r>
            <w:r>
              <w:rPr>
                <w:sz w:val="19"/>
              </w:rPr>
              <w:t>greenhouse</w:t>
            </w:r>
            <w:r>
              <w:rPr>
                <w:spacing w:val="9"/>
                <w:sz w:val="19"/>
              </w:rPr>
              <w:t xml:space="preserve"> </w:t>
            </w:r>
            <w:r>
              <w:rPr>
                <w:sz w:val="19"/>
              </w:rPr>
              <w:t>gas</w:t>
            </w:r>
            <w:r>
              <w:rPr>
                <w:spacing w:val="9"/>
                <w:sz w:val="19"/>
              </w:rPr>
              <w:t xml:space="preserve"> </w:t>
            </w:r>
            <w:r>
              <w:rPr>
                <w:sz w:val="19"/>
              </w:rPr>
              <w:t>emissions,</w:t>
            </w:r>
            <w:r>
              <w:rPr>
                <w:spacing w:val="9"/>
                <w:sz w:val="19"/>
              </w:rPr>
              <w:t xml:space="preserve"> </w:t>
            </w:r>
            <w:r>
              <w:rPr>
                <w:sz w:val="19"/>
              </w:rPr>
              <w:t>2025–</w:t>
            </w:r>
            <w:r>
              <w:rPr>
                <w:spacing w:val="-5"/>
                <w:sz w:val="19"/>
              </w:rPr>
              <w:t>26</w:t>
            </w:r>
          </w:p>
        </w:tc>
        <w:tc>
          <w:tcPr>
            <w:tcW w:w="1134" w:type="dxa"/>
            <w:tcBorders>
              <w:top w:val="single" w:sz="2" w:space="0" w:color="000000"/>
              <w:left w:val="single" w:sz="2" w:space="0" w:color="000000"/>
              <w:bottom w:val="single" w:sz="2" w:space="0" w:color="000000"/>
              <w:right w:val="nil"/>
            </w:tcBorders>
          </w:tcPr>
          <w:p w14:paraId="5F079147" w14:textId="77777777" w:rsidR="009D54AF" w:rsidRDefault="00000000">
            <w:pPr>
              <w:pStyle w:val="TableParagraph"/>
              <w:spacing w:before="42"/>
              <w:ind w:left="2" w:right="2"/>
              <w:jc w:val="center"/>
              <w:rPr>
                <w:sz w:val="19"/>
              </w:rPr>
            </w:pPr>
            <w:r>
              <w:rPr>
                <w:spacing w:val="-5"/>
                <w:sz w:val="19"/>
              </w:rPr>
              <w:t>139</w:t>
            </w:r>
          </w:p>
        </w:tc>
      </w:tr>
      <w:tr w:rsidR="009D54AF" w14:paraId="7E600B60" w14:textId="77777777">
        <w:trPr>
          <w:trHeight w:val="505"/>
        </w:trPr>
        <w:tc>
          <w:tcPr>
            <w:tcW w:w="1134" w:type="dxa"/>
            <w:tcBorders>
              <w:top w:val="single" w:sz="2" w:space="0" w:color="000000"/>
              <w:left w:val="nil"/>
              <w:bottom w:val="single" w:sz="2" w:space="0" w:color="000000"/>
              <w:right w:val="single" w:sz="2" w:space="0" w:color="000000"/>
            </w:tcBorders>
          </w:tcPr>
          <w:p w14:paraId="55584B0F" w14:textId="77777777" w:rsidR="009D54AF" w:rsidRDefault="00000000">
            <w:pPr>
              <w:pStyle w:val="TableParagraph"/>
              <w:spacing w:before="40"/>
              <w:ind w:left="85"/>
              <w:rPr>
                <w:b/>
                <w:sz w:val="19"/>
              </w:rPr>
            </w:pPr>
            <w:r>
              <w:rPr>
                <w:b/>
                <w:sz w:val="19"/>
              </w:rPr>
              <w:t>Table</w:t>
            </w:r>
            <w:r>
              <w:rPr>
                <w:b/>
                <w:spacing w:val="-7"/>
                <w:sz w:val="19"/>
              </w:rPr>
              <w:t xml:space="preserve"> </w:t>
            </w:r>
            <w:r>
              <w:rPr>
                <w:b/>
                <w:spacing w:val="-5"/>
                <w:sz w:val="19"/>
              </w:rPr>
              <w:t>16</w:t>
            </w:r>
          </w:p>
        </w:tc>
        <w:tc>
          <w:tcPr>
            <w:tcW w:w="7937" w:type="dxa"/>
            <w:tcBorders>
              <w:top w:val="single" w:sz="2" w:space="0" w:color="000000"/>
              <w:left w:val="single" w:sz="2" w:space="0" w:color="000000"/>
              <w:bottom w:val="single" w:sz="2" w:space="0" w:color="000000"/>
              <w:right w:val="single" w:sz="2" w:space="0" w:color="000000"/>
            </w:tcBorders>
          </w:tcPr>
          <w:p w14:paraId="37446DF2" w14:textId="77777777" w:rsidR="009D54AF" w:rsidRDefault="00000000">
            <w:pPr>
              <w:pStyle w:val="TableParagraph"/>
              <w:spacing w:before="40"/>
              <w:ind w:left="82"/>
              <w:rPr>
                <w:sz w:val="19"/>
              </w:rPr>
            </w:pPr>
            <w:r>
              <w:rPr>
                <w:sz w:val="19"/>
              </w:rPr>
              <w:t>Mandatory</w:t>
            </w:r>
            <w:r>
              <w:rPr>
                <w:spacing w:val="4"/>
                <w:sz w:val="19"/>
              </w:rPr>
              <w:t xml:space="preserve"> </w:t>
            </w:r>
            <w:r>
              <w:rPr>
                <w:sz w:val="19"/>
              </w:rPr>
              <w:t>reporting</w:t>
            </w:r>
            <w:r>
              <w:rPr>
                <w:spacing w:val="4"/>
                <w:sz w:val="19"/>
              </w:rPr>
              <w:t xml:space="preserve"> </w:t>
            </w:r>
            <w:r>
              <w:rPr>
                <w:sz w:val="19"/>
              </w:rPr>
              <w:t>orders</w:t>
            </w:r>
            <w:r>
              <w:rPr>
                <w:spacing w:val="4"/>
                <w:sz w:val="19"/>
              </w:rPr>
              <w:t xml:space="preserve"> </w:t>
            </w:r>
            <w:r>
              <w:rPr>
                <w:sz w:val="19"/>
              </w:rPr>
              <w:t>as</w:t>
            </w:r>
            <w:r>
              <w:rPr>
                <w:spacing w:val="4"/>
                <w:sz w:val="19"/>
              </w:rPr>
              <w:t xml:space="preserve"> </w:t>
            </w:r>
            <w:r>
              <w:rPr>
                <w:sz w:val="19"/>
              </w:rPr>
              <w:t>required</w:t>
            </w:r>
            <w:r>
              <w:rPr>
                <w:spacing w:val="4"/>
                <w:sz w:val="19"/>
              </w:rPr>
              <w:t xml:space="preserve"> </w:t>
            </w:r>
            <w:r>
              <w:rPr>
                <w:sz w:val="19"/>
              </w:rPr>
              <w:t>under</w:t>
            </w:r>
            <w:r>
              <w:rPr>
                <w:spacing w:val="4"/>
                <w:sz w:val="19"/>
              </w:rPr>
              <w:t xml:space="preserve"> </w:t>
            </w:r>
            <w:r>
              <w:rPr>
                <w:spacing w:val="-2"/>
                <w:sz w:val="19"/>
              </w:rPr>
              <w:t>legislation</w:t>
            </w:r>
          </w:p>
        </w:tc>
        <w:tc>
          <w:tcPr>
            <w:tcW w:w="1134" w:type="dxa"/>
            <w:tcBorders>
              <w:top w:val="single" w:sz="2" w:space="0" w:color="000000"/>
              <w:left w:val="single" w:sz="2" w:space="0" w:color="000000"/>
              <w:bottom w:val="single" w:sz="2" w:space="0" w:color="000000"/>
              <w:right w:val="nil"/>
            </w:tcBorders>
          </w:tcPr>
          <w:p w14:paraId="573A9B2E" w14:textId="77777777" w:rsidR="009D54AF" w:rsidRDefault="00000000">
            <w:pPr>
              <w:pStyle w:val="TableParagraph"/>
              <w:spacing w:before="42"/>
              <w:ind w:left="2" w:right="4"/>
              <w:jc w:val="center"/>
              <w:rPr>
                <w:sz w:val="19"/>
              </w:rPr>
            </w:pPr>
            <w:r>
              <w:rPr>
                <w:spacing w:val="-5"/>
                <w:sz w:val="19"/>
              </w:rPr>
              <w:t>149</w:t>
            </w:r>
          </w:p>
        </w:tc>
      </w:tr>
    </w:tbl>
    <w:p w14:paraId="3484CCB6" w14:textId="77777777" w:rsidR="00C86DC9" w:rsidRDefault="00C86DC9">
      <w:pPr>
        <w:pStyle w:val="Heading1"/>
        <w:spacing w:before="143"/>
        <w:rPr>
          <w:spacing w:val="-2"/>
        </w:rPr>
      </w:pPr>
      <w:bookmarkStart w:id="96" w:name="_TOC_250001"/>
      <w:bookmarkStart w:id="97" w:name="_Compliance_index"/>
      <w:bookmarkEnd w:id="97"/>
    </w:p>
    <w:p w14:paraId="677B8078" w14:textId="77777777" w:rsidR="00C86DC9" w:rsidRDefault="00C86DC9">
      <w:pPr>
        <w:rPr>
          <w:b/>
          <w:bCs/>
          <w:spacing w:val="-2"/>
          <w:sz w:val="40"/>
          <w:szCs w:val="40"/>
        </w:rPr>
      </w:pPr>
      <w:r>
        <w:rPr>
          <w:spacing w:val="-2"/>
        </w:rPr>
        <w:br w:type="page"/>
      </w:r>
    </w:p>
    <w:p w14:paraId="45A14FA5" w14:textId="65AE36DC" w:rsidR="009D54AF" w:rsidRDefault="00000000">
      <w:pPr>
        <w:pStyle w:val="Heading1"/>
        <w:spacing w:before="143"/>
      </w:pPr>
      <w:bookmarkStart w:id="98" w:name="_Toc243037298"/>
      <w:r>
        <w:rPr>
          <w:spacing w:val="-2"/>
        </w:rPr>
        <w:lastRenderedPageBreak/>
        <w:t>Compliance</w:t>
      </w:r>
      <w:r>
        <w:rPr>
          <w:spacing w:val="-16"/>
        </w:rPr>
        <w:t xml:space="preserve"> </w:t>
      </w:r>
      <w:bookmarkEnd w:id="96"/>
      <w:r>
        <w:rPr>
          <w:spacing w:val="-4"/>
        </w:rPr>
        <w:t>index</w:t>
      </w:r>
      <w:bookmarkEnd w:id="98"/>
    </w:p>
    <w:p w14:paraId="58794AD3" w14:textId="77777777" w:rsidR="009D54AF" w:rsidRDefault="00000000">
      <w:pPr>
        <w:pStyle w:val="BodyText"/>
        <w:spacing w:before="169"/>
        <w:ind w:left="142"/>
      </w:pPr>
      <w:r>
        <w:t>The</w:t>
      </w:r>
      <w:r>
        <w:rPr>
          <w:spacing w:val="-4"/>
        </w:rPr>
        <w:t xml:space="preserve"> </w:t>
      </w:r>
      <w:r>
        <w:t>Commission</w:t>
      </w:r>
      <w:r>
        <w:rPr>
          <w:spacing w:val="-1"/>
        </w:rPr>
        <w:t xml:space="preserve"> </w:t>
      </w:r>
      <w:r>
        <w:t>is</w:t>
      </w:r>
      <w:r>
        <w:rPr>
          <w:spacing w:val="-2"/>
        </w:rPr>
        <w:t xml:space="preserve"> </w:t>
      </w:r>
      <w:r>
        <w:t>bound</w:t>
      </w:r>
      <w:r>
        <w:rPr>
          <w:spacing w:val="-1"/>
        </w:rPr>
        <w:t xml:space="preserve"> </w:t>
      </w:r>
      <w:r>
        <w:t>by</w:t>
      </w:r>
      <w:r>
        <w:rPr>
          <w:spacing w:val="-1"/>
        </w:rPr>
        <w:t xml:space="preserve"> </w:t>
      </w:r>
      <w:r>
        <w:t>legislative</w:t>
      </w:r>
      <w:r>
        <w:rPr>
          <w:spacing w:val="-2"/>
        </w:rPr>
        <w:t xml:space="preserve"> </w:t>
      </w:r>
      <w:r>
        <w:t>requirements</w:t>
      </w:r>
      <w:r>
        <w:rPr>
          <w:spacing w:val="-1"/>
        </w:rPr>
        <w:t xml:space="preserve"> </w:t>
      </w:r>
      <w:r>
        <w:t>to</w:t>
      </w:r>
      <w:r>
        <w:rPr>
          <w:spacing w:val="-1"/>
        </w:rPr>
        <w:t xml:space="preserve"> </w:t>
      </w:r>
      <w:r>
        <w:t>disclose</w:t>
      </w:r>
      <w:r>
        <w:rPr>
          <w:spacing w:val="-2"/>
        </w:rPr>
        <w:t xml:space="preserve"> </w:t>
      </w:r>
      <w:r>
        <w:t>certain</w:t>
      </w:r>
      <w:r>
        <w:rPr>
          <w:spacing w:val="-1"/>
        </w:rPr>
        <w:t xml:space="preserve"> </w:t>
      </w:r>
      <w:r>
        <w:t>information</w:t>
      </w:r>
      <w:r>
        <w:rPr>
          <w:spacing w:val="-1"/>
        </w:rPr>
        <w:t xml:space="preserve"> </w:t>
      </w:r>
      <w:r>
        <w:t>in</w:t>
      </w:r>
      <w:r>
        <w:rPr>
          <w:spacing w:val="-2"/>
        </w:rPr>
        <w:t xml:space="preserve"> </w:t>
      </w:r>
      <w:r>
        <w:t>this</w:t>
      </w:r>
      <w:r>
        <w:rPr>
          <w:spacing w:val="-1"/>
        </w:rPr>
        <w:t xml:space="preserve"> </w:t>
      </w:r>
      <w:r>
        <w:t>annual</w:t>
      </w:r>
      <w:r>
        <w:rPr>
          <w:spacing w:val="-1"/>
        </w:rPr>
        <w:t xml:space="preserve"> </w:t>
      </w:r>
      <w:r>
        <w:rPr>
          <w:spacing w:val="-2"/>
        </w:rPr>
        <w:t>report.</w:t>
      </w:r>
    </w:p>
    <w:p w14:paraId="40387158" w14:textId="77777777" w:rsidR="009D54AF" w:rsidRDefault="00000000">
      <w:pPr>
        <w:pStyle w:val="BodyText"/>
        <w:spacing w:before="180" w:line="278" w:lineRule="auto"/>
        <w:ind w:left="142" w:right="285"/>
      </w:pPr>
      <w:r>
        <w:t>The</w:t>
      </w:r>
      <w:r>
        <w:rPr>
          <w:spacing w:val="-3"/>
        </w:rPr>
        <w:t xml:space="preserve"> </w:t>
      </w:r>
      <w:r>
        <w:t>operative</w:t>
      </w:r>
      <w:r>
        <w:rPr>
          <w:spacing w:val="-3"/>
        </w:rPr>
        <w:t xml:space="preserve"> </w:t>
      </w:r>
      <w:r>
        <w:t>provisions</w:t>
      </w:r>
      <w:r>
        <w:rPr>
          <w:spacing w:val="-3"/>
        </w:rPr>
        <w:t xml:space="preserve"> </w:t>
      </w:r>
      <w:r>
        <w:t>of</w:t>
      </w:r>
      <w:r>
        <w:rPr>
          <w:spacing w:val="-3"/>
        </w:rPr>
        <w:t xml:space="preserve"> </w:t>
      </w:r>
      <w:r>
        <w:t>the</w:t>
      </w:r>
      <w:r>
        <w:rPr>
          <w:spacing w:val="-4"/>
        </w:rPr>
        <w:t xml:space="preserve"> </w:t>
      </w:r>
      <w:r>
        <w:rPr>
          <w:i/>
        </w:rPr>
        <w:t>Public</w:t>
      </w:r>
      <w:r>
        <w:rPr>
          <w:i/>
          <w:spacing w:val="-3"/>
        </w:rPr>
        <w:t xml:space="preserve"> </w:t>
      </w:r>
      <w:r>
        <w:rPr>
          <w:i/>
        </w:rPr>
        <w:t>Governance,</w:t>
      </w:r>
      <w:r>
        <w:rPr>
          <w:i/>
          <w:spacing w:val="-3"/>
        </w:rPr>
        <w:t xml:space="preserve"> </w:t>
      </w:r>
      <w:r>
        <w:rPr>
          <w:i/>
        </w:rPr>
        <w:t>Performance</w:t>
      </w:r>
      <w:r>
        <w:rPr>
          <w:i/>
          <w:spacing w:val="-3"/>
        </w:rPr>
        <w:t xml:space="preserve"> </w:t>
      </w:r>
      <w:r>
        <w:rPr>
          <w:i/>
        </w:rPr>
        <w:t>and</w:t>
      </w:r>
      <w:r>
        <w:rPr>
          <w:i/>
          <w:spacing w:val="-3"/>
        </w:rPr>
        <w:t xml:space="preserve"> </w:t>
      </w:r>
      <w:r>
        <w:rPr>
          <w:i/>
        </w:rPr>
        <w:t>Accountability</w:t>
      </w:r>
      <w:r>
        <w:rPr>
          <w:i/>
          <w:spacing w:val="-3"/>
        </w:rPr>
        <w:t xml:space="preserve"> </w:t>
      </w:r>
      <w:r>
        <w:rPr>
          <w:i/>
        </w:rPr>
        <w:t>Act</w:t>
      </w:r>
      <w:r>
        <w:rPr>
          <w:i/>
          <w:spacing w:val="-3"/>
        </w:rPr>
        <w:t xml:space="preserve"> </w:t>
      </w:r>
      <w:r>
        <w:rPr>
          <w:i/>
        </w:rPr>
        <w:t>2013</w:t>
      </w:r>
      <w:r>
        <w:rPr>
          <w:i/>
          <w:spacing w:val="-4"/>
        </w:rPr>
        <w:t xml:space="preserve"> </w:t>
      </w:r>
      <w:r>
        <w:t>came</w:t>
      </w:r>
      <w:r>
        <w:rPr>
          <w:spacing w:val="-3"/>
        </w:rPr>
        <w:t xml:space="preserve"> </w:t>
      </w:r>
      <w:r>
        <w:t>into effect on 1 July 2014. The Public Governance, Performance and Accountability Amendment (Corporate Commonwealth Entity Annual Reporting) Rule 2016 prescribes the reporting requirements for the Commission (Table 16).</w:t>
      </w:r>
    </w:p>
    <w:p w14:paraId="50611E00" w14:textId="77777777" w:rsidR="009D54AF" w:rsidRDefault="00000000">
      <w:pPr>
        <w:spacing w:before="221"/>
        <w:ind w:left="142"/>
        <w:rPr>
          <w:sz w:val="19"/>
        </w:rPr>
      </w:pPr>
      <w:r>
        <w:rPr>
          <w:b/>
          <w:sz w:val="19"/>
        </w:rPr>
        <w:t>Table</w:t>
      </w:r>
      <w:r>
        <w:rPr>
          <w:b/>
          <w:spacing w:val="1"/>
          <w:sz w:val="19"/>
        </w:rPr>
        <w:t xml:space="preserve"> </w:t>
      </w:r>
      <w:r>
        <w:rPr>
          <w:b/>
          <w:sz w:val="19"/>
        </w:rPr>
        <w:t>16</w:t>
      </w:r>
      <w:r>
        <w:rPr>
          <w:b/>
          <w:spacing w:val="2"/>
          <w:sz w:val="19"/>
        </w:rPr>
        <w:t xml:space="preserve"> </w:t>
      </w:r>
      <w:r>
        <w:rPr>
          <w:sz w:val="19"/>
        </w:rPr>
        <w:t>Mandatory</w:t>
      </w:r>
      <w:r>
        <w:rPr>
          <w:spacing w:val="1"/>
          <w:sz w:val="19"/>
        </w:rPr>
        <w:t xml:space="preserve"> </w:t>
      </w:r>
      <w:r>
        <w:rPr>
          <w:sz w:val="19"/>
        </w:rPr>
        <w:t>reporting</w:t>
      </w:r>
      <w:r>
        <w:rPr>
          <w:spacing w:val="2"/>
          <w:sz w:val="19"/>
        </w:rPr>
        <w:t xml:space="preserve"> </w:t>
      </w:r>
      <w:r>
        <w:rPr>
          <w:sz w:val="19"/>
        </w:rPr>
        <w:t>orders</w:t>
      </w:r>
      <w:r>
        <w:rPr>
          <w:spacing w:val="1"/>
          <w:sz w:val="19"/>
        </w:rPr>
        <w:t xml:space="preserve"> </w:t>
      </w:r>
      <w:r>
        <w:rPr>
          <w:sz w:val="19"/>
        </w:rPr>
        <w:t>as</w:t>
      </w:r>
      <w:r>
        <w:rPr>
          <w:spacing w:val="2"/>
          <w:sz w:val="19"/>
        </w:rPr>
        <w:t xml:space="preserve"> </w:t>
      </w:r>
      <w:r>
        <w:rPr>
          <w:sz w:val="19"/>
        </w:rPr>
        <w:t>required</w:t>
      </w:r>
      <w:r>
        <w:rPr>
          <w:spacing w:val="1"/>
          <w:sz w:val="19"/>
        </w:rPr>
        <w:t xml:space="preserve"> </w:t>
      </w:r>
      <w:r>
        <w:rPr>
          <w:sz w:val="19"/>
        </w:rPr>
        <w:t>under</w:t>
      </w:r>
      <w:r>
        <w:rPr>
          <w:spacing w:val="2"/>
          <w:sz w:val="19"/>
        </w:rPr>
        <w:t xml:space="preserve"> </w:t>
      </w:r>
      <w:r>
        <w:rPr>
          <w:spacing w:val="-2"/>
          <w:sz w:val="19"/>
        </w:rPr>
        <w:t>legislation</w:t>
      </w:r>
    </w:p>
    <w:p w14:paraId="38C8C875" w14:textId="77777777" w:rsidR="009D54AF" w:rsidRDefault="009D54AF">
      <w:pPr>
        <w:pStyle w:val="BodyText"/>
        <w:spacing w:before="2"/>
        <w:rPr>
          <w:sz w:val="8"/>
        </w:rPr>
      </w:pPr>
    </w:p>
    <w:tbl>
      <w:tblPr>
        <w:tblW w:w="0" w:type="auto"/>
        <w:tblInd w:w="149"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CellMar>
          <w:left w:w="0" w:type="dxa"/>
          <w:right w:w="0" w:type="dxa"/>
        </w:tblCellMar>
        <w:tblLook w:val="01E0" w:firstRow="1" w:lastRow="1" w:firstColumn="1" w:lastColumn="1" w:noHBand="0" w:noVBand="0"/>
      </w:tblPr>
      <w:tblGrid>
        <w:gridCol w:w="2551"/>
        <w:gridCol w:w="5953"/>
        <w:gridCol w:w="1701"/>
      </w:tblGrid>
      <w:tr w:rsidR="009D54AF" w14:paraId="3C9034F6" w14:textId="77777777" w:rsidTr="00445608">
        <w:trPr>
          <w:trHeight w:val="726"/>
          <w:tblHeader/>
        </w:trPr>
        <w:tc>
          <w:tcPr>
            <w:tcW w:w="2551" w:type="dxa"/>
            <w:tcBorders>
              <w:top w:val="nil"/>
              <w:left w:val="nil"/>
              <w:bottom w:val="nil"/>
            </w:tcBorders>
            <w:shd w:val="clear" w:color="auto" w:fill="000000"/>
          </w:tcPr>
          <w:p w14:paraId="09BEFDE9" w14:textId="77777777" w:rsidR="009D54AF" w:rsidRDefault="009D54AF">
            <w:pPr>
              <w:pStyle w:val="TableParagraph"/>
              <w:rPr>
                <w:sz w:val="19"/>
              </w:rPr>
            </w:pPr>
          </w:p>
          <w:p w14:paraId="7F1F791B" w14:textId="77777777" w:rsidR="009D54AF" w:rsidRDefault="009D54AF">
            <w:pPr>
              <w:pStyle w:val="TableParagraph"/>
              <w:spacing w:before="25"/>
              <w:rPr>
                <w:sz w:val="19"/>
              </w:rPr>
            </w:pPr>
          </w:p>
          <w:p w14:paraId="7575FA1D" w14:textId="77777777" w:rsidR="009D54AF" w:rsidRDefault="00000000">
            <w:pPr>
              <w:pStyle w:val="TableParagraph"/>
              <w:spacing w:before="1"/>
              <w:ind w:left="85"/>
              <w:rPr>
                <w:b/>
                <w:sz w:val="19"/>
              </w:rPr>
            </w:pPr>
            <w:r>
              <w:rPr>
                <w:b/>
                <w:color w:val="FFFFFF"/>
                <w:spacing w:val="-2"/>
                <w:sz w:val="19"/>
              </w:rPr>
              <w:t>Requirement</w:t>
            </w:r>
          </w:p>
        </w:tc>
        <w:tc>
          <w:tcPr>
            <w:tcW w:w="5953" w:type="dxa"/>
            <w:tcBorders>
              <w:top w:val="nil"/>
              <w:bottom w:val="nil"/>
            </w:tcBorders>
            <w:shd w:val="clear" w:color="auto" w:fill="000000"/>
          </w:tcPr>
          <w:p w14:paraId="4A092DBC" w14:textId="77777777" w:rsidR="009D54AF" w:rsidRDefault="009D54AF">
            <w:pPr>
              <w:pStyle w:val="TableParagraph"/>
              <w:rPr>
                <w:sz w:val="19"/>
              </w:rPr>
            </w:pPr>
          </w:p>
          <w:p w14:paraId="5D2C613C" w14:textId="77777777" w:rsidR="009D54AF" w:rsidRDefault="009D54AF">
            <w:pPr>
              <w:pStyle w:val="TableParagraph"/>
              <w:spacing w:before="25"/>
              <w:rPr>
                <w:sz w:val="19"/>
              </w:rPr>
            </w:pPr>
          </w:p>
          <w:p w14:paraId="0A9B0FC5" w14:textId="77777777" w:rsidR="009D54AF" w:rsidRDefault="00000000">
            <w:pPr>
              <w:pStyle w:val="TableParagraph"/>
              <w:spacing w:before="1"/>
              <w:ind w:left="80"/>
              <w:rPr>
                <w:b/>
                <w:sz w:val="19"/>
              </w:rPr>
            </w:pPr>
            <w:r>
              <w:rPr>
                <w:b/>
                <w:color w:val="FFFFFF"/>
                <w:spacing w:val="-2"/>
                <w:sz w:val="19"/>
              </w:rPr>
              <w:t>Reference</w:t>
            </w:r>
          </w:p>
        </w:tc>
        <w:tc>
          <w:tcPr>
            <w:tcW w:w="1701" w:type="dxa"/>
            <w:tcBorders>
              <w:top w:val="nil"/>
              <w:bottom w:val="nil"/>
              <w:right w:val="nil"/>
            </w:tcBorders>
            <w:shd w:val="clear" w:color="auto" w:fill="000000"/>
          </w:tcPr>
          <w:p w14:paraId="79B8AB4A" w14:textId="77777777" w:rsidR="009D54AF" w:rsidRDefault="00000000">
            <w:pPr>
              <w:pStyle w:val="TableParagraph"/>
              <w:spacing w:before="50" w:line="230" w:lineRule="auto"/>
              <w:ind w:left="271" w:right="275" w:firstLine="32"/>
              <w:jc w:val="both"/>
              <w:rPr>
                <w:b/>
                <w:sz w:val="19"/>
              </w:rPr>
            </w:pPr>
            <w:r>
              <w:rPr>
                <w:b/>
                <w:color w:val="FFFFFF"/>
                <w:sz w:val="19"/>
              </w:rPr>
              <w:t>Page listing of</w:t>
            </w:r>
            <w:r>
              <w:rPr>
                <w:b/>
                <w:color w:val="FFFFFF"/>
                <w:spacing w:val="-14"/>
                <w:sz w:val="19"/>
              </w:rPr>
              <w:t xml:space="preserve"> </w:t>
            </w:r>
            <w:r>
              <w:rPr>
                <w:b/>
                <w:color w:val="FFFFFF"/>
                <w:sz w:val="19"/>
              </w:rPr>
              <w:t xml:space="preserve">compliant </w:t>
            </w:r>
            <w:r>
              <w:rPr>
                <w:b/>
                <w:color w:val="FFFFFF"/>
                <w:spacing w:val="-2"/>
                <w:sz w:val="19"/>
              </w:rPr>
              <w:t>information</w:t>
            </w:r>
          </w:p>
        </w:tc>
      </w:tr>
      <w:tr w:rsidR="009D54AF" w14:paraId="1226C921" w14:textId="77777777">
        <w:trPr>
          <w:trHeight w:val="713"/>
        </w:trPr>
        <w:tc>
          <w:tcPr>
            <w:tcW w:w="2551" w:type="dxa"/>
            <w:tcBorders>
              <w:top w:val="nil"/>
              <w:left w:val="nil"/>
              <w:bottom w:val="single" w:sz="2" w:space="0" w:color="000000"/>
              <w:right w:val="single" w:sz="2" w:space="0" w:color="000000"/>
            </w:tcBorders>
          </w:tcPr>
          <w:p w14:paraId="034C9D9C" w14:textId="77777777" w:rsidR="009D54AF" w:rsidRDefault="00000000">
            <w:pPr>
              <w:pStyle w:val="TableParagraph"/>
              <w:spacing w:before="33"/>
              <w:ind w:left="85"/>
              <w:rPr>
                <w:sz w:val="19"/>
              </w:rPr>
            </w:pPr>
            <w:r>
              <w:rPr>
                <w:sz w:val="19"/>
              </w:rPr>
              <w:t>Accountable</w:t>
            </w:r>
            <w:r>
              <w:rPr>
                <w:spacing w:val="9"/>
                <w:sz w:val="19"/>
              </w:rPr>
              <w:t xml:space="preserve"> </w:t>
            </w:r>
            <w:r>
              <w:rPr>
                <w:spacing w:val="-2"/>
                <w:sz w:val="19"/>
              </w:rPr>
              <w:t>authority</w:t>
            </w:r>
          </w:p>
        </w:tc>
        <w:tc>
          <w:tcPr>
            <w:tcW w:w="5953" w:type="dxa"/>
            <w:tcBorders>
              <w:top w:val="nil"/>
              <w:left w:val="single" w:sz="2" w:space="0" w:color="000000"/>
              <w:bottom w:val="single" w:sz="2" w:space="0" w:color="000000"/>
              <w:right w:val="single" w:sz="2" w:space="0" w:color="000000"/>
            </w:tcBorders>
          </w:tcPr>
          <w:p w14:paraId="2D470DCA" w14:textId="77777777" w:rsidR="009D54AF" w:rsidRDefault="00000000">
            <w:pPr>
              <w:pStyle w:val="TableParagraph"/>
              <w:spacing w:before="40" w:line="230" w:lineRule="auto"/>
              <w:ind w:left="82"/>
              <w:rPr>
                <w:sz w:val="19"/>
              </w:rPr>
            </w:pPr>
            <w:r>
              <w:rPr>
                <w:sz w:val="19"/>
              </w:rPr>
              <w:t>Public Governance, Performance and Accountability Amendment (Corporate Commonwealth Entity Annual Reporting) Rule 2016, subsection 17BE(j)</w:t>
            </w:r>
          </w:p>
        </w:tc>
        <w:tc>
          <w:tcPr>
            <w:tcW w:w="1701" w:type="dxa"/>
            <w:tcBorders>
              <w:top w:val="nil"/>
              <w:left w:val="single" w:sz="2" w:space="0" w:color="000000"/>
              <w:bottom w:val="single" w:sz="2" w:space="0" w:color="000000"/>
              <w:right w:val="nil"/>
            </w:tcBorders>
          </w:tcPr>
          <w:p w14:paraId="19E8C6FE" w14:textId="77777777" w:rsidR="009D54AF" w:rsidRDefault="00000000">
            <w:pPr>
              <w:pStyle w:val="TableParagraph"/>
              <w:spacing w:before="35"/>
              <w:ind w:left="17" w:right="16"/>
              <w:jc w:val="center"/>
              <w:rPr>
                <w:sz w:val="19"/>
              </w:rPr>
            </w:pPr>
            <w:r>
              <w:rPr>
                <w:spacing w:val="-5"/>
                <w:sz w:val="19"/>
              </w:rPr>
              <w:t>66</w:t>
            </w:r>
          </w:p>
        </w:tc>
      </w:tr>
      <w:tr w:rsidR="009D54AF" w14:paraId="2F790785" w14:textId="77777777">
        <w:trPr>
          <w:trHeight w:val="1141"/>
        </w:trPr>
        <w:tc>
          <w:tcPr>
            <w:tcW w:w="2551" w:type="dxa"/>
            <w:tcBorders>
              <w:top w:val="single" w:sz="2" w:space="0" w:color="000000"/>
              <w:left w:val="nil"/>
              <w:bottom w:val="single" w:sz="2" w:space="0" w:color="000000"/>
              <w:right w:val="single" w:sz="2" w:space="0" w:color="000000"/>
            </w:tcBorders>
          </w:tcPr>
          <w:p w14:paraId="74FEBC12" w14:textId="77777777" w:rsidR="009D54AF" w:rsidRDefault="00000000">
            <w:pPr>
              <w:pStyle w:val="TableParagraph"/>
              <w:spacing w:before="47" w:line="230" w:lineRule="auto"/>
              <w:ind w:left="85" w:right="178"/>
              <w:rPr>
                <w:sz w:val="19"/>
              </w:rPr>
            </w:pPr>
            <w:r>
              <w:rPr>
                <w:sz w:val="19"/>
              </w:rPr>
              <w:t>Amendments to the Commission’s enabling legislation</w:t>
            </w:r>
            <w:r>
              <w:rPr>
                <w:spacing w:val="-7"/>
                <w:sz w:val="19"/>
              </w:rPr>
              <w:t xml:space="preserve"> </w:t>
            </w:r>
            <w:r>
              <w:rPr>
                <w:sz w:val="19"/>
              </w:rPr>
              <w:t>and</w:t>
            </w:r>
            <w:r>
              <w:rPr>
                <w:spacing w:val="-7"/>
                <w:sz w:val="19"/>
              </w:rPr>
              <w:t xml:space="preserve"> </w:t>
            </w:r>
            <w:r>
              <w:rPr>
                <w:sz w:val="19"/>
              </w:rPr>
              <w:t>to</w:t>
            </w:r>
            <w:r>
              <w:rPr>
                <w:spacing w:val="-7"/>
                <w:sz w:val="19"/>
              </w:rPr>
              <w:t xml:space="preserve"> </w:t>
            </w:r>
            <w:r>
              <w:rPr>
                <w:sz w:val="19"/>
              </w:rPr>
              <w:t>any</w:t>
            </w:r>
            <w:r>
              <w:rPr>
                <w:spacing w:val="-7"/>
                <w:sz w:val="19"/>
              </w:rPr>
              <w:t xml:space="preserve"> </w:t>
            </w:r>
            <w:r>
              <w:rPr>
                <w:sz w:val="19"/>
              </w:rPr>
              <w:t>other legislation directly relevant to its operation</w:t>
            </w:r>
          </w:p>
        </w:tc>
        <w:tc>
          <w:tcPr>
            <w:tcW w:w="5953" w:type="dxa"/>
            <w:tcBorders>
              <w:top w:val="single" w:sz="2" w:space="0" w:color="000000"/>
              <w:left w:val="single" w:sz="2" w:space="0" w:color="000000"/>
              <w:bottom w:val="single" w:sz="2" w:space="0" w:color="000000"/>
              <w:right w:val="single" w:sz="2" w:space="0" w:color="000000"/>
            </w:tcBorders>
          </w:tcPr>
          <w:p w14:paraId="6B81EA82" w14:textId="77777777" w:rsidR="009D54AF" w:rsidRDefault="00000000">
            <w:pPr>
              <w:pStyle w:val="TableParagraph"/>
              <w:spacing w:before="47" w:line="230" w:lineRule="auto"/>
              <w:ind w:left="82"/>
              <w:rPr>
                <w:sz w:val="19"/>
              </w:rPr>
            </w:pPr>
            <w:r>
              <w:rPr>
                <w:sz w:val="19"/>
              </w:rPr>
              <w:t>Public Governance, Performance and Accountability Amendment (Corporate Commonwealth Entity Annual Reporting) Rule 2016, subsection 17BE(a)</w:t>
            </w:r>
          </w:p>
        </w:tc>
        <w:tc>
          <w:tcPr>
            <w:tcW w:w="1701" w:type="dxa"/>
            <w:tcBorders>
              <w:top w:val="single" w:sz="2" w:space="0" w:color="000000"/>
              <w:left w:val="single" w:sz="2" w:space="0" w:color="000000"/>
              <w:bottom w:val="single" w:sz="2" w:space="0" w:color="000000"/>
              <w:right w:val="nil"/>
            </w:tcBorders>
          </w:tcPr>
          <w:p w14:paraId="720E73AF" w14:textId="77777777" w:rsidR="009D54AF" w:rsidRDefault="00000000">
            <w:pPr>
              <w:pStyle w:val="TableParagraph"/>
              <w:spacing w:before="42"/>
              <w:ind w:left="18" w:right="16"/>
              <w:jc w:val="center"/>
              <w:rPr>
                <w:sz w:val="19"/>
              </w:rPr>
            </w:pPr>
            <w:r>
              <w:rPr>
                <w:spacing w:val="-5"/>
                <w:sz w:val="19"/>
              </w:rPr>
              <w:t>96</w:t>
            </w:r>
          </w:p>
        </w:tc>
      </w:tr>
      <w:tr w:rsidR="009D54AF" w14:paraId="0DA60994" w14:textId="77777777">
        <w:trPr>
          <w:trHeight w:val="721"/>
        </w:trPr>
        <w:tc>
          <w:tcPr>
            <w:tcW w:w="2551" w:type="dxa"/>
            <w:tcBorders>
              <w:top w:val="single" w:sz="2" w:space="0" w:color="000000"/>
              <w:left w:val="nil"/>
              <w:bottom w:val="single" w:sz="2" w:space="0" w:color="000000"/>
              <w:right w:val="single" w:sz="2" w:space="0" w:color="000000"/>
            </w:tcBorders>
          </w:tcPr>
          <w:p w14:paraId="51225866" w14:textId="77777777" w:rsidR="009D54AF" w:rsidRDefault="00000000">
            <w:pPr>
              <w:pStyle w:val="TableParagraph"/>
              <w:spacing w:before="47" w:line="230" w:lineRule="auto"/>
              <w:ind w:left="85" w:right="178"/>
              <w:rPr>
                <w:sz w:val="19"/>
              </w:rPr>
            </w:pPr>
            <w:r>
              <w:rPr>
                <w:sz w:val="19"/>
              </w:rPr>
              <w:t>Approval by the accountable</w:t>
            </w:r>
            <w:r>
              <w:rPr>
                <w:spacing w:val="-11"/>
                <w:sz w:val="19"/>
              </w:rPr>
              <w:t xml:space="preserve"> </w:t>
            </w:r>
            <w:r>
              <w:rPr>
                <w:sz w:val="19"/>
              </w:rPr>
              <w:t>authority</w:t>
            </w:r>
          </w:p>
        </w:tc>
        <w:tc>
          <w:tcPr>
            <w:tcW w:w="5953" w:type="dxa"/>
            <w:tcBorders>
              <w:top w:val="single" w:sz="2" w:space="0" w:color="000000"/>
              <w:left w:val="single" w:sz="2" w:space="0" w:color="000000"/>
              <w:bottom w:val="single" w:sz="2" w:space="0" w:color="000000"/>
              <w:right w:val="single" w:sz="2" w:space="0" w:color="000000"/>
            </w:tcBorders>
          </w:tcPr>
          <w:p w14:paraId="2DA62E27" w14:textId="77777777" w:rsidR="009D54AF" w:rsidRDefault="00000000">
            <w:pPr>
              <w:pStyle w:val="TableParagraph"/>
              <w:spacing w:before="47" w:line="230" w:lineRule="auto"/>
              <w:ind w:left="82"/>
              <w:rPr>
                <w:sz w:val="19"/>
              </w:rPr>
            </w:pPr>
            <w:r>
              <w:rPr>
                <w:sz w:val="19"/>
              </w:rPr>
              <w:t>Public Governance, Performance and Accountability Amendment (Corporate Commonwealth Entity Annual Reporting) Rule 2016, section 17BB</w:t>
            </w:r>
          </w:p>
        </w:tc>
        <w:tc>
          <w:tcPr>
            <w:tcW w:w="1701" w:type="dxa"/>
            <w:tcBorders>
              <w:top w:val="single" w:sz="2" w:space="0" w:color="000000"/>
              <w:left w:val="single" w:sz="2" w:space="0" w:color="000000"/>
              <w:bottom w:val="single" w:sz="2" w:space="0" w:color="000000"/>
              <w:right w:val="nil"/>
            </w:tcBorders>
          </w:tcPr>
          <w:p w14:paraId="5B4553A0" w14:textId="77777777" w:rsidR="009D54AF" w:rsidRDefault="00000000">
            <w:pPr>
              <w:pStyle w:val="TableParagraph"/>
              <w:spacing w:before="42"/>
              <w:ind w:left="17" w:right="16"/>
              <w:jc w:val="center"/>
              <w:rPr>
                <w:sz w:val="19"/>
              </w:rPr>
            </w:pPr>
            <w:r>
              <w:rPr>
                <w:spacing w:val="-5"/>
                <w:sz w:val="19"/>
              </w:rPr>
              <w:t>66</w:t>
            </w:r>
          </w:p>
        </w:tc>
      </w:tr>
      <w:tr w:rsidR="00445608" w14:paraId="627672E4" w14:textId="77777777">
        <w:trPr>
          <w:trHeight w:val="721"/>
        </w:trPr>
        <w:tc>
          <w:tcPr>
            <w:tcW w:w="2551" w:type="dxa"/>
            <w:tcBorders>
              <w:top w:val="single" w:sz="2" w:space="0" w:color="000000"/>
              <w:left w:val="nil"/>
              <w:bottom w:val="single" w:sz="2" w:space="0" w:color="000000"/>
              <w:right w:val="single" w:sz="2" w:space="0" w:color="000000"/>
            </w:tcBorders>
          </w:tcPr>
          <w:p w14:paraId="166C73C8" w14:textId="495AD5F2" w:rsidR="00445608" w:rsidRDefault="00445608" w:rsidP="00445608">
            <w:pPr>
              <w:pStyle w:val="TableParagraph"/>
              <w:spacing w:before="47" w:line="230" w:lineRule="auto"/>
              <w:ind w:left="85" w:right="178"/>
              <w:rPr>
                <w:sz w:val="19"/>
              </w:rPr>
            </w:pPr>
            <w:r>
              <w:rPr>
                <w:sz w:val="19"/>
              </w:rPr>
              <w:t>Assessment</w:t>
            </w:r>
            <w:r>
              <w:rPr>
                <w:spacing w:val="-7"/>
                <w:sz w:val="19"/>
              </w:rPr>
              <w:t xml:space="preserve"> </w:t>
            </w:r>
            <w:r>
              <w:rPr>
                <w:sz w:val="19"/>
              </w:rPr>
              <w:t>of</w:t>
            </w:r>
            <w:r>
              <w:rPr>
                <w:spacing w:val="-7"/>
                <w:sz w:val="19"/>
              </w:rPr>
              <w:t xml:space="preserve"> </w:t>
            </w:r>
            <w:r>
              <w:rPr>
                <w:sz w:val="19"/>
              </w:rPr>
              <w:t>the</w:t>
            </w:r>
            <w:r>
              <w:rPr>
                <w:spacing w:val="-7"/>
                <w:sz w:val="19"/>
              </w:rPr>
              <w:t xml:space="preserve"> </w:t>
            </w:r>
            <w:r>
              <w:rPr>
                <w:sz w:val="19"/>
              </w:rPr>
              <w:t>impact of the performance of each</w:t>
            </w:r>
            <w:r>
              <w:rPr>
                <w:spacing w:val="-7"/>
                <w:sz w:val="19"/>
              </w:rPr>
              <w:t xml:space="preserve"> </w:t>
            </w:r>
            <w:r>
              <w:rPr>
                <w:sz w:val="19"/>
              </w:rPr>
              <w:t>of</w:t>
            </w:r>
            <w:r>
              <w:rPr>
                <w:spacing w:val="-7"/>
                <w:sz w:val="19"/>
              </w:rPr>
              <w:t xml:space="preserve"> </w:t>
            </w:r>
            <w:r>
              <w:rPr>
                <w:sz w:val="19"/>
              </w:rPr>
              <w:t>the</w:t>
            </w:r>
            <w:r>
              <w:rPr>
                <w:spacing w:val="-7"/>
                <w:sz w:val="19"/>
              </w:rPr>
              <w:t xml:space="preserve"> </w:t>
            </w:r>
            <w:r>
              <w:rPr>
                <w:sz w:val="19"/>
              </w:rPr>
              <w:t xml:space="preserve">Commission’s </w:t>
            </w:r>
            <w:r>
              <w:rPr>
                <w:spacing w:val="-2"/>
                <w:sz w:val="19"/>
              </w:rPr>
              <w:t>functions</w:t>
            </w:r>
          </w:p>
        </w:tc>
        <w:tc>
          <w:tcPr>
            <w:tcW w:w="5953" w:type="dxa"/>
            <w:tcBorders>
              <w:top w:val="single" w:sz="2" w:space="0" w:color="000000"/>
              <w:left w:val="single" w:sz="2" w:space="0" w:color="000000"/>
              <w:bottom w:val="single" w:sz="2" w:space="0" w:color="000000"/>
              <w:right w:val="single" w:sz="2" w:space="0" w:color="000000"/>
            </w:tcBorders>
          </w:tcPr>
          <w:p w14:paraId="59A28A35" w14:textId="3CCE7D08" w:rsidR="00445608" w:rsidRDefault="00445608" w:rsidP="00445608">
            <w:pPr>
              <w:pStyle w:val="TableParagraph"/>
              <w:spacing w:before="47" w:line="230" w:lineRule="auto"/>
              <w:ind w:left="82"/>
              <w:rPr>
                <w:sz w:val="19"/>
              </w:rPr>
            </w:pPr>
            <w:r>
              <w:rPr>
                <w:i/>
                <w:sz w:val="19"/>
              </w:rPr>
              <w:t>National</w:t>
            </w:r>
            <w:r>
              <w:rPr>
                <w:i/>
                <w:spacing w:val="-2"/>
                <w:sz w:val="19"/>
              </w:rPr>
              <w:t xml:space="preserve"> </w:t>
            </w:r>
            <w:r>
              <w:rPr>
                <w:i/>
                <w:sz w:val="19"/>
              </w:rPr>
              <w:t>Health</w:t>
            </w:r>
            <w:r>
              <w:rPr>
                <w:i/>
                <w:spacing w:val="-2"/>
                <w:sz w:val="19"/>
              </w:rPr>
              <w:t xml:space="preserve"> </w:t>
            </w:r>
            <w:r>
              <w:rPr>
                <w:i/>
                <w:sz w:val="19"/>
              </w:rPr>
              <w:t>Reform</w:t>
            </w:r>
            <w:r>
              <w:rPr>
                <w:i/>
                <w:spacing w:val="-1"/>
                <w:sz w:val="19"/>
              </w:rPr>
              <w:t xml:space="preserve"> </w:t>
            </w:r>
            <w:r>
              <w:rPr>
                <w:i/>
                <w:sz w:val="19"/>
              </w:rPr>
              <w:t>Act</w:t>
            </w:r>
            <w:r>
              <w:rPr>
                <w:i/>
                <w:spacing w:val="-2"/>
                <w:sz w:val="19"/>
              </w:rPr>
              <w:t xml:space="preserve"> </w:t>
            </w:r>
            <w:r>
              <w:rPr>
                <w:i/>
                <w:sz w:val="19"/>
              </w:rPr>
              <w:t>2011</w:t>
            </w:r>
            <w:r>
              <w:rPr>
                <w:sz w:val="19"/>
              </w:rPr>
              <w:t>,</w:t>
            </w:r>
            <w:r>
              <w:rPr>
                <w:spacing w:val="-2"/>
                <w:sz w:val="19"/>
              </w:rPr>
              <w:t xml:space="preserve"> </w:t>
            </w:r>
            <w:r>
              <w:rPr>
                <w:sz w:val="19"/>
              </w:rPr>
              <w:t>subsection</w:t>
            </w:r>
            <w:r>
              <w:rPr>
                <w:spacing w:val="-1"/>
                <w:sz w:val="19"/>
              </w:rPr>
              <w:t xml:space="preserve"> </w:t>
            </w:r>
            <w:r>
              <w:rPr>
                <w:spacing w:val="-4"/>
                <w:sz w:val="19"/>
              </w:rPr>
              <w:t>53(a)</w:t>
            </w:r>
          </w:p>
        </w:tc>
        <w:tc>
          <w:tcPr>
            <w:tcW w:w="1701" w:type="dxa"/>
            <w:tcBorders>
              <w:top w:val="single" w:sz="2" w:space="0" w:color="000000"/>
              <w:left w:val="single" w:sz="2" w:space="0" w:color="000000"/>
              <w:bottom w:val="single" w:sz="2" w:space="0" w:color="000000"/>
              <w:right w:val="nil"/>
            </w:tcBorders>
          </w:tcPr>
          <w:p w14:paraId="4B9D0931" w14:textId="589F66C2" w:rsidR="00445608" w:rsidRDefault="00445608" w:rsidP="00445608">
            <w:pPr>
              <w:pStyle w:val="TableParagraph"/>
              <w:spacing w:before="42"/>
              <w:ind w:left="17" w:right="16"/>
              <w:jc w:val="center"/>
              <w:rPr>
                <w:spacing w:val="-5"/>
                <w:sz w:val="19"/>
              </w:rPr>
            </w:pPr>
            <w:r>
              <w:rPr>
                <w:spacing w:val="-5"/>
                <w:sz w:val="19"/>
              </w:rPr>
              <w:t>27–73</w:t>
            </w:r>
          </w:p>
        </w:tc>
      </w:tr>
      <w:tr w:rsidR="00445608" w14:paraId="18AC7C3F" w14:textId="77777777">
        <w:trPr>
          <w:trHeight w:val="721"/>
        </w:trPr>
        <w:tc>
          <w:tcPr>
            <w:tcW w:w="2551" w:type="dxa"/>
            <w:tcBorders>
              <w:top w:val="single" w:sz="2" w:space="0" w:color="000000"/>
              <w:left w:val="nil"/>
              <w:bottom w:val="single" w:sz="2" w:space="0" w:color="000000"/>
              <w:right w:val="single" w:sz="2" w:space="0" w:color="000000"/>
            </w:tcBorders>
          </w:tcPr>
          <w:p w14:paraId="14542739" w14:textId="76360BEC" w:rsidR="00445608" w:rsidRDefault="00445608" w:rsidP="00445608">
            <w:pPr>
              <w:pStyle w:val="TableParagraph"/>
              <w:spacing w:before="47" w:line="230" w:lineRule="auto"/>
              <w:ind w:left="85" w:right="178"/>
              <w:rPr>
                <w:sz w:val="19"/>
              </w:rPr>
            </w:pPr>
            <w:r>
              <w:rPr>
                <w:sz w:val="19"/>
              </w:rPr>
              <w:t>Assessment</w:t>
            </w:r>
            <w:r>
              <w:rPr>
                <w:spacing w:val="-6"/>
                <w:sz w:val="19"/>
              </w:rPr>
              <w:t xml:space="preserve"> </w:t>
            </w:r>
            <w:r>
              <w:rPr>
                <w:sz w:val="19"/>
              </w:rPr>
              <w:t>of</w:t>
            </w:r>
            <w:r>
              <w:rPr>
                <w:spacing w:val="-6"/>
                <w:sz w:val="19"/>
              </w:rPr>
              <w:t xml:space="preserve"> </w:t>
            </w:r>
            <w:r>
              <w:rPr>
                <w:sz w:val="19"/>
              </w:rPr>
              <w:t>the</w:t>
            </w:r>
            <w:r>
              <w:rPr>
                <w:spacing w:val="-6"/>
                <w:sz w:val="19"/>
              </w:rPr>
              <w:t xml:space="preserve"> </w:t>
            </w:r>
            <w:r>
              <w:rPr>
                <w:sz w:val="19"/>
              </w:rPr>
              <w:t xml:space="preserve">quality of healthcare services </w:t>
            </w:r>
            <w:r>
              <w:rPr>
                <w:spacing w:val="-2"/>
                <w:sz w:val="19"/>
              </w:rPr>
              <w:t>provided</w:t>
            </w:r>
          </w:p>
        </w:tc>
        <w:tc>
          <w:tcPr>
            <w:tcW w:w="5953" w:type="dxa"/>
            <w:tcBorders>
              <w:top w:val="single" w:sz="2" w:space="0" w:color="000000"/>
              <w:left w:val="single" w:sz="2" w:space="0" w:color="000000"/>
              <w:bottom w:val="single" w:sz="2" w:space="0" w:color="000000"/>
              <w:right w:val="single" w:sz="2" w:space="0" w:color="000000"/>
            </w:tcBorders>
          </w:tcPr>
          <w:p w14:paraId="7B716BA7" w14:textId="127448B6" w:rsidR="00445608" w:rsidRDefault="00445608" w:rsidP="00445608">
            <w:pPr>
              <w:pStyle w:val="TableParagraph"/>
              <w:spacing w:before="47" w:line="230" w:lineRule="auto"/>
              <w:ind w:left="82"/>
              <w:rPr>
                <w:sz w:val="19"/>
              </w:rPr>
            </w:pPr>
            <w:r>
              <w:rPr>
                <w:i/>
                <w:sz w:val="19"/>
              </w:rPr>
              <w:t>National</w:t>
            </w:r>
            <w:r>
              <w:rPr>
                <w:i/>
                <w:spacing w:val="-2"/>
                <w:sz w:val="19"/>
              </w:rPr>
              <w:t xml:space="preserve"> </w:t>
            </w:r>
            <w:r>
              <w:rPr>
                <w:i/>
                <w:sz w:val="19"/>
              </w:rPr>
              <w:t>Health</w:t>
            </w:r>
            <w:r>
              <w:rPr>
                <w:i/>
                <w:spacing w:val="-1"/>
                <w:sz w:val="19"/>
              </w:rPr>
              <w:t xml:space="preserve"> </w:t>
            </w:r>
            <w:r>
              <w:rPr>
                <w:i/>
                <w:sz w:val="19"/>
              </w:rPr>
              <w:t>Reform</w:t>
            </w:r>
            <w:r>
              <w:rPr>
                <w:i/>
                <w:spacing w:val="-2"/>
                <w:sz w:val="19"/>
              </w:rPr>
              <w:t xml:space="preserve"> </w:t>
            </w:r>
            <w:r>
              <w:rPr>
                <w:i/>
                <w:sz w:val="19"/>
              </w:rPr>
              <w:t>Act</w:t>
            </w:r>
            <w:r>
              <w:rPr>
                <w:i/>
                <w:spacing w:val="-1"/>
                <w:sz w:val="19"/>
              </w:rPr>
              <w:t xml:space="preserve"> </w:t>
            </w:r>
            <w:r>
              <w:rPr>
                <w:i/>
                <w:sz w:val="19"/>
              </w:rPr>
              <w:t>2011</w:t>
            </w:r>
            <w:r>
              <w:rPr>
                <w:sz w:val="19"/>
              </w:rPr>
              <w:t>,</w:t>
            </w:r>
            <w:r>
              <w:rPr>
                <w:spacing w:val="-2"/>
                <w:sz w:val="19"/>
              </w:rPr>
              <w:t xml:space="preserve"> </w:t>
            </w:r>
            <w:r>
              <w:rPr>
                <w:sz w:val="19"/>
              </w:rPr>
              <w:t>subsection</w:t>
            </w:r>
            <w:r>
              <w:rPr>
                <w:spacing w:val="-1"/>
                <w:sz w:val="19"/>
              </w:rPr>
              <w:t xml:space="preserve"> </w:t>
            </w:r>
            <w:r>
              <w:rPr>
                <w:spacing w:val="-2"/>
                <w:sz w:val="19"/>
              </w:rPr>
              <w:t>53(b)(ii)</w:t>
            </w:r>
          </w:p>
        </w:tc>
        <w:tc>
          <w:tcPr>
            <w:tcW w:w="1701" w:type="dxa"/>
            <w:tcBorders>
              <w:top w:val="single" w:sz="2" w:space="0" w:color="000000"/>
              <w:left w:val="single" w:sz="2" w:space="0" w:color="000000"/>
              <w:bottom w:val="single" w:sz="2" w:space="0" w:color="000000"/>
              <w:right w:val="nil"/>
            </w:tcBorders>
          </w:tcPr>
          <w:p w14:paraId="493BDD7A" w14:textId="121617DB" w:rsidR="00445608" w:rsidRDefault="00445608" w:rsidP="00445608">
            <w:pPr>
              <w:pStyle w:val="TableParagraph"/>
              <w:spacing w:before="42"/>
              <w:ind w:left="17" w:right="16"/>
              <w:jc w:val="center"/>
              <w:rPr>
                <w:spacing w:val="-5"/>
                <w:sz w:val="19"/>
              </w:rPr>
            </w:pPr>
            <w:r>
              <w:rPr>
                <w:sz w:val="19"/>
              </w:rPr>
              <w:t>57–</w:t>
            </w:r>
            <w:r>
              <w:rPr>
                <w:spacing w:val="-5"/>
                <w:sz w:val="19"/>
              </w:rPr>
              <w:t>65</w:t>
            </w:r>
          </w:p>
        </w:tc>
      </w:tr>
      <w:tr w:rsidR="00445608" w14:paraId="149CA13D" w14:textId="77777777">
        <w:trPr>
          <w:trHeight w:val="721"/>
        </w:trPr>
        <w:tc>
          <w:tcPr>
            <w:tcW w:w="2551" w:type="dxa"/>
            <w:tcBorders>
              <w:top w:val="single" w:sz="2" w:space="0" w:color="000000"/>
              <w:left w:val="nil"/>
              <w:bottom w:val="single" w:sz="2" w:space="0" w:color="000000"/>
              <w:right w:val="single" w:sz="2" w:space="0" w:color="000000"/>
            </w:tcBorders>
          </w:tcPr>
          <w:p w14:paraId="5D151A4D" w14:textId="749DE6B3" w:rsidR="00445608" w:rsidRDefault="00445608" w:rsidP="00445608">
            <w:pPr>
              <w:pStyle w:val="TableParagraph"/>
              <w:spacing w:before="47" w:line="230" w:lineRule="auto"/>
              <w:ind w:left="85" w:right="178"/>
              <w:rPr>
                <w:sz w:val="19"/>
              </w:rPr>
            </w:pPr>
            <w:r>
              <w:rPr>
                <w:sz w:val="19"/>
              </w:rPr>
              <w:t>Assessment</w:t>
            </w:r>
            <w:r>
              <w:rPr>
                <w:spacing w:val="-7"/>
                <w:sz w:val="19"/>
              </w:rPr>
              <w:t xml:space="preserve"> </w:t>
            </w:r>
            <w:r>
              <w:rPr>
                <w:sz w:val="19"/>
              </w:rPr>
              <w:t>of</w:t>
            </w:r>
            <w:r>
              <w:rPr>
                <w:spacing w:val="-7"/>
                <w:sz w:val="19"/>
              </w:rPr>
              <w:t xml:space="preserve"> </w:t>
            </w:r>
            <w:r>
              <w:rPr>
                <w:sz w:val="19"/>
              </w:rPr>
              <w:t>the</w:t>
            </w:r>
            <w:r>
              <w:rPr>
                <w:spacing w:val="-7"/>
                <w:sz w:val="19"/>
              </w:rPr>
              <w:t xml:space="preserve"> </w:t>
            </w:r>
            <w:r>
              <w:rPr>
                <w:sz w:val="19"/>
              </w:rPr>
              <w:t xml:space="preserve">safety of healthcare services </w:t>
            </w:r>
            <w:r>
              <w:rPr>
                <w:spacing w:val="-2"/>
                <w:sz w:val="19"/>
              </w:rPr>
              <w:t>provided</w:t>
            </w:r>
          </w:p>
        </w:tc>
        <w:tc>
          <w:tcPr>
            <w:tcW w:w="5953" w:type="dxa"/>
            <w:tcBorders>
              <w:top w:val="single" w:sz="2" w:space="0" w:color="000000"/>
              <w:left w:val="single" w:sz="2" w:space="0" w:color="000000"/>
              <w:bottom w:val="single" w:sz="2" w:space="0" w:color="000000"/>
              <w:right w:val="single" w:sz="2" w:space="0" w:color="000000"/>
            </w:tcBorders>
          </w:tcPr>
          <w:p w14:paraId="0D9EDCA2" w14:textId="68A85F6E" w:rsidR="00445608" w:rsidRDefault="00445608" w:rsidP="00445608">
            <w:pPr>
              <w:pStyle w:val="TableParagraph"/>
              <w:spacing w:before="47" w:line="230" w:lineRule="auto"/>
              <w:ind w:left="82"/>
              <w:rPr>
                <w:sz w:val="19"/>
              </w:rPr>
            </w:pPr>
            <w:r>
              <w:rPr>
                <w:i/>
                <w:sz w:val="19"/>
              </w:rPr>
              <w:t>National</w:t>
            </w:r>
            <w:r>
              <w:rPr>
                <w:i/>
                <w:spacing w:val="-2"/>
                <w:sz w:val="19"/>
              </w:rPr>
              <w:t xml:space="preserve"> </w:t>
            </w:r>
            <w:r>
              <w:rPr>
                <w:i/>
                <w:sz w:val="19"/>
              </w:rPr>
              <w:t>Health</w:t>
            </w:r>
            <w:r>
              <w:rPr>
                <w:i/>
                <w:spacing w:val="-1"/>
                <w:sz w:val="19"/>
              </w:rPr>
              <w:t xml:space="preserve"> </w:t>
            </w:r>
            <w:r>
              <w:rPr>
                <w:i/>
                <w:sz w:val="19"/>
              </w:rPr>
              <w:t>Reform</w:t>
            </w:r>
            <w:r>
              <w:rPr>
                <w:i/>
                <w:spacing w:val="-2"/>
                <w:sz w:val="19"/>
              </w:rPr>
              <w:t xml:space="preserve"> </w:t>
            </w:r>
            <w:r>
              <w:rPr>
                <w:i/>
                <w:sz w:val="19"/>
              </w:rPr>
              <w:t>Act</w:t>
            </w:r>
            <w:r>
              <w:rPr>
                <w:i/>
                <w:spacing w:val="-1"/>
                <w:sz w:val="19"/>
              </w:rPr>
              <w:t xml:space="preserve"> </w:t>
            </w:r>
            <w:r>
              <w:rPr>
                <w:i/>
                <w:sz w:val="19"/>
              </w:rPr>
              <w:t>2011</w:t>
            </w:r>
            <w:r>
              <w:rPr>
                <w:sz w:val="19"/>
              </w:rPr>
              <w:t>,</w:t>
            </w:r>
            <w:r>
              <w:rPr>
                <w:spacing w:val="-2"/>
                <w:sz w:val="19"/>
              </w:rPr>
              <w:t xml:space="preserve"> </w:t>
            </w:r>
            <w:r>
              <w:rPr>
                <w:sz w:val="19"/>
              </w:rPr>
              <w:t>subsection</w:t>
            </w:r>
            <w:r>
              <w:rPr>
                <w:spacing w:val="-1"/>
                <w:sz w:val="19"/>
              </w:rPr>
              <w:t xml:space="preserve"> </w:t>
            </w:r>
            <w:r>
              <w:rPr>
                <w:spacing w:val="-2"/>
                <w:sz w:val="19"/>
              </w:rPr>
              <w:t>53(b)(</w:t>
            </w:r>
            <w:proofErr w:type="spellStart"/>
            <w:r>
              <w:rPr>
                <w:spacing w:val="-2"/>
                <w:sz w:val="19"/>
              </w:rPr>
              <w:t>i</w:t>
            </w:r>
            <w:proofErr w:type="spellEnd"/>
            <w:r>
              <w:rPr>
                <w:spacing w:val="-2"/>
                <w:sz w:val="19"/>
              </w:rPr>
              <w:t>)</w:t>
            </w:r>
          </w:p>
        </w:tc>
        <w:tc>
          <w:tcPr>
            <w:tcW w:w="1701" w:type="dxa"/>
            <w:tcBorders>
              <w:top w:val="single" w:sz="2" w:space="0" w:color="000000"/>
              <w:left w:val="single" w:sz="2" w:space="0" w:color="000000"/>
              <w:bottom w:val="single" w:sz="2" w:space="0" w:color="000000"/>
              <w:right w:val="nil"/>
            </w:tcBorders>
          </w:tcPr>
          <w:p w14:paraId="2282F278" w14:textId="1E61E949" w:rsidR="00445608" w:rsidRDefault="00445608" w:rsidP="00445608">
            <w:pPr>
              <w:pStyle w:val="TableParagraph"/>
              <w:spacing w:before="42"/>
              <w:ind w:left="17" w:right="16"/>
              <w:jc w:val="center"/>
              <w:rPr>
                <w:spacing w:val="-5"/>
                <w:sz w:val="19"/>
              </w:rPr>
            </w:pPr>
            <w:r>
              <w:rPr>
                <w:sz w:val="19"/>
              </w:rPr>
              <w:t>27–</w:t>
            </w:r>
            <w:r>
              <w:rPr>
                <w:spacing w:val="-5"/>
                <w:sz w:val="19"/>
              </w:rPr>
              <w:t>50</w:t>
            </w:r>
          </w:p>
        </w:tc>
      </w:tr>
      <w:tr w:rsidR="00445608" w14:paraId="3EB1EA80" w14:textId="77777777">
        <w:trPr>
          <w:trHeight w:val="721"/>
        </w:trPr>
        <w:tc>
          <w:tcPr>
            <w:tcW w:w="2551" w:type="dxa"/>
            <w:tcBorders>
              <w:top w:val="single" w:sz="2" w:space="0" w:color="000000"/>
              <w:left w:val="nil"/>
              <w:bottom w:val="single" w:sz="2" w:space="0" w:color="000000"/>
              <w:right w:val="single" w:sz="2" w:space="0" w:color="000000"/>
            </w:tcBorders>
          </w:tcPr>
          <w:p w14:paraId="237F379E" w14:textId="2D3F65B2" w:rsidR="00445608" w:rsidRDefault="00445608" w:rsidP="00445608">
            <w:pPr>
              <w:pStyle w:val="TableParagraph"/>
              <w:spacing w:before="47" w:line="230" w:lineRule="auto"/>
              <w:ind w:left="85" w:right="178"/>
              <w:rPr>
                <w:sz w:val="19"/>
              </w:rPr>
            </w:pPr>
            <w:r>
              <w:rPr>
                <w:sz w:val="19"/>
              </w:rPr>
              <w:t xml:space="preserve">Audit </w:t>
            </w:r>
            <w:r>
              <w:rPr>
                <w:spacing w:val="-2"/>
                <w:sz w:val="19"/>
              </w:rPr>
              <w:t>Committee</w:t>
            </w:r>
          </w:p>
        </w:tc>
        <w:tc>
          <w:tcPr>
            <w:tcW w:w="5953" w:type="dxa"/>
            <w:tcBorders>
              <w:top w:val="single" w:sz="2" w:space="0" w:color="000000"/>
              <w:left w:val="single" w:sz="2" w:space="0" w:color="000000"/>
              <w:bottom w:val="single" w:sz="2" w:space="0" w:color="000000"/>
              <w:right w:val="single" w:sz="2" w:space="0" w:color="000000"/>
            </w:tcBorders>
          </w:tcPr>
          <w:p w14:paraId="62855F78" w14:textId="742D1EC6" w:rsidR="00445608" w:rsidRDefault="00445608" w:rsidP="00445608">
            <w:pPr>
              <w:pStyle w:val="TableParagraph"/>
              <w:spacing w:before="47" w:line="230" w:lineRule="auto"/>
              <w:ind w:left="82"/>
              <w:rPr>
                <w:sz w:val="19"/>
              </w:rPr>
            </w:pPr>
            <w:r>
              <w:rPr>
                <w:sz w:val="19"/>
              </w:rPr>
              <w:t>Public Governance, Performance and Accountability Amendment (Corporate Commonwealth Entity Annual Report) Rule 2016, subsection 17BA(</w:t>
            </w:r>
            <w:proofErr w:type="spellStart"/>
            <w:r>
              <w:rPr>
                <w:sz w:val="19"/>
              </w:rPr>
              <w:t>taa</w:t>
            </w:r>
            <w:proofErr w:type="spellEnd"/>
            <w:r>
              <w:rPr>
                <w:sz w:val="19"/>
              </w:rPr>
              <w:t>)</w:t>
            </w:r>
          </w:p>
        </w:tc>
        <w:tc>
          <w:tcPr>
            <w:tcW w:w="1701" w:type="dxa"/>
            <w:tcBorders>
              <w:top w:val="single" w:sz="2" w:space="0" w:color="000000"/>
              <w:left w:val="single" w:sz="2" w:space="0" w:color="000000"/>
              <w:bottom w:val="single" w:sz="2" w:space="0" w:color="000000"/>
              <w:right w:val="nil"/>
            </w:tcBorders>
          </w:tcPr>
          <w:p w14:paraId="31AC6BD7" w14:textId="02028C37" w:rsidR="00445608" w:rsidRDefault="00445608" w:rsidP="00445608">
            <w:pPr>
              <w:pStyle w:val="TableParagraph"/>
              <w:spacing w:before="42"/>
              <w:ind w:left="17" w:right="16"/>
              <w:jc w:val="center"/>
              <w:rPr>
                <w:spacing w:val="-5"/>
                <w:sz w:val="19"/>
              </w:rPr>
            </w:pPr>
            <w:r>
              <w:rPr>
                <w:sz w:val="19"/>
              </w:rPr>
              <w:t>88–</w:t>
            </w:r>
            <w:r>
              <w:rPr>
                <w:spacing w:val="-10"/>
                <w:sz w:val="19"/>
              </w:rPr>
              <w:t>9</w:t>
            </w:r>
          </w:p>
        </w:tc>
      </w:tr>
      <w:tr w:rsidR="00445608" w14:paraId="6B9F87F1" w14:textId="77777777">
        <w:trPr>
          <w:trHeight w:val="721"/>
        </w:trPr>
        <w:tc>
          <w:tcPr>
            <w:tcW w:w="2551" w:type="dxa"/>
            <w:tcBorders>
              <w:top w:val="single" w:sz="2" w:space="0" w:color="000000"/>
              <w:left w:val="nil"/>
              <w:bottom w:val="single" w:sz="2" w:space="0" w:color="000000"/>
              <w:right w:val="single" w:sz="2" w:space="0" w:color="000000"/>
            </w:tcBorders>
          </w:tcPr>
          <w:p w14:paraId="74C30888" w14:textId="36C9DE3E" w:rsidR="00445608" w:rsidRDefault="00445608" w:rsidP="00445608">
            <w:pPr>
              <w:pStyle w:val="TableParagraph"/>
              <w:spacing w:before="47" w:line="230" w:lineRule="auto"/>
              <w:ind w:left="85" w:right="178"/>
              <w:rPr>
                <w:sz w:val="19"/>
              </w:rPr>
            </w:pPr>
            <w:r>
              <w:rPr>
                <w:sz w:val="19"/>
              </w:rPr>
              <w:t>Board</w:t>
            </w:r>
            <w:r>
              <w:rPr>
                <w:spacing w:val="2"/>
                <w:sz w:val="19"/>
              </w:rPr>
              <w:t xml:space="preserve"> </w:t>
            </w:r>
            <w:r>
              <w:rPr>
                <w:spacing w:val="-2"/>
                <w:sz w:val="19"/>
              </w:rPr>
              <w:t>committees</w:t>
            </w:r>
          </w:p>
        </w:tc>
        <w:tc>
          <w:tcPr>
            <w:tcW w:w="5953" w:type="dxa"/>
            <w:tcBorders>
              <w:top w:val="single" w:sz="2" w:space="0" w:color="000000"/>
              <w:left w:val="single" w:sz="2" w:space="0" w:color="000000"/>
              <w:bottom w:val="single" w:sz="2" w:space="0" w:color="000000"/>
              <w:right w:val="single" w:sz="2" w:space="0" w:color="000000"/>
            </w:tcBorders>
          </w:tcPr>
          <w:p w14:paraId="792B4316" w14:textId="795FB635" w:rsidR="00445608" w:rsidRDefault="00445608" w:rsidP="00445608">
            <w:pPr>
              <w:pStyle w:val="TableParagraph"/>
              <w:spacing w:before="47" w:line="230" w:lineRule="auto"/>
              <w:ind w:left="82"/>
              <w:rPr>
                <w:sz w:val="19"/>
              </w:rPr>
            </w:pPr>
            <w:r>
              <w:rPr>
                <w:sz w:val="19"/>
              </w:rPr>
              <w:t>Public Governance, Performance and Accountability Amendment (Corporate Commonwealth Entity Annual Reporting) Rule 2016, subsection 17BE(j)</w:t>
            </w:r>
          </w:p>
        </w:tc>
        <w:tc>
          <w:tcPr>
            <w:tcW w:w="1701" w:type="dxa"/>
            <w:tcBorders>
              <w:top w:val="single" w:sz="2" w:space="0" w:color="000000"/>
              <w:left w:val="single" w:sz="2" w:space="0" w:color="000000"/>
              <w:bottom w:val="single" w:sz="2" w:space="0" w:color="000000"/>
              <w:right w:val="nil"/>
            </w:tcBorders>
          </w:tcPr>
          <w:p w14:paraId="0BB9A299" w14:textId="67DDFD3F" w:rsidR="00445608" w:rsidRDefault="00445608" w:rsidP="00445608">
            <w:pPr>
              <w:pStyle w:val="TableParagraph"/>
              <w:spacing w:before="42"/>
              <w:ind w:left="17" w:right="16"/>
              <w:jc w:val="center"/>
              <w:rPr>
                <w:spacing w:val="-5"/>
                <w:sz w:val="19"/>
              </w:rPr>
            </w:pPr>
            <w:r>
              <w:rPr>
                <w:spacing w:val="-2"/>
                <w:sz w:val="19"/>
              </w:rPr>
              <w:t>87–</w:t>
            </w:r>
            <w:r>
              <w:rPr>
                <w:spacing w:val="-5"/>
                <w:sz w:val="19"/>
              </w:rPr>
              <w:t>90</w:t>
            </w:r>
          </w:p>
        </w:tc>
      </w:tr>
      <w:tr w:rsidR="00445608" w14:paraId="52D39B39" w14:textId="77777777">
        <w:trPr>
          <w:trHeight w:val="721"/>
        </w:trPr>
        <w:tc>
          <w:tcPr>
            <w:tcW w:w="2551" w:type="dxa"/>
            <w:tcBorders>
              <w:top w:val="single" w:sz="2" w:space="0" w:color="000000"/>
              <w:left w:val="nil"/>
              <w:bottom w:val="single" w:sz="2" w:space="0" w:color="000000"/>
              <w:right w:val="single" w:sz="2" w:space="0" w:color="000000"/>
            </w:tcBorders>
          </w:tcPr>
          <w:p w14:paraId="4A085631" w14:textId="4A494C9A" w:rsidR="00445608" w:rsidRDefault="00445608" w:rsidP="00445608">
            <w:pPr>
              <w:pStyle w:val="TableParagraph"/>
              <w:spacing w:before="47" w:line="230" w:lineRule="auto"/>
              <w:ind w:left="85" w:right="178"/>
              <w:rPr>
                <w:sz w:val="19"/>
              </w:rPr>
            </w:pPr>
            <w:r>
              <w:rPr>
                <w:sz w:val="19"/>
              </w:rPr>
              <w:t>Ecologically sustainable development and environmental</w:t>
            </w:r>
            <w:r>
              <w:rPr>
                <w:spacing w:val="-8"/>
                <w:sz w:val="19"/>
              </w:rPr>
              <w:t xml:space="preserve"> </w:t>
            </w:r>
            <w:r>
              <w:rPr>
                <w:sz w:val="19"/>
              </w:rPr>
              <w:t>performance</w:t>
            </w:r>
          </w:p>
        </w:tc>
        <w:tc>
          <w:tcPr>
            <w:tcW w:w="5953" w:type="dxa"/>
            <w:tcBorders>
              <w:top w:val="single" w:sz="2" w:space="0" w:color="000000"/>
              <w:left w:val="single" w:sz="2" w:space="0" w:color="000000"/>
              <w:bottom w:val="single" w:sz="2" w:space="0" w:color="000000"/>
              <w:right w:val="single" w:sz="2" w:space="0" w:color="000000"/>
            </w:tcBorders>
          </w:tcPr>
          <w:p w14:paraId="3CDF7A35" w14:textId="790C8D4E" w:rsidR="00445608" w:rsidRDefault="00445608" w:rsidP="00445608">
            <w:pPr>
              <w:pStyle w:val="TableParagraph"/>
              <w:spacing w:before="47" w:line="230" w:lineRule="auto"/>
              <w:ind w:left="82"/>
              <w:rPr>
                <w:sz w:val="19"/>
              </w:rPr>
            </w:pPr>
            <w:r>
              <w:rPr>
                <w:i/>
                <w:sz w:val="19"/>
              </w:rPr>
              <w:t>Environment Protection and Biodiversity Conservation Act 1999</w:t>
            </w:r>
            <w:r>
              <w:rPr>
                <w:sz w:val="19"/>
              </w:rPr>
              <w:t>, section 516A</w:t>
            </w:r>
          </w:p>
        </w:tc>
        <w:tc>
          <w:tcPr>
            <w:tcW w:w="1701" w:type="dxa"/>
            <w:tcBorders>
              <w:top w:val="single" w:sz="2" w:space="0" w:color="000000"/>
              <w:left w:val="single" w:sz="2" w:space="0" w:color="000000"/>
              <w:bottom w:val="single" w:sz="2" w:space="0" w:color="000000"/>
              <w:right w:val="nil"/>
            </w:tcBorders>
          </w:tcPr>
          <w:p w14:paraId="64600603" w14:textId="7195CF9C" w:rsidR="00445608" w:rsidRDefault="00445608" w:rsidP="00445608">
            <w:pPr>
              <w:pStyle w:val="TableParagraph"/>
              <w:spacing w:before="42"/>
              <w:ind w:left="17" w:right="16"/>
              <w:jc w:val="center"/>
              <w:rPr>
                <w:spacing w:val="-5"/>
                <w:sz w:val="19"/>
              </w:rPr>
            </w:pPr>
            <w:r>
              <w:rPr>
                <w:sz w:val="19"/>
              </w:rPr>
              <w:t>96,</w:t>
            </w:r>
            <w:r>
              <w:rPr>
                <w:spacing w:val="-5"/>
                <w:sz w:val="19"/>
              </w:rPr>
              <w:t xml:space="preserve"> </w:t>
            </w:r>
            <w:r>
              <w:rPr>
                <w:sz w:val="19"/>
              </w:rPr>
              <w:t>137–</w:t>
            </w:r>
            <w:r>
              <w:rPr>
                <w:spacing w:val="-10"/>
                <w:sz w:val="19"/>
              </w:rPr>
              <w:t>9</w:t>
            </w:r>
          </w:p>
        </w:tc>
      </w:tr>
      <w:tr w:rsidR="00445608" w14:paraId="5C9CD6C9" w14:textId="77777777">
        <w:trPr>
          <w:trHeight w:val="721"/>
        </w:trPr>
        <w:tc>
          <w:tcPr>
            <w:tcW w:w="2551" w:type="dxa"/>
            <w:tcBorders>
              <w:top w:val="single" w:sz="2" w:space="0" w:color="000000"/>
              <w:left w:val="nil"/>
              <w:bottom w:val="single" w:sz="2" w:space="0" w:color="000000"/>
              <w:right w:val="single" w:sz="2" w:space="0" w:color="000000"/>
            </w:tcBorders>
          </w:tcPr>
          <w:p w14:paraId="22FC050B" w14:textId="1B4A91A1" w:rsidR="00445608" w:rsidRDefault="00445608" w:rsidP="00445608">
            <w:pPr>
              <w:pStyle w:val="TableParagraph"/>
              <w:spacing w:before="47" w:line="230" w:lineRule="auto"/>
              <w:ind w:left="85" w:right="178"/>
              <w:rPr>
                <w:sz w:val="19"/>
              </w:rPr>
            </w:pPr>
            <w:r>
              <w:rPr>
                <w:sz w:val="19"/>
              </w:rPr>
              <w:t>Enabling legislation, functions</w:t>
            </w:r>
            <w:r>
              <w:rPr>
                <w:spacing w:val="-8"/>
                <w:sz w:val="19"/>
              </w:rPr>
              <w:t xml:space="preserve"> </w:t>
            </w:r>
            <w:r>
              <w:rPr>
                <w:sz w:val="19"/>
              </w:rPr>
              <w:t>and</w:t>
            </w:r>
            <w:r>
              <w:rPr>
                <w:spacing w:val="-8"/>
                <w:sz w:val="19"/>
              </w:rPr>
              <w:t xml:space="preserve"> </w:t>
            </w:r>
            <w:r>
              <w:rPr>
                <w:sz w:val="19"/>
              </w:rPr>
              <w:t>objectives</w:t>
            </w:r>
          </w:p>
        </w:tc>
        <w:tc>
          <w:tcPr>
            <w:tcW w:w="5953" w:type="dxa"/>
            <w:tcBorders>
              <w:top w:val="single" w:sz="2" w:space="0" w:color="000000"/>
              <w:left w:val="single" w:sz="2" w:space="0" w:color="000000"/>
              <w:bottom w:val="single" w:sz="2" w:space="0" w:color="000000"/>
              <w:right w:val="single" w:sz="2" w:space="0" w:color="000000"/>
            </w:tcBorders>
          </w:tcPr>
          <w:p w14:paraId="395A3004" w14:textId="16C18E01" w:rsidR="00445608" w:rsidRDefault="00445608" w:rsidP="00445608">
            <w:pPr>
              <w:pStyle w:val="TableParagraph"/>
              <w:spacing w:before="47" w:line="230" w:lineRule="auto"/>
              <w:ind w:left="82"/>
              <w:rPr>
                <w:sz w:val="19"/>
              </w:rPr>
            </w:pPr>
            <w:r>
              <w:rPr>
                <w:sz w:val="19"/>
              </w:rPr>
              <w:t>Public Governance, Performance and Accountability Amendment (Corporate Commonwealth Entity Annual Reporting) Rule 2016, subsection 17BE(a)</w:t>
            </w:r>
          </w:p>
        </w:tc>
        <w:tc>
          <w:tcPr>
            <w:tcW w:w="1701" w:type="dxa"/>
            <w:tcBorders>
              <w:top w:val="single" w:sz="2" w:space="0" w:color="000000"/>
              <w:left w:val="single" w:sz="2" w:space="0" w:color="000000"/>
              <w:bottom w:val="single" w:sz="2" w:space="0" w:color="000000"/>
              <w:right w:val="nil"/>
            </w:tcBorders>
          </w:tcPr>
          <w:p w14:paraId="53F0EC0F" w14:textId="1A717EE7" w:rsidR="00445608" w:rsidRDefault="00445608" w:rsidP="00445608">
            <w:pPr>
              <w:pStyle w:val="TableParagraph"/>
              <w:spacing w:before="42"/>
              <w:ind w:left="17" w:right="16"/>
              <w:jc w:val="center"/>
              <w:rPr>
                <w:spacing w:val="-5"/>
                <w:sz w:val="19"/>
              </w:rPr>
            </w:pPr>
            <w:r>
              <w:rPr>
                <w:spacing w:val="-2"/>
                <w:sz w:val="19"/>
              </w:rPr>
              <w:t>11,</w:t>
            </w:r>
            <w:r>
              <w:rPr>
                <w:spacing w:val="-8"/>
                <w:sz w:val="19"/>
              </w:rPr>
              <w:t xml:space="preserve"> </w:t>
            </w:r>
            <w:r>
              <w:rPr>
                <w:spacing w:val="-2"/>
                <w:sz w:val="19"/>
              </w:rPr>
              <w:t>75,</w:t>
            </w:r>
            <w:r>
              <w:rPr>
                <w:spacing w:val="-8"/>
                <w:sz w:val="19"/>
              </w:rPr>
              <w:t xml:space="preserve"> </w:t>
            </w:r>
            <w:r>
              <w:rPr>
                <w:spacing w:val="-7"/>
                <w:sz w:val="19"/>
              </w:rPr>
              <w:t>87</w:t>
            </w:r>
          </w:p>
        </w:tc>
      </w:tr>
      <w:tr w:rsidR="00445608" w14:paraId="34D904F0" w14:textId="77777777">
        <w:trPr>
          <w:trHeight w:val="721"/>
        </w:trPr>
        <w:tc>
          <w:tcPr>
            <w:tcW w:w="2551" w:type="dxa"/>
            <w:tcBorders>
              <w:top w:val="single" w:sz="2" w:space="0" w:color="000000"/>
              <w:left w:val="nil"/>
              <w:bottom w:val="single" w:sz="2" w:space="0" w:color="000000"/>
              <w:right w:val="single" w:sz="2" w:space="0" w:color="000000"/>
            </w:tcBorders>
          </w:tcPr>
          <w:p w14:paraId="1900097F" w14:textId="0F1E22C9" w:rsidR="00445608" w:rsidRDefault="00445608" w:rsidP="00445608">
            <w:pPr>
              <w:pStyle w:val="TableParagraph"/>
              <w:spacing w:before="47" w:line="230" w:lineRule="auto"/>
              <w:ind w:left="85" w:right="178"/>
              <w:rPr>
                <w:sz w:val="19"/>
              </w:rPr>
            </w:pPr>
            <w:r>
              <w:rPr>
                <w:sz w:val="19"/>
              </w:rPr>
              <w:t>Financial</w:t>
            </w:r>
            <w:r>
              <w:rPr>
                <w:spacing w:val="1"/>
                <w:sz w:val="19"/>
              </w:rPr>
              <w:t xml:space="preserve"> </w:t>
            </w:r>
            <w:r>
              <w:rPr>
                <w:spacing w:val="-2"/>
                <w:sz w:val="19"/>
              </w:rPr>
              <w:t>statements</w:t>
            </w:r>
          </w:p>
        </w:tc>
        <w:tc>
          <w:tcPr>
            <w:tcW w:w="5953" w:type="dxa"/>
            <w:tcBorders>
              <w:top w:val="single" w:sz="2" w:space="0" w:color="000000"/>
              <w:left w:val="single" w:sz="2" w:space="0" w:color="000000"/>
              <w:bottom w:val="single" w:sz="2" w:space="0" w:color="000000"/>
              <w:right w:val="single" w:sz="2" w:space="0" w:color="000000"/>
            </w:tcBorders>
          </w:tcPr>
          <w:p w14:paraId="3178FCA4" w14:textId="12293BB5" w:rsidR="00445608" w:rsidRDefault="00445608" w:rsidP="00445608">
            <w:pPr>
              <w:pStyle w:val="TableParagraph"/>
              <w:spacing w:before="47" w:line="230" w:lineRule="auto"/>
              <w:ind w:left="82"/>
              <w:rPr>
                <w:sz w:val="19"/>
              </w:rPr>
            </w:pPr>
            <w:r>
              <w:rPr>
                <w:i/>
                <w:sz w:val="19"/>
              </w:rPr>
              <w:t>Public Governance, Performance and Accountability Act 2013</w:t>
            </w:r>
            <w:r>
              <w:rPr>
                <w:sz w:val="19"/>
              </w:rPr>
              <w:t>, subsection 43(4)</w:t>
            </w:r>
          </w:p>
        </w:tc>
        <w:tc>
          <w:tcPr>
            <w:tcW w:w="1701" w:type="dxa"/>
            <w:tcBorders>
              <w:top w:val="single" w:sz="2" w:space="0" w:color="000000"/>
              <w:left w:val="single" w:sz="2" w:space="0" w:color="000000"/>
              <w:bottom w:val="single" w:sz="2" w:space="0" w:color="000000"/>
              <w:right w:val="nil"/>
            </w:tcBorders>
          </w:tcPr>
          <w:p w14:paraId="0980FF91" w14:textId="52E45B8E" w:rsidR="00445608" w:rsidRDefault="00445608" w:rsidP="00445608">
            <w:pPr>
              <w:pStyle w:val="TableParagraph"/>
              <w:spacing w:before="42"/>
              <w:ind w:left="17" w:right="16"/>
              <w:jc w:val="center"/>
              <w:rPr>
                <w:spacing w:val="-5"/>
                <w:sz w:val="19"/>
              </w:rPr>
            </w:pPr>
            <w:r>
              <w:rPr>
                <w:sz w:val="19"/>
              </w:rPr>
              <w:t>108–</w:t>
            </w:r>
            <w:r>
              <w:rPr>
                <w:spacing w:val="-5"/>
                <w:sz w:val="19"/>
              </w:rPr>
              <w:t>33</w:t>
            </w:r>
          </w:p>
        </w:tc>
      </w:tr>
      <w:tr w:rsidR="00445608" w14:paraId="36DAD458" w14:textId="77777777">
        <w:trPr>
          <w:trHeight w:val="721"/>
        </w:trPr>
        <w:tc>
          <w:tcPr>
            <w:tcW w:w="2551" w:type="dxa"/>
            <w:tcBorders>
              <w:top w:val="single" w:sz="2" w:space="0" w:color="000000"/>
              <w:left w:val="nil"/>
              <w:bottom w:val="single" w:sz="2" w:space="0" w:color="000000"/>
              <w:right w:val="single" w:sz="2" w:space="0" w:color="000000"/>
            </w:tcBorders>
          </w:tcPr>
          <w:p w14:paraId="4368DF77" w14:textId="1D993765" w:rsidR="00445608" w:rsidRDefault="00445608" w:rsidP="00445608">
            <w:pPr>
              <w:pStyle w:val="TableParagraph"/>
              <w:spacing w:before="47" w:line="230" w:lineRule="auto"/>
              <w:ind w:left="85" w:right="178"/>
              <w:rPr>
                <w:sz w:val="19"/>
              </w:rPr>
            </w:pPr>
            <w:r>
              <w:rPr>
                <w:sz w:val="19"/>
              </w:rPr>
              <w:t>Financial statements certification: a statement, signed</w:t>
            </w:r>
            <w:r>
              <w:rPr>
                <w:spacing w:val="-7"/>
                <w:sz w:val="19"/>
              </w:rPr>
              <w:t xml:space="preserve"> </w:t>
            </w:r>
            <w:r>
              <w:rPr>
                <w:sz w:val="19"/>
              </w:rPr>
              <w:t>by</w:t>
            </w:r>
            <w:r>
              <w:rPr>
                <w:spacing w:val="-7"/>
                <w:sz w:val="19"/>
              </w:rPr>
              <w:t xml:space="preserve"> </w:t>
            </w:r>
            <w:r>
              <w:rPr>
                <w:sz w:val="19"/>
              </w:rPr>
              <w:t>the</w:t>
            </w:r>
            <w:r>
              <w:rPr>
                <w:spacing w:val="-7"/>
                <w:sz w:val="19"/>
              </w:rPr>
              <w:t xml:space="preserve"> </w:t>
            </w:r>
            <w:r>
              <w:rPr>
                <w:sz w:val="19"/>
              </w:rPr>
              <w:t xml:space="preserve">accountable </w:t>
            </w:r>
            <w:r>
              <w:rPr>
                <w:spacing w:val="-2"/>
                <w:sz w:val="19"/>
              </w:rPr>
              <w:t>authority</w:t>
            </w:r>
          </w:p>
        </w:tc>
        <w:tc>
          <w:tcPr>
            <w:tcW w:w="5953" w:type="dxa"/>
            <w:tcBorders>
              <w:top w:val="single" w:sz="2" w:space="0" w:color="000000"/>
              <w:left w:val="single" w:sz="2" w:space="0" w:color="000000"/>
              <w:bottom w:val="single" w:sz="2" w:space="0" w:color="000000"/>
              <w:right w:val="single" w:sz="2" w:space="0" w:color="000000"/>
            </w:tcBorders>
          </w:tcPr>
          <w:p w14:paraId="2951C03C" w14:textId="19EEEB3F" w:rsidR="00445608" w:rsidRDefault="00445608" w:rsidP="00445608">
            <w:pPr>
              <w:pStyle w:val="TableParagraph"/>
              <w:spacing w:before="47" w:line="230" w:lineRule="auto"/>
              <w:ind w:left="82"/>
              <w:rPr>
                <w:sz w:val="19"/>
              </w:rPr>
            </w:pPr>
            <w:r>
              <w:rPr>
                <w:i/>
                <w:sz w:val="19"/>
              </w:rPr>
              <w:t>Public Governance, Performance and Accountability Act 2013</w:t>
            </w:r>
            <w:r>
              <w:rPr>
                <w:sz w:val="19"/>
              </w:rPr>
              <w:t>, subsection 43(4)</w:t>
            </w:r>
          </w:p>
        </w:tc>
        <w:tc>
          <w:tcPr>
            <w:tcW w:w="1701" w:type="dxa"/>
            <w:tcBorders>
              <w:top w:val="single" w:sz="2" w:space="0" w:color="000000"/>
              <w:left w:val="single" w:sz="2" w:space="0" w:color="000000"/>
              <w:bottom w:val="single" w:sz="2" w:space="0" w:color="000000"/>
              <w:right w:val="nil"/>
            </w:tcBorders>
          </w:tcPr>
          <w:p w14:paraId="404875C5" w14:textId="7DC38349" w:rsidR="00445608" w:rsidRDefault="00445608" w:rsidP="00445608">
            <w:pPr>
              <w:pStyle w:val="TableParagraph"/>
              <w:spacing w:before="42"/>
              <w:ind w:left="17" w:right="16"/>
              <w:jc w:val="center"/>
              <w:rPr>
                <w:spacing w:val="-5"/>
                <w:sz w:val="19"/>
              </w:rPr>
            </w:pPr>
            <w:r>
              <w:rPr>
                <w:spacing w:val="-5"/>
                <w:sz w:val="19"/>
              </w:rPr>
              <w:t>111</w:t>
            </w:r>
          </w:p>
        </w:tc>
      </w:tr>
      <w:tr w:rsidR="00445608" w14:paraId="0C48ED52" w14:textId="77777777">
        <w:trPr>
          <w:trHeight w:val="721"/>
        </w:trPr>
        <w:tc>
          <w:tcPr>
            <w:tcW w:w="2551" w:type="dxa"/>
            <w:tcBorders>
              <w:top w:val="single" w:sz="2" w:space="0" w:color="000000"/>
              <w:left w:val="nil"/>
              <w:bottom w:val="single" w:sz="2" w:space="0" w:color="000000"/>
              <w:right w:val="single" w:sz="2" w:space="0" w:color="000000"/>
            </w:tcBorders>
          </w:tcPr>
          <w:p w14:paraId="4F27E932" w14:textId="50907896" w:rsidR="00445608" w:rsidRDefault="00445608" w:rsidP="00445608">
            <w:pPr>
              <w:pStyle w:val="TableParagraph"/>
              <w:spacing w:before="47" w:line="230" w:lineRule="auto"/>
              <w:ind w:left="85" w:right="178"/>
              <w:rPr>
                <w:sz w:val="19"/>
              </w:rPr>
            </w:pPr>
            <w:r>
              <w:rPr>
                <w:sz w:val="19"/>
              </w:rPr>
              <w:t>Financial</w:t>
            </w:r>
            <w:r>
              <w:rPr>
                <w:spacing w:val="-14"/>
                <w:sz w:val="19"/>
              </w:rPr>
              <w:t xml:space="preserve"> </w:t>
            </w:r>
            <w:r>
              <w:rPr>
                <w:sz w:val="19"/>
              </w:rPr>
              <w:t>statements certification:</w:t>
            </w:r>
            <w:r>
              <w:rPr>
                <w:spacing w:val="-14"/>
                <w:sz w:val="19"/>
              </w:rPr>
              <w:t xml:space="preserve"> </w:t>
            </w:r>
            <w:r>
              <w:rPr>
                <w:sz w:val="19"/>
              </w:rPr>
              <w:t>Auditor-General’s Report</w:t>
            </w:r>
          </w:p>
        </w:tc>
        <w:tc>
          <w:tcPr>
            <w:tcW w:w="5953" w:type="dxa"/>
            <w:tcBorders>
              <w:top w:val="single" w:sz="2" w:space="0" w:color="000000"/>
              <w:left w:val="single" w:sz="2" w:space="0" w:color="000000"/>
              <w:bottom w:val="single" w:sz="2" w:space="0" w:color="000000"/>
              <w:right w:val="single" w:sz="2" w:space="0" w:color="000000"/>
            </w:tcBorders>
          </w:tcPr>
          <w:p w14:paraId="492A0159" w14:textId="516EF014" w:rsidR="00445608" w:rsidRDefault="00445608" w:rsidP="00445608">
            <w:pPr>
              <w:pStyle w:val="TableParagraph"/>
              <w:spacing w:before="47" w:line="230" w:lineRule="auto"/>
              <w:ind w:left="82"/>
              <w:rPr>
                <w:sz w:val="19"/>
              </w:rPr>
            </w:pPr>
            <w:r>
              <w:rPr>
                <w:i/>
                <w:sz w:val="19"/>
              </w:rPr>
              <w:t>Public Governance, Performance and Accountability Act 2013</w:t>
            </w:r>
            <w:r>
              <w:rPr>
                <w:sz w:val="19"/>
              </w:rPr>
              <w:t>, subsection 43(4)</w:t>
            </w:r>
          </w:p>
        </w:tc>
        <w:tc>
          <w:tcPr>
            <w:tcW w:w="1701" w:type="dxa"/>
            <w:tcBorders>
              <w:top w:val="single" w:sz="2" w:space="0" w:color="000000"/>
              <w:left w:val="single" w:sz="2" w:space="0" w:color="000000"/>
              <w:bottom w:val="single" w:sz="2" w:space="0" w:color="000000"/>
              <w:right w:val="nil"/>
            </w:tcBorders>
          </w:tcPr>
          <w:p w14:paraId="6B829988" w14:textId="27FD0416" w:rsidR="00445608" w:rsidRDefault="00445608" w:rsidP="00445608">
            <w:pPr>
              <w:pStyle w:val="TableParagraph"/>
              <w:spacing w:before="42"/>
              <w:ind w:left="17" w:right="16"/>
              <w:jc w:val="center"/>
              <w:rPr>
                <w:spacing w:val="-5"/>
                <w:sz w:val="19"/>
              </w:rPr>
            </w:pPr>
            <w:r>
              <w:rPr>
                <w:sz w:val="19"/>
              </w:rPr>
              <w:t>109–</w:t>
            </w:r>
            <w:r>
              <w:rPr>
                <w:spacing w:val="-5"/>
                <w:sz w:val="19"/>
              </w:rPr>
              <w:t>10</w:t>
            </w:r>
          </w:p>
        </w:tc>
      </w:tr>
      <w:tr w:rsidR="00445608" w14:paraId="3B1643FD" w14:textId="77777777">
        <w:trPr>
          <w:trHeight w:val="721"/>
        </w:trPr>
        <w:tc>
          <w:tcPr>
            <w:tcW w:w="2551" w:type="dxa"/>
            <w:tcBorders>
              <w:top w:val="single" w:sz="2" w:space="0" w:color="000000"/>
              <w:left w:val="nil"/>
              <w:bottom w:val="single" w:sz="2" w:space="0" w:color="000000"/>
              <w:right w:val="single" w:sz="2" w:space="0" w:color="000000"/>
            </w:tcBorders>
          </w:tcPr>
          <w:p w14:paraId="12026695" w14:textId="30928B26" w:rsidR="00445608" w:rsidRDefault="00445608" w:rsidP="00445608">
            <w:pPr>
              <w:pStyle w:val="TableParagraph"/>
              <w:spacing w:before="47" w:line="230" w:lineRule="auto"/>
              <w:ind w:left="85" w:right="178"/>
              <w:rPr>
                <w:sz w:val="19"/>
              </w:rPr>
            </w:pPr>
            <w:r>
              <w:rPr>
                <w:sz w:val="19"/>
              </w:rPr>
              <w:t>Government</w:t>
            </w:r>
            <w:r>
              <w:rPr>
                <w:spacing w:val="2"/>
                <w:sz w:val="19"/>
              </w:rPr>
              <w:t xml:space="preserve"> </w:t>
            </w:r>
            <w:r>
              <w:rPr>
                <w:sz w:val="19"/>
              </w:rPr>
              <w:t>policy</w:t>
            </w:r>
            <w:r>
              <w:rPr>
                <w:spacing w:val="3"/>
                <w:sz w:val="19"/>
              </w:rPr>
              <w:t xml:space="preserve"> </w:t>
            </w:r>
            <w:r>
              <w:rPr>
                <w:spacing w:val="-2"/>
                <w:sz w:val="19"/>
              </w:rPr>
              <w:t>orders</w:t>
            </w:r>
          </w:p>
        </w:tc>
        <w:tc>
          <w:tcPr>
            <w:tcW w:w="5953" w:type="dxa"/>
            <w:tcBorders>
              <w:top w:val="single" w:sz="2" w:space="0" w:color="000000"/>
              <w:left w:val="single" w:sz="2" w:space="0" w:color="000000"/>
              <w:bottom w:val="single" w:sz="2" w:space="0" w:color="000000"/>
              <w:right w:val="single" w:sz="2" w:space="0" w:color="000000"/>
            </w:tcBorders>
          </w:tcPr>
          <w:p w14:paraId="01262259" w14:textId="00F0EB67" w:rsidR="00445608" w:rsidRDefault="00445608" w:rsidP="00445608">
            <w:pPr>
              <w:pStyle w:val="TableParagraph"/>
              <w:spacing w:before="47" w:line="230" w:lineRule="auto"/>
              <w:ind w:left="82"/>
              <w:rPr>
                <w:sz w:val="19"/>
              </w:rPr>
            </w:pPr>
            <w:r>
              <w:rPr>
                <w:sz w:val="19"/>
              </w:rPr>
              <w:t>Public Governance, Performance and Accountability Amendment (Corporate Commonwealth Entity Annual Reporting) Rule 2016, subsection 17BE(e)</w:t>
            </w:r>
          </w:p>
        </w:tc>
        <w:tc>
          <w:tcPr>
            <w:tcW w:w="1701" w:type="dxa"/>
            <w:tcBorders>
              <w:top w:val="single" w:sz="2" w:space="0" w:color="000000"/>
              <w:left w:val="single" w:sz="2" w:space="0" w:color="000000"/>
              <w:bottom w:val="single" w:sz="2" w:space="0" w:color="000000"/>
              <w:right w:val="nil"/>
            </w:tcBorders>
          </w:tcPr>
          <w:p w14:paraId="2F0056FF" w14:textId="3583838B" w:rsidR="00445608" w:rsidRDefault="00445608" w:rsidP="00445608">
            <w:pPr>
              <w:pStyle w:val="TableParagraph"/>
              <w:spacing w:before="42"/>
              <w:ind w:left="17" w:right="16"/>
              <w:jc w:val="center"/>
              <w:rPr>
                <w:spacing w:val="-5"/>
                <w:sz w:val="19"/>
              </w:rPr>
            </w:pPr>
            <w:r>
              <w:rPr>
                <w:spacing w:val="-5"/>
                <w:sz w:val="19"/>
              </w:rPr>
              <w:t>96</w:t>
            </w:r>
          </w:p>
        </w:tc>
      </w:tr>
      <w:tr w:rsidR="00445608" w14:paraId="7827C86F" w14:textId="77777777">
        <w:trPr>
          <w:trHeight w:val="721"/>
        </w:trPr>
        <w:tc>
          <w:tcPr>
            <w:tcW w:w="2551" w:type="dxa"/>
            <w:tcBorders>
              <w:top w:val="single" w:sz="2" w:space="0" w:color="000000"/>
              <w:left w:val="nil"/>
              <w:bottom w:val="single" w:sz="2" w:space="0" w:color="000000"/>
              <w:right w:val="single" w:sz="2" w:space="0" w:color="000000"/>
            </w:tcBorders>
          </w:tcPr>
          <w:p w14:paraId="368690D2" w14:textId="115A3D06" w:rsidR="00445608" w:rsidRDefault="00445608" w:rsidP="00445608">
            <w:pPr>
              <w:pStyle w:val="TableParagraph"/>
              <w:spacing w:before="47" w:line="230" w:lineRule="auto"/>
              <w:ind w:left="85" w:right="178"/>
              <w:rPr>
                <w:sz w:val="19"/>
              </w:rPr>
            </w:pPr>
            <w:r>
              <w:rPr>
                <w:sz w:val="19"/>
              </w:rPr>
              <w:lastRenderedPageBreak/>
              <w:t>Indemnities</w:t>
            </w:r>
            <w:r>
              <w:rPr>
                <w:spacing w:val="-10"/>
                <w:sz w:val="19"/>
              </w:rPr>
              <w:t xml:space="preserve"> </w:t>
            </w:r>
            <w:r>
              <w:rPr>
                <w:sz w:val="19"/>
              </w:rPr>
              <w:t>and</w:t>
            </w:r>
            <w:r>
              <w:rPr>
                <w:spacing w:val="-10"/>
                <w:sz w:val="19"/>
              </w:rPr>
              <w:t xml:space="preserve"> </w:t>
            </w:r>
            <w:r>
              <w:rPr>
                <w:sz w:val="19"/>
              </w:rPr>
              <w:t>insurance premiums for officers</w:t>
            </w:r>
          </w:p>
        </w:tc>
        <w:tc>
          <w:tcPr>
            <w:tcW w:w="5953" w:type="dxa"/>
            <w:tcBorders>
              <w:top w:val="single" w:sz="2" w:space="0" w:color="000000"/>
              <w:left w:val="single" w:sz="2" w:space="0" w:color="000000"/>
              <w:bottom w:val="single" w:sz="2" w:space="0" w:color="000000"/>
              <w:right w:val="single" w:sz="2" w:space="0" w:color="000000"/>
            </w:tcBorders>
          </w:tcPr>
          <w:p w14:paraId="636E9816" w14:textId="4DE3BFBC" w:rsidR="00445608" w:rsidRDefault="00445608" w:rsidP="00445608">
            <w:pPr>
              <w:pStyle w:val="TableParagraph"/>
              <w:spacing w:before="47" w:line="230" w:lineRule="auto"/>
              <w:ind w:left="82"/>
              <w:rPr>
                <w:sz w:val="19"/>
              </w:rPr>
            </w:pPr>
            <w:r>
              <w:rPr>
                <w:sz w:val="19"/>
              </w:rPr>
              <w:t>Public Governance, Performance and Accountability Amendment (Corporate Commonwealth Entity Annual Reporting) Rule 2016, subsection 17BE(t)</w:t>
            </w:r>
          </w:p>
        </w:tc>
        <w:tc>
          <w:tcPr>
            <w:tcW w:w="1701" w:type="dxa"/>
            <w:tcBorders>
              <w:top w:val="single" w:sz="2" w:space="0" w:color="000000"/>
              <w:left w:val="single" w:sz="2" w:space="0" w:color="000000"/>
              <w:bottom w:val="single" w:sz="2" w:space="0" w:color="000000"/>
              <w:right w:val="nil"/>
            </w:tcBorders>
          </w:tcPr>
          <w:p w14:paraId="24CD6EFE" w14:textId="353F5DBF" w:rsidR="00445608" w:rsidRDefault="00445608" w:rsidP="00445608">
            <w:pPr>
              <w:pStyle w:val="TableParagraph"/>
              <w:spacing w:before="42"/>
              <w:ind w:left="17" w:right="16"/>
              <w:jc w:val="center"/>
              <w:rPr>
                <w:spacing w:val="-5"/>
                <w:sz w:val="19"/>
              </w:rPr>
            </w:pPr>
            <w:r>
              <w:rPr>
                <w:spacing w:val="-5"/>
                <w:sz w:val="19"/>
              </w:rPr>
              <w:t>77</w:t>
            </w:r>
          </w:p>
        </w:tc>
      </w:tr>
      <w:tr w:rsidR="00445608" w14:paraId="205194E6" w14:textId="77777777">
        <w:trPr>
          <w:trHeight w:val="721"/>
        </w:trPr>
        <w:tc>
          <w:tcPr>
            <w:tcW w:w="2551" w:type="dxa"/>
            <w:tcBorders>
              <w:top w:val="single" w:sz="2" w:space="0" w:color="000000"/>
              <w:left w:val="nil"/>
              <w:bottom w:val="single" w:sz="2" w:space="0" w:color="000000"/>
              <w:right w:val="single" w:sz="2" w:space="0" w:color="000000"/>
            </w:tcBorders>
          </w:tcPr>
          <w:p w14:paraId="3C30EC8E" w14:textId="5AFC490B" w:rsidR="00445608" w:rsidRDefault="00445608" w:rsidP="00445608">
            <w:pPr>
              <w:pStyle w:val="TableParagraph"/>
              <w:spacing w:before="47" w:line="230" w:lineRule="auto"/>
              <w:ind w:left="85" w:right="178"/>
              <w:rPr>
                <w:sz w:val="19"/>
              </w:rPr>
            </w:pPr>
            <w:r>
              <w:rPr>
                <w:sz w:val="19"/>
              </w:rPr>
              <w:t>Information about remuneration for key management</w:t>
            </w:r>
            <w:r>
              <w:rPr>
                <w:spacing w:val="-14"/>
                <w:sz w:val="19"/>
              </w:rPr>
              <w:t xml:space="preserve"> </w:t>
            </w:r>
            <w:r>
              <w:rPr>
                <w:sz w:val="19"/>
              </w:rPr>
              <w:t>personnel</w:t>
            </w:r>
          </w:p>
        </w:tc>
        <w:tc>
          <w:tcPr>
            <w:tcW w:w="5953" w:type="dxa"/>
            <w:tcBorders>
              <w:top w:val="single" w:sz="2" w:space="0" w:color="000000"/>
              <w:left w:val="single" w:sz="2" w:space="0" w:color="000000"/>
              <w:bottom w:val="single" w:sz="2" w:space="0" w:color="000000"/>
              <w:right w:val="single" w:sz="2" w:space="0" w:color="000000"/>
            </w:tcBorders>
          </w:tcPr>
          <w:p w14:paraId="3BEFC5D3" w14:textId="1B8B10FA" w:rsidR="00445608" w:rsidRDefault="00445608" w:rsidP="00445608">
            <w:pPr>
              <w:pStyle w:val="TableParagraph"/>
              <w:spacing w:before="47" w:line="230" w:lineRule="auto"/>
              <w:ind w:left="82"/>
              <w:rPr>
                <w:sz w:val="19"/>
              </w:rPr>
            </w:pPr>
            <w:r>
              <w:rPr>
                <w:sz w:val="19"/>
              </w:rPr>
              <w:t>Public Governance, Performance and Accountability Amendment (Corporate Commonwealth Entity Annual Report) Rule 2016, subsection 17CA</w:t>
            </w:r>
          </w:p>
        </w:tc>
        <w:tc>
          <w:tcPr>
            <w:tcW w:w="1701" w:type="dxa"/>
            <w:tcBorders>
              <w:top w:val="single" w:sz="2" w:space="0" w:color="000000"/>
              <w:left w:val="single" w:sz="2" w:space="0" w:color="000000"/>
              <w:bottom w:val="single" w:sz="2" w:space="0" w:color="000000"/>
              <w:right w:val="nil"/>
            </w:tcBorders>
          </w:tcPr>
          <w:p w14:paraId="7884F901" w14:textId="41170277" w:rsidR="00445608" w:rsidRDefault="00445608" w:rsidP="00445608">
            <w:pPr>
              <w:pStyle w:val="TableParagraph"/>
              <w:spacing w:before="42"/>
              <w:ind w:left="17" w:right="16"/>
              <w:jc w:val="center"/>
              <w:rPr>
                <w:spacing w:val="-5"/>
                <w:sz w:val="19"/>
              </w:rPr>
            </w:pPr>
            <w:r>
              <w:rPr>
                <w:spacing w:val="-5"/>
                <w:sz w:val="19"/>
              </w:rPr>
              <w:t>94</w:t>
            </w:r>
          </w:p>
        </w:tc>
      </w:tr>
      <w:tr w:rsidR="00445608" w14:paraId="78A893F9" w14:textId="77777777">
        <w:trPr>
          <w:trHeight w:val="721"/>
        </w:trPr>
        <w:tc>
          <w:tcPr>
            <w:tcW w:w="2551" w:type="dxa"/>
            <w:tcBorders>
              <w:top w:val="single" w:sz="2" w:space="0" w:color="000000"/>
              <w:left w:val="nil"/>
              <w:bottom w:val="single" w:sz="2" w:space="0" w:color="000000"/>
              <w:right w:val="single" w:sz="2" w:space="0" w:color="000000"/>
            </w:tcBorders>
          </w:tcPr>
          <w:p w14:paraId="63DF2762" w14:textId="2AC65930" w:rsidR="00445608" w:rsidRDefault="00445608" w:rsidP="00445608">
            <w:pPr>
              <w:pStyle w:val="TableParagraph"/>
              <w:spacing w:before="47" w:line="230" w:lineRule="auto"/>
              <w:ind w:left="85" w:right="178"/>
              <w:rPr>
                <w:sz w:val="19"/>
              </w:rPr>
            </w:pPr>
            <w:r>
              <w:rPr>
                <w:sz w:val="19"/>
              </w:rPr>
              <w:t>Information about remuneration</w:t>
            </w:r>
            <w:r>
              <w:rPr>
                <w:spacing w:val="-11"/>
                <w:sz w:val="19"/>
              </w:rPr>
              <w:t xml:space="preserve"> </w:t>
            </w:r>
            <w:r>
              <w:rPr>
                <w:sz w:val="19"/>
              </w:rPr>
              <w:t>for</w:t>
            </w:r>
            <w:r>
              <w:rPr>
                <w:spacing w:val="-11"/>
                <w:sz w:val="19"/>
              </w:rPr>
              <w:t xml:space="preserve"> </w:t>
            </w:r>
            <w:r>
              <w:rPr>
                <w:sz w:val="19"/>
              </w:rPr>
              <w:t>other highly paid staff</w:t>
            </w:r>
          </w:p>
        </w:tc>
        <w:tc>
          <w:tcPr>
            <w:tcW w:w="5953" w:type="dxa"/>
            <w:tcBorders>
              <w:top w:val="single" w:sz="2" w:space="0" w:color="000000"/>
              <w:left w:val="single" w:sz="2" w:space="0" w:color="000000"/>
              <w:bottom w:val="single" w:sz="2" w:space="0" w:color="000000"/>
              <w:right w:val="single" w:sz="2" w:space="0" w:color="000000"/>
            </w:tcBorders>
          </w:tcPr>
          <w:p w14:paraId="02F6B63E" w14:textId="165844A1" w:rsidR="00445608" w:rsidRDefault="00445608" w:rsidP="00445608">
            <w:pPr>
              <w:pStyle w:val="TableParagraph"/>
              <w:spacing w:before="47" w:line="230" w:lineRule="auto"/>
              <w:ind w:left="82"/>
              <w:rPr>
                <w:sz w:val="19"/>
              </w:rPr>
            </w:pPr>
            <w:r>
              <w:rPr>
                <w:sz w:val="19"/>
              </w:rPr>
              <w:t>Public Governance, Performance and Accountability Amendment (Corporate Commonwealth Entity Annual Report) Rule 2016, subsection 17CC</w:t>
            </w:r>
          </w:p>
        </w:tc>
        <w:tc>
          <w:tcPr>
            <w:tcW w:w="1701" w:type="dxa"/>
            <w:tcBorders>
              <w:top w:val="single" w:sz="2" w:space="0" w:color="000000"/>
              <w:left w:val="single" w:sz="2" w:space="0" w:color="000000"/>
              <w:bottom w:val="single" w:sz="2" w:space="0" w:color="000000"/>
              <w:right w:val="nil"/>
            </w:tcBorders>
          </w:tcPr>
          <w:p w14:paraId="4DBA219E" w14:textId="534DA52F" w:rsidR="00445608" w:rsidRDefault="00445608" w:rsidP="00445608">
            <w:pPr>
              <w:pStyle w:val="TableParagraph"/>
              <w:spacing w:before="42"/>
              <w:ind w:left="17" w:right="16"/>
              <w:jc w:val="center"/>
              <w:rPr>
                <w:spacing w:val="-5"/>
                <w:sz w:val="19"/>
              </w:rPr>
            </w:pPr>
            <w:r>
              <w:rPr>
                <w:sz w:val="19"/>
              </w:rPr>
              <w:t>93–</w:t>
            </w:r>
            <w:r>
              <w:rPr>
                <w:spacing w:val="-10"/>
                <w:sz w:val="19"/>
              </w:rPr>
              <w:t>5</w:t>
            </w:r>
          </w:p>
        </w:tc>
      </w:tr>
      <w:tr w:rsidR="00445608" w14:paraId="1FD73CF5" w14:textId="77777777">
        <w:trPr>
          <w:trHeight w:val="721"/>
        </w:trPr>
        <w:tc>
          <w:tcPr>
            <w:tcW w:w="2551" w:type="dxa"/>
            <w:tcBorders>
              <w:top w:val="single" w:sz="2" w:space="0" w:color="000000"/>
              <w:left w:val="nil"/>
              <w:bottom w:val="single" w:sz="2" w:space="0" w:color="000000"/>
              <w:right w:val="single" w:sz="2" w:space="0" w:color="000000"/>
            </w:tcBorders>
          </w:tcPr>
          <w:p w14:paraId="1FFAF300" w14:textId="64C6EDF7" w:rsidR="00445608" w:rsidRDefault="00445608" w:rsidP="00445608">
            <w:pPr>
              <w:pStyle w:val="TableParagraph"/>
              <w:spacing w:before="47" w:line="230" w:lineRule="auto"/>
              <w:ind w:left="85" w:right="178"/>
              <w:rPr>
                <w:sz w:val="19"/>
              </w:rPr>
            </w:pPr>
            <w:r>
              <w:rPr>
                <w:sz w:val="19"/>
              </w:rPr>
              <w:t>Information about remuneration</w:t>
            </w:r>
            <w:r>
              <w:rPr>
                <w:spacing w:val="-11"/>
                <w:sz w:val="19"/>
              </w:rPr>
              <w:t xml:space="preserve"> </w:t>
            </w:r>
            <w:r>
              <w:rPr>
                <w:sz w:val="19"/>
              </w:rPr>
              <w:t>for</w:t>
            </w:r>
            <w:r>
              <w:rPr>
                <w:spacing w:val="-11"/>
                <w:sz w:val="19"/>
              </w:rPr>
              <w:t xml:space="preserve"> </w:t>
            </w:r>
            <w:r>
              <w:rPr>
                <w:sz w:val="19"/>
              </w:rPr>
              <w:t xml:space="preserve">senior </w:t>
            </w:r>
            <w:r>
              <w:rPr>
                <w:spacing w:val="-2"/>
                <w:sz w:val="19"/>
              </w:rPr>
              <w:t>executives</w:t>
            </w:r>
          </w:p>
        </w:tc>
        <w:tc>
          <w:tcPr>
            <w:tcW w:w="5953" w:type="dxa"/>
            <w:tcBorders>
              <w:top w:val="single" w:sz="2" w:space="0" w:color="000000"/>
              <w:left w:val="single" w:sz="2" w:space="0" w:color="000000"/>
              <w:bottom w:val="single" w:sz="2" w:space="0" w:color="000000"/>
              <w:right w:val="single" w:sz="2" w:space="0" w:color="000000"/>
            </w:tcBorders>
          </w:tcPr>
          <w:p w14:paraId="79491034" w14:textId="3EA3FA2B" w:rsidR="00445608" w:rsidRDefault="00445608" w:rsidP="00445608">
            <w:pPr>
              <w:pStyle w:val="TableParagraph"/>
              <w:spacing w:before="47" w:line="230" w:lineRule="auto"/>
              <w:ind w:left="82"/>
              <w:rPr>
                <w:sz w:val="19"/>
              </w:rPr>
            </w:pPr>
            <w:r>
              <w:rPr>
                <w:sz w:val="19"/>
              </w:rPr>
              <w:t>Public Governance, Performance and Accountability Amendment (Corporate Commonwealth Entity Annual Report) Rule 2016, subsection 17CB</w:t>
            </w:r>
          </w:p>
        </w:tc>
        <w:tc>
          <w:tcPr>
            <w:tcW w:w="1701" w:type="dxa"/>
            <w:tcBorders>
              <w:top w:val="single" w:sz="2" w:space="0" w:color="000000"/>
              <w:left w:val="single" w:sz="2" w:space="0" w:color="000000"/>
              <w:bottom w:val="single" w:sz="2" w:space="0" w:color="000000"/>
              <w:right w:val="nil"/>
            </w:tcBorders>
          </w:tcPr>
          <w:p w14:paraId="02FF867E" w14:textId="33C10A81" w:rsidR="00445608" w:rsidRDefault="00445608" w:rsidP="00445608">
            <w:pPr>
              <w:pStyle w:val="TableParagraph"/>
              <w:spacing w:before="42"/>
              <w:ind w:left="17" w:right="16"/>
              <w:jc w:val="center"/>
              <w:rPr>
                <w:spacing w:val="-5"/>
                <w:sz w:val="19"/>
              </w:rPr>
            </w:pPr>
            <w:r>
              <w:rPr>
                <w:spacing w:val="-5"/>
                <w:sz w:val="19"/>
              </w:rPr>
              <w:t>95</w:t>
            </w:r>
          </w:p>
        </w:tc>
      </w:tr>
      <w:tr w:rsidR="00445608" w14:paraId="2AA65B67" w14:textId="77777777">
        <w:trPr>
          <w:trHeight w:val="721"/>
        </w:trPr>
        <w:tc>
          <w:tcPr>
            <w:tcW w:w="2551" w:type="dxa"/>
            <w:tcBorders>
              <w:top w:val="single" w:sz="2" w:space="0" w:color="000000"/>
              <w:left w:val="nil"/>
              <w:bottom w:val="single" w:sz="2" w:space="0" w:color="000000"/>
              <w:right w:val="single" w:sz="2" w:space="0" w:color="000000"/>
            </w:tcBorders>
          </w:tcPr>
          <w:p w14:paraId="54CB4763" w14:textId="0FBCCA43" w:rsidR="00445608" w:rsidRDefault="00445608" w:rsidP="00445608">
            <w:pPr>
              <w:pStyle w:val="TableParagraph"/>
              <w:spacing w:before="47" w:line="230" w:lineRule="auto"/>
              <w:ind w:left="85" w:right="178"/>
              <w:rPr>
                <w:sz w:val="19"/>
              </w:rPr>
            </w:pPr>
            <w:r>
              <w:rPr>
                <w:sz w:val="19"/>
              </w:rPr>
              <w:t>Judicial decisions and decisions</w:t>
            </w:r>
            <w:r>
              <w:rPr>
                <w:spacing w:val="-12"/>
                <w:sz w:val="19"/>
              </w:rPr>
              <w:t xml:space="preserve"> </w:t>
            </w:r>
            <w:r>
              <w:rPr>
                <w:sz w:val="19"/>
              </w:rPr>
              <w:t>by</w:t>
            </w:r>
            <w:r>
              <w:rPr>
                <w:spacing w:val="-12"/>
                <w:sz w:val="19"/>
              </w:rPr>
              <w:t xml:space="preserve"> </w:t>
            </w:r>
            <w:r>
              <w:rPr>
                <w:sz w:val="19"/>
              </w:rPr>
              <w:t xml:space="preserve">administrative </w:t>
            </w:r>
            <w:r>
              <w:rPr>
                <w:spacing w:val="-2"/>
                <w:sz w:val="19"/>
              </w:rPr>
              <w:t>tribunals</w:t>
            </w:r>
          </w:p>
        </w:tc>
        <w:tc>
          <w:tcPr>
            <w:tcW w:w="5953" w:type="dxa"/>
            <w:tcBorders>
              <w:top w:val="single" w:sz="2" w:space="0" w:color="000000"/>
              <w:left w:val="single" w:sz="2" w:space="0" w:color="000000"/>
              <w:bottom w:val="single" w:sz="2" w:space="0" w:color="000000"/>
              <w:right w:val="single" w:sz="2" w:space="0" w:color="000000"/>
            </w:tcBorders>
          </w:tcPr>
          <w:p w14:paraId="157E7FC1" w14:textId="58A8262F" w:rsidR="00445608" w:rsidRDefault="00445608" w:rsidP="00445608">
            <w:pPr>
              <w:pStyle w:val="TableParagraph"/>
              <w:spacing w:before="47" w:line="230" w:lineRule="auto"/>
              <w:ind w:left="82"/>
              <w:rPr>
                <w:sz w:val="19"/>
              </w:rPr>
            </w:pPr>
            <w:r>
              <w:rPr>
                <w:sz w:val="19"/>
              </w:rPr>
              <w:t>Public Governance, Performance and Accountability Amendment (Corporate Commonwealth Entity Annual Reporting) Rule 2016, subsection 17BE(q)</w:t>
            </w:r>
          </w:p>
        </w:tc>
        <w:tc>
          <w:tcPr>
            <w:tcW w:w="1701" w:type="dxa"/>
            <w:tcBorders>
              <w:top w:val="single" w:sz="2" w:space="0" w:color="000000"/>
              <w:left w:val="single" w:sz="2" w:space="0" w:color="000000"/>
              <w:bottom w:val="single" w:sz="2" w:space="0" w:color="000000"/>
              <w:right w:val="nil"/>
            </w:tcBorders>
          </w:tcPr>
          <w:p w14:paraId="30F7B9F9" w14:textId="45CDBB9B" w:rsidR="00445608" w:rsidRDefault="00445608" w:rsidP="00445608">
            <w:pPr>
              <w:pStyle w:val="TableParagraph"/>
              <w:spacing w:before="42"/>
              <w:ind w:left="17" w:right="16"/>
              <w:jc w:val="center"/>
              <w:rPr>
                <w:spacing w:val="-5"/>
                <w:sz w:val="19"/>
              </w:rPr>
            </w:pPr>
            <w:r>
              <w:rPr>
                <w:spacing w:val="-5"/>
                <w:sz w:val="19"/>
              </w:rPr>
              <w:t>93</w:t>
            </w:r>
          </w:p>
        </w:tc>
      </w:tr>
      <w:tr w:rsidR="00445608" w14:paraId="43CF52A4" w14:textId="77777777">
        <w:trPr>
          <w:trHeight w:val="721"/>
        </w:trPr>
        <w:tc>
          <w:tcPr>
            <w:tcW w:w="2551" w:type="dxa"/>
            <w:tcBorders>
              <w:top w:val="single" w:sz="2" w:space="0" w:color="000000"/>
              <w:left w:val="nil"/>
              <w:bottom w:val="single" w:sz="2" w:space="0" w:color="000000"/>
              <w:right w:val="single" w:sz="2" w:space="0" w:color="000000"/>
            </w:tcBorders>
          </w:tcPr>
          <w:p w14:paraId="3953F08F" w14:textId="00A2FDAF" w:rsidR="00445608" w:rsidRDefault="00445608" w:rsidP="00445608">
            <w:pPr>
              <w:pStyle w:val="TableParagraph"/>
              <w:spacing w:before="47" w:line="230" w:lineRule="auto"/>
              <w:ind w:left="85" w:right="178"/>
              <w:rPr>
                <w:sz w:val="19"/>
              </w:rPr>
            </w:pPr>
            <w:r>
              <w:rPr>
                <w:sz w:val="19"/>
              </w:rPr>
              <w:t>Key</w:t>
            </w:r>
            <w:r>
              <w:rPr>
                <w:spacing w:val="-8"/>
                <w:sz w:val="19"/>
              </w:rPr>
              <w:t xml:space="preserve"> </w:t>
            </w:r>
            <w:r>
              <w:rPr>
                <w:sz w:val="19"/>
              </w:rPr>
              <w:t>activities</w:t>
            </w:r>
            <w:r>
              <w:rPr>
                <w:spacing w:val="-8"/>
                <w:sz w:val="19"/>
              </w:rPr>
              <w:t xml:space="preserve"> </w:t>
            </w:r>
            <w:r>
              <w:rPr>
                <w:sz w:val="19"/>
              </w:rPr>
              <w:t>and</w:t>
            </w:r>
            <w:r>
              <w:rPr>
                <w:spacing w:val="-8"/>
                <w:sz w:val="19"/>
              </w:rPr>
              <w:t xml:space="preserve"> </w:t>
            </w:r>
            <w:r>
              <w:rPr>
                <w:sz w:val="19"/>
              </w:rPr>
              <w:t xml:space="preserve">changes that have affected the </w:t>
            </w:r>
            <w:r>
              <w:rPr>
                <w:spacing w:val="-2"/>
                <w:sz w:val="19"/>
              </w:rPr>
              <w:t>Commission</w:t>
            </w:r>
          </w:p>
        </w:tc>
        <w:tc>
          <w:tcPr>
            <w:tcW w:w="5953" w:type="dxa"/>
            <w:tcBorders>
              <w:top w:val="single" w:sz="2" w:space="0" w:color="000000"/>
              <w:left w:val="single" w:sz="2" w:space="0" w:color="000000"/>
              <w:bottom w:val="single" w:sz="2" w:space="0" w:color="000000"/>
              <w:right w:val="single" w:sz="2" w:space="0" w:color="000000"/>
            </w:tcBorders>
          </w:tcPr>
          <w:p w14:paraId="6440673A" w14:textId="07EAC3EC" w:rsidR="00445608" w:rsidRDefault="00445608" w:rsidP="00445608">
            <w:pPr>
              <w:pStyle w:val="TableParagraph"/>
              <w:spacing w:before="47" w:line="230" w:lineRule="auto"/>
              <w:ind w:left="82"/>
              <w:rPr>
                <w:sz w:val="19"/>
              </w:rPr>
            </w:pPr>
            <w:r>
              <w:rPr>
                <w:sz w:val="19"/>
              </w:rPr>
              <w:t>Public Governance, Performance and Accountability Amendment (Corporate Commonwealth Entity Annual Reporting) Rule 2016, subsection 17BE(p)</w:t>
            </w:r>
          </w:p>
        </w:tc>
        <w:tc>
          <w:tcPr>
            <w:tcW w:w="1701" w:type="dxa"/>
            <w:tcBorders>
              <w:top w:val="single" w:sz="2" w:space="0" w:color="000000"/>
              <w:left w:val="single" w:sz="2" w:space="0" w:color="000000"/>
              <w:bottom w:val="single" w:sz="2" w:space="0" w:color="000000"/>
              <w:right w:val="nil"/>
            </w:tcBorders>
          </w:tcPr>
          <w:p w14:paraId="15C50EA3" w14:textId="546AE1B1" w:rsidR="00445608" w:rsidRDefault="00445608" w:rsidP="00445608">
            <w:pPr>
              <w:pStyle w:val="TableParagraph"/>
              <w:spacing w:before="42"/>
              <w:ind w:left="17" w:right="16"/>
              <w:jc w:val="center"/>
              <w:rPr>
                <w:spacing w:val="-5"/>
                <w:sz w:val="19"/>
              </w:rPr>
            </w:pPr>
            <w:r>
              <w:rPr>
                <w:spacing w:val="-4"/>
                <w:sz w:val="19"/>
              </w:rPr>
              <w:t>14–17,</w:t>
            </w:r>
            <w:r>
              <w:rPr>
                <w:sz w:val="19"/>
              </w:rPr>
              <w:t xml:space="preserve"> </w:t>
            </w:r>
            <w:r>
              <w:rPr>
                <w:spacing w:val="-4"/>
                <w:sz w:val="19"/>
              </w:rPr>
              <w:t>67–</w:t>
            </w:r>
            <w:r>
              <w:rPr>
                <w:spacing w:val="-10"/>
                <w:sz w:val="19"/>
              </w:rPr>
              <w:t>9</w:t>
            </w:r>
          </w:p>
        </w:tc>
      </w:tr>
      <w:tr w:rsidR="00445608" w14:paraId="6E738D71" w14:textId="77777777">
        <w:trPr>
          <w:trHeight w:val="721"/>
        </w:trPr>
        <w:tc>
          <w:tcPr>
            <w:tcW w:w="2551" w:type="dxa"/>
            <w:tcBorders>
              <w:top w:val="single" w:sz="2" w:space="0" w:color="000000"/>
              <w:left w:val="nil"/>
              <w:bottom w:val="single" w:sz="2" w:space="0" w:color="000000"/>
              <w:right w:val="single" w:sz="2" w:space="0" w:color="000000"/>
            </w:tcBorders>
          </w:tcPr>
          <w:p w14:paraId="4A7AF8E9" w14:textId="2361280B" w:rsidR="00445608" w:rsidRDefault="00445608" w:rsidP="00445608">
            <w:pPr>
              <w:pStyle w:val="TableParagraph"/>
              <w:spacing w:before="47" w:line="230" w:lineRule="auto"/>
              <w:ind w:left="85" w:right="178"/>
              <w:rPr>
                <w:sz w:val="19"/>
              </w:rPr>
            </w:pPr>
            <w:r>
              <w:rPr>
                <w:sz w:val="19"/>
              </w:rPr>
              <w:t>Location</w:t>
            </w:r>
            <w:r>
              <w:rPr>
                <w:spacing w:val="-5"/>
                <w:sz w:val="19"/>
              </w:rPr>
              <w:t xml:space="preserve"> </w:t>
            </w:r>
            <w:r>
              <w:rPr>
                <w:sz w:val="19"/>
              </w:rPr>
              <w:t>of</w:t>
            </w:r>
            <w:r>
              <w:rPr>
                <w:spacing w:val="-5"/>
                <w:sz w:val="19"/>
              </w:rPr>
              <w:t xml:space="preserve"> </w:t>
            </w:r>
            <w:r>
              <w:rPr>
                <w:sz w:val="19"/>
              </w:rPr>
              <w:t>major</w:t>
            </w:r>
            <w:r>
              <w:rPr>
                <w:spacing w:val="-5"/>
                <w:sz w:val="19"/>
              </w:rPr>
              <w:t xml:space="preserve"> </w:t>
            </w:r>
            <w:r>
              <w:rPr>
                <w:sz w:val="19"/>
              </w:rPr>
              <w:t>activities and facilities</w:t>
            </w:r>
          </w:p>
        </w:tc>
        <w:tc>
          <w:tcPr>
            <w:tcW w:w="5953" w:type="dxa"/>
            <w:tcBorders>
              <w:top w:val="single" w:sz="2" w:space="0" w:color="000000"/>
              <w:left w:val="single" w:sz="2" w:space="0" w:color="000000"/>
              <w:bottom w:val="single" w:sz="2" w:space="0" w:color="000000"/>
              <w:right w:val="single" w:sz="2" w:space="0" w:color="000000"/>
            </w:tcBorders>
          </w:tcPr>
          <w:p w14:paraId="6AABEED7" w14:textId="6149FCF8" w:rsidR="00445608" w:rsidRDefault="00445608" w:rsidP="00445608">
            <w:pPr>
              <w:pStyle w:val="TableParagraph"/>
              <w:spacing w:before="47" w:line="230" w:lineRule="auto"/>
              <w:ind w:left="82"/>
              <w:rPr>
                <w:sz w:val="19"/>
              </w:rPr>
            </w:pPr>
            <w:r>
              <w:rPr>
                <w:sz w:val="19"/>
              </w:rPr>
              <w:t>Public Governance, Performance and Accountability Amendment (Corporate Commonwealth Entity Annual Reporting) Rule 2016, subsection 17BE(l)</w:t>
            </w:r>
          </w:p>
        </w:tc>
        <w:tc>
          <w:tcPr>
            <w:tcW w:w="1701" w:type="dxa"/>
            <w:tcBorders>
              <w:top w:val="single" w:sz="2" w:space="0" w:color="000000"/>
              <w:left w:val="single" w:sz="2" w:space="0" w:color="000000"/>
              <w:bottom w:val="single" w:sz="2" w:space="0" w:color="000000"/>
              <w:right w:val="nil"/>
            </w:tcBorders>
          </w:tcPr>
          <w:p w14:paraId="60F69308" w14:textId="6E7AA12A" w:rsidR="00445608" w:rsidRDefault="00445608" w:rsidP="00445608">
            <w:pPr>
              <w:pStyle w:val="TableParagraph"/>
              <w:spacing w:before="42"/>
              <w:ind w:left="17" w:right="16"/>
              <w:jc w:val="center"/>
              <w:rPr>
                <w:spacing w:val="-5"/>
                <w:sz w:val="19"/>
              </w:rPr>
            </w:pPr>
            <w:r>
              <w:rPr>
                <w:sz w:val="19"/>
              </w:rPr>
              <w:t>inside</w:t>
            </w:r>
            <w:r>
              <w:rPr>
                <w:spacing w:val="-14"/>
                <w:sz w:val="19"/>
              </w:rPr>
              <w:t xml:space="preserve"> </w:t>
            </w:r>
            <w:r>
              <w:rPr>
                <w:sz w:val="19"/>
              </w:rPr>
              <w:t>front</w:t>
            </w:r>
            <w:r>
              <w:rPr>
                <w:spacing w:val="-13"/>
                <w:sz w:val="19"/>
              </w:rPr>
              <w:t xml:space="preserve"> </w:t>
            </w:r>
            <w:r>
              <w:rPr>
                <w:sz w:val="19"/>
              </w:rPr>
              <w:t xml:space="preserve">cover, </w:t>
            </w:r>
            <w:r>
              <w:rPr>
                <w:spacing w:val="-4"/>
                <w:sz w:val="19"/>
              </w:rPr>
              <w:t>100</w:t>
            </w:r>
          </w:p>
        </w:tc>
      </w:tr>
      <w:tr w:rsidR="00445608" w14:paraId="494DFA7F" w14:textId="77777777">
        <w:trPr>
          <w:trHeight w:val="721"/>
        </w:trPr>
        <w:tc>
          <w:tcPr>
            <w:tcW w:w="2551" w:type="dxa"/>
            <w:tcBorders>
              <w:top w:val="single" w:sz="2" w:space="0" w:color="000000"/>
              <w:left w:val="nil"/>
              <w:bottom w:val="single" w:sz="2" w:space="0" w:color="000000"/>
              <w:right w:val="single" w:sz="2" w:space="0" w:color="000000"/>
            </w:tcBorders>
          </w:tcPr>
          <w:p w14:paraId="4F4EA016" w14:textId="7185B7C0" w:rsidR="00445608" w:rsidRDefault="00445608" w:rsidP="00445608">
            <w:pPr>
              <w:pStyle w:val="TableParagraph"/>
              <w:spacing w:before="47" w:line="230" w:lineRule="auto"/>
              <w:ind w:left="85" w:right="178"/>
              <w:rPr>
                <w:sz w:val="19"/>
              </w:rPr>
            </w:pPr>
            <w:r>
              <w:rPr>
                <w:sz w:val="19"/>
              </w:rPr>
              <w:t>Ministerial</w:t>
            </w:r>
            <w:r>
              <w:rPr>
                <w:spacing w:val="6"/>
                <w:sz w:val="19"/>
              </w:rPr>
              <w:t xml:space="preserve"> </w:t>
            </w:r>
            <w:r>
              <w:rPr>
                <w:spacing w:val="-2"/>
                <w:sz w:val="19"/>
              </w:rPr>
              <w:t>directions</w:t>
            </w:r>
          </w:p>
        </w:tc>
        <w:tc>
          <w:tcPr>
            <w:tcW w:w="5953" w:type="dxa"/>
            <w:tcBorders>
              <w:top w:val="single" w:sz="2" w:space="0" w:color="000000"/>
              <w:left w:val="single" w:sz="2" w:space="0" w:color="000000"/>
              <w:bottom w:val="single" w:sz="2" w:space="0" w:color="000000"/>
              <w:right w:val="single" w:sz="2" w:space="0" w:color="000000"/>
            </w:tcBorders>
          </w:tcPr>
          <w:p w14:paraId="16605605" w14:textId="31E72561" w:rsidR="00445608" w:rsidRDefault="00445608" w:rsidP="00445608">
            <w:pPr>
              <w:pStyle w:val="TableParagraph"/>
              <w:spacing w:before="47" w:line="230" w:lineRule="auto"/>
              <w:ind w:left="82"/>
              <w:rPr>
                <w:sz w:val="19"/>
              </w:rPr>
            </w:pPr>
            <w:r>
              <w:rPr>
                <w:sz w:val="19"/>
              </w:rPr>
              <w:t>Public Governance, Performance and Accountability Amendment (Corporate Commonwealth Entity Annual Reporting) Rule 2016, subsection 17BE(d)</w:t>
            </w:r>
          </w:p>
        </w:tc>
        <w:tc>
          <w:tcPr>
            <w:tcW w:w="1701" w:type="dxa"/>
            <w:tcBorders>
              <w:top w:val="single" w:sz="2" w:space="0" w:color="000000"/>
              <w:left w:val="single" w:sz="2" w:space="0" w:color="000000"/>
              <w:bottom w:val="single" w:sz="2" w:space="0" w:color="000000"/>
              <w:right w:val="nil"/>
            </w:tcBorders>
          </w:tcPr>
          <w:p w14:paraId="08D0B21F" w14:textId="0B91D1FC" w:rsidR="00445608" w:rsidRDefault="00445608" w:rsidP="00445608">
            <w:pPr>
              <w:pStyle w:val="TableParagraph"/>
              <w:spacing w:before="42"/>
              <w:ind w:left="17" w:right="16"/>
              <w:jc w:val="center"/>
              <w:rPr>
                <w:spacing w:val="-5"/>
                <w:sz w:val="19"/>
              </w:rPr>
            </w:pPr>
            <w:r>
              <w:rPr>
                <w:spacing w:val="-5"/>
                <w:sz w:val="19"/>
              </w:rPr>
              <w:t>76</w:t>
            </w:r>
          </w:p>
        </w:tc>
      </w:tr>
      <w:tr w:rsidR="00445608" w14:paraId="236CF6B3" w14:textId="77777777">
        <w:trPr>
          <w:trHeight w:val="721"/>
        </w:trPr>
        <w:tc>
          <w:tcPr>
            <w:tcW w:w="2551" w:type="dxa"/>
            <w:tcBorders>
              <w:top w:val="single" w:sz="2" w:space="0" w:color="000000"/>
              <w:left w:val="nil"/>
              <w:bottom w:val="single" w:sz="2" w:space="0" w:color="000000"/>
              <w:right w:val="single" w:sz="2" w:space="0" w:color="000000"/>
            </w:tcBorders>
          </w:tcPr>
          <w:p w14:paraId="2A4D60C9" w14:textId="687DACE6" w:rsidR="00445608" w:rsidRDefault="00445608" w:rsidP="00445608">
            <w:pPr>
              <w:pStyle w:val="TableParagraph"/>
              <w:spacing w:before="47" w:line="230" w:lineRule="auto"/>
              <w:ind w:left="85" w:right="178"/>
              <w:rPr>
                <w:sz w:val="19"/>
              </w:rPr>
            </w:pPr>
            <w:proofErr w:type="spellStart"/>
            <w:r>
              <w:rPr>
                <w:sz w:val="19"/>
              </w:rPr>
              <w:t>Organisational</w:t>
            </w:r>
            <w:proofErr w:type="spellEnd"/>
            <w:r>
              <w:rPr>
                <w:spacing w:val="8"/>
                <w:sz w:val="19"/>
              </w:rPr>
              <w:t xml:space="preserve"> </w:t>
            </w:r>
            <w:r>
              <w:rPr>
                <w:spacing w:val="-2"/>
                <w:sz w:val="19"/>
              </w:rPr>
              <w:t>structure</w:t>
            </w:r>
          </w:p>
        </w:tc>
        <w:tc>
          <w:tcPr>
            <w:tcW w:w="5953" w:type="dxa"/>
            <w:tcBorders>
              <w:top w:val="single" w:sz="2" w:space="0" w:color="000000"/>
              <w:left w:val="single" w:sz="2" w:space="0" w:color="000000"/>
              <w:bottom w:val="single" w:sz="2" w:space="0" w:color="000000"/>
              <w:right w:val="single" w:sz="2" w:space="0" w:color="000000"/>
            </w:tcBorders>
          </w:tcPr>
          <w:p w14:paraId="7586D988" w14:textId="385EDC88" w:rsidR="00445608" w:rsidRDefault="00445608" w:rsidP="00445608">
            <w:pPr>
              <w:pStyle w:val="TableParagraph"/>
              <w:spacing w:before="47" w:line="230" w:lineRule="auto"/>
              <w:ind w:left="82"/>
              <w:rPr>
                <w:sz w:val="19"/>
              </w:rPr>
            </w:pPr>
            <w:r>
              <w:rPr>
                <w:sz w:val="19"/>
              </w:rPr>
              <w:t>Public Governance, Performance and Accountability Amendment (Corporate Commonwealth Entity Annual Reporting) Rule 2016, subsection 17BE(k)</w:t>
            </w:r>
          </w:p>
        </w:tc>
        <w:tc>
          <w:tcPr>
            <w:tcW w:w="1701" w:type="dxa"/>
            <w:tcBorders>
              <w:top w:val="single" w:sz="2" w:space="0" w:color="000000"/>
              <w:left w:val="single" w:sz="2" w:space="0" w:color="000000"/>
              <w:bottom w:val="single" w:sz="2" w:space="0" w:color="000000"/>
              <w:right w:val="nil"/>
            </w:tcBorders>
          </w:tcPr>
          <w:p w14:paraId="5154206E" w14:textId="2A3F133E" w:rsidR="00445608" w:rsidRDefault="00445608" w:rsidP="00445608">
            <w:pPr>
              <w:pStyle w:val="TableParagraph"/>
              <w:spacing w:before="42"/>
              <w:ind w:left="17" w:right="16"/>
              <w:jc w:val="center"/>
              <w:rPr>
                <w:spacing w:val="-5"/>
                <w:sz w:val="19"/>
              </w:rPr>
            </w:pPr>
            <w:r>
              <w:rPr>
                <w:spacing w:val="-5"/>
                <w:sz w:val="19"/>
              </w:rPr>
              <w:t>98</w:t>
            </w:r>
          </w:p>
        </w:tc>
      </w:tr>
      <w:tr w:rsidR="00445608" w14:paraId="2568D1A0" w14:textId="77777777">
        <w:trPr>
          <w:trHeight w:val="721"/>
        </w:trPr>
        <w:tc>
          <w:tcPr>
            <w:tcW w:w="2551" w:type="dxa"/>
            <w:tcBorders>
              <w:top w:val="single" w:sz="2" w:space="0" w:color="000000"/>
              <w:left w:val="nil"/>
              <w:bottom w:val="single" w:sz="2" w:space="0" w:color="000000"/>
              <w:right w:val="single" w:sz="2" w:space="0" w:color="000000"/>
            </w:tcBorders>
          </w:tcPr>
          <w:p w14:paraId="0AD88E7E" w14:textId="50D1F016" w:rsidR="00445608" w:rsidRDefault="00445608" w:rsidP="00445608">
            <w:pPr>
              <w:pStyle w:val="TableParagraph"/>
              <w:spacing w:before="47" w:line="230" w:lineRule="auto"/>
              <w:ind w:left="85" w:right="178"/>
              <w:rPr>
                <w:sz w:val="19"/>
              </w:rPr>
            </w:pPr>
            <w:r>
              <w:rPr>
                <w:sz w:val="19"/>
              </w:rPr>
              <w:t>Related-entity</w:t>
            </w:r>
            <w:r>
              <w:rPr>
                <w:spacing w:val="12"/>
                <w:sz w:val="19"/>
              </w:rPr>
              <w:t xml:space="preserve"> </w:t>
            </w:r>
            <w:r>
              <w:rPr>
                <w:spacing w:val="-2"/>
                <w:sz w:val="19"/>
              </w:rPr>
              <w:t>transactions</w:t>
            </w:r>
          </w:p>
        </w:tc>
        <w:tc>
          <w:tcPr>
            <w:tcW w:w="5953" w:type="dxa"/>
            <w:tcBorders>
              <w:top w:val="single" w:sz="2" w:space="0" w:color="000000"/>
              <w:left w:val="single" w:sz="2" w:space="0" w:color="000000"/>
              <w:bottom w:val="single" w:sz="2" w:space="0" w:color="000000"/>
              <w:right w:val="single" w:sz="2" w:space="0" w:color="000000"/>
            </w:tcBorders>
          </w:tcPr>
          <w:p w14:paraId="30DF32AC" w14:textId="20F46F89" w:rsidR="00445608" w:rsidRDefault="00445608" w:rsidP="00445608">
            <w:pPr>
              <w:pStyle w:val="TableParagraph"/>
              <w:spacing w:before="47" w:line="230" w:lineRule="auto"/>
              <w:ind w:left="82"/>
              <w:rPr>
                <w:sz w:val="19"/>
              </w:rPr>
            </w:pPr>
            <w:r>
              <w:rPr>
                <w:sz w:val="19"/>
              </w:rPr>
              <w:t>Public Governance, Performance and Accountability Amendment (Corporate Commonwealth Entity Annual Reporting) Rule 2016, subsections 17BE(n) and (o)</w:t>
            </w:r>
          </w:p>
        </w:tc>
        <w:tc>
          <w:tcPr>
            <w:tcW w:w="1701" w:type="dxa"/>
            <w:tcBorders>
              <w:top w:val="single" w:sz="2" w:space="0" w:color="000000"/>
              <w:left w:val="single" w:sz="2" w:space="0" w:color="000000"/>
              <w:bottom w:val="single" w:sz="2" w:space="0" w:color="000000"/>
              <w:right w:val="nil"/>
            </w:tcBorders>
          </w:tcPr>
          <w:p w14:paraId="7DA7B21C" w14:textId="5C6791B1" w:rsidR="00445608" w:rsidRDefault="00445608" w:rsidP="00445608">
            <w:pPr>
              <w:pStyle w:val="TableParagraph"/>
              <w:spacing w:before="42"/>
              <w:ind w:left="17" w:right="16"/>
              <w:jc w:val="center"/>
              <w:rPr>
                <w:spacing w:val="-5"/>
                <w:sz w:val="19"/>
              </w:rPr>
            </w:pPr>
            <w:r>
              <w:rPr>
                <w:spacing w:val="-2"/>
                <w:sz w:val="19"/>
              </w:rPr>
              <w:t>77,</w:t>
            </w:r>
            <w:r>
              <w:rPr>
                <w:spacing w:val="-13"/>
                <w:sz w:val="19"/>
              </w:rPr>
              <w:t xml:space="preserve"> </w:t>
            </w:r>
            <w:r>
              <w:rPr>
                <w:spacing w:val="-5"/>
                <w:sz w:val="19"/>
              </w:rPr>
              <w:t>135</w:t>
            </w:r>
          </w:p>
        </w:tc>
      </w:tr>
      <w:tr w:rsidR="00445608" w14:paraId="723E76C0" w14:textId="77777777">
        <w:trPr>
          <w:trHeight w:val="721"/>
        </w:trPr>
        <w:tc>
          <w:tcPr>
            <w:tcW w:w="2551" w:type="dxa"/>
            <w:tcBorders>
              <w:top w:val="single" w:sz="2" w:space="0" w:color="000000"/>
              <w:left w:val="nil"/>
              <w:bottom w:val="single" w:sz="2" w:space="0" w:color="000000"/>
              <w:right w:val="single" w:sz="2" w:space="0" w:color="000000"/>
            </w:tcBorders>
          </w:tcPr>
          <w:p w14:paraId="3A32D794" w14:textId="0C4D129D" w:rsidR="00445608" w:rsidRDefault="00445608" w:rsidP="00445608">
            <w:pPr>
              <w:pStyle w:val="TableParagraph"/>
              <w:spacing w:before="47" w:line="230" w:lineRule="auto"/>
              <w:ind w:left="85" w:right="178"/>
              <w:rPr>
                <w:sz w:val="19"/>
              </w:rPr>
            </w:pPr>
            <w:r>
              <w:rPr>
                <w:sz w:val="19"/>
              </w:rPr>
              <w:t>Reporting</w:t>
            </w:r>
            <w:r>
              <w:rPr>
                <w:spacing w:val="-5"/>
                <w:sz w:val="19"/>
              </w:rPr>
              <w:t xml:space="preserve"> </w:t>
            </w:r>
            <w:r>
              <w:rPr>
                <w:sz w:val="19"/>
              </w:rPr>
              <w:t>of</w:t>
            </w:r>
            <w:r>
              <w:rPr>
                <w:spacing w:val="-5"/>
                <w:sz w:val="19"/>
              </w:rPr>
              <w:t xml:space="preserve"> </w:t>
            </w:r>
            <w:r>
              <w:rPr>
                <w:sz w:val="19"/>
              </w:rPr>
              <w:t>significant decisions or issues</w:t>
            </w:r>
          </w:p>
        </w:tc>
        <w:tc>
          <w:tcPr>
            <w:tcW w:w="5953" w:type="dxa"/>
            <w:tcBorders>
              <w:top w:val="single" w:sz="2" w:space="0" w:color="000000"/>
              <w:left w:val="single" w:sz="2" w:space="0" w:color="000000"/>
              <w:bottom w:val="single" w:sz="2" w:space="0" w:color="000000"/>
              <w:right w:val="single" w:sz="2" w:space="0" w:color="000000"/>
            </w:tcBorders>
          </w:tcPr>
          <w:p w14:paraId="4B8512B8" w14:textId="03CFC650" w:rsidR="00445608" w:rsidRDefault="00445608" w:rsidP="00445608">
            <w:pPr>
              <w:pStyle w:val="TableParagraph"/>
              <w:spacing w:before="47" w:line="230" w:lineRule="auto"/>
              <w:ind w:left="82"/>
              <w:rPr>
                <w:sz w:val="19"/>
              </w:rPr>
            </w:pPr>
            <w:r>
              <w:rPr>
                <w:sz w:val="19"/>
              </w:rPr>
              <w:t>Public Governance, Performance and Accountability Amendment (Corporate Commonwealth Entity Annual Reporting) Rule 2016, subsection 17BE(f)</w:t>
            </w:r>
          </w:p>
        </w:tc>
        <w:tc>
          <w:tcPr>
            <w:tcW w:w="1701" w:type="dxa"/>
            <w:tcBorders>
              <w:top w:val="single" w:sz="2" w:space="0" w:color="000000"/>
              <w:left w:val="single" w:sz="2" w:space="0" w:color="000000"/>
              <w:bottom w:val="single" w:sz="2" w:space="0" w:color="000000"/>
              <w:right w:val="nil"/>
            </w:tcBorders>
          </w:tcPr>
          <w:p w14:paraId="4B2C0166" w14:textId="54F7A428" w:rsidR="00445608" w:rsidRDefault="00445608" w:rsidP="00445608">
            <w:pPr>
              <w:pStyle w:val="TableParagraph"/>
              <w:spacing w:before="42"/>
              <w:ind w:left="17" w:right="16"/>
              <w:jc w:val="center"/>
              <w:rPr>
                <w:spacing w:val="-5"/>
                <w:sz w:val="19"/>
              </w:rPr>
            </w:pPr>
            <w:r>
              <w:rPr>
                <w:spacing w:val="-5"/>
                <w:sz w:val="19"/>
              </w:rPr>
              <w:t>96</w:t>
            </w:r>
          </w:p>
        </w:tc>
      </w:tr>
      <w:tr w:rsidR="00445608" w14:paraId="4AD65776" w14:textId="77777777">
        <w:trPr>
          <w:trHeight w:val="721"/>
        </w:trPr>
        <w:tc>
          <w:tcPr>
            <w:tcW w:w="2551" w:type="dxa"/>
            <w:tcBorders>
              <w:top w:val="single" w:sz="2" w:space="0" w:color="000000"/>
              <w:left w:val="nil"/>
              <w:bottom w:val="single" w:sz="2" w:space="0" w:color="000000"/>
              <w:right w:val="single" w:sz="2" w:space="0" w:color="000000"/>
            </w:tcBorders>
          </w:tcPr>
          <w:p w14:paraId="3B617C1B" w14:textId="77777777" w:rsidR="00445608" w:rsidRDefault="00445608" w:rsidP="00445608">
            <w:pPr>
              <w:pStyle w:val="TableParagraph"/>
              <w:spacing w:before="47" w:line="230" w:lineRule="auto"/>
              <w:ind w:left="85" w:right="298"/>
              <w:rPr>
                <w:sz w:val="19"/>
              </w:rPr>
            </w:pPr>
            <w:r>
              <w:rPr>
                <w:sz w:val="19"/>
              </w:rPr>
              <w:t>Reports about the Commission by the Auditor-General, a parliamentary</w:t>
            </w:r>
            <w:r>
              <w:rPr>
                <w:spacing w:val="-8"/>
                <w:sz w:val="19"/>
              </w:rPr>
              <w:t xml:space="preserve"> </w:t>
            </w:r>
            <w:r>
              <w:rPr>
                <w:sz w:val="19"/>
              </w:rPr>
              <w:t>committee, the Commonwealth Ombudsman or the</w:t>
            </w:r>
            <w:r>
              <w:rPr>
                <w:spacing w:val="40"/>
                <w:sz w:val="19"/>
              </w:rPr>
              <w:t xml:space="preserve"> </w:t>
            </w:r>
            <w:r>
              <w:rPr>
                <w:sz w:val="19"/>
              </w:rPr>
              <w:t>Office of the Australian</w:t>
            </w:r>
          </w:p>
          <w:p w14:paraId="494938A3" w14:textId="25E2EF07" w:rsidR="00445608" w:rsidRDefault="00445608" w:rsidP="00445608">
            <w:pPr>
              <w:pStyle w:val="TableParagraph"/>
              <w:spacing w:before="47" w:line="230" w:lineRule="auto"/>
              <w:ind w:left="85" w:right="178"/>
              <w:rPr>
                <w:sz w:val="19"/>
              </w:rPr>
            </w:pPr>
            <w:r>
              <w:rPr>
                <w:sz w:val="19"/>
              </w:rPr>
              <w:t>Information</w:t>
            </w:r>
            <w:r>
              <w:rPr>
                <w:spacing w:val="5"/>
                <w:sz w:val="19"/>
              </w:rPr>
              <w:t xml:space="preserve"> </w:t>
            </w:r>
            <w:r>
              <w:rPr>
                <w:spacing w:val="-2"/>
                <w:sz w:val="19"/>
              </w:rPr>
              <w:t>Commissioner</w:t>
            </w:r>
          </w:p>
        </w:tc>
        <w:tc>
          <w:tcPr>
            <w:tcW w:w="5953" w:type="dxa"/>
            <w:tcBorders>
              <w:top w:val="single" w:sz="2" w:space="0" w:color="000000"/>
              <w:left w:val="single" w:sz="2" w:space="0" w:color="000000"/>
              <w:bottom w:val="single" w:sz="2" w:space="0" w:color="000000"/>
              <w:right w:val="single" w:sz="2" w:space="0" w:color="000000"/>
            </w:tcBorders>
          </w:tcPr>
          <w:p w14:paraId="190EA580" w14:textId="0DF8A382" w:rsidR="00445608" w:rsidRDefault="00445608" w:rsidP="00445608">
            <w:pPr>
              <w:pStyle w:val="TableParagraph"/>
              <w:spacing w:before="47" w:line="230" w:lineRule="auto"/>
              <w:ind w:left="82"/>
              <w:rPr>
                <w:sz w:val="19"/>
              </w:rPr>
            </w:pPr>
            <w:r>
              <w:rPr>
                <w:sz w:val="19"/>
              </w:rPr>
              <w:t>Public Governance, Performance and Accountability Amendment (Corporate Commonwealth Entity Annual Reporting) Rule 2016, subsection 17BE(r)</w:t>
            </w:r>
          </w:p>
        </w:tc>
        <w:tc>
          <w:tcPr>
            <w:tcW w:w="1701" w:type="dxa"/>
            <w:tcBorders>
              <w:top w:val="single" w:sz="2" w:space="0" w:color="000000"/>
              <w:left w:val="single" w:sz="2" w:space="0" w:color="000000"/>
              <w:bottom w:val="single" w:sz="2" w:space="0" w:color="000000"/>
              <w:right w:val="nil"/>
            </w:tcBorders>
          </w:tcPr>
          <w:p w14:paraId="61EFE2A2" w14:textId="16A55C0A" w:rsidR="00445608" w:rsidRDefault="00445608" w:rsidP="00445608">
            <w:pPr>
              <w:pStyle w:val="TableParagraph"/>
              <w:spacing w:before="42"/>
              <w:ind w:left="17" w:right="16"/>
              <w:jc w:val="center"/>
              <w:rPr>
                <w:spacing w:val="-5"/>
                <w:sz w:val="19"/>
              </w:rPr>
            </w:pPr>
            <w:r>
              <w:rPr>
                <w:spacing w:val="-5"/>
                <w:sz w:val="19"/>
              </w:rPr>
              <w:t>93</w:t>
            </w:r>
          </w:p>
        </w:tc>
      </w:tr>
      <w:tr w:rsidR="00445608" w14:paraId="62A2FF65" w14:textId="77777777">
        <w:trPr>
          <w:trHeight w:val="721"/>
        </w:trPr>
        <w:tc>
          <w:tcPr>
            <w:tcW w:w="2551" w:type="dxa"/>
            <w:tcBorders>
              <w:top w:val="single" w:sz="2" w:space="0" w:color="000000"/>
              <w:left w:val="nil"/>
              <w:bottom w:val="single" w:sz="2" w:space="0" w:color="000000"/>
              <w:right w:val="single" w:sz="2" w:space="0" w:color="000000"/>
            </w:tcBorders>
          </w:tcPr>
          <w:p w14:paraId="22BA7DE6" w14:textId="60C8ACBE" w:rsidR="00445608" w:rsidRDefault="00445608" w:rsidP="00445608">
            <w:pPr>
              <w:pStyle w:val="TableParagraph"/>
              <w:spacing w:before="47" w:line="230" w:lineRule="auto"/>
              <w:ind w:left="85" w:right="178"/>
              <w:rPr>
                <w:sz w:val="19"/>
              </w:rPr>
            </w:pPr>
            <w:r>
              <w:rPr>
                <w:sz w:val="19"/>
              </w:rPr>
              <w:t>Responsible</w:t>
            </w:r>
            <w:r>
              <w:rPr>
                <w:spacing w:val="3"/>
                <w:sz w:val="19"/>
              </w:rPr>
              <w:t xml:space="preserve"> </w:t>
            </w:r>
            <w:r>
              <w:rPr>
                <w:spacing w:val="-2"/>
                <w:sz w:val="19"/>
              </w:rPr>
              <w:t>minister</w:t>
            </w:r>
          </w:p>
        </w:tc>
        <w:tc>
          <w:tcPr>
            <w:tcW w:w="5953" w:type="dxa"/>
            <w:tcBorders>
              <w:top w:val="single" w:sz="2" w:space="0" w:color="000000"/>
              <w:left w:val="single" w:sz="2" w:space="0" w:color="000000"/>
              <w:bottom w:val="single" w:sz="2" w:space="0" w:color="000000"/>
              <w:right w:val="single" w:sz="2" w:space="0" w:color="000000"/>
            </w:tcBorders>
          </w:tcPr>
          <w:p w14:paraId="677CA2F0" w14:textId="0D97EF4F" w:rsidR="00445608" w:rsidRDefault="00445608" w:rsidP="00445608">
            <w:pPr>
              <w:pStyle w:val="TableParagraph"/>
              <w:spacing w:before="47" w:line="230" w:lineRule="auto"/>
              <w:ind w:left="82"/>
              <w:rPr>
                <w:sz w:val="19"/>
              </w:rPr>
            </w:pPr>
            <w:r>
              <w:rPr>
                <w:sz w:val="19"/>
              </w:rPr>
              <w:t>Public Governance, Performance and Accountability Amendment (Corporate Commonwealth Entity Annual Reporting) Rule 2016, subsection 17BE(c)</w:t>
            </w:r>
          </w:p>
        </w:tc>
        <w:tc>
          <w:tcPr>
            <w:tcW w:w="1701" w:type="dxa"/>
            <w:tcBorders>
              <w:top w:val="single" w:sz="2" w:space="0" w:color="000000"/>
              <w:left w:val="single" w:sz="2" w:space="0" w:color="000000"/>
              <w:bottom w:val="single" w:sz="2" w:space="0" w:color="000000"/>
              <w:right w:val="nil"/>
            </w:tcBorders>
          </w:tcPr>
          <w:p w14:paraId="3383CED8" w14:textId="18C46DF6" w:rsidR="00445608" w:rsidRDefault="00445608" w:rsidP="00445608">
            <w:pPr>
              <w:pStyle w:val="TableParagraph"/>
              <w:spacing w:before="42"/>
              <w:ind w:left="17" w:right="16"/>
              <w:jc w:val="center"/>
              <w:rPr>
                <w:spacing w:val="-5"/>
                <w:sz w:val="19"/>
              </w:rPr>
            </w:pPr>
            <w:r>
              <w:rPr>
                <w:spacing w:val="-5"/>
                <w:sz w:val="19"/>
              </w:rPr>
              <w:t>11</w:t>
            </w:r>
          </w:p>
        </w:tc>
      </w:tr>
      <w:tr w:rsidR="00445608" w14:paraId="380E2F23" w14:textId="77777777">
        <w:trPr>
          <w:trHeight w:val="721"/>
        </w:trPr>
        <w:tc>
          <w:tcPr>
            <w:tcW w:w="2551" w:type="dxa"/>
            <w:tcBorders>
              <w:top w:val="single" w:sz="2" w:space="0" w:color="000000"/>
              <w:left w:val="nil"/>
              <w:bottom w:val="single" w:sz="2" w:space="0" w:color="000000"/>
              <w:right w:val="single" w:sz="2" w:space="0" w:color="000000"/>
            </w:tcBorders>
          </w:tcPr>
          <w:p w14:paraId="748D5BC3" w14:textId="42BB3C0D" w:rsidR="00445608" w:rsidRDefault="00445608" w:rsidP="00445608">
            <w:pPr>
              <w:pStyle w:val="TableParagraph"/>
              <w:spacing w:before="47" w:line="230" w:lineRule="auto"/>
              <w:ind w:left="85" w:right="178"/>
              <w:rPr>
                <w:sz w:val="19"/>
              </w:rPr>
            </w:pPr>
            <w:r>
              <w:rPr>
                <w:sz w:val="19"/>
              </w:rPr>
              <w:t>Review</w:t>
            </w:r>
            <w:r>
              <w:rPr>
                <w:spacing w:val="-3"/>
                <w:sz w:val="19"/>
              </w:rPr>
              <w:t xml:space="preserve"> </w:t>
            </w:r>
            <w:r>
              <w:rPr>
                <w:sz w:val="19"/>
              </w:rPr>
              <w:t>of</w:t>
            </w:r>
            <w:r>
              <w:rPr>
                <w:spacing w:val="-2"/>
                <w:sz w:val="19"/>
              </w:rPr>
              <w:t xml:space="preserve"> performance</w:t>
            </w:r>
          </w:p>
        </w:tc>
        <w:tc>
          <w:tcPr>
            <w:tcW w:w="5953" w:type="dxa"/>
            <w:tcBorders>
              <w:top w:val="single" w:sz="2" w:space="0" w:color="000000"/>
              <w:left w:val="single" w:sz="2" w:space="0" w:color="000000"/>
              <w:bottom w:val="single" w:sz="2" w:space="0" w:color="000000"/>
              <w:right w:val="single" w:sz="2" w:space="0" w:color="000000"/>
            </w:tcBorders>
          </w:tcPr>
          <w:p w14:paraId="6E0635C2" w14:textId="23FB95B7" w:rsidR="00445608" w:rsidRDefault="00445608" w:rsidP="00445608">
            <w:pPr>
              <w:pStyle w:val="TableParagraph"/>
              <w:spacing w:before="47" w:line="230" w:lineRule="auto"/>
              <w:ind w:left="82"/>
              <w:rPr>
                <w:sz w:val="19"/>
              </w:rPr>
            </w:pPr>
            <w:r>
              <w:rPr>
                <w:sz w:val="19"/>
              </w:rPr>
              <w:t>Public Governance, Performance and Accountability Amendment (Corporate Commonwealth Entity Annual Reporting) Rule 2016, subsection 17BE(g)</w:t>
            </w:r>
          </w:p>
        </w:tc>
        <w:tc>
          <w:tcPr>
            <w:tcW w:w="1701" w:type="dxa"/>
            <w:tcBorders>
              <w:top w:val="single" w:sz="2" w:space="0" w:color="000000"/>
              <w:left w:val="single" w:sz="2" w:space="0" w:color="000000"/>
              <w:bottom w:val="single" w:sz="2" w:space="0" w:color="000000"/>
              <w:right w:val="nil"/>
            </w:tcBorders>
          </w:tcPr>
          <w:p w14:paraId="7F493F4B" w14:textId="05AB62E7" w:rsidR="00445608" w:rsidRDefault="00445608" w:rsidP="00445608">
            <w:pPr>
              <w:pStyle w:val="TableParagraph"/>
              <w:spacing w:before="42"/>
              <w:ind w:left="17" w:right="16"/>
              <w:jc w:val="center"/>
              <w:rPr>
                <w:spacing w:val="-5"/>
                <w:sz w:val="19"/>
              </w:rPr>
            </w:pPr>
            <w:r>
              <w:rPr>
                <w:sz w:val="19"/>
              </w:rPr>
              <w:t>66–</w:t>
            </w:r>
            <w:r>
              <w:rPr>
                <w:spacing w:val="-5"/>
                <w:sz w:val="19"/>
              </w:rPr>
              <w:t>73</w:t>
            </w:r>
          </w:p>
        </w:tc>
      </w:tr>
      <w:tr w:rsidR="00445608" w14:paraId="66B178EC" w14:textId="77777777">
        <w:trPr>
          <w:trHeight w:val="721"/>
        </w:trPr>
        <w:tc>
          <w:tcPr>
            <w:tcW w:w="2551" w:type="dxa"/>
            <w:tcBorders>
              <w:top w:val="single" w:sz="2" w:space="0" w:color="000000"/>
              <w:left w:val="nil"/>
              <w:bottom w:val="single" w:sz="2" w:space="0" w:color="000000"/>
              <w:right w:val="single" w:sz="2" w:space="0" w:color="000000"/>
            </w:tcBorders>
          </w:tcPr>
          <w:p w14:paraId="393C461C" w14:textId="1AFDEE18" w:rsidR="00445608" w:rsidRDefault="00445608" w:rsidP="00445608">
            <w:pPr>
              <w:pStyle w:val="TableParagraph"/>
              <w:spacing w:before="47" w:line="230" w:lineRule="auto"/>
              <w:ind w:left="85" w:right="178"/>
              <w:rPr>
                <w:sz w:val="19"/>
              </w:rPr>
            </w:pPr>
            <w:r>
              <w:rPr>
                <w:sz w:val="19"/>
              </w:rPr>
              <w:t>Statement</w:t>
            </w:r>
            <w:r>
              <w:rPr>
                <w:spacing w:val="1"/>
                <w:sz w:val="19"/>
              </w:rPr>
              <w:t xml:space="preserve"> </w:t>
            </w:r>
            <w:r>
              <w:rPr>
                <w:sz w:val="19"/>
              </w:rPr>
              <w:t>on</w:t>
            </w:r>
            <w:r>
              <w:rPr>
                <w:spacing w:val="1"/>
                <w:sz w:val="19"/>
              </w:rPr>
              <w:t xml:space="preserve"> </w:t>
            </w:r>
            <w:r>
              <w:rPr>
                <w:spacing w:val="-2"/>
                <w:sz w:val="19"/>
              </w:rPr>
              <w:t>governance</w:t>
            </w:r>
          </w:p>
        </w:tc>
        <w:tc>
          <w:tcPr>
            <w:tcW w:w="5953" w:type="dxa"/>
            <w:tcBorders>
              <w:top w:val="single" w:sz="2" w:space="0" w:color="000000"/>
              <w:left w:val="single" w:sz="2" w:space="0" w:color="000000"/>
              <w:bottom w:val="single" w:sz="2" w:space="0" w:color="000000"/>
              <w:right w:val="single" w:sz="2" w:space="0" w:color="000000"/>
            </w:tcBorders>
          </w:tcPr>
          <w:p w14:paraId="585A8480" w14:textId="1AA3CEB6" w:rsidR="00445608" w:rsidRDefault="00445608" w:rsidP="00445608">
            <w:pPr>
              <w:pStyle w:val="TableParagraph"/>
              <w:spacing w:before="47" w:line="230" w:lineRule="auto"/>
              <w:ind w:left="82"/>
              <w:rPr>
                <w:sz w:val="19"/>
              </w:rPr>
            </w:pPr>
            <w:r>
              <w:rPr>
                <w:sz w:val="19"/>
              </w:rPr>
              <w:t>Public Governance, Performance and Accountability Amendment (Corporate Commonwealth Entity Annual Reporting) Rule 2016, subsection 17BE(m)</w:t>
            </w:r>
          </w:p>
        </w:tc>
        <w:tc>
          <w:tcPr>
            <w:tcW w:w="1701" w:type="dxa"/>
            <w:tcBorders>
              <w:top w:val="single" w:sz="2" w:space="0" w:color="000000"/>
              <w:left w:val="single" w:sz="2" w:space="0" w:color="000000"/>
              <w:bottom w:val="single" w:sz="2" w:space="0" w:color="000000"/>
              <w:right w:val="nil"/>
            </w:tcBorders>
          </w:tcPr>
          <w:p w14:paraId="239A04A8" w14:textId="193DD43E" w:rsidR="00445608" w:rsidRDefault="00445608" w:rsidP="00445608">
            <w:pPr>
              <w:pStyle w:val="TableParagraph"/>
              <w:spacing w:before="42"/>
              <w:ind w:left="17" w:right="16"/>
              <w:jc w:val="center"/>
              <w:rPr>
                <w:spacing w:val="-5"/>
                <w:sz w:val="19"/>
              </w:rPr>
            </w:pPr>
            <w:r>
              <w:rPr>
                <w:sz w:val="19"/>
              </w:rPr>
              <w:t>75–</w:t>
            </w:r>
            <w:r>
              <w:rPr>
                <w:spacing w:val="-5"/>
                <w:sz w:val="19"/>
              </w:rPr>
              <w:t>96</w:t>
            </w:r>
          </w:p>
        </w:tc>
      </w:tr>
    </w:tbl>
    <w:p w14:paraId="35CA2E2F" w14:textId="77777777" w:rsidR="009D54AF" w:rsidRDefault="009D54AF">
      <w:pPr>
        <w:pStyle w:val="TableParagraph"/>
        <w:jc w:val="center"/>
        <w:rPr>
          <w:sz w:val="19"/>
        </w:rPr>
        <w:sectPr w:rsidR="009D54AF">
          <w:pgSz w:w="11910" w:h="16840"/>
          <w:pgMar w:top="820" w:right="708" w:bottom="825" w:left="708" w:header="720" w:footer="720" w:gutter="0"/>
          <w:cols w:space="720"/>
        </w:sectPr>
      </w:pPr>
    </w:p>
    <w:p w14:paraId="47ACEA5B" w14:textId="77777777" w:rsidR="009D54AF" w:rsidRDefault="009D54AF">
      <w:pPr>
        <w:pStyle w:val="TableParagraph"/>
        <w:jc w:val="center"/>
        <w:rPr>
          <w:sz w:val="19"/>
        </w:rPr>
        <w:sectPr w:rsidR="009D54AF">
          <w:type w:val="continuous"/>
          <w:pgSz w:w="11910" w:h="16840"/>
          <w:pgMar w:top="820" w:right="708" w:bottom="926" w:left="708" w:header="720" w:footer="720" w:gutter="0"/>
          <w:cols w:space="720"/>
        </w:sectPr>
      </w:pPr>
    </w:p>
    <w:p w14:paraId="3C145733" w14:textId="77777777" w:rsidR="009D54AF" w:rsidRDefault="00000000">
      <w:pPr>
        <w:pStyle w:val="Heading1"/>
        <w:spacing w:before="140"/>
      </w:pPr>
      <w:bookmarkStart w:id="99" w:name="_Toc243037299"/>
      <w:r>
        <w:rPr>
          <w:spacing w:val="-2"/>
        </w:rPr>
        <w:lastRenderedPageBreak/>
        <w:t>Index</w:t>
      </w:r>
      <w:bookmarkEnd w:id="99"/>
    </w:p>
    <w:p w14:paraId="73620FD9" w14:textId="77777777" w:rsidR="009D54AF" w:rsidRDefault="00000000">
      <w:pPr>
        <w:pStyle w:val="Heading4"/>
        <w:spacing w:before="334"/>
      </w:pPr>
      <w:r>
        <w:rPr>
          <w:spacing w:val="-10"/>
        </w:rPr>
        <w:t>A</w:t>
      </w:r>
    </w:p>
    <w:p w14:paraId="1406ED3F" w14:textId="27666CBA" w:rsidR="009D54AF" w:rsidRDefault="00000000">
      <w:pPr>
        <w:spacing w:before="111"/>
        <w:ind w:left="142"/>
        <w:rPr>
          <w:sz w:val="19"/>
        </w:rPr>
      </w:pPr>
      <w:r>
        <w:rPr>
          <w:sz w:val="19"/>
        </w:rPr>
        <w:t>abbreviations,</w:t>
      </w:r>
      <w:r>
        <w:rPr>
          <w:spacing w:val="-4"/>
          <w:sz w:val="19"/>
        </w:rPr>
        <w:t xml:space="preserve"> </w:t>
      </w:r>
    </w:p>
    <w:p w14:paraId="2DD6E2F2" w14:textId="065C7EBD" w:rsidR="00CD0248" w:rsidRDefault="00000000">
      <w:pPr>
        <w:spacing w:before="92" w:line="340" w:lineRule="auto"/>
        <w:ind w:left="142" w:right="1372"/>
        <w:rPr>
          <w:sz w:val="19"/>
        </w:rPr>
      </w:pPr>
      <w:r>
        <w:rPr>
          <w:sz w:val="19"/>
        </w:rPr>
        <w:t>Aboriginal</w:t>
      </w:r>
      <w:r>
        <w:rPr>
          <w:spacing w:val="-5"/>
          <w:sz w:val="19"/>
        </w:rPr>
        <w:t xml:space="preserve"> </w:t>
      </w:r>
      <w:r>
        <w:rPr>
          <w:sz w:val="19"/>
        </w:rPr>
        <w:t>and</w:t>
      </w:r>
      <w:r>
        <w:rPr>
          <w:spacing w:val="-8"/>
          <w:sz w:val="19"/>
        </w:rPr>
        <w:t xml:space="preserve"> </w:t>
      </w:r>
      <w:r>
        <w:rPr>
          <w:sz w:val="19"/>
        </w:rPr>
        <w:t>Torres</w:t>
      </w:r>
      <w:r>
        <w:rPr>
          <w:spacing w:val="-4"/>
          <w:sz w:val="19"/>
        </w:rPr>
        <w:t xml:space="preserve"> </w:t>
      </w:r>
      <w:r>
        <w:rPr>
          <w:sz w:val="19"/>
        </w:rPr>
        <w:t>Strait</w:t>
      </w:r>
      <w:r>
        <w:rPr>
          <w:spacing w:val="-4"/>
          <w:sz w:val="19"/>
        </w:rPr>
        <w:t xml:space="preserve"> </w:t>
      </w:r>
      <w:r>
        <w:rPr>
          <w:sz w:val="19"/>
        </w:rPr>
        <w:t>Islander</w:t>
      </w:r>
      <w:r>
        <w:rPr>
          <w:spacing w:val="-4"/>
          <w:sz w:val="19"/>
        </w:rPr>
        <w:t xml:space="preserve"> </w:t>
      </w:r>
      <w:r>
        <w:rPr>
          <w:sz w:val="19"/>
        </w:rPr>
        <w:t>Health</w:t>
      </w:r>
      <w:r>
        <w:rPr>
          <w:spacing w:val="-14"/>
          <w:sz w:val="19"/>
        </w:rPr>
        <w:t xml:space="preserve"> </w:t>
      </w:r>
      <w:r>
        <w:rPr>
          <w:sz w:val="19"/>
        </w:rPr>
        <w:t>Advisory</w:t>
      </w:r>
      <w:r>
        <w:rPr>
          <w:spacing w:val="-3"/>
          <w:sz w:val="19"/>
        </w:rPr>
        <w:t xml:space="preserve"> </w:t>
      </w:r>
      <w:r>
        <w:rPr>
          <w:sz w:val="19"/>
        </w:rPr>
        <w:t>Group,</w:t>
      </w:r>
      <w:r>
        <w:rPr>
          <w:spacing w:val="-4"/>
          <w:sz w:val="19"/>
        </w:rPr>
        <w:t xml:space="preserve"> </w:t>
      </w:r>
      <w:r>
        <w:rPr>
          <w:i/>
          <w:sz w:val="19"/>
        </w:rPr>
        <w:t>see</w:t>
      </w:r>
      <w:r>
        <w:rPr>
          <w:i/>
          <w:spacing w:val="-4"/>
          <w:sz w:val="19"/>
        </w:rPr>
        <w:t xml:space="preserve"> </w:t>
      </w:r>
      <w:r>
        <w:rPr>
          <w:i/>
          <w:sz w:val="19"/>
        </w:rPr>
        <w:t>also</w:t>
      </w:r>
      <w:r>
        <w:rPr>
          <w:i/>
          <w:spacing w:val="-4"/>
          <w:sz w:val="19"/>
        </w:rPr>
        <w:t xml:space="preserve"> </w:t>
      </w:r>
      <w:r>
        <w:rPr>
          <w:sz w:val="19"/>
        </w:rPr>
        <w:t>First</w:t>
      </w:r>
      <w:r>
        <w:rPr>
          <w:spacing w:val="-4"/>
          <w:sz w:val="19"/>
        </w:rPr>
        <w:t xml:space="preserve"> </w:t>
      </w:r>
      <w:r>
        <w:rPr>
          <w:sz w:val="19"/>
        </w:rPr>
        <w:t>Nations</w:t>
      </w:r>
      <w:r>
        <w:rPr>
          <w:spacing w:val="-4"/>
          <w:sz w:val="19"/>
        </w:rPr>
        <w:t xml:space="preserve"> </w:t>
      </w:r>
      <w:r>
        <w:rPr>
          <w:sz w:val="19"/>
        </w:rPr>
        <w:t>people</w:t>
      </w:r>
    </w:p>
    <w:p w14:paraId="68C855A3" w14:textId="4E4450A7" w:rsidR="009D54AF" w:rsidRDefault="00000000">
      <w:pPr>
        <w:spacing w:before="92" w:line="340" w:lineRule="auto"/>
        <w:ind w:left="142" w:right="1372"/>
        <w:rPr>
          <w:sz w:val="19"/>
        </w:rPr>
      </w:pPr>
      <w:r>
        <w:rPr>
          <w:spacing w:val="-2"/>
          <w:sz w:val="19"/>
        </w:rPr>
        <w:t>accountability</w:t>
      </w:r>
    </w:p>
    <w:p w14:paraId="064B1B00" w14:textId="77777777" w:rsidR="00CD0248" w:rsidRDefault="00000000">
      <w:pPr>
        <w:spacing w:before="2" w:line="340" w:lineRule="auto"/>
        <w:ind w:left="425" w:right="6484"/>
        <w:rPr>
          <w:sz w:val="19"/>
        </w:rPr>
      </w:pPr>
      <w:r>
        <w:rPr>
          <w:sz w:val="19"/>
        </w:rPr>
        <w:t>accountable</w:t>
      </w:r>
      <w:r>
        <w:rPr>
          <w:spacing w:val="-10"/>
          <w:sz w:val="19"/>
        </w:rPr>
        <w:t xml:space="preserve"> </w:t>
      </w:r>
      <w:r>
        <w:rPr>
          <w:sz w:val="19"/>
        </w:rPr>
        <w:t>authority,</w:t>
      </w:r>
      <w:r>
        <w:rPr>
          <w:spacing w:val="-10"/>
          <w:sz w:val="19"/>
        </w:rPr>
        <w:t xml:space="preserve"> </w:t>
      </w:r>
      <w:r>
        <w:rPr>
          <w:i/>
          <w:sz w:val="19"/>
        </w:rPr>
        <w:t>see</w:t>
      </w:r>
      <w:r>
        <w:rPr>
          <w:i/>
          <w:spacing w:val="-10"/>
          <w:sz w:val="19"/>
        </w:rPr>
        <w:t xml:space="preserve"> </w:t>
      </w:r>
      <w:r>
        <w:rPr>
          <w:i/>
          <w:sz w:val="19"/>
        </w:rPr>
        <w:t>also</w:t>
      </w:r>
      <w:r>
        <w:rPr>
          <w:i/>
          <w:spacing w:val="-10"/>
          <w:sz w:val="19"/>
        </w:rPr>
        <w:t xml:space="preserve"> </w:t>
      </w:r>
      <w:r>
        <w:rPr>
          <w:sz w:val="19"/>
        </w:rPr>
        <w:t xml:space="preserve">Board of </w:t>
      </w:r>
    </w:p>
    <w:p w14:paraId="688A408E" w14:textId="44081CF1" w:rsidR="009D54AF" w:rsidRDefault="00000000">
      <w:pPr>
        <w:spacing w:before="2" w:line="340" w:lineRule="auto"/>
        <w:ind w:left="425" w:right="6484"/>
        <w:rPr>
          <w:sz w:val="19"/>
        </w:rPr>
      </w:pPr>
      <w:r>
        <w:rPr>
          <w:sz w:val="19"/>
        </w:rPr>
        <w:t xml:space="preserve">Commission, </w:t>
      </w:r>
    </w:p>
    <w:p w14:paraId="5CC1D6A2" w14:textId="77777777" w:rsidR="00CD0248" w:rsidRDefault="00000000">
      <w:pPr>
        <w:spacing w:before="1" w:line="340" w:lineRule="auto"/>
        <w:ind w:left="425" w:right="6600" w:hanging="284"/>
        <w:rPr>
          <w:sz w:val="19"/>
        </w:rPr>
      </w:pPr>
      <w:r>
        <w:rPr>
          <w:sz w:val="19"/>
        </w:rPr>
        <w:t xml:space="preserve">accreditation assessment, </w:t>
      </w:r>
    </w:p>
    <w:p w14:paraId="578D7DAA" w14:textId="77777777" w:rsidR="00CD0248" w:rsidRDefault="00000000" w:rsidP="00CD0248">
      <w:pPr>
        <w:spacing w:before="1" w:line="341" w:lineRule="auto"/>
        <w:ind w:left="142" w:right="6600" w:firstLine="284"/>
        <w:rPr>
          <w:spacing w:val="-11"/>
          <w:sz w:val="19"/>
        </w:rPr>
      </w:pPr>
      <w:r>
        <w:rPr>
          <w:sz w:val="19"/>
        </w:rPr>
        <w:t>accrediting</w:t>
      </w:r>
      <w:r>
        <w:rPr>
          <w:spacing w:val="-11"/>
          <w:sz w:val="19"/>
        </w:rPr>
        <w:t xml:space="preserve"> </w:t>
      </w:r>
      <w:r>
        <w:rPr>
          <w:sz w:val="19"/>
        </w:rPr>
        <w:t>agency</w:t>
      </w:r>
      <w:r>
        <w:rPr>
          <w:spacing w:val="-11"/>
          <w:sz w:val="19"/>
        </w:rPr>
        <w:t xml:space="preserve"> </w:t>
      </w:r>
      <w:r>
        <w:rPr>
          <w:sz w:val="19"/>
        </w:rPr>
        <w:t>performance,</w:t>
      </w:r>
      <w:r>
        <w:rPr>
          <w:spacing w:val="-11"/>
          <w:sz w:val="19"/>
        </w:rPr>
        <w:t xml:space="preserve"> </w:t>
      </w:r>
    </w:p>
    <w:p w14:paraId="1ADB6879" w14:textId="2717CFD9" w:rsidR="009D54AF" w:rsidRDefault="00000000" w:rsidP="00CD0248">
      <w:pPr>
        <w:spacing w:before="1" w:line="341" w:lineRule="auto"/>
        <w:ind w:left="142" w:right="6600" w:firstLine="284"/>
        <w:rPr>
          <w:sz w:val="19"/>
        </w:rPr>
      </w:pPr>
      <w:r>
        <w:rPr>
          <w:sz w:val="19"/>
        </w:rPr>
        <w:t xml:space="preserve">assessors, </w:t>
      </w:r>
    </w:p>
    <w:p w14:paraId="6E43981C" w14:textId="1EF1974B" w:rsidR="009D54AF" w:rsidRDefault="00000000">
      <w:pPr>
        <w:spacing w:before="2"/>
        <w:ind w:left="425"/>
        <w:rPr>
          <w:sz w:val="19"/>
        </w:rPr>
      </w:pPr>
      <w:r>
        <w:rPr>
          <w:sz w:val="19"/>
        </w:rPr>
        <w:t>of</w:t>
      </w:r>
      <w:r>
        <w:rPr>
          <w:spacing w:val="-2"/>
          <w:sz w:val="19"/>
        </w:rPr>
        <w:t xml:space="preserve"> </w:t>
      </w:r>
      <w:r>
        <w:rPr>
          <w:sz w:val="19"/>
        </w:rPr>
        <w:t>health</w:t>
      </w:r>
      <w:r>
        <w:rPr>
          <w:spacing w:val="-2"/>
          <w:sz w:val="19"/>
        </w:rPr>
        <w:t xml:space="preserve"> </w:t>
      </w:r>
      <w:r>
        <w:rPr>
          <w:sz w:val="19"/>
        </w:rPr>
        <w:t>practitioners,</w:t>
      </w:r>
      <w:r>
        <w:rPr>
          <w:spacing w:val="-1"/>
          <w:sz w:val="19"/>
        </w:rPr>
        <w:t xml:space="preserve"> </w:t>
      </w:r>
    </w:p>
    <w:p w14:paraId="14EFE1A5" w14:textId="26E6563A" w:rsidR="00F218AC" w:rsidRDefault="00000000">
      <w:pPr>
        <w:spacing w:before="92" w:line="340" w:lineRule="auto"/>
        <w:ind w:left="425" w:right="5920"/>
        <w:rPr>
          <w:sz w:val="19"/>
        </w:rPr>
      </w:pPr>
      <w:r>
        <w:rPr>
          <w:sz w:val="19"/>
        </w:rPr>
        <w:t>of</w:t>
      </w:r>
      <w:r>
        <w:rPr>
          <w:spacing w:val="-6"/>
          <w:sz w:val="19"/>
        </w:rPr>
        <w:t xml:space="preserve"> </w:t>
      </w:r>
      <w:r>
        <w:rPr>
          <w:sz w:val="19"/>
        </w:rPr>
        <w:t>health</w:t>
      </w:r>
      <w:r>
        <w:rPr>
          <w:spacing w:val="-6"/>
          <w:sz w:val="19"/>
        </w:rPr>
        <w:t xml:space="preserve"> </w:t>
      </w:r>
      <w:r>
        <w:rPr>
          <w:sz w:val="19"/>
        </w:rPr>
        <w:t>service</w:t>
      </w:r>
      <w:r>
        <w:rPr>
          <w:spacing w:val="-6"/>
          <w:sz w:val="19"/>
        </w:rPr>
        <w:t xml:space="preserve"> </w:t>
      </w:r>
      <w:proofErr w:type="spellStart"/>
      <w:r>
        <w:rPr>
          <w:sz w:val="19"/>
        </w:rPr>
        <w:t>organisations</w:t>
      </w:r>
      <w:proofErr w:type="spellEnd"/>
      <w:r>
        <w:rPr>
          <w:sz w:val="19"/>
        </w:rPr>
        <w:t>,</w:t>
      </w:r>
      <w:r>
        <w:rPr>
          <w:spacing w:val="-6"/>
          <w:sz w:val="19"/>
        </w:rPr>
        <w:t xml:space="preserve"> </w:t>
      </w:r>
    </w:p>
    <w:p w14:paraId="322F662E" w14:textId="6D86ABC3" w:rsidR="009D54AF" w:rsidRDefault="00000000">
      <w:pPr>
        <w:spacing w:before="92" w:line="340" w:lineRule="auto"/>
        <w:ind w:left="425" w:right="5920"/>
        <w:rPr>
          <w:sz w:val="19"/>
        </w:rPr>
      </w:pPr>
      <w:r>
        <w:rPr>
          <w:sz w:val="19"/>
        </w:rPr>
        <w:t xml:space="preserve">improving reliability of processes, </w:t>
      </w:r>
    </w:p>
    <w:p w14:paraId="253B227E" w14:textId="77777777" w:rsidR="00CD0248" w:rsidRDefault="00000000">
      <w:pPr>
        <w:spacing w:before="1" w:line="340" w:lineRule="auto"/>
        <w:ind w:left="425" w:right="6889"/>
        <w:rPr>
          <w:sz w:val="19"/>
        </w:rPr>
      </w:pPr>
      <w:r>
        <w:rPr>
          <w:sz w:val="19"/>
        </w:rPr>
        <w:t>of</w:t>
      </w:r>
      <w:r>
        <w:rPr>
          <w:spacing w:val="-7"/>
          <w:sz w:val="19"/>
        </w:rPr>
        <w:t xml:space="preserve"> </w:t>
      </w:r>
      <w:r>
        <w:rPr>
          <w:sz w:val="19"/>
        </w:rPr>
        <w:t>mental</w:t>
      </w:r>
      <w:r>
        <w:rPr>
          <w:spacing w:val="-7"/>
          <w:sz w:val="19"/>
        </w:rPr>
        <w:t xml:space="preserve"> </w:t>
      </w:r>
      <w:r>
        <w:rPr>
          <w:sz w:val="19"/>
        </w:rPr>
        <w:t>health</w:t>
      </w:r>
      <w:r>
        <w:rPr>
          <w:spacing w:val="-7"/>
          <w:sz w:val="19"/>
        </w:rPr>
        <w:t xml:space="preserve"> </w:t>
      </w:r>
      <w:r>
        <w:rPr>
          <w:sz w:val="19"/>
        </w:rPr>
        <w:t>service</w:t>
      </w:r>
      <w:r>
        <w:rPr>
          <w:spacing w:val="-7"/>
          <w:sz w:val="19"/>
        </w:rPr>
        <w:t xml:space="preserve"> </w:t>
      </w:r>
      <w:r>
        <w:rPr>
          <w:sz w:val="19"/>
        </w:rPr>
        <w:t>providers,</w:t>
      </w:r>
      <w:r>
        <w:rPr>
          <w:spacing w:val="-7"/>
          <w:sz w:val="19"/>
        </w:rPr>
        <w:t xml:space="preserve"> </w:t>
      </w:r>
      <w:r>
        <w:rPr>
          <w:sz w:val="19"/>
        </w:rPr>
        <w:t xml:space="preserve">outcomes data, review of, </w:t>
      </w:r>
    </w:p>
    <w:p w14:paraId="5F6FBDDD" w14:textId="010831A9" w:rsidR="009D54AF" w:rsidRDefault="00000000">
      <w:pPr>
        <w:spacing w:before="1" w:line="340" w:lineRule="auto"/>
        <w:ind w:left="425" w:right="6889"/>
        <w:rPr>
          <w:sz w:val="19"/>
        </w:rPr>
      </w:pPr>
      <w:r>
        <w:rPr>
          <w:sz w:val="19"/>
        </w:rPr>
        <w:t xml:space="preserve">outcomes public reporting, </w:t>
      </w:r>
    </w:p>
    <w:p w14:paraId="5CD3A83E" w14:textId="08F9529E" w:rsidR="009D54AF" w:rsidRDefault="00000000">
      <w:pPr>
        <w:spacing w:before="2"/>
        <w:ind w:left="425"/>
        <w:rPr>
          <w:sz w:val="19"/>
        </w:rPr>
      </w:pPr>
      <w:r>
        <w:rPr>
          <w:sz w:val="19"/>
        </w:rPr>
        <w:t xml:space="preserve">post-assessment surveys, </w:t>
      </w:r>
    </w:p>
    <w:p w14:paraId="3EEA2E03" w14:textId="7CC6054A" w:rsidR="009D54AF" w:rsidRDefault="00000000">
      <w:pPr>
        <w:spacing w:before="93" w:line="340" w:lineRule="auto"/>
        <w:ind w:left="425" w:right="6600"/>
        <w:rPr>
          <w:sz w:val="19"/>
        </w:rPr>
      </w:pPr>
      <w:r>
        <w:rPr>
          <w:sz w:val="19"/>
        </w:rPr>
        <w:t>of</w:t>
      </w:r>
      <w:r>
        <w:rPr>
          <w:spacing w:val="-7"/>
          <w:sz w:val="19"/>
        </w:rPr>
        <w:t xml:space="preserve"> </w:t>
      </w:r>
      <w:r>
        <w:rPr>
          <w:sz w:val="19"/>
        </w:rPr>
        <w:t>primary</w:t>
      </w:r>
      <w:r>
        <w:rPr>
          <w:spacing w:val="-7"/>
          <w:sz w:val="19"/>
        </w:rPr>
        <w:t xml:space="preserve"> </w:t>
      </w:r>
      <w:r>
        <w:rPr>
          <w:sz w:val="19"/>
        </w:rPr>
        <w:t>and</w:t>
      </w:r>
      <w:r>
        <w:rPr>
          <w:spacing w:val="-7"/>
          <w:sz w:val="19"/>
        </w:rPr>
        <w:t xml:space="preserve"> </w:t>
      </w:r>
      <w:r>
        <w:rPr>
          <w:sz w:val="19"/>
        </w:rPr>
        <w:t>community</w:t>
      </w:r>
      <w:r>
        <w:rPr>
          <w:spacing w:val="-7"/>
          <w:sz w:val="19"/>
        </w:rPr>
        <w:t xml:space="preserve"> </w:t>
      </w:r>
      <w:r>
        <w:rPr>
          <w:sz w:val="19"/>
        </w:rPr>
        <w:t>healthcare,</w:t>
      </w:r>
      <w:r>
        <w:rPr>
          <w:spacing w:val="-7"/>
          <w:sz w:val="19"/>
        </w:rPr>
        <w:t xml:space="preserve"> </w:t>
      </w:r>
      <w:r>
        <w:rPr>
          <w:sz w:val="19"/>
        </w:rPr>
        <w:t xml:space="preserve"> short notice assessments, </w:t>
      </w:r>
    </w:p>
    <w:p w14:paraId="71505CDC" w14:textId="77777777" w:rsidR="00CD0248" w:rsidRDefault="00000000">
      <w:pPr>
        <w:spacing w:before="1" w:line="340" w:lineRule="auto"/>
        <w:ind w:left="142" w:right="8072" w:firstLine="283"/>
        <w:rPr>
          <w:sz w:val="19"/>
        </w:rPr>
      </w:pPr>
      <w:r>
        <w:rPr>
          <w:sz w:val="19"/>
        </w:rPr>
        <w:t xml:space="preserve">statistics, </w:t>
      </w:r>
    </w:p>
    <w:p w14:paraId="38F3FA9D" w14:textId="5386B165" w:rsidR="009D54AF" w:rsidRDefault="00000000" w:rsidP="00CD0248">
      <w:pPr>
        <w:spacing w:before="1" w:line="341" w:lineRule="auto"/>
        <w:ind w:left="142" w:right="8074"/>
        <w:rPr>
          <w:sz w:val="19"/>
        </w:rPr>
      </w:pPr>
      <w:r>
        <w:rPr>
          <w:sz w:val="19"/>
        </w:rPr>
        <w:t>accreditation</w:t>
      </w:r>
      <w:r>
        <w:rPr>
          <w:spacing w:val="-14"/>
          <w:sz w:val="19"/>
        </w:rPr>
        <w:t xml:space="preserve"> </w:t>
      </w:r>
      <w:r>
        <w:rPr>
          <w:sz w:val="19"/>
        </w:rPr>
        <w:t>schemes</w:t>
      </w:r>
    </w:p>
    <w:p w14:paraId="02E2247E" w14:textId="20A8D0C6" w:rsidR="009D54AF" w:rsidRDefault="00000000">
      <w:pPr>
        <w:spacing w:before="1"/>
        <w:ind w:left="425"/>
        <w:rPr>
          <w:sz w:val="19"/>
        </w:rPr>
      </w:pPr>
      <w:r>
        <w:rPr>
          <w:sz w:val="19"/>
        </w:rPr>
        <w:t>Australian</w:t>
      </w:r>
      <w:r>
        <w:rPr>
          <w:spacing w:val="-5"/>
          <w:sz w:val="19"/>
        </w:rPr>
        <w:t xml:space="preserve"> </w:t>
      </w:r>
      <w:r>
        <w:rPr>
          <w:sz w:val="19"/>
        </w:rPr>
        <w:t>Health</w:t>
      </w:r>
      <w:r>
        <w:rPr>
          <w:spacing w:val="-2"/>
          <w:sz w:val="19"/>
        </w:rPr>
        <w:t xml:space="preserve"> </w:t>
      </w:r>
      <w:r>
        <w:rPr>
          <w:sz w:val="19"/>
        </w:rPr>
        <w:t>Service</w:t>
      </w:r>
      <w:r>
        <w:rPr>
          <w:spacing w:val="-3"/>
          <w:sz w:val="19"/>
        </w:rPr>
        <w:t xml:space="preserve"> </w:t>
      </w:r>
      <w:r>
        <w:rPr>
          <w:sz w:val="19"/>
        </w:rPr>
        <w:t>Safety</w:t>
      </w:r>
      <w:r>
        <w:rPr>
          <w:spacing w:val="-2"/>
          <w:sz w:val="19"/>
        </w:rPr>
        <w:t xml:space="preserve"> </w:t>
      </w:r>
      <w:r>
        <w:rPr>
          <w:sz w:val="19"/>
        </w:rPr>
        <w:t>and</w:t>
      </w:r>
      <w:r>
        <w:rPr>
          <w:spacing w:val="-3"/>
          <w:sz w:val="19"/>
        </w:rPr>
        <w:t xml:space="preserve"> </w:t>
      </w:r>
      <w:r>
        <w:rPr>
          <w:sz w:val="19"/>
        </w:rPr>
        <w:t>Quality</w:t>
      </w:r>
      <w:r>
        <w:rPr>
          <w:spacing w:val="-13"/>
          <w:sz w:val="19"/>
        </w:rPr>
        <w:t xml:space="preserve"> </w:t>
      </w:r>
      <w:r>
        <w:rPr>
          <w:sz w:val="19"/>
        </w:rPr>
        <w:t>Accreditation</w:t>
      </w:r>
      <w:r>
        <w:rPr>
          <w:spacing w:val="-2"/>
          <w:sz w:val="19"/>
        </w:rPr>
        <w:t xml:space="preserve"> </w:t>
      </w:r>
      <w:r>
        <w:rPr>
          <w:sz w:val="19"/>
        </w:rPr>
        <w:t>(AHSSQA)</w:t>
      </w:r>
      <w:r>
        <w:rPr>
          <w:spacing w:val="-3"/>
          <w:sz w:val="19"/>
        </w:rPr>
        <w:t xml:space="preserve"> </w:t>
      </w:r>
      <w:r>
        <w:rPr>
          <w:sz w:val="19"/>
        </w:rPr>
        <w:t>Scheme,</w:t>
      </w:r>
      <w:r>
        <w:rPr>
          <w:spacing w:val="-2"/>
          <w:sz w:val="19"/>
        </w:rPr>
        <w:t xml:space="preserve"> </w:t>
      </w:r>
    </w:p>
    <w:p w14:paraId="385C3CFC" w14:textId="77777777" w:rsidR="00CD0248" w:rsidRDefault="00000000">
      <w:pPr>
        <w:spacing w:before="93" w:line="340" w:lineRule="auto"/>
        <w:ind w:left="425" w:right="5464"/>
        <w:rPr>
          <w:sz w:val="19"/>
        </w:rPr>
      </w:pPr>
      <w:r>
        <w:rPr>
          <w:sz w:val="19"/>
        </w:rPr>
        <w:t xml:space="preserve">Diagnostic Imaging Accreditation Scheme, </w:t>
      </w:r>
    </w:p>
    <w:p w14:paraId="22A44D19" w14:textId="0CE9C9E1" w:rsidR="00CD0248" w:rsidRDefault="00000000" w:rsidP="00CD0248">
      <w:pPr>
        <w:spacing w:before="93" w:line="341" w:lineRule="auto"/>
        <w:ind w:left="425" w:right="5466"/>
        <w:rPr>
          <w:sz w:val="19"/>
        </w:rPr>
      </w:pPr>
      <w:r>
        <w:rPr>
          <w:sz w:val="19"/>
        </w:rPr>
        <w:t>National</w:t>
      </w:r>
      <w:r>
        <w:rPr>
          <w:spacing w:val="-8"/>
          <w:sz w:val="19"/>
        </w:rPr>
        <w:t xml:space="preserve"> </w:t>
      </w:r>
      <w:r>
        <w:rPr>
          <w:sz w:val="19"/>
        </w:rPr>
        <w:t>General</w:t>
      </w:r>
      <w:r>
        <w:rPr>
          <w:spacing w:val="-6"/>
          <w:sz w:val="19"/>
        </w:rPr>
        <w:t xml:space="preserve"> </w:t>
      </w:r>
      <w:r>
        <w:rPr>
          <w:sz w:val="19"/>
        </w:rPr>
        <w:t>Practice</w:t>
      </w:r>
      <w:r>
        <w:rPr>
          <w:spacing w:val="-14"/>
          <w:sz w:val="19"/>
        </w:rPr>
        <w:t xml:space="preserve"> </w:t>
      </w:r>
      <w:r>
        <w:rPr>
          <w:sz w:val="19"/>
        </w:rPr>
        <w:t>Accreditation</w:t>
      </w:r>
      <w:r>
        <w:rPr>
          <w:spacing w:val="-5"/>
          <w:sz w:val="19"/>
        </w:rPr>
        <w:t xml:space="preserve"> </w:t>
      </w:r>
      <w:r>
        <w:rPr>
          <w:sz w:val="19"/>
        </w:rPr>
        <w:t xml:space="preserve">Scheme, </w:t>
      </w:r>
    </w:p>
    <w:p w14:paraId="389EA5E1" w14:textId="4A2D8F2A" w:rsidR="009D54AF" w:rsidRDefault="00000000" w:rsidP="00CD0248">
      <w:pPr>
        <w:spacing w:before="93" w:line="341" w:lineRule="auto"/>
        <w:ind w:left="425" w:right="5466"/>
        <w:rPr>
          <w:sz w:val="19"/>
        </w:rPr>
      </w:pPr>
      <w:r>
        <w:rPr>
          <w:sz w:val="19"/>
        </w:rPr>
        <w:t xml:space="preserve">National Pathology Accreditation Scheme, </w:t>
      </w:r>
    </w:p>
    <w:p w14:paraId="054C4DCA" w14:textId="77777777" w:rsidR="00CD0248" w:rsidRDefault="00000000">
      <w:pPr>
        <w:spacing w:before="70" w:line="340" w:lineRule="auto"/>
        <w:ind w:left="142" w:right="6889"/>
        <w:rPr>
          <w:sz w:val="19"/>
        </w:rPr>
      </w:pPr>
      <w:proofErr w:type="spellStart"/>
      <w:r>
        <w:rPr>
          <w:sz w:val="19"/>
        </w:rPr>
        <w:t>Achterstraat</w:t>
      </w:r>
      <w:proofErr w:type="spellEnd"/>
      <w:r>
        <w:rPr>
          <w:sz w:val="19"/>
        </w:rPr>
        <w:t xml:space="preserve">, Peter </w:t>
      </w:r>
    </w:p>
    <w:p w14:paraId="11BB2A0D" w14:textId="0C5B2CED" w:rsidR="009D54AF" w:rsidRDefault="00000000">
      <w:pPr>
        <w:spacing w:before="70" w:line="340" w:lineRule="auto"/>
        <w:ind w:left="142" w:right="6889"/>
        <w:rPr>
          <w:sz w:val="19"/>
        </w:rPr>
      </w:pPr>
      <w:r>
        <w:rPr>
          <w:sz w:val="19"/>
        </w:rPr>
        <w:t>Acknowledgement</w:t>
      </w:r>
      <w:r>
        <w:rPr>
          <w:spacing w:val="-14"/>
          <w:sz w:val="19"/>
        </w:rPr>
        <w:t xml:space="preserve"> </w:t>
      </w:r>
      <w:r>
        <w:rPr>
          <w:sz w:val="19"/>
        </w:rPr>
        <w:t>of</w:t>
      </w:r>
      <w:r>
        <w:rPr>
          <w:spacing w:val="-13"/>
          <w:sz w:val="19"/>
        </w:rPr>
        <w:t xml:space="preserve"> </w:t>
      </w:r>
      <w:r>
        <w:rPr>
          <w:sz w:val="19"/>
        </w:rPr>
        <w:t>Country,</w:t>
      </w:r>
      <w:r>
        <w:rPr>
          <w:spacing w:val="-13"/>
          <w:sz w:val="19"/>
        </w:rPr>
        <w:t xml:space="preserve"> </w:t>
      </w:r>
    </w:p>
    <w:p w14:paraId="5448E906" w14:textId="3331A7FD" w:rsidR="009D54AF" w:rsidRDefault="00000000">
      <w:pPr>
        <w:spacing w:before="1" w:line="340" w:lineRule="auto"/>
        <w:ind w:left="142" w:right="6600"/>
        <w:rPr>
          <w:sz w:val="19"/>
        </w:rPr>
      </w:pPr>
      <w:r>
        <w:rPr>
          <w:sz w:val="19"/>
        </w:rPr>
        <w:t>ACON</w:t>
      </w:r>
      <w:r>
        <w:rPr>
          <w:spacing w:val="-7"/>
          <w:sz w:val="19"/>
        </w:rPr>
        <w:t xml:space="preserve"> </w:t>
      </w:r>
      <w:r>
        <w:rPr>
          <w:sz w:val="19"/>
        </w:rPr>
        <w:t>Pride</w:t>
      </w:r>
      <w:r>
        <w:rPr>
          <w:spacing w:val="-7"/>
          <w:sz w:val="19"/>
        </w:rPr>
        <w:t xml:space="preserve"> </w:t>
      </w:r>
      <w:r>
        <w:rPr>
          <w:sz w:val="19"/>
        </w:rPr>
        <w:t>in</w:t>
      </w:r>
      <w:r>
        <w:rPr>
          <w:spacing w:val="-7"/>
          <w:sz w:val="19"/>
        </w:rPr>
        <w:t xml:space="preserve"> </w:t>
      </w:r>
      <w:r>
        <w:rPr>
          <w:sz w:val="19"/>
        </w:rPr>
        <w:t>Health</w:t>
      </w:r>
      <w:r>
        <w:rPr>
          <w:spacing w:val="-7"/>
          <w:sz w:val="19"/>
        </w:rPr>
        <w:t xml:space="preserve"> </w:t>
      </w:r>
      <w:r>
        <w:rPr>
          <w:sz w:val="19"/>
        </w:rPr>
        <w:t>+</w:t>
      </w:r>
      <w:r>
        <w:rPr>
          <w:spacing w:val="-7"/>
          <w:sz w:val="19"/>
        </w:rPr>
        <w:t xml:space="preserve"> </w:t>
      </w:r>
      <w:r>
        <w:rPr>
          <w:sz w:val="19"/>
        </w:rPr>
        <w:t>Wellbeing,</w:t>
      </w:r>
      <w:r>
        <w:rPr>
          <w:spacing w:val="-7"/>
          <w:sz w:val="19"/>
        </w:rPr>
        <w:t xml:space="preserve"> </w:t>
      </w:r>
      <w:r>
        <w:rPr>
          <w:sz w:val="19"/>
        </w:rPr>
        <w:t xml:space="preserve"> acronyms, </w:t>
      </w:r>
    </w:p>
    <w:p w14:paraId="0C205CC8" w14:textId="77777777" w:rsidR="009D54AF" w:rsidRDefault="00000000">
      <w:pPr>
        <w:spacing w:before="2"/>
        <w:ind w:left="142"/>
        <w:rPr>
          <w:sz w:val="19"/>
        </w:rPr>
      </w:pPr>
      <w:r>
        <w:rPr>
          <w:sz w:val="19"/>
        </w:rPr>
        <w:t>acute</w:t>
      </w:r>
      <w:r>
        <w:rPr>
          <w:spacing w:val="-4"/>
          <w:sz w:val="19"/>
        </w:rPr>
        <w:t xml:space="preserve"> care</w:t>
      </w:r>
    </w:p>
    <w:p w14:paraId="520CCC68" w14:textId="0EA65939" w:rsidR="00CD0248" w:rsidRDefault="00000000">
      <w:pPr>
        <w:spacing w:before="92" w:line="340" w:lineRule="auto"/>
        <w:ind w:left="142" w:right="2068" w:firstLine="283"/>
        <w:rPr>
          <w:sz w:val="19"/>
        </w:rPr>
      </w:pPr>
      <w:r>
        <w:rPr>
          <w:i/>
          <w:sz w:val="19"/>
        </w:rPr>
        <w:t>Usability</w:t>
      </w:r>
      <w:r>
        <w:rPr>
          <w:i/>
          <w:spacing w:val="-3"/>
          <w:sz w:val="19"/>
        </w:rPr>
        <w:t xml:space="preserve"> </w:t>
      </w:r>
      <w:r>
        <w:rPr>
          <w:i/>
          <w:sz w:val="19"/>
        </w:rPr>
        <w:t>Guidance</w:t>
      </w:r>
      <w:r>
        <w:rPr>
          <w:i/>
          <w:spacing w:val="-3"/>
          <w:sz w:val="19"/>
        </w:rPr>
        <w:t xml:space="preserve"> </w:t>
      </w:r>
      <w:r>
        <w:rPr>
          <w:i/>
          <w:sz w:val="19"/>
        </w:rPr>
        <w:t>for</w:t>
      </w:r>
      <w:r>
        <w:rPr>
          <w:i/>
          <w:spacing w:val="-3"/>
          <w:sz w:val="19"/>
        </w:rPr>
        <w:t xml:space="preserve"> </w:t>
      </w:r>
      <w:proofErr w:type="spellStart"/>
      <w:r>
        <w:rPr>
          <w:i/>
          <w:sz w:val="19"/>
        </w:rPr>
        <w:t>Optimising</w:t>
      </w:r>
      <w:proofErr w:type="spellEnd"/>
      <w:r>
        <w:rPr>
          <w:i/>
          <w:spacing w:val="-3"/>
          <w:sz w:val="19"/>
        </w:rPr>
        <w:t xml:space="preserve"> </w:t>
      </w:r>
      <w:r>
        <w:rPr>
          <w:i/>
          <w:sz w:val="19"/>
        </w:rPr>
        <w:t>My</w:t>
      </w:r>
      <w:r>
        <w:rPr>
          <w:i/>
          <w:spacing w:val="-3"/>
          <w:sz w:val="19"/>
        </w:rPr>
        <w:t xml:space="preserve"> </w:t>
      </w:r>
      <w:r>
        <w:rPr>
          <w:i/>
          <w:sz w:val="19"/>
        </w:rPr>
        <w:t>Health</w:t>
      </w:r>
      <w:r>
        <w:rPr>
          <w:i/>
          <w:spacing w:val="-3"/>
          <w:sz w:val="19"/>
        </w:rPr>
        <w:t xml:space="preserve"> </w:t>
      </w:r>
      <w:r>
        <w:rPr>
          <w:i/>
          <w:sz w:val="19"/>
        </w:rPr>
        <w:t>Record</w:t>
      </w:r>
      <w:r>
        <w:rPr>
          <w:i/>
          <w:spacing w:val="-3"/>
          <w:sz w:val="19"/>
        </w:rPr>
        <w:t xml:space="preserve"> </w:t>
      </w:r>
      <w:r>
        <w:rPr>
          <w:i/>
          <w:sz w:val="19"/>
        </w:rPr>
        <w:t>Viewing</w:t>
      </w:r>
      <w:r>
        <w:rPr>
          <w:i/>
          <w:spacing w:val="-3"/>
          <w:sz w:val="19"/>
        </w:rPr>
        <w:t xml:space="preserve"> </w:t>
      </w:r>
      <w:r>
        <w:rPr>
          <w:i/>
          <w:sz w:val="19"/>
        </w:rPr>
        <w:t>Platforms</w:t>
      </w:r>
      <w:r>
        <w:rPr>
          <w:i/>
          <w:spacing w:val="-3"/>
          <w:sz w:val="19"/>
        </w:rPr>
        <w:t xml:space="preserve"> </w:t>
      </w:r>
      <w:r>
        <w:rPr>
          <w:i/>
          <w:sz w:val="19"/>
        </w:rPr>
        <w:t>in</w:t>
      </w:r>
      <w:r>
        <w:rPr>
          <w:i/>
          <w:spacing w:val="-10"/>
          <w:sz w:val="19"/>
        </w:rPr>
        <w:t xml:space="preserve"> </w:t>
      </w:r>
      <w:r>
        <w:rPr>
          <w:i/>
          <w:sz w:val="19"/>
        </w:rPr>
        <w:t>Acute</w:t>
      </w:r>
      <w:r>
        <w:rPr>
          <w:i/>
          <w:spacing w:val="-3"/>
          <w:sz w:val="19"/>
        </w:rPr>
        <w:t xml:space="preserve"> </w:t>
      </w:r>
      <w:r>
        <w:rPr>
          <w:i/>
          <w:sz w:val="19"/>
        </w:rPr>
        <w:t>Care</w:t>
      </w:r>
      <w:r>
        <w:rPr>
          <w:sz w:val="19"/>
        </w:rPr>
        <w:t>,</w:t>
      </w:r>
    </w:p>
    <w:p w14:paraId="509410B7" w14:textId="737526A3" w:rsidR="009D54AF" w:rsidRDefault="00000000" w:rsidP="00CD0248">
      <w:pPr>
        <w:spacing w:before="92" w:line="341" w:lineRule="auto"/>
        <w:ind w:left="142" w:right="2070"/>
        <w:rPr>
          <w:sz w:val="19"/>
        </w:rPr>
      </w:pPr>
      <w:r>
        <w:rPr>
          <w:sz w:val="19"/>
        </w:rPr>
        <w:t xml:space="preserve">acute coronary syndromes, </w:t>
      </w:r>
    </w:p>
    <w:p w14:paraId="0009B65E" w14:textId="31DC52EF" w:rsidR="00CD0248" w:rsidRDefault="00000000">
      <w:pPr>
        <w:spacing w:before="1" w:line="340" w:lineRule="auto"/>
        <w:ind w:left="142" w:right="7238"/>
        <w:rPr>
          <w:sz w:val="19"/>
        </w:rPr>
      </w:pPr>
      <w:r>
        <w:rPr>
          <w:sz w:val="19"/>
        </w:rPr>
        <w:t>address</w:t>
      </w:r>
      <w:r>
        <w:rPr>
          <w:spacing w:val="-9"/>
          <w:sz w:val="19"/>
        </w:rPr>
        <w:t xml:space="preserve"> </w:t>
      </w:r>
      <w:r>
        <w:rPr>
          <w:sz w:val="19"/>
        </w:rPr>
        <w:t>and</w:t>
      </w:r>
      <w:r>
        <w:rPr>
          <w:spacing w:val="-9"/>
          <w:sz w:val="19"/>
        </w:rPr>
        <w:t xml:space="preserve"> </w:t>
      </w:r>
      <w:r>
        <w:rPr>
          <w:sz w:val="19"/>
        </w:rPr>
        <w:t>contact</w:t>
      </w:r>
      <w:r>
        <w:rPr>
          <w:spacing w:val="-9"/>
          <w:sz w:val="19"/>
        </w:rPr>
        <w:t xml:space="preserve"> </w:t>
      </w:r>
      <w:r>
        <w:rPr>
          <w:sz w:val="19"/>
        </w:rPr>
        <w:t>details,</w:t>
      </w:r>
      <w:r>
        <w:rPr>
          <w:spacing w:val="-9"/>
          <w:sz w:val="19"/>
        </w:rPr>
        <w:t xml:space="preserve"> </w:t>
      </w:r>
    </w:p>
    <w:p w14:paraId="5B520ED3" w14:textId="3B74BFB7" w:rsidR="009D54AF" w:rsidRDefault="00000000">
      <w:pPr>
        <w:spacing w:before="1" w:line="340" w:lineRule="auto"/>
        <w:ind w:left="142" w:right="7238"/>
        <w:rPr>
          <w:sz w:val="19"/>
        </w:rPr>
      </w:pPr>
      <w:r>
        <w:rPr>
          <w:sz w:val="19"/>
        </w:rPr>
        <w:t xml:space="preserve">adverse events, </w:t>
      </w:r>
    </w:p>
    <w:p w14:paraId="517E3AF9" w14:textId="4D04F421" w:rsidR="00CD0248" w:rsidRDefault="00000000">
      <w:pPr>
        <w:spacing w:before="1" w:line="340" w:lineRule="auto"/>
        <w:ind w:left="425" w:right="5920"/>
        <w:rPr>
          <w:sz w:val="19"/>
        </w:rPr>
      </w:pPr>
      <w:r>
        <w:rPr>
          <w:sz w:val="19"/>
        </w:rPr>
        <w:t xml:space="preserve">indicators and dataset specifications, </w:t>
      </w:r>
    </w:p>
    <w:p w14:paraId="445F2C12" w14:textId="54554832" w:rsidR="00CD0248" w:rsidRDefault="00000000">
      <w:pPr>
        <w:spacing w:before="1" w:line="340" w:lineRule="auto"/>
        <w:ind w:left="425" w:right="5920"/>
        <w:rPr>
          <w:sz w:val="19"/>
        </w:rPr>
      </w:pPr>
      <w:r>
        <w:rPr>
          <w:sz w:val="19"/>
        </w:rPr>
        <w:t>medical</w:t>
      </w:r>
      <w:r>
        <w:rPr>
          <w:spacing w:val="-6"/>
          <w:sz w:val="19"/>
        </w:rPr>
        <w:t xml:space="preserve"> </w:t>
      </w:r>
      <w:r>
        <w:rPr>
          <w:sz w:val="19"/>
        </w:rPr>
        <w:t>devices</w:t>
      </w:r>
      <w:r>
        <w:rPr>
          <w:spacing w:val="-6"/>
          <w:sz w:val="19"/>
        </w:rPr>
        <w:t xml:space="preserve"> </w:t>
      </w:r>
      <w:r>
        <w:rPr>
          <w:sz w:val="19"/>
        </w:rPr>
        <w:t>adverse</w:t>
      </w:r>
      <w:r>
        <w:rPr>
          <w:spacing w:val="-6"/>
          <w:sz w:val="19"/>
        </w:rPr>
        <w:t xml:space="preserve"> </w:t>
      </w:r>
      <w:r>
        <w:rPr>
          <w:sz w:val="19"/>
        </w:rPr>
        <w:t>event</w:t>
      </w:r>
      <w:r>
        <w:rPr>
          <w:spacing w:val="-6"/>
          <w:sz w:val="19"/>
        </w:rPr>
        <w:t xml:space="preserve"> </w:t>
      </w:r>
      <w:r>
        <w:rPr>
          <w:sz w:val="19"/>
        </w:rPr>
        <w:t>reporting,</w:t>
      </w:r>
      <w:r>
        <w:rPr>
          <w:spacing w:val="-6"/>
          <w:sz w:val="19"/>
        </w:rPr>
        <w:t xml:space="preserve"> </w:t>
      </w:r>
    </w:p>
    <w:p w14:paraId="760FA664" w14:textId="0F773CE5" w:rsidR="009D54AF" w:rsidRDefault="00000000">
      <w:pPr>
        <w:spacing w:before="1" w:line="340" w:lineRule="auto"/>
        <w:ind w:left="425" w:right="5920"/>
        <w:rPr>
          <w:sz w:val="19"/>
        </w:rPr>
      </w:pPr>
      <w:r>
        <w:rPr>
          <w:sz w:val="19"/>
        </w:rPr>
        <w:t xml:space="preserve">sentinel events, </w:t>
      </w:r>
    </w:p>
    <w:p w14:paraId="516F4031" w14:textId="63EB56BE" w:rsidR="009D54AF" w:rsidRDefault="00000000">
      <w:pPr>
        <w:spacing w:before="2"/>
        <w:ind w:left="142"/>
        <w:rPr>
          <w:sz w:val="19"/>
        </w:rPr>
      </w:pPr>
      <w:r>
        <w:rPr>
          <w:sz w:val="19"/>
        </w:rPr>
        <w:t>advertising</w:t>
      </w:r>
      <w:r>
        <w:rPr>
          <w:spacing w:val="-3"/>
          <w:sz w:val="19"/>
        </w:rPr>
        <w:t xml:space="preserve"> </w:t>
      </w:r>
      <w:r>
        <w:rPr>
          <w:sz w:val="19"/>
        </w:rPr>
        <w:t>and</w:t>
      </w:r>
      <w:r>
        <w:rPr>
          <w:spacing w:val="-3"/>
          <w:sz w:val="19"/>
        </w:rPr>
        <w:t xml:space="preserve"> </w:t>
      </w:r>
      <w:r>
        <w:rPr>
          <w:sz w:val="19"/>
        </w:rPr>
        <w:t>market</w:t>
      </w:r>
      <w:r>
        <w:rPr>
          <w:spacing w:val="-3"/>
          <w:sz w:val="19"/>
        </w:rPr>
        <w:t xml:space="preserve"> </w:t>
      </w:r>
      <w:r>
        <w:rPr>
          <w:sz w:val="19"/>
        </w:rPr>
        <w:t>research,</w:t>
      </w:r>
      <w:r>
        <w:rPr>
          <w:spacing w:val="-3"/>
          <w:sz w:val="19"/>
        </w:rPr>
        <w:t xml:space="preserve"> </w:t>
      </w:r>
    </w:p>
    <w:p w14:paraId="33FE6700" w14:textId="77777777" w:rsidR="009D54AF" w:rsidRDefault="00000000">
      <w:pPr>
        <w:spacing w:before="93"/>
        <w:ind w:left="142"/>
        <w:rPr>
          <w:sz w:val="19"/>
        </w:rPr>
      </w:pPr>
      <w:r>
        <w:rPr>
          <w:sz w:val="19"/>
        </w:rPr>
        <w:t>Advice</w:t>
      </w:r>
      <w:r>
        <w:rPr>
          <w:spacing w:val="-5"/>
          <w:sz w:val="19"/>
        </w:rPr>
        <w:t xml:space="preserve"> </w:t>
      </w:r>
      <w:r>
        <w:rPr>
          <w:sz w:val="19"/>
        </w:rPr>
        <w:t>Centre</w:t>
      </w:r>
      <w:r>
        <w:rPr>
          <w:spacing w:val="-3"/>
          <w:sz w:val="19"/>
        </w:rPr>
        <w:t xml:space="preserve"> </w:t>
      </w:r>
      <w:r>
        <w:rPr>
          <w:i/>
          <w:sz w:val="19"/>
        </w:rPr>
        <w:t>see</w:t>
      </w:r>
      <w:r>
        <w:rPr>
          <w:i/>
          <w:spacing w:val="-3"/>
          <w:sz w:val="19"/>
        </w:rPr>
        <w:t xml:space="preserve"> </w:t>
      </w:r>
      <w:r>
        <w:rPr>
          <w:sz w:val="19"/>
        </w:rPr>
        <w:t>Safety</w:t>
      </w:r>
      <w:r>
        <w:rPr>
          <w:spacing w:val="-3"/>
          <w:sz w:val="19"/>
        </w:rPr>
        <w:t xml:space="preserve"> </w:t>
      </w:r>
      <w:r>
        <w:rPr>
          <w:sz w:val="19"/>
        </w:rPr>
        <w:t>and</w:t>
      </w:r>
      <w:r>
        <w:rPr>
          <w:spacing w:val="-2"/>
          <w:sz w:val="19"/>
        </w:rPr>
        <w:t xml:space="preserve"> </w:t>
      </w:r>
      <w:r>
        <w:rPr>
          <w:sz w:val="19"/>
        </w:rPr>
        <w:t>Quality</w:t>
      </w:r>
      <w:r>
        <w:rPr>
          <w:spacing w:val="-14"/>
          <w:sz w:val="19"/>
        </w:rPr>
        <w:t xml:space="preserve"> </w:t>
      </w:r>
      <w:r>
        <w:rPr>
          <w:sz w:val="19"/>
        </w:rPr>
        <w:t>Advice</w:t>
      </w:r>
      <w:r>
        <w:rPr>
          <w:spacing w:val="-2"/>
          <w:sz w:val="19"/>
        </w:rPr>
        <w:t xml:space="preserve"> Centre</w:t>
      </w:r>
    </w:p>
    <w:p w14:paraId="41C2449D" w14:textId="77777777" w:rsidR="009D54AF" w:rsidRDefault="00000000">
      <w:pPr>
        <w:spacing w:before="92" w:line="340" w:lineRule="auto"/>
        <w:ind w:left="142" w:right="4242"/>
        <w:rPr>
          <w:sz w:val="19"/>
        </w:rPr>
      </w:pPr>
      <w:r>
        <w:rPr>
          <w:sz w:val="19"/>
        </w:rPr>
        <w:t>advisory</w:t>
      </w:r>
      <w:r>
        <w:rPr>
          <w:spacing w:val="-5"/>
          <w:sz w:val="19"/>
        </w:rPr>
        <w:t xml:space="preserve"> </w:t>
      </w:r>
      <w:r>
        <w:rPr>
          <w:sz w:val="19"/>
        </w:rPr>
        <w:t>groups</w:t>
      </w:r>
      <w:r>
        <w:rPr>
          <w:spacing w:val="-6"/>
          <w:sz w:val="19"/>
        </w:rPr>
        <w:t xml:space="preserve"> </w:t>
      </w:r>
      <w:r>
        <w:rPr>
          <w:i/>
          <w:sz w:val="19"/>
        </w:rPr>
        <w:t>see</w:t>
      </w:r>
      <w:r>
        <w:rPr>
          <w:i/>
          <w:spacing w:val="-5"/>
          <w:sz w:val="19"/>
        </w:rPr>
        <w:t xml:space="preserve"> </w:t>
      </w:r>
      <w:r>
        <w:rPr>
          <w:sz w:val="19"/>
        </w:rPr>
        <w:t>stakeholder</w:t>
      </w:r>
      <w:r>
        <w:rPr>
          <w:spacing w:val="-5"/>
          <w:sz w:val="19"/>
        </w:rPr>
        <w:t xml:space="preserve"> </w:t>
      </w:r>
      <w:r>
        <w:rPr>
          <w:sz w:val="19"/>
        </w:rPr>
        <w:t>consultation</w:t>
      </w:r>
      <w:r>
        <w:rPr>
          <w:spacing w:val="-5"/>
          <w:sz w:val="19"/>
        </w:rPr>
        <w:t xml:space="preserve"> </w:t>
      </w:r>
      <w:r>
        <w:rPr>
          <w:sz w:val="19"/>
        </w:rPr>
        <w:t>and</w:t>
      </w:r>
      <w:r>
        <w:rPr>
          <w:spacing w:val="-5"/>
          <w:sz w:val="19"/>
        </w:rPr>
        <w:t xml:space="preserve"> </w:t>
      </w:r>
      <w:r>
        <w:rPr>
          <w:sz w:val="19"/>
        </w:rPr>
        <w:t>advisory</w:t>
      </w:r>
      <w:r>
        <w:rPr>
          <w:spacing w:val="-5"/>
          <w:sz w:val="19"/>
        </w:rPr>
        <w:t xml:space="preserve"> </w:t>
      </w:r>
      <w:r>
        <w:rPr>
          <w:sz w:val="19"/>
        </w:rPr>
        <w:t>mechanisms aged care</w:t>
      </w:r>
    </w:p>
    <w:p w14:paraId="54CF1E2A" w14:textId="6EB40CC7" w:rsidR="009D54AF" w:rsidRDefault="00000000">
      <w:pPr>
        <w:spacing w:before="1"/>
        <w:ind w:left="425"/>
        <w:rPr>
          <w:sz w:val="19"/>
        </w:rPr>
      </w:pPr>
      <w:r>
        <w:rPr>
          <w:sz w:val="19"/>
        </w:rPr>
        <w:lastRenderedPageBreak/>
        <w:t>infection</w:t>
      </w:r>
      <w:r>
        <w:rPr>
          <w:spacing w:val="-7"/>
          <w:sz w:val="19"/>
        </w:rPr>
        <w:t xml:space="preserve"> </w:t>
      </w:r>
      <w:r>
        <w:rPr>
          <w:sz w:val="19"/>
        </w:rPr>
        <w:t>prevention</w:t>
      </w:r>
      <w:r>
        <w:rPr>
          <w:spacing w:val="-4"/>
          <w:sz w:val="19"/>
        </w:rPr>
        <w:t xml:space="preserve"> </w:t>
      </w:r>
      <w:r>
        <w:rPr>
          <w:sz w:val="19"/>
        </w:rPr>
        <w:t>and</w:t>
      </w:r>
      <w:r>
        <w:rPr>
          <w:spacing w:val="-4"/>
          <w:sz w:val="19"/>
        </w:rPr>
        <w:t xml:space="preserve"> </w:t>
      </w:r>
      <w:r>
        <w:rPr>
          <w:sz w:val="19"/>
        </w:rPr>
        <w:t>control</w:t>
      </w:r>
      <w:r>
        <w:rPr>
          <w:spacing w:val="-4"/>
          <w:sz w:val="19"/>
        </w:rPr>
        <w:t xml:space="preserve"> </w:t>
      </w:r>
      <w:r>
        <w:rPr>
          <w:sz w:val="19"/>
        </w:rPr>
        <w:t>guide,</w:t>
      </w:r>
      <w:r>
        <w:rPr>
          <w:spacing w:val="-4"/>
          <w:sz w:val="19"/>
        </w:rPr>
        <w:t xml:space="preserve"> </w:t>
      </w:r>
    </w:p>
    <w:p w14:paraId="5127DA0C" w14:textId="690DC80E" w:rsidR="00CD0248" w:rsidRDefault="00000000">
      <w:pPr>
        <w:spacing w:before="93" w:line="340" w:lineRule="auto"/>
        <w:ind w:left="425" w:right="3321"/>
        <w:rPr>
          <w:sz w:val="19"/>
        </w:rPr>
      </w:pPr>
      <w:r>
        <w:rPr>
          <w:sz w:val="19"/>
        </w:rPr>
        <w:t>Integrated</w:t>
      </w:r>
      <w:r>
        <w:rPr>
          <w:spacing w:val="-3"/>
          <w:sz w:val="19"/>
        </w:rPr>
        <w:t xml:space="preserve"> </w:t>
      </w:r>
      <w:r>
        <w:rPr>
          <w:sz w:val="19"/>
        </w:rPr>
        <w:t>Health</w:t>
      </w:r>
      <w:r>
        <w:rPr>
          <w:spacing w:val="-3"/>
          <w:sz w:val="19"/>
        </w:rPr>
        <w:t xml:space="preserve"> </w:t>
      </w:r>
      <w:r>
        <w:rPr>
          <w:sz w:val="19"/>
        </w:rPr>
        <w:t>and</w:t>
      </w:r>
      <w:r>
        <w:rPr>
          <w:spacing w:val="-14"/>
          <w:sz w:val="19"/>
        </w:rPr>
        <w:t xml:space="preserve"> </w:t>
      </w:r>
      <w:r>
        <w:rPr>
          <w:sz w:val="19"/>
        </w:rPr>
        <w:t>Aged</w:t>
      </w:r>
      <w:r>
        <w:rPr>
          <w:spacing w:val="-2"/>
          <w:sz w:val="19"/>
        </w:rPr>
        <w:t xml:space="preserve"> </w:t>
      </w:r>
      <w:r>
        <w:rPr>
          <w:sz w:val="19"/>
        </w:rPr>
        <w:t>Care</w:t>
      </w:r>
      <w:r>
        <w:rPr>
          <w:spacing w:val="-3"/>
          <w:sz w:val="19"/>
        </w:rPr>
        <w:t xml:space="preserve"> </w:t>
      </w:r>
      <w:r>
        <w:rPr>
          <w:sz w:val="19"/>
        </w:rPr>
        <w:t>Service</w:t>
      </w:r>
      <w:r>
        <w:rPr>
          <w:spacing w:val="-3"/>
          <w:sz w:val="19"/>
        </w:rPr>
        <w:t xml:space="preserve"> </w:t>
      </w:r>
      <w:r>
        <w:rPr>
          <w:sz w:val="19"/>
        </w:rPr>
        <w:t>Module</w:t>
      </w:r>
      <w:r>
        <w:rPr>
          <w:spacing w:val="-3"/>
          <w:sz w:val="19"/>
        </w:rPr>
        <w:t xml:space="preserve"> </w:t>
      </w:r>
      <w:r>
        <w:rPr>
          <w:sz w:val="19"/>
        </w:rPr>
        <w:t>and</w:t>
      </w:r>
      <w:r>
        <w:rPr>
          <w:spacing w:val="-3"/>
          <w:sz w:val="19"/>
        </w:rPr>
        <w:t xml:space="preserve"> </w:t>
      </w:r>
      <w:r>
        <w:rPr>
          <w:sz w:val="19"/>
        </w:rPr>
        <w:t>User</w:t>
      </w:r>
      <w:r>
        <w:rPr>
          <w:spacing w:val="-3"/>
          <w:sz w:val="19"/>
        </w:rPr>
        <w:t xml:space="preserve"> </w:t>
      </w:r>
      <w:r>
        <w:rPr>
          <w:sz w:val="19"/>
        </w:rPr>
        <w:t>Guide</w:t>
      </w:r>
      <w:r w:rsidR="00CD0248">
        <w:rPr>
          <w:sz w:val="19"/>
        </w:rPr>
        <w:t>,</w:t>
      </w:r>
      <w:r>
        <w:rPr>
          <w:sz w:val="19"/>
        </w:rPr>
        <w:t xml:space="preserve"> </w:t>
      </w:r>
    </w:p>
    <w:p w14:paraId="28C51703" w14:textId="3B609C38" w:rsidR="009D54AF" w:rsidRDefault="00000000" w:rsidP="00CD0248">
      <w:pPr>
        <w:spacing w:before="92" w:line="341" w:lineRule="auto"/>
        <w:ind w:left="425" w:right="3323"/>
        <w:rPr>
          <w:sz w:val="19"/>
        </w:rPr>
      </w:pPr>
      <w:r>
        <w:rPr>
          <w:sz w:val="19"/>
        </w:rPr>
        <w:t xml:space="preserve">Royal Commission, </w:t>
      </w:r>
    </w:p>
    <w:p w14:paraId="2C109B31" w14:textId="148C3934" w:rsidR="009D54AF" w:rsidRDefault="00000000">
      <w:pPr>
        <w:spacing w:before="1"/>
        <w:ind w:left="142"/>
        <w:rPr>
          <w:sz w:val="19"/>
        </w:rPr>
      </w:pPr>
      <w:r>
        <w:rPr>
          <w:sz w:val="19"/>
        </w:rPr>
        <w:t>Aged</w:t>
      </w:r>
      <w:r>
        <w:rPr>
          <w:spacing w:val="-2"/>
          <w:sz w:val="19"/>
        </w:rPr>
        <w:t xml:space="preserve"> </w:t>
      </w:r>
      <w:r>
        <w:rPr>
          <w:sz w:val="19"/>
        </w:rPr>
        <w:t>Care</w:t>
      </w:r>
      <w:r>
        <w:rPr>
          <w:spacing w:val="-1"/>
          <w:sz w:val="19"/>
        </w:rPr>
        <w:t xml:space="preserve"> </w:t>
      </w:r>
      <w:r>
        <w:rPr>
          <w:sz w:val="19"/>
        </w:rPr>
        <w:t>Quality</w:t>
      </w:r>
      <w:r>
        <w:rPr>
          <w:spacing w:val="-1"/>
          <w:sz w:val="19"/>
        </w:rPr>
        <w:t xml:space="preserve"> </w:t>
      </w:r>
      <w:r>
        <w:rPr>
          <w:sz w:val="19"/>
        </w:rPr>
        <w:t>Standards,</w:t>
      </w:r>
      <w:r>
        <w:rPr>
          <w:spacing w:val="-1"/>
          <w:sz w:val="19"/>
        </w:rPr>
        <w:t xml:space="preserve"> </w:t>
      </w:r>
    </w:p>
    <w:p w14:paraId="141E7D1F" w14:textId="2E260F86" w:rsidR="009D54AF" w:rsidRDefault="00000000">
      <w:pPr>
        <w:spacing w:before="92" w:line="340" w:lineRule="auto"/>
        <w:ind w:left="142" w:right="5464"/>
        <w:rPr>
          <w:sz w:val="19"/>
        </w:rPr>
      </w:pPr>
      <w:r>
        <w:rPr>
          <w:sz w:val="19"/>
        </w:rPr>
        <w:t>AI</w:t>
      </w:r>
      <w:r>
        <w:rPr>
          <w:spacing w:val="-6"/>
          <w:sz w:val="19"/>
        </w:rPr>
        <w:t xml:space="preserve"> </w:t>
      </w:r>
      <w:r>
        <w:rPr>
          <w:sz w:val="19"/>
        </w:rPr>
        <w:t>(artificial</w:t>
      </w:r>
      <w:r>
        <w:rPr>
          <w:spacing w:val="-6"/>
          <w:sz w:val="19"/>
        </w:rPr>
        <w:t xml:space="preserve"> </w:t>
      </w:r>
      <w:r>
        <w:rPr>
          <w:sz w:val="19"/>
        </w:rPr>
        <w:t>intelligence)</w:t>
      </w:r>
      <w:r>
        <w:rPr>
          <w:spacing w:val="-6"/>
          <w:sz w:val="19"/>
        </w:rPr>
        <w:t xml:space="preserve"> </w:t>
      </w:r>
      <w:r>
        <w:rPr>
          <w:sz w:val="19"/>
        </w:rPr>
        <w:t>see</w:t>
      </w:r>
      <w:r>
        <w:rPr>
          <w:spacing w:val="-6"/>
          <w:sz w:val="19"/>
        </w:rPr>
        <w:t xml:space="preserve"> </w:t>
      </w:r>
      <w:r>
        <w:rPr>
          <w:sz w:val="19"/>
        </w:rPr>
        <w:t>artificial</w:t>
      </w:r>
      <w:r>
        <w:rPr>
          <w:spacing w:val="-6"/>
          <w:sz w:val="19"/>
        </w:rPr>
        <w:t xml:space="preserve"> </w:t>
      </w:r>
      <w:r>
        <w:rPr>
          <w:sz w:val="19"/>
        </w:rPr>
        <w:t>intelligence</w:t>
      </w:r>
      <w:r>
        <w:rPr>
          <w:spacing w:val="-6"/>
          <w:sz w:val="19"/>
        </w:rPr>
        <w:t xml:space="preserve"> </w:t>
      </w:r>
      <w:r>
        <w:rPr>
          <w:sz w:val="19"/>
        </w:rPr>
        <w:t xml:space="preserve">(AI) annual performance statements </w:t>
      </w:r>
      <w:r>
        <w:rPr>
          <w:i/>
          <w:sz w:val="19"/>
        </w:rPr>
        <w:t xml:space="preserve">see </w:t>
      </w:r>
      <w:r>
        <w:rPr>
          <w:sz w:val="19"/>
        </w:rPr>
        <w:t xml:space="preserve">performance anticancer medicines, </w:t>
      </w:r>
    </w:p>
    <w:p w14:paraId="70B2CB53" w14:textId="5F547D81" w:rsidR="009D54AF" w:rsidRDefault="00000000">
      <w:pPr>
        <w:spacing w:before="2"/>
        <w:ind w:left="142"/>
        <w:rPr>
          <w:sz w:val="19"/>
        </w:rPr>
      </w:pPr>
      <w:r>
        <w:rPr>
          <w:sz w:val="19"/>
        </w:rPr>
        <w:t xml:space="preserve">anticoagulants, </w:t>
      </w:r>
    </w:p>
    <w:p w14:paraId="162F30C8" w14:textId="4CB4FF7F" w:rsidR="009D54AF" w:rsidRDefault="00000000">
      <w:pPr>
        <w:spacing w:before="93"/>
        <w:ind w:left="142"/>
        <w:rPr>
          <w:sz w:val="19"/>
        </w:rPr>
      </w:pPr>
      <w:r>
        <w:rPr>
          <w:sz w:val="19"/>
        </w:rPr>
        <w:t>antimicrobial</w:t>
      </w:r>
      <w:r>
        <w:rPr>
          <w:spacing w:val="-6"/>
          <w:sz w:val="19"/>
        </w:rPr>
        <w:t xml:space="preserve"> </w:t>
      </w:r>
      <w:r>
        <w:rPr>
          <w:sz w:val="19"/>
        </w:rPr>
        <w:t>resistance</w:t>
      </w:r>
      <w:r>
        <w:rPr>
          <w:spacing w:val="-5"/>
          <w:sz w:val="19"/>
        </w:rPr>
        <w:t xml:space="preserve"> </w:t>
      </w:r>
      <w:r>
        <w:rPr>
          <w:sz w:val="19"/>
        </w:rPr>
        <w:t>(AMR),</w:t>
      </w:r>
      <w:r>
        <w:rPr>
          <w:spacing w:val="-5"/>
          <w:sz w:val="19"/>
        </w:rPr>
        <w:t xml:space="preserve"> </w:t>
      </w:r>
    </w:p>
    <w:p w14:paraId="4C052292" w14:textId="58870323" w:rsidR="00CD0248" w:rsidRDefault="00000000" w:rsidP="00CD0248">
      <w:pPr>
        <w:spacing w:before="92" w:line="278" w:lineRule="auto"/>
        <w:ind w:left="142" w:right="4768"/>
        <w:rPr>
          <w:sz w:val="19"/>
        </w:rPr>
      </w:pPr>
      <w:r>
        <w:rPr>
          <w:sz w:val="19"/>
        </w:rPr>
        <w:t>Antimicrobial</w:t>
      </w:r>
      <w:r>
        <w:rPr>
          <w:spacing w:val="-6"/>
          <w:sz w:val="19"/>
        </w:rPr>
        <w:t xml:space="preserve"> </w:t>
      </w:r>
      <w:r>
        <w:rPr>
          <w:sz w:val="19"/>
        </w:rPr>
        <w:t>Use</w:t>
      </w:r>
      <w:r>
        <w:rPr>
          <w:spacing w:val="-5"/>
          <w:sz w:val="19"/>
        </w:rPr>
        <w:t xml:space="preserve"> </w:t>
      </w:r>
      <w:r>
        <w:rPr>
          <w:sz w:val="19"/>
        </w:rPr>
        <w:t>and</w:t>
      </w:r>
      <w:r>
        <w:rPr>
          <w:spacing w:val="-5"/>
          <w:sz w:val="19"/>
        </w:rPr>
        <w:t xml:space="preserve"> </w:t>
      </w:r>
      <w:r>
        <w:rPr>
          <w:sz w:val="19"/>
        </w:rPr>
        <w:t>Resistance</w:t>
      </w:r>
      <w:r>
        <w:rPr>
          <w:spacing w:val="-5"/>
          <w:sz w:val="19"/>
        </w:rPr>
        <w:t xml:space="preserve"> </w:t>
      </w:r>
      <w:r>
        <w:rPr>
          <w:sz w:val="19"/>
        </w:rPr>
        <w:t>in</w:t>
      </w:r>
      <w:r>
        <w:rPr>
          <w:spacing w:val="-14"/>
          <w:sz w:val="19"/>
        </w:rPr>
        <w:t xml:space="preserve"> </w:t>
      </w:r>
      <w:r>
        <w:rPr>
          <w:sz w:val="19"/>
        </w:rPr>
        <w:t>Australia</w:t>
      </w:r>
      <w:r>
        <w:rPr>
          <w:spacing w:val="-4"/>
          <w:sz w:val="19"/>
        </w:rPr>
        <w:t xml:space="preserve"> </w:t>
      </w:r>
      <w:r>
        <w:rPr>
          <w:sz w:val="19"/>
        </w:rPr>
        <w:t>(AURA)</w:t>
      </w:r>
      <w:r>
        <w:rPr>
          <w:spacing w:val="-5"/>
          <w:sz w:val="19"/>
        </w:rPr>
        <w:t xml:space="preserve"> </w:t>
      </w:r>
      <w:r>
        <w:rPr>
          <w:sz w:val="19"/>
        </w:rPr>
        <w:t>project,</w:t>
      </w:r>
      <w:r>
        <w:rPr>
          <w:spacing w:val="-5"/>
          <w:sz w:val="19"/>
        </w:rPr>
        <w:t xml:space="preserve"> </w:t>
      </w:r>
    </w:p>
    <w:p w14:paraId="2B6F256D" w14:textId="08A65E99" w:rsidR="009D54AF" w:rsidRDefault="00000000" w:rsidP="00CD0248">
      <w:pPr>
        <w:spacing w:before="92" w:line="341" w:lineRule="auto"/>
        <w:ind w:left="142" w:right="4768"/>
        <w:rPr>
          <w:sz w:val="19"/>
        </w:rPr>
      </w:pPr>
      <w:r>
        <w:rPr>
          <w:sz w:val="19"/>
        </w:rPr>
        <w:t xml:space="preserve">APAS (Australian Passive AMR Surveillance), </w:t>
      </w:r>
    </w:p>
    <w:p w14:paraId="61FB85FC" w14:textId="43DBB1BD" w:rsidR="009D54AF" w:rsidRDefault="00000000">
      <w:pPr>
        <w:spacing w:before="1" w:line="340" w:lineRule="auto"/>
        <w:ind w:left="142" w:right="6600"/>
        <w:rPr>
          <w:sz w:val="19"/>
        </w:rPr>
      </w:pPr>
      <w:r>
        <w:rPr>
          <w:sz w:val="19"/>
        </w:rPr>
        <w:t>APS</w:t>
      </w:r>
      <w:r>
        <w:rPr>
          <w:spacing w:val="-10"/>
          <w:sz w:val="19"/>
        </w:rPr>
        <w:t xml:space="preserve"> </w:t>
      </w:r>
      <w:r>
        <w:rPr>
          <w:sz w:val="19"/>
        </w:rPr>
        <w:t>see</w:t>
      </w:r>
      <w:r>
        <w:rPr>
          <w:spacing w:val="-14"/>
          <w:sz w:val="19"/>
        </w:rPr>
        <w:t xml:space="preserve"> </w:t>
      </w:r>
      <w:r>
        <w:rPr>
          <w:sz w:val="19"/>
        </w:rPr>
        <w:t>Australian</w:t>
      </w:r>
      <w:r>
        <w:rPr>
          <w:spacing w:val="-6"/>
          <w:sz w:val="19"/>
        </w:rPr>
        <w:t xml:space="preserve"> </w:t>
      </w:r>
      <w:r>
        <w:rPr>
          <w:sz w:val="19"/>
        </w:rPr>
        <w:t>Public</w:t>
      </w:r>
      <w:r>
        <w:rPr>
          <w:spacing w:val="-7"/>
          <w:sz w:val="19"/>
        </w:rPr>
        <w:t xml:space="preserve"> </w:t>
      </w:r>
      <w:r>
        <w:rPr>
          <w:sz w:val="19"/>
        </w:rPr>
        <w:t>Service</w:t>
      </w:r>
      <w:r>
        <w:rPr>
          <w:spacing w:val="-7"/>
          <w:sz w:val="19"/>
        </w:rPr>
        <w:t xml:space="preserve"> </w:t>
      </w:r>
      <w:r>
        <w:rPr>
          <w:sz w:val="19"/>
        </w:rPr>
        <w:t xml:space="preserve">(APS) artificial intelligence (AI), </w:t>
      </w:r>
    </w:p>
    <w:p w14:paraId="09500804" w14:textId="77A0A3B7" w:rsidR="009D54AF" w:rsidRDefault="00000000">
      <w:pPr>
        <w:spacing w:before="1"/>
        <w:ind w:left="425"/>
        <w:rPr>
          <w:sz w:val="19"/>
        </w:rPr>
      </w:pPr>
      <w:r>
        <w:rPr>
          <w:sz w:val="19"/>
        </w:rPr>
        <w:t>guidance</w:t>
      </w:r>
      <w:r>
        <w:rPr>
          <w:spacing w:val="-2"/>
          <w:sz w:val="19"/>
        </w:rPr>
        <w:t xml:space="preserve"> </w:t>
      </w:r>
      <w:r>
        <w:rPr>
          <w:sz w:val="19"/>
        </w:rPr>
        <w:t>for</w:t>
      </w:r>
      <w:r>
        <w:rPr>
          <w:spacing w:val="-1"/>
          <w:sz w:val="19"/>
        </w:rPr>
        <w:t xml:space="preserve"> </w:t>
      </w:r>
      <w:r>
        <w:rPr>
          <w:sz w:val="19"/>
        </w:rPr>
        <w:t>clinicians,</w:t>
      </w:r>
      <w:r>
        <w:rPr>
          <w:spacing w:val="-2"/>
          <w:sz w:val="19"/>
        </w:rPr>
        <w:t xml:space="preserve"> </w:t>
      </w:r>
    </w:p>
    <w:p w14:paraId="1852E4FC" w14:textId="7455A552" w:rsidR="00CD0248" w:rsidRDefault="00000000" w:rsidP="00CD0248">
      <w:pPr>
        <w:spacing w:before="93" w:line="278" w:lineRule="auto"/>
        <w:ind w:left="142" w:right="5919"/>
        <w:rPr>
          <w:sz w:val="19"/>
        </w:rPr>
      </w:pPr>
      <w:r>
        <w:rPr>
          <w:sz w:val="19"/>
        </w:rPr>
        <w:t>Artificial</w:t>
      </w:r>
      <w:r>
        <w:rPr>
          <w:spacing w:val="-11"/>
          <w:sz w:val="19"/>
        </w:rPr>
        <w:t xml:space="preserve"> </w:t>
      </w:r>
      <w:r>
        <w:rPr>
          <w:sz w:val="19"/>
        </w:rPr>
        <w:t>Intelligence</w:t>
      </w:r>
      <w:r>
        <w:rPr>
          <w:spacing w:val="-7"/>
          <w:sz w:val="19"/>
        </w:rPr>
        <w:t xml:space="preserve"> </w:t>
      </w:r>
      <w:r>
        <w:rPr>
          <w:sz w:val="19"/>
        </w:rPr>
        <w:t>Program</w:t>
      </w:r>
      <w:r>
        <w:rPr>
          <w:spacing w:val="-14"/>
          <w:sz w:val="19"/>
        </w:rPr>
        <w:t xml:space="preserve"> </w:t>
      </w:r>
      <w:r>
        <w:rPr>
          <w:sz w:val="19"/>
        </w:rPr>
        <w:t>Advisory</w:t>
      </w:r>
      <w:r>
        <w:rPr>
          <w:spacing w:val="-7"/>
          <w:sz w:val="19"/>
        </w:rPr>
        <w:t xml:space="preserve"> </w:t>
      </w:r>
      <w:r>
        <w:rPr>
          <w:sz w:val="19"/>
        </w:rPr>
        <w:t>Group,</w:t>
      </w:r>
      <w:r>
        <w:rPr>
          <w:spacing w:val="-7"/>
          <w:sz w:val="19"/>
        </w:rPr>
        <w:t xml:space="preserve"> </w:t>
      </w:r>
    </w:p>
    <w:p w14:paraId="1519A9E9" w14:textId="5E53F5F5" w:rsidR="00CD0248" w:rsidRDefault="00000000" w:rsidP="00CD0248">
      <w:pPr>
        <w:spacing w:before="93" w:line="278" w:lineRule="auto"/>
        <w:ind w:left="142" w:right="5919"/>
        <w:rPr>
          <w:sz w:val="19"/>
        </w:rPr>
      </w:pPr>
      <w:r>
        <w:rPr>
          <w:sz w:val="19"/>
        </w:rPr>
        <w:t xml:space="preserve">Ask, Share, Know decision-making model, </w:t>
      </w:r>
    </w:p>
    <w:p w14:paraId="5E503168" w14:textId="3AD2BF77" w:rsidR="009D54AF" w:rsidRDefault="00000000" w:rsidP="00CD0248">
      <w:pPr>
        <w:spacing w:before="93" w:line="278" w:lineRule="auto"/>
        <w:ind w:left="142" w:right="5919"/>
        <w:rPr>
          <w:sz w:val="19"/>
        </w:rPr>
      </w:pPr>
      <w:r>
        <w:rPr>
          <w:i/>
          <w:sz w:val="19"/>
        </w:rPr>
        <w:t>Assessor Orientation training modules</w:t>
      </w:r>
      <w:r>
        <w:rPr>
          <w:sz w:val="19"/>
        </w:rPr>
        <w:t xml:space="preserve">, </w:t>
      </w:r>
    </w:p>
    <w:p w14:paraId="45844636" w14:textId="0F56959A" w:rsidR="009D54AF" w:rsidRDefault="00000000">
      <w:pPr>
        <w:spacing w:before="2"/>
        <w:ind w:left="142"/>
        <w:rPr>
          <w:sz w:val="19"/>
        </w:rPr>
      </w:pPr>
      <w:r>
        <w:rPr>
          <w:sz w:val="19"/>
        </w:rPr>
        <w:t xml:space="preserve">assessors, </w:t>
      </w:r>
    </w:p>
    <w:p w14:paraId="7E8660E0" w14:textId="1F01C530" w:rsidR="009D54AF" w:rsidRDefault="00000000">
      <w:pPr>
        <w:spacing w:before="92"/>
        <w:ind w:left="142"/>
        <w:rPr>
          <w:sz w:val="19"/>
        </w:rPr>
      </w:pPr>
      <w:r>
        <w:rPr>
          <w:i/>
          <w:sz w:val="19"/>
        </w:rPr>
        <w:t>Atlas</w:t>
      </w:r>
      <w:r>
        <w:rPr>
          <w:i/>
          <w:spacing w:val="-1"/>
          <w:sz w:val="19"/>
        </w:rPr>
        <w:t xml:space="preserve"> </w:t>
      </w:r>
      <w:r>
        <w:rPr>
          <w:i/>
          <w:sz w:val="19"/>
        </w:rPr>
        <w:t>Focus Report: Colonoscopy</w:t>
      </w:r>
      <w:r>
        <w:rPr>
          <w:sz w:val="19"/>
        </w:rPr>
        <w:t xml:space="preserve">, </w:t>
      </w:r>
    </w:p>
    <w:p w14:paraId="0A85FC1C" w14:textId="4ED61E4D" w:rsidR="00CD0248" w:rsidRDefault="00000000">
      <w:pPr>
        <w:spacing w:before="92" w:line="340" w:lineRule="auto"/>
        <w:ind w:left="142" w:right="6889"/>
        <w:rPr>
          <w:sz w:val="19"/>
        </w:rPr>
      </w:pPr>
      <w:r>
        <w:rPr>
          <w:i/>
          <w:sz w:val="19"/>
        </w:rPr>
        <w:t>Atlas</w:t>
      </w:r>
      <w:r>
        <w:rPr>
          <w:i/>
          <w:spacing w:val="-9"/>
          <w:sz w:val="19"/>
        </w:rPr>
        <w:t xml:space="preserve"> </w:t>
      </w:r>
      <w:r>
        <w:rPr>
          <w:i/>
          <w:sz w:val="19"/>
        </w:rPr>
        <w:t>Focus</w:t>
      </w:r>
      <w:r>
        <w:rPr>
          <w:i/>
          <w:spacing w:val="-9"/>
          <w:sz w:val="19"/>
        </w:rPr>
        <w:t xml:space="preserve"> </w:t>
      </w:r>
      <w:r>
        <w:rPr>
          <w:i/>
          <w:sz w:val="19"/>
        </w:rPr>
        <w:t>Report:</w:t>
      </w:r>
      <w:r>
        <w:rPr>
          <w:i/>
          <w:spacing w:val="-9"/>
          <w:sz w:val="19"/>
        </w:rPr>
        <w:t xml:space="preserve"> </w:t>
      </w:r>
      <w:r>
        <w:rPr>
          <w:i/>
          <w:sz w:val="19"/>
        </w:rPr>
        <w:t>Osteoarthritis</w:t>
      </w:r>
      <w:r>
        <w:rPr>
          <w:sz w:val="19"/>
        </w:rPr>
        <w:t>,</w:t>
      </w:r>
      <w:r>
        <w:rPr>
          <w:spacing w:val="-9"/>
          <w:sz w:val="19"/>
        </w:rPr>
        <w:t xml:space="preserve"> </w:t>
      </w:r>
    </w:p>
    <w:p w14:paraId="5C69B08D" w14:textId="5D9E785B" w:rsidR="00CD0248" w:rsidRDefault="00000000" w:rsidP="00CD0248">
      <w:pPr>
        <w:spacing w:before="92" w:line="278" w:lineRule="auto"/>
        <w:ind w:left="142" w:right="6889"/>
        <w:rPr>
          <w:sz w:val="19"/>
        </w:rPr>
      </w:pPr>
      <w:r>
        <w:rPr>
          <w:sz w:val="19"/>
        </w:rPr>
        <w:t xml:space="preserve">Audit and Risk Committee, </w:t>
      </w:r>
    </w:p>
    <w:p w14:paraId="043F7AB9" w14:textId="70508776" w:rsidR="009D54AF" w:rsidRDefault="00000000" w:rsidP="00CD0248">
      <w:pPr>
        <w:spacing w:before="92" w:line="278" w:lineRule="auto"/>
        <w:ind w:left="142" w:right="6889"/>
        <w:rPr>
          <w:sz w:val="19"/>
        </w:rPr>
      </w:pPr>
      <w:r>
        <w:rPr>
          <w:spacing w:val="-2"/>
          <w:sz w:val="19"/>
        </w:rPr>
        <w:t>audits</w:t>
      </w:r>
    </w:p>
    <w:p w14:paraId="46F6CCA7" w14:textId="01A41659" w:rsidR="00CD0248" w:rsidRDefault="00000000">
      <w:pPr>
        <w:spacing w:before="2" w:line="340" w:lineRule="auto"/>
        <w:ind w:left="425" w:right="4771"/>
        <w:rPr>
          <w:sz w:val="19"/>
        </w:rPr>
      </w:pPr>
      <w:r>
        <w:rPr>
          <w:sz w:val="19"/>
        </w:rPr>
        <w:t>independent</w:t>
      </w:r>
      <w:r>
        <w:rPr>
          <w:spacing w:val="-5"/>
          <w:sz w:val="19"/>
        </w:rPr>
        <w:t xml:space="preserve"> </w:t>
      </w:r>
      <w:r>
        <w:rPr>
          <w:sz w:val="19"/>
        </w:rPr>
        <w:t>auditor’s</w:t>
      </w:r>
      <w:r>
        <w:rPr>
          <w:spacing w:val="-5"/>
          <w:sz w:val="19"/>
        </w:rPr>
        <w:t xml:space="preserve"> </w:t>
      </w:r>
      <w:r>
        <w:rPr>
          <w:sz w:val="19"/>
        </w:rPr>
        <w:t>report</w:t>
      </w:r>
      <w:r>
        <w:rPr>
          <w:spacing w:val="-5"/>
          <w:sz w:val="19"/>
        </w:rPr>
        <w:t xml:space="preserve"> </w:t>
      </w:r>
      <w:r>
        <w:rPr>
          <w:sz w:val="19"/>
        </w:rPr>
        <w:t>on</w:t>
      </w:r>
      <w:r>
        <w:rPr>
          <w:spacing w:val="-5"/>
          <w:sz w:val="19"/>
        </w:rPr>
        <w:t xml:space="preserve"> </w:t>
      </w:r>
      <w:r>
        <w:rPr>
          <w:sz w:val="19"/>
        </w:rPr>
        <w:t>financial</w:t>
      </w:r>
      <w:r>
        <w:rPr>
          <w:spacing w:val="-5"/>
          <w:sz w:val="19"/>
        </w:rPr>
        <w:t xml:space="preserve"> </w:t>
      </w:r>
      <w:r>
        <w:rPr>
          <w:sz w:val="19"/>
        </w:rPr>
        <w:t xml:space="preserve">statements, </w:t>
      </w:r>
    </w:p>
    <w:p w14:paraId="1253BCBD" w14:textId="67BFA6A1" w:rsidR="009D54AF" w:rsidRDefault="00000000">
      <w:pPr>
        <w:spacing w:before="2" w:line="340" w:lineRule="auto"/>
        <w:ind w:left="425" w:right="4771"/>
        <w:rPr>
          <w:sz w:val="19"/>
        </w:rPr>
      </w:pPr>
      <w:r>
        <w:rPr>
          <w:sz w:val="19"/>
        </w:rPr>
        <w:t xml:space="preserve">internal, </w:t>
      </w:r>
    </w:p>
    <w:p w14:paraId="317C549C" w14:textId="453AC731" w:rsidR="009D54AF" w:rsidRDefault="00000000" w:rsidP="00F16969">
      <w:pPr>
        <w:spacing w:before="2" w:line="278" w:lineRule="auto"/>
        <w:ind w:left="142"/>
        <w:rPr>
          <w:sz w:val="19"/>
        </w:rPr>
      </w:pPr>
      <w:r>
        <w:rPr>
          <w:sz w:val="19"/>
        </w:rPr>
        <w:t>AURA</w:t>
      </w:r>
      <w:r>
        <w:rPr>
          <w:spacing w:val="-14"/>
          <w:sz w:val="19"/>
        </w:rPr>
        <w:t xml:space="preserve"> </w:t>
      </w:r>
      <w:r>
        <w:rPr>
          <w:sz w:val="19"/>
        </w:rPr>
        <w:t>(Antimicrobial</w:t>
      </w:r>
      <w:r>
        <w:rPr>
          <w:spacing w:val="-4"/>
          <w:sz w:val="19"/>
        </w:rPr>
        <w:t xml:space="preserve"> </w:t>
      </w:r>
      <w:r>
        <w:rPr>
          <w:sz w:val="19"/>
        </w:rPr>
        <w:t>Use</w:t>
      </w:r>
      <w:r>
        <w:rPr>
          <w:spacing w:val="-4"/>
          <w:sz w:val="19"/>
        </w:rPr>
        <w:t xml:space="preserve"> </w:t>
      </w:r>
      <w:r>
        <w:rPr>
          <w:sz w:val="19"/>
        </w:rPr>
        <w:t>and</w:t>
      </w:r>
      <w:r>
        <w:rPr>
          <w:spacing w:val="-4"/>
          <w:sz w:val="19"/>
        </w:rPr>
        <w:t xml:space="preserve"> </w:t>
      </w:r>
      <w:r>
        <w:rPr>
          <w:sz w:val="19"/>
        </w:rPr>
        <w:t>Resistance</w:t>
      </w:r>
      <w:r>
        <w:rPr>
          <w:spacing w:val="-3"/>
          <w:sz w:val="19"/>
        </w:rPr>
        <w:t xml:space="preserve"> </w:t>
      </w:r>
      <w:r>
        <w:rPr>
          <w:sz w:val="19"/>
        </w:rPr>
        <w:t>in</w:t>
      </w:r>
      <w:r>
        <w:rPr>
          <w:spacing w:val="-13"/>
          <w:sz w:val="19"/>
        </w:rPr>
        <w:t xml:space="preserve"> </w:t>
      </w:r>
      <w:r>
        <w:rPr>
          <w:sz w:val="19"/>
        </w:rPr>
        <w:t>Australia)</w:t>
      </w:r>
      <w:r>
        <w:rPr>
          <w:spacing w:val="-4"/>
          <w:sz w:val="19"/>
        </w:rPr>
        <w:t xml:space="preserve"> </w:t>
      </w:r>
      <w:r>
        <w:rPr>
          <w:sz w:val="19"/>
        </w:rPr>
        <w:t>project,</w:t>
      </w:r>
      <w:r>
        <w:rPr>
          <w:spacing w:val="-3"/>
          <w:sz w:val="19"/>
        </w:rPr>
        <w:t xml:space="preserve"> </w:t>
      </w:r>
    </w:p>
    <w:p w14:paraId="523BD752" w14:textId="02C78F1E" w:rsidR="00F16969" w:rsidRDefault="00000000" w:rsidP="00F16969">
      <w:pPr>
        <w:spacing w:before="92" w:line="278" w:lineRule="auto"/>
        <w:ind w:left="142" w:right="2542"/>
        <w:rPr>
          <w:sz w:val="19"/>
        </w:rPr>
      </w:pPr>
      <w:r>
        <w:rPr>
          <w:sz w:val="19"/>
        </w:rPr>
        <w:t>Australian</w:t>
      </w:r>
      <w:r>
        <w:rPr>
          <w:spacing w:val="-4"/>
          <w:sz w:val="19"/>
        </w:rPr>
        <w:t xml:space="preserve"> </w:t>
      </w:r>
      <w:r>
        <w:rPr>
          <w:sz w:val="19"/>
        </w:rPr>
        <w:t>and</w:t>
      </w:r>
      <w:r>
        <w:rPr>
          <w:spacing w:val="-4"/>
          <w:sz w:val="19"/>
        </w:rPr>
        <w:t xml:space="preserve"> </w:t>
      </w:r>
      <w:r>
        <w:rPr>
          <w:sz w:val="19"/>
        </w:rPr>
        <w:t>New</w:t>
      </w:r>
      <w:r>
        <w:rPr>
          <w:spacing w:val="-4"/>
          <w:sz w:val="19"/>
        </w:rPr>
        <w:t xml:space="preserve"> </w:t>
      </w:r>
      <w:r>
        <w:rPr>
          <w:sz w:val="19"/>
        </w:rPr>
        <w:t>Zealand</w:t>
      </w:r>
      <w:r>
        <w:rPr>
          <w:spacing w:val="-4"/>
          <w:sz w:val="19"/>
        </w:rPr>
        <w:t xml:space="preserve"> </w:t>
      </w:r>
      <w:r>
        <w:rPr>
          <w:sz w:val="19"/>
        </w:rPr>
        <w:t>Emergency</w:t>
      </w:r>
      <w:r>
        <w:rPr>
          <w:spacing w:val="-4"/>
          <w:sz w:val="19"/>
        </w:rPr>
        <w:t xml:space="preserve"> </w:t>
      </w:r>
      <w:r>
        <w:rPr>
          <w:sz w:val="19"/>
        </w:rPr>
        <w:t>Laparotomy</w:t>
      </w:r>
      <w:r>
        <w:rPr>
          <w:spacing w:val="-13"/>
          <w:sz w:val="19"/>
        </w:rPr>
        <w:t xml:space="preserve"> </w:t>
      </w:r>
      <w:r>
        <w:rPr>
          <w:sz w:val="19"/>
        </w:rPr>
        <w:t>Audit</w:t>
      </w:r>
      <w:r>
        <w:rPr>
          <w:spacing w:val="-4"/>
          <w:sz w:val="19"/>
        </w:rPr>
        <w:t xml:space="preserve"> </w:t>
      </w:r>
      <w:r>
        <w:rPr>
          <w:sz w:val="19"/>
        </w:rPr>
        <w:t>–</w:t>
      </w:r>
      <w:r>
        <w:rPr>
          <w:spacing w:val="-4"/>
          <w:sz w:val="19"/>
        </w:rPr>
        <w:t xml:space="preserve"> </w:t>
      </w:r>
      <w:r>
        <w:rPr>
          <w:sz w:val="19"/>
        </w:rPr>
        <w:t>Quality</w:t>
      </w:r>
      <w:r>
        <w:rPr>
          <w:spacing w:val="-4"/>
          <w:sz w:val="19"/>
        </w:rPr>
        <w:t xml:space="preserve"> </w:t>
      </w:r>
      <w:r>
        <w:rPr>
          <w:sz w:val="19"/>
        </w:rPr>
        <w:t>Improvement,</w:t>
      </w:r>
      <w:r>
        <w:rPr>
          <w:spacing w:val="-4"/>
          <w:sz w:val="19"/>
        </w:rPr>
        <w:t xml:space="preserve"> </w:t>
      </w:r>
    </w:p>
    <w:p w14:paraId="09C6B61F" w14:textId="4B574B48" w:rsidR="009D54AF" w:rsidRDefault="00000000" w:rsidP="00F16969">
      <w:pPr>
        <w:spacing w:before="92" w:line="278" w:lineRule="auto"/>
        <w:ind w:left="142" w:right="2540"/>
        <w:rPr>
          <w:sz w:val="19"/>
        </w:rPr>
      </w:pPr>
      <w:r>
        <w:rPr>
          <w:sz w:val="19"/>
        </w:rPr>
        <w:t xml:space="preserve">Australian Centre for Disease Control, </w:t>
      </w:r>
    </w:p>
    <w:p w14:paraId="1D0919CF" w14:textId="7380E015" w:rsidR="00F16969" w:rsidRDefault="00000000" w:rsidP="00F16969">
      <w:pPr>
        <w:spacing w:before="1" w:line="278" w:lineRule="auto"/>
        <w:ind w:left="142" w:right="5049"/>
        <w:rPr>
          <w:sz w:val="19"/>
        </w:rPr>
      </w:pPr>
      <w:r>
        <w:rPr>
          <w:sz w:val="19"/>
        </w:rPr>
        <w:t xml:space="preserve">Australian College of Rural and Remote Medicine, </w:t>
      </w:r>
    </w:p>
    <w:p w14:paraId="274587BF" w14:textId="4C0CAB01" w:rsidR="009D54AF" w:rsidRDefault="00000000" w:rsidP="00F16969">
      <w:pPr>
        <w:spacing w:before="1" w:line="278" w:lineRule="auto"/>
        <w:ind w:left="142" w:right="5049"/>
        <w:rPr>
          <w:sz w:val="19"/>
        </w:rPr>
      </w:pPr>
      <w:r>
        <w:rPr>
          <w:sz w:val="19"/>
        </w:rPr>
        <w:t>Australian</w:t>
      </w:r>
      <w:r>
        <w:rPr>
          <w:spacing w:val="-5"/>
          <w:sz w:val="19"/>
        </w:rPr>
        <w:t xml:space="preserve"> </w:t>
      </w:r>
      <w:r>
        <w:rPr>
          <w:sz w:val="19"/>
        </w:rPr>
        <w:t>Commission</w:t>
      </w:r>
      <w:r>
        <w:rPr>
          <w:spacing w:val="-5"/>
          <w:sz w:val="19"/>
        </w:rPr>
        <w:t xml:space="preserve"> </w:t>
      </w:r>
      <w:r>
        <w:rPr>
          <w:sz w:val="19"/>
        </w:rPr>
        <w:t>on</w:t>
      </w:r>
      <w:r>
        <w:rPr>
          <w:spacing w:val="-5"/>
          <w:sz w:val="19"/>
        </w:rPr>
        <w:t xml:space="preserve"> </w:t>
      </w:r>
      <w:r>
        <w:rPr>
          <w:sz w:val="19"/>
        </w:rPr>
        <w:t>Safety</w:t>
      </w:r>
      <w:r>
        <w:rPr>
          <w:spacing w:val="-5"/>
          <w:sz w:val="19"/>
        </w:rPr>
        <w:t xml:space="preserve"> </w:t>
      </w:r>
      <w:r>
        <w:rPr>
          <w:sz w:val="19"/>
        </w:rPr>
        <w:t>and</w:t>
      </w:r>
      <w:r>
        <w:rPr>
          <w:spacing w:val="-5"/>
          <w:sz w:val="19"/>
        </w:rPr>
        <w:t xml:space="preserve"> </w:t>
      </w:r>
      <w:r>
        <w:rPr>
          <w:sz w:val="19"/>
        </w:rPr>
        <w:t>Quality</w:t>
      </w:r>
      <w:r>
        <w:rPr>
          <w:spacing w:val="-5"/>
          <w:sz w:val="19"/>
        </w:rPr>
        <w:t xml:space="preserve"> </w:t>
      </w:r>
      <w:r>
        <w:rPr>
          <w:sz w:val="19"/>
        </w:rPr>
        <w:t>in</w:t>
      </w:r>
      <w:r>
        <w:rPr>
          <w:spacing w:val="-5"/>
          <w:sz w:val="19"/>
        </w:rPr>
        <w:t xml:space="preserve"> </w:t>
      </w:r>
      <w:r>
        <w:rPr>
          <w:sz w:val="19"/>
        </w:rPr>
        <w:t>Health</w:t>
      </w:r>
      <w:r>
        <w:rPr>
          <w:spacing w:val="-5"/>
          <w:sz w:val="19"/>
        </w:rPr>
        <w:t xml:space="preserve"> </w:t>
      </w:r>
      <w:r>
        <w:rPr>
          <w:sz w:val="19"/>
        </w:rPr>
        <w:t>Care</w:t>
      </w:r>
    </w:p>
    <w:p w14:paraId="317584FA" w14:textId="2B4B5C09" w:rsidR="009D54AF" w:rsidRDefault="00000000">
      <w:pPr>
        <w:spacing w:before="1"/>
        <w:ind w:left="425"/>
        <w:rPr>
          <w:sz w:val="19"/>
        </w:rPr>
      </w:pPr>
      <w:r>
        <w:rPr>
          <w:spacing w:val="-2"/>
          <w:sz w:val="19"/>
        </w:rPr>
        <w:t>accountability,</w:t>
      </w:r>
      <w:r>
        <w:rPr>
          <w:spacing w:val="5"/>
          <w:sz w:val="19"/>
        </w:rPr>
        <w:t xml:space="preserve"> </w:t>
      </w:r>
    </w:p>
    <w:p w14:paraId="047B3574" w14:textId="39481ED3" w:rsidR="009D54AF" w:rsidRDefault="00000000">
      <w:pPr>
        <w:spacing w:before="93" w:line="340" w:lineRule="auto"/>
        <w:ind w:left="425" w:right="6484"/>
        <w:rPr>
          <w:sz w:val="19"/>
        </w:rPr>
      </w:pPr>
      <w:r>
        <w:rPr>
          <w:sz w:val="19"/>
        </w:rPr>
        <w:t>accountable</w:t>
      </w:r>
      <w:r>
        <w:rPr>
          <w:spacing w:val="-10"/>
          <w:sz w:val="19"/>
        </w:rPr>
        <w:t xml:space="preserve"> </w:t>
      </w:r>
      <w:r>
        <w:rPr>
          <w:sz w:val="19"/>
        </w:rPr>
        <w:t>authority,</w:t>
      </w:r>
      <w:r>
        <w:rPr>
          <w:spacing w:val="-10"/>
          <w:sz w:val="19"/>
        </w:rPr>
        <w:t xml:space="preserve"> </w:t>
      </w:r>
      <w:r>
        <w:rPr>
          <w:sz w:val="19"/>
        </w:rPr>
        <w:t>see</w:t>
      </w:r>
      <w:r>
        <w:rPr>
          <w:spacing w:val="-10"/>
          <w:sz w:val="19"/>
        </w:rPr>
        <w:t xml:space="preserve"> </w:t>
      </w:r>
      <w:r>
        <w:rPr>
          <w:sz w:val="19"/>
        </w:rPr>
        <w:t>also</w:t>
      </w:r>
      <w:r>
        <w:rPr>
          <w:spacing w:val="-10"/>
          <w:sz w:val="19"/>
        </w:rPr>
        <w:t xml:space="preserve"> </w:t>
      </w:r>
      <w:r>
        <w:rPr>
          <w:sz w:val="19"/>
        </w:rPr>
        <w:t xml:space="preserve">Board address and contact details, </w:t>
      </w:r>
    </w:p>
    <w:p w14:paraId="05BE5353" w14:textId="05B8892B" w:rsidR="009D54AF" w:rsidRDefault="00000000" w:rsidP="005B0B13">
      <w:pPr>
        <w:spacing w:before="1" w:line="278" w:lineRule="auto"/>
        <w:ind w:left="425" w:right="6889"/>
        <w:rPr>
          <w:sz w:val="19"/>
        </w:rPr>
      </w:pPr>
      <w:r>
        <w:rPr>
          <w:sz w:val="19"/>
        </w:rPr>
        <w:t>Board</w:t>
      </w:r>
      <w:r>
        <w:rPr>
          <w:spacing w:val="-11"/>
          <w:sz w:val="19"/>
        </w:rPr>
        <w:t xml:space="preserve"> </w:t>
      </w:r>
      <w:r>
        <w:rPr>
          <w:sz w:val="19"/>
        </w:rPr>
        <w:t>members</w:t>
      </w:r>
      <w:r>
        <w:rPr>
          <w:spacing w:val="-11"/>
          <w:sz w:val="19"/>
        </w:rPr>
        <w:t xml:space="preserve"> </w:t>
      </w:r>
      <w:r>
        <w:rPr>
          <w:sz w:val="19"/>
        </w:rPr>
        <w:t>see</w:t>
      </w:r>
      <w:r>
        <w:rPr>
          <w:spacing w:val="-11"/>
          <w:sz w:val="19"/>
        </w:rPr>
        <w:t xml:space="preserve"> </w:t>
      </w:r>
      <w:r>
        <w:rPr>
          <w:sz w:val="19"/>
        </w:rPr>
        <w:t xml:space="preserve">Board establishment, </w:t>
      </w:r>
    </w:p>
    <w:p w14:paraId="200101BE" w14:textId="7B22FE8E" w:rsidR="009D54AF" w:rsidRDefault="00000000">
      <w:pPr>
        <w:spacing w:before="70"/>
        <w:ind w:left="425"/>
        <w:rPr>
          <w:sz w:val="19"/>
        </w:rPr>
      </w:pPr>
      <w:r>
        <w:rPr>
          <w:sz w:val="19"/>
        </w:rPr>
        <w:t>funding,</w:t>
      </w:r>
      <w:r>
        <w:rPr>
          <w:spacing w:val="-8"/>
          <w:sz w:val="19"/>
        </w:rPr>
        <w:t xml:space="preserve"> </w:t>
      </w:r>
    </w:p>
    <w:p w14:paraId="61AC93D6" w14:textId="4D8D6F6A" w:rsidR="009D54AF" w:rsidRDefault="00000000">
      <w:pPr>
        <w:spacing w:before="92"/>
        <w:ind w:left="425"/>
        <w:rPr>
          <w:sz w:val="19"/>
        </w:rPr>
      </w:pPr>
      <w:r>
        <w:rPr>
          <w:sz w:val="19"/>
        </w:rPr>
        <w:t>legislative</w:t>
      </w:r>
      <w:r>
        <w:rPr>
          <w:spacing w:val="-5"/>
          <w:sz w:val="19"/>
        </w:rPr>
        <w:t xml:space="preserve"> </w:t>
      </w:r>
      <w:r>
        <w:rPr>
          <w:sz w:val="19"/>
        </w:rPr>
        <w:t>framework,</w:t>
      </w:r>
      <w:r>
        <w:rPr>
          <w:spacing w:val="-5"/>
          <w:sz w:val="19"/>
        </w:rPr>
        <w:t xml:space="preserve"> </w:t>
      </w:r>
    </w:p>
    <w:p w14:paraId="34B07353" w14:textId="58A78BAE" w:rsidR="009D54AF" w:rsidRDefault="00000000">
      <w:pPr>
        <w:spacing w:before="93" w:line="340" w:lineRule="auto"/>
        <w:ind w:left="425" w:right="6889"/>
        <w:rPr>
          <w:sz w:val="19"/>
        </w:rPr>
      </w:pPr>
      <w:proofErr w:type="spellStart"/>
      <w:r>
        <w:rPr>
          <w:sz w:val="19"/>
        </w:rPr>
        <w:t>organisational</w:t>
      </w:r>
      <w:proofErr w:type="spellEnd"/>
      <w:r>
        <w:rPr>
          <w:sz w:val="19"/>
        </w:rPr>
        <w:t xml:space="preserve"> structure,  performance</w:t>
      </w:r>
      <w:r>
        <w:rPr>
          <w:spacing w:val="-11"/>
          <w:sz w:val="19"/>
        </w:rPr>
        <w:t xml:space="preserve"> </w:t>
      </w:r>
      <w:r>
        <w:rPr>
          <w:sz w:val="19"/>
        </w:rPr>
        <w:t>results</w:t>
      </w:r>
      <w:r>
        <w:rPr>
          <w:spacing w:val="-11"/>
          <w:sz w:val="19"/>
        </w:rPr>
        <w:t xml:space="preserve"> </w:t>
      </w:r>
      <w:r>
        <w:rPr>
          <w:sz w:val="19"/>
        </w:rPr>
        <w:t>see</w:t>
      </w:r>
      <w:r>
        <w:rPr>
          <w:spacing w:val="-11"/>
          <w:sz w:val="19"/>
        </w:rPr>
        <w:t xml:space="preserve"> </w:t>
      </w:r>
      <w:r>
        <w:rPr>
          <w:sz w:val="19"/>
        </w:rPr>
        <w:t xml:space="preserve">performance purpose and functions, </w:t>
      </w:r>
    </w:p>
    <w:p w14:paraId="70451748" w14:textId="6898AEC3" w:rsidR="009D54AF" w:rsidRDefault="00000000">
      <w:pPr>
        <w:spacing w:before="2"/>
        <w:ind w:left="425"/>
        <w:rPr>
          <w:sz w:val="19"/>
        </w:rPr>
      </w:pPr>
      <w:r>
        <w:rPr>
          <w:sz w:val="19"/>
        </w:rPr>
        <w:t xml:space="preserve">role, </w:t>
      </w:r>
    </w:p>
    <w:p w14:paraId="259B2715" w14:textId="6793B1C7" w:rsidR="009D54AF" w:rsidRDefault="00000000">
      <w:pPr>
        <w:spacing w:before="92"/>
        <w:ind w:left="425"/>
        <w:rPr>
          <w:sz w:val="19"/>
        </w:rPr>
      </w:pPr>
      <w:r>
        <w:rPr>
          <w:sz w:val="19"/>
        </w:rPr>
        <w:t>Safety</w:t>
      </w:r>
      <w:r>
        <w:rPr>
          <w:spacing w:val="-2"/>
          <w:sz w:val="19"/>
        </w:rPr>
        <w:t xml:space="preserve"> </w:t>
      </w:r>
      <w:r>
        <w:rPr>
          <w:sz w:val="19"/>
        </w:rPr>
        <w:t>and</w:t>
      </w:r>
      <w:r>
        <w:rPr>
          <w:spacing w:val="-1"/>
          <w:sz w:val="19"/>
        </w:rPr>
        <w:t xml:space="preserve"> </w:t>
      </w:r>
      <w:r>
        <w:rPr>
          <w:sz w:val="19"/>
        </w:rPr>
        <w:t>Quality</w:t>
      </w:r>
      <w:r>
        <w:rPr>
          <w:spacing w:val="-13"/>
          <w:sz w:val="19"/>
        </w:rPr>
        <w:t xml:space="preserve"> </w:t>
      </w:r>
      <w:r>
        <w:rPr>
          <w:sz w:val="19"/>
        </w:rPr>
        <w:t>Advice</w:t>
      </w:r>
      <w:r>
        <w:rPr>
          <w:spacing w:val="-1"/>
          <w:sz w:val="19"/>
        </w:rPr>
        <w:t xml:space="preserve"> </w:t>
      </w:r>
      <w:r>
        <w:rPr>
          <w:sz w:val="19"/>
        </w:rPr>
        <w:t>Centre,</w:t>
      </w:r>
      <w:r>
        <w:rPr>
          <w:spacing w:val="-1"/>
          <w:sz w:val="19"/>
        </w:rPr>
        <w:t xml:space="preserve"> </w:t>
      </w:r>
    </w:p>
    <w:p w14:paraId="4C372945" w14:textId="31AE3FC0" w:rsidR="009D54AF" w:rsidRDefault="00000000">
      <w:pPr>
        <w:spacing w:before="92" w:line="340" w:lineRule="auto"/>
        <w:ind w:left="142" w:right="5464" w:firstLine="283"/>
        <w:rPr>
          <w:sz w:val="19"/>
        </w:rPr>
      </w:pPr>
      <w:r>
        <w:rPr>
          <w:sz w:val="19"/>
        </w:rPr>
        <w:t xml:space="preserve">strategic priorities </w:t>
      </w:r>
      <w:r>
        <w:rPr>
          <w:i/>
          <w:sz w:val="19"/>
        </w:rPr>
        <w:t xml:space="preserve">see </w:t>
      </w:r>
      <w:r>
        <w:rPr>
          <w:sz w:val="19"/>
        </w:rPr>
        <w:t>Strategic Plan 2025–2030 Australian</w:t>
      </w:r>
      <w:r>
        <w:rPr>
          <w:spacing w:val="-6"/>
          <w:sz w:val="19"/>
        </w:rPr>
        <w:t xml:space="preserve"> </w:t>
      </w:r>
      <w:r>
        <w:rPr>
          <w:sz w:val="19"/>
        </w:rPr>
        <w:t>Digital</w:t>
      </w:r>
      <w:r>
        <w:rPr>
          <w:spacing w:val="-5"/>
          <w:sz w:val="19"/>
        </w:rPr>
        <w:t xml:space="preserve"> </w:t>
      </w:r>
      <w:r>
        <w:rPr>
          <w:sz w:val="19"/>
        </w:rPr>
        <w:t>Health</w:t>
      </w:r>
      <w:r>
        <w:rPr>
          <w:spacing w:val="-14"/>
          <w:sz w:val="19"/>
        </w:rPr>
        <w:t xml:space="preserve"> </w:t>
      </w:r>
      <w:r>
        <w:rPr>
          <w:sz w:val="19"/>
        </w:rPr>
        <w:t>Agency</w:t>
      </w:r>
      <w:r>
        <w:rPr>
          <w:spacing w:val="-4"/>
          <w:sz w:val="19"/>
        </w:rPr>
        <w:t xml:space="preserve"> </w:t>
      </w:r>
      <w:r>
        <w:rPr>
          <w:sz w:val="19"/>
        </w:rPr>
        <w:t>(ADHA),</w:t>
      </w:r>
      <w:r>
        <w:rPr>
          <w:spacing w:val="-5"/>
          <w:sz w:val="19"/>
        </w:rPr>
        <w:t xml:space="preserve"> </w:t>
      </w:r>
    </w:p>
    <w:p w14:paraId="3A52CBDE" w14:textId="77777777" w:rsidR="00F16969" w:rsidRDefault="00000000">
      <w:pPr>
        <w:spacing w:before="2" w:line="340" w:lineRule="auto"/>
        <w:ind w:left="142" w:right="4242"/>
        <w:rPr>
          <w:sz w:val="19"/>
        </w:rPr>
      </w:pPr>
      <w:r>
        <w:rPr>
          <w:sz w:val="19"/>
        </w:rPr>
        <w:t xml:space="preserve">Australian Framework for National Clinical Quality Registries, </w:t>
      </w:r>
    </w:p>
    <w:p w14:paraId="7B371155" w14:textId="066D8D20" w:rsidR="009D54AF" w:rsidRDefault="00000000">
      <w:pPr>
        <w:spacing w:before="2" w:line="340" w:lineRule="auto"/>
        <w:ind w:left="142" w:right="4242"/>
        <w:rPr>
          <w:sz w:val="19"/>
        </w:rPr>
      </w:pPr>
      <w:r>
        <w:rPr>
          <w:i/>
          <w:sz w:val="19"/>
        </w:rPr>
        <w:t>Australian</w:t>
      </w:r>
      <w:r>
        <w:rPr>
          <w:i/>
          <w:spacing w:val="-4"/>
          <w:sz w:val="19"/>
        </w:rPr>
        <w:t xml:space="preserve"> </w:t>
      </w:r>
      <w:r>
        <w:rPr>
          <w:i/>
          <w:sz w:val="19"/>
        </w:rPr>
        <w:t>Guidelines</w:t>
      </w:r>
      <w:r>
        <w:rPr>
          <w:i/>
          <w:spacing w:val="-4"/>
          <w:sz w:val="19"/>
        </w:rPr>
        <w:t xml:space="preserve"> </w:t>
      </w:r>
      <w:r>
        <w:rPr>
          <w:i/>
          <w:sz w:val="19"/>
        </w:rPr>
        <w:t>for</w:t>
      </w:r>
      <w:r>
        <w:rPr>
          <w:i/>
          <w:spacing w:val="-4"/>
          <w:sz w:val="19"/>
        </w:rPr>
        <w:t xml:space="preserve"> </w:t>
      </w:r>
      <w:r>
        <w:rPr>
          <w:i/>
          <w:sz w:val="19"/>
        </w:rPr>
        <w:t>the</w:t>
      </w:r>
      <w:r>
        <w:rPr>
          <w:i/>
          <w:spacing w:val="-4"/>
          <w:sz w:val="19"/>
        </w:rPr>
        <w:t xml:space="preserve"> </w:t>
      </w:r>
      <w:r>
        <w:rPr>
          <w:i/>
          <w:sz w:val="19"/>
        </w:rPr>
        <w:t>Prevention</w:t>
      </w:r>
      <w:r>
        <w:rPr>
          <w:i/>
          <w:spacing w:val="-4"/>
          <w:sz w:val="19"/>
        </w:rPr>
        <w:t xml:space="preserve"> </w:t>
      </w:r>
      <w:r>
        <w:rPr>
          <w:i/>
          <w:sz w:val="19"/>
        </w:rPr>
        <w:t>and</w:t>
      </w:r>
      <w:r>
        <w:rPr>
          <w:i/>
          <w:spacing w:val="-4"/>
          <w:sz w:val="19"/>
        </w:rPr>
        <w:t xml:space="preserve"> </w:t>
      </w:r>
      <w:r>
        <w:rPr>
          <w:i/>
          <w:sz w:val="19"/>
        </w:rPr>
        <w:t>Control</w:t>
      </w:r>
      <w:r>
        <w:rPr>
          <w:i/>
          <w:spacing w:val="-4"/>
          <w:sz w:val="19"/>
        </w:rPr>
        <w:t xml:space="preserve"> </w:t>
      </w:r>
      <w:r>
        <w:rPr>
          <w:i/>
          <w:sz w:val="19"/>
        </w:rPr>
        <w:t>of</w:t>
      </w:r>
      <w:r>
        <w:rPr>
          <w:i/>
          <w:spacing w:val="-4"/>
          <w:sz w:val="19"/>
        </w:rPr>
        <w:t xml:space="preserve"> </w:t>
      </w:r>
      <w:r>
        <w:rPr>
          <w:i/>
          <w:sz w:val="19"/>
        </w:rPr>
        <w:t>Infection</w:t>
      </w:r>
      <w:r>
        <w:rPr>
          <w:sz w:val="19"/>
        </w:rPr>
        <w:t>,</w:t>
      </w:r>
      <w:r>
        <w:rPr>
          <w:spacing w:val="-4"/>
          <w:sz w:val="19"/>
        </w:rPr>
        <w:t xml:space="preserve"> </w:t>
      </w:r>
      <w:r>
        <w:rPr>
          <w:sz w:val="19"/>
        </w:rPr>
        <w:t xml:space="preserve"> </w:t>
      </w:r>
      <w:r>
        <w:rPr>
          <w:sz w:val="19"/>
        </w:rPr>
        <w:lastRenderedPageBreak/>
        <w:t xml:space="preserve">Australian Health Performance Framework, </w:t>
      </w:r>
    </w:p>
    <w:p w14:paraId="0AA0DED8" w14:textId="77777777" w:rsidR="009D54AF" w:rsidRDefault="00000000">
      <w:pPr>
        <w:spacing w:before="2"/>
        <w:ind w:left="142"/>
        <w:rPr>
          <w:sz w:val="19"/>
        </w:rPr>
      </w:pPr>
      <w:r>
        <w:rPr>
          <w:sz w:val="19"/>
        </w:rPr>
        <w:t>Australian</w:t>
      </w:r>
      <w:r>
        <w:rPr>
          <w:spacing w:val="-9"/>
          <w:sz w:val="19"/>
        </w:rPr>
        <w:t xml:space="preserve"> </w:t>
      </w:r>
      <w:r>
        <w:rPr>
          <w:sz w:val="19"/>
        </w:rPr>
        <w:t>Health</w:t>
      </w:r>
      <w:r>
        <w:rPr>
          <w:spacing w:val="-7"/>
          <w:sz w:val="19"/>
        </w:rPr>
        <w:t xml:space="preserve"> </w:t>
      </w:r>
      <w:r>
        <w:rPr>
          <w:sz w:val="19"/>
        </w:rPr>
        <w:t>Practitioner</w:t>
      </w:r>
      <w:r>
        <w:rPr>
          <w:spacing w:val="-6"/>
          <w:sz w:val="19"/>
        </w:rPr>
        <w:t xml:space="preserve"> </w:t>
      </w:r>
      <w:r>
        <w:rPr>
          <w:sz w:val="19"/>
        </w:rPr>
        <w:t>Regulation</w:t>
      </w:r>
      <w:r>
        <w:rPr>
          <w:spacing w:val="-13"/>
          <w:sz w:val="19"/>
        </w:rPr>
        <w:t xml:space="preserve"> </w:t>
      </w:r>
      <w:r>
        <w:rPr>
          <w:sz w:val="19"/>
        </w:rPr>
        <w:t>Agency,</w:t>
      </w:r>
      <w:r>
        <w:rPr>
          <w:spacing w:val="-7"/>
          <w:sz w:val="19"/>
        </w:rPr>
        <w:t xml:space="preserve"> </w:t>
      </w:r>
      <w:r>
        <w:rPr>
          <w:sz w:val="19"/>
        </w:rPr>
        <w:t>22,</w:t>
      </w:r>
      <w:r>
        <w:rPr>
          <w:spacing w:val="-6"/>
          <w:sz w:val="19"/>
        </w:rPr>
        <w:t xml:space="preserve"> </w:t>
      </w:r>
      <w:r>
        <w:rPr>
          <w:spacing w:val="-5"/>
          <w:sz w:val="19"/>
        </w:rPr>
        <w:t>50</w:t>
      </w:r>
    </w:p>
    <w:p w14:paraId="5891CCC6" w14:textId="1CD1F71A" w:rsidR="009D54AF" w:rsidRDefault="00000000">
      <w:pPr>
        <w:spacing w:before="92"/>
        <w:ind w:left="142"/>
        <w:rPr>
          <w:i/>
          <w:sz w:val="19"/>
        </w:rPr>
      </w:pPr>
      <w:r>
        <w:rPr>
          <w:sz w:val="19"/>
        </w:rPr>
        <w:t>Australian</w:t>
      </w:r>
      <w:r>
        <w:rPr>
          <w:spacing w:val="-3"/>
          <w:sz w:val="19"/>
        </w:rPr>
        <w:t xml:space="preserve"> </w:t>
      </w:r>
      <w:r>
        <w:rPr>
          <w:sz w:val="19"/>
        </w:rPr>
        <w:t>Health</w:t>
      </w:r>
      <w:r>
        <w:rPr>
          <w:spacing w:val="-2"/>
          <w:sz w:val="19"/>
        </w:rPr>
        <w:t xml:space="preserve"> </w:t>
      </w:r>
      <w:r>
        <w:rPr>
          <w:sz w:val="19"/>
        </w:rPr>
        <w:t>Service</w:t>
      </w:r>
      <w:r>
        <w:rPr>
          <w:spacing w:val="-2"/>
          <w:sz w:val="19"/>
        </w:rPr>
        <w:t xml:space="preserve"> </w:t>
      </w:r>
      <w:r>
        <w:rPr>
          <w:sz w:val="19"/>
        </w:rPr>
        <w:t>Safety</w:t>
      </w:r>
      <w:r>
        <w:rPr>
          <w:spacing w:val="-2"/>
          <w:sz w:val="19"/>
        </w:rPr>
        <w:t xml:space="preserve"> </w:t>
      </w:r>
      <w:r>
        <w:rPr>
          <w:sz w:val="19"/>
        </w:rPr>
        <w:t>and</w:t>
      </w:r>
      <w:r>
        <w:rPr>
          <w:spacing w:val="-2"/>
          <w:sz w:val="19"/>
        </w:rPr>
        <w:t xml:space="preserve"> </w:t>
      </w:r>
      <w:r>
        <w:rPr>
          <w:sz w:val="19"/>
        </w:rPr>
        <w:t>Quality</w:t>
      </w:r>
      <w:r>
        <w:rPr>
          <w:spacing w:val="-13"/>
          <w:sz w:val="19"/>
        </w:rPr>
        <w:t xml:space="preserve"> </w:t>
      </w:r>
      <w:r>
        <w:rPr>
          <w:sz w:val="19"/>
        </w:rPr>
        <w:t>Accreditation</w:t>
      </w:r>
      <w:r>
        <w:rPr>
          <w:spacing w:val="-2"/>
          <w:sz w:val="19"/>
        </w:rPr>
        <w:t xml:space="preserve"> </w:t>
      </w:r>
      <w:r>
        <w:rPr>
          <w:sz w:val="19"/>
        </w:rPr>
        <w:t>(AHSSQA)</w:t>
      </w:r>
      <w:r>
        <w:rPr>
          <w:spacing w:val="-2"/>
          <w:sz w:val="19"/>
        </w:rPr>
        <w:t xml:space="preserve"> </w:t>
      </w:r>
      <w:r>
        <w:rPr>
          <w:sz w:val="19"/>
        </w:rPr>
        <w:t>Scheme,</w:t>
      </w:r>
      <w:r>
        <w:rPr>
          <w:spacing w:val="-2"/>
          <w:sz w:val="19"/>
        </w:rPr>
        <w:t xml:space="preserve"> </w:t>
      </w:r>
      <w:r>
        <w:rPr>
          <w:i/>
          <w:sz w:val="19"/>
        </w:rPr>
        <w:t>see</w:t>
      </w:r>
      <w:r>
        <w:rPr>
          <w:i/>
          <w:spacing w:val="-2"/>
          <w:sz w:val="19"/>
        </w:rPr>
        <w:t xml:space="preserve"> </w:t>
      </w:r>
      <w:r>
        <w:rPr>
          <w:i/>
          <w:spacing w:val="-4"/>
          <w:sz w:val="19"/>
        </w:rPr>
        <w:t>also</w:t>
      </w:r>
    </w:p>
    <w:p w14:paraId="6C69ACA2" w14:textId="77777777" w:rsidR="009D54AF" w:rsidRDefault="00000000">
      <w:pPr>
        <w:spacing w:before="22"/>
        <w:ind w:left="142"/>
        <w:rPr>
          <w:sz w:val="19"/>
        </w:rPr>
      </w:pPr>
      <w:r>
        <w:rPr>
          <w:sz w:val="19"/>
        </w:rPr>
        <w:t>accreditation</w:t>
      </w:r>
      <w:r>
        <w:rPr>
          <w:spacing w:val="-12"/>
          <w:sz w:val="19"/>
        </w:rPr>
        <w:t xml:space="preserve"> </w:t>
      </w:r>
      <w:r>
        <w:rPr>
          <w:spacing w:val="-2"/>
          <w:sz w:val="19"/>
        </w:rPr>
        <w:t>assessment</w:t>
      </w:r>
    </w:p>
    <w:p w14:paraId="2D10A17D" w14:textId="78024162" w:rsidR="009D54AF" w:rsidRDefault="00000000">
      <w:pPr>
        <w:spacing w:before="92" w:line="340" w:lineRule="auto"/>
        <w:ind w:left="142" w:right="2542"/>
        <w:rPr>
          <w:sz w:val="19"/>
        </w:rPr>
      </w:pPr>
      <w:r>
        <w:rPr>
          <w:sz w:val="19"/>
        </w:rPr>
        <w:t>Australian</w:t>
      </w:r>
      <w:r>
        <w:rPr>
          <w:spacing w:val="-10"/>
          <w:sz w:val="19"/>
        </w:rPr>
        <w:t xml:space="preserve"> </w:t>
      </w:r>
      <w:r>
        <w:rPr>
          <w:sz w:val="19"/>
        </w:rPr>
        <w:t>Health</w:t>
      </w:r>
      <w:r>
        <w:rPr>
          <w:spacing w:val="-6"/>
          <w:sz w:val="19"/>
        </w:rPr>
        <w:t xml:space="preserve"> </w:t>
      </w:r>
      <w:r>
        <w:rPr>
          <w:sz w:val="19"/>
        </w:rPr>
        <w:t>System</w:t>
      </w:r>
      <w:r>
        <w:rPr>
          <w:spacing w:val="-6"/>
          <w:sz w:val="19"/>
        </w:rPr>
        <w:t xml:space="preserve"> </w:t>
      </w:r>
      <w:r>
        <w:rPr>
          <w:sz w:val="19"/>
        </w:rPr>
        <w:t>Performance</w:t>
      </w:r>
      <w:r>
        <w:rPr>
          <w:spacing w:val="-14"/>
          <w:sz w:val="19"/>
        </w:rPr>
        <w:t xml:space="preserve"> </w:t>
      </w:r>
      <w:r>
        <w:rPr>
          <w:sz w:val="19"/>
        </w:rPr>
        <w:t>Assessment</w:t>
      </w:r>
      <w:r>
        <w:rPr>
          <w:spacing w:val="-5"/>
          <w:sz w:val="19"/>
        </w:rPr>
        <w:t xml:space="preserve"> </w:t>
      </w:r>
      <w:r>
        <w:rPr>
          <w:sz w:val="19"/>
        </w:rPr>
        <w:t>Framework</w:t>
      </w:r>
      <w:r>
        <w:rPr>
          <w:spacing w:val="-6"/>
          <w:sz w:val="19"/>
        </w:rPr>
        <w:t xml:space="preserve"> </w:t>
      </w:r>
      <w:r>
        <w:rPr>
          <w:sz w:val="19"/>
        </w:rPr>
        <w:t>(SPA</w:t>
      </w:r>
      <w:r>
        <w:rPr>
          <w:spacing w:val="-14"/>
          <w:sz w:val="19"/>
        </w:rPr>
        <w:t xml:space="preserve"> </w:t>
      </w:r>
      <w:r>
        <w:rPr>
          <w:sz w:val="19"/>
        </w:rPr>
        <w:t>Framework),</w:t>
      </w:r>
      <w:r>
        <w:rPr>
          <w:spacing w:val="-5"/>
          <w:sz w:val="19"/>
        </w:rPr>
        <w:t xml:space="preserve"> </w:t>
      </w:r>
      <w:r>
        <w:rPr>
          <w:sz w:val="19"/>
        </w:rPr>
        <w:t xml:space="preserve"> Australian Hospital Patient Experience Question Set, </w:t>
      </w:r>
    </w:p>
    <w:p w14:paraId="720FFBC5" w14:textId="2C1BD51F" w:rsidR="009D54AF" w:rsidRDefault="00000000">
      <w:pPr>
        <w:spacing w:before="1" w:line="340" w:lineRule="auto"/>
        <w:ind w:left="142" w:right="5464"/>
        <w:rPr>
          <w:sz w:val="19"/>
        </w:rPr>
      </w:pPr>
      <w:r>
        <w:rPr>
          <w:sz w:val="19"/>
        </w:rPr>
        <w:t>Australian</w:t>
      </w:r>
      <w:r>
        <w:rPr>
          <w:spacing w:val="-5"/>
          <w:sz w:val="19"/>
        </w:rPr>
        <w:t xml:space="preserve"> </w:t>
      </w:r>
      <w:r>
        <w:rPr>
          <w:sz w:val="19"/>
        </w:rPr>
        <w:t>Hospital</w:t>
      </w:r>
      <w:r>
        <w:rPr>
          <w:spacing w:val="-5"/>
          <w:sz w:val="19"/>
        </w:rPr>
        <w:t xml:space="preserve"> </w:t>
      </w:r>
      <w:r>
        <w:rPr>
          <w:sz w:val="19"/>
        </w:rPr>
        <w:t>Survey</w:t>
      </w:r>
      <w:r>
        <w:rPr>
          <w:spacing w:val="-5"/>
          <w:sz w:val="19"/>
        </w:rPr>
        <w:t xml:space="preserve"> </w:t>
      </w:r>
      <w:r>
        <w:rPr>
          <w:sz w:val="19"/>
        </w:rPr>
        <w:t>on</w:t>
      </w:r>
      <w:r>
        <w:rPr>
          <w:spacing w:val="-5"/>
          <w:sz w:val="19"/>
        </w:rPr>
        <w:t xml:space="preserve"> </w:t>
      </w:r>
      <w:r>
        <w:rPr>
          <w:sz w:val="19"/>
        </w:rPr>
        <w:t>Patient</w:t>
      </w:r>
      <w:r>
        <w:rPr>
          <w:spacing w:val="-5"/>
          <w:sz w:val="19"/>
        </w:rPr>
        <w:t xml:space="preserve"> </w:t>
      </w:r>
      <w:r>
        <w:rPr>
          <w:sz w:val="19"/>
        </w:rPr>
        <w:t>Safety</w:t>
      </w:r>
      <w:r>
        <w:rPr>
          <w:spacing w:val="-5"/>
          <w:sz w:val="19"/>
        </w:rPr>
        <w:t xml:space="preserve"> </w:t>
      </w:r>
      <w:r>
        <w:rPr>
          <w:sz w:val="19"/>
        </w:rPr>
        <w:t>Culture,</w:t>
      </w:r>
      <w:r>
        <w:rPr>
          <w:spacing w:val="-5"/>
          <w:sz w:val="19"/>
        </w:rPr>
        <w:t xml:space="preserve"> </w:t>
      </w:r>
      <w:r>
        <w:rPr>
          <w:sz w:val="19"/>
        </w:rPr>
        <w:t xml:space="preserve"> Australian Indigenous Doctors’</w:t>
      </w:r>
      <w:r>
        <w:rPr>
          <w:spacing w:val="-8"/>
          <w:sz w:val="19"/>
        </w:rPr>
        <w:t xml:space="preserve"> </w:t>
      </w:r>
      <w:r>
        <w:rPr>
          <w:sz w:val="19"/>
        </w:rPr>
        <w:t xml:space="preserve">Association, </w:t>
      </w:r>
    </w:p>
    <w:p w14:paraId="6A3A99B8" w14:textId="3A1B8FAD" w:rsidR="009D54AF" w:rsidRDefault="00000000">
      <w:pPr>
        <w:spacing w:before="1" w:line="340" w:lineRule="auto"/>
        <w:ind w:left="142" w:right="1372"/>
        <w:rPr>
          <w:sz w:val="19"/>
        </w:rPr>
      </w:pPr>
      <w:r>
        <w:rPr>
          <w:sz w:val="19"/>
        </w:rPr>
        <w:t>Australian</w:t>
      </w:r>
      <w:r>
        <w:rPr>
          <w:spacing w:val="-6"/>
          <w:sz w:val="19"/>
        </w:rPr>
        <w:t xml:space="preserve"> </w:t>
      </w:r>
      <w:r>
        <w:rPr>
          <w:sz w:val="19"/>
        </w:rPr>
        <w:t>Institute</w:t>
      </w:r>
      <w:r>
        <w:rPr>
          <w:spacing w:val="-5"/>
          <w:sz w:val="19"/>
        </w:rPr>
        <w:t xml:space="preserve"> </w:t>
      </w:r>
      <w:r>
        <w:rPr>
          <w:sz w:val="19"/>
        </w:rPr>
        <w:t>of</w:t>
      </w:r>
      <w:r>
        <w:rPr>
          <w:spacing w:val="-14"/>
          <w:sz w:val="19"/>
        </w:rPr>
        <w:t xml:space="preserve"> </w:t>
      </w:r>
      <w:r>
        <w:rPr>
          <w:sz w:val="19"/>
        </w:rPr>
        <w:t>Aboriginal</w:t>
      </w:r>
      <w:r>
        <w:rPr>
          <w:spacing w:val="-4"/>
          <w:sz w:val="19"/>
        </w:rPr>
        <w:t xml:space="preserve"> </w:t>
      </w:r>
      <w:r>
        <w:rPr>
          <w:sz w:val="19"/>
        </w:rPr>
        <w:t>and</w:t>
      </w:r>
      <w:r>
        <w:rPr>
          <w:spacing w:val="-8"/>
          <w:sz w:val="19"/>
        </w:rPr>
        <w:t xml:space="preserve"> </w:t>
      </w:r>
      <w:r>
        <w:rPr>
          <w:sz w:val="19"/>
        </w:rPr>
        <w:t>Torres</w:t>
      </w:r>
      <w:r>
        <w:rPr>
          <w:spacing w:val="-5"/>
          <w:sz w:val="19"/>
        </w:rPr>
        <w:t xml:space="preserve"> </w:t>
      </w:r>
      <w:r>
        <w:rPr>
          <w:sz w:val="19"/>
        </w:rPr>
        <w:t>Strait</w:t>
      </w:r>
      <w:r>
        <w:rPr>
          <w:spacing w:val="-5"/>
          <w:sz w:val="19"/>
        </w:rPr>
        <w:t xml:space="preserve"> </w:t>
      </w:r>
      <w:r>
        <w:rPr>
          <w:sz w:val="19"/>
        </w:rPr>
        <w:t>Islander</w:t>
      </w:r>
      <w:r>
        <w:rPr>
          <w:spacing w:val="-5"/>
          <w:sz w:val="19"/>
        </w:rPr>
        <w:t xml:space="preserve"> </w:t>
      </w:r>
      <w:r>
        <w:rPr>
          <w:sz w:val="19"/>
        </w:rPr>
        <w:t>Studies,</w:t>
      </w:r>
      <w:r>
        <w:rPr>
          <w:spacing w:val="-5"/>
          <w:sz w:val="19"/>
        </w:rPr>
        <w:t xml:space="preserve"> </w:t>
      </w:r>
      <w:r>
        <w:rPr>
          <w:sz w:val="19"/>
        </w:rPr>
        <w:t>Core</w:t>
      </w:r>
      <w:r>
        <w:rPr>
          <w:spacing w:val="-5"/>
          <w:sz w:val="19"/>
        </w:rPr>
        <w:t xml:space="preserve"> </w:t>
      </w:r>
      <w:r>
        <w:rPr>
          <w:sz w:val="19"/>
        </w:rPr>
        <w:t>Cultural</w:t>
      </w:r>
      <w:r>
        <w:rPr>
          <w:spacing w:val="-5"/>
          <w:sz w:val="19"/>
        </w:rPr>
        <w:t xml:space="preserve"> </w:t>
      </w:r>
      <w:r>
        <w:rPr>
          <w:sz w:val="19"/>
        </w:rPr>
        <w:t>Learning</w:t>
      </w:r>
      <w:r>
        <w:rPr>
          <w:spacing w:val="-5"/>
          <w:sz w:val="19"/>
        </w:rPr>
        <w:t xml:space="preserve"> </w:t>
      </w:r>
      <w:r>
        <w:rPr>
          <w:sz w:val="19"/>
        </w:rPr>
        <w:t>course,</w:t>
      </w:r>
      <w:r>
        <w:rPr>
          <w:spacing w:val="-5"/>
          <w:sz w:val="19"/>
        </w:rPr>
        <w:t xml:space="preserve"> </w:t>
      </w:r>
      <w:r>
        <w:rPr>
          <w:sz w:val="19"/>
        </w:rPr>
        <w:t xml:space="preserve"> Australian</w:t>
      </w:r>
      <w:r>
        <w:rPr>
          <w:spacing w:val="-7"/>
          <w:sz w:val="19"/>
        </w:rPr>
        <w:t xml:space="preserve"> </w:t>
      </w:r>
      <w:r>
        <w:rPr>
          <w:sz w:val="19"/>
        </w:rPr>
        <w:t>Institute</w:t>
      </w:r>
      <w:r>
        <w:rPr>
          <w:spacing w:val="-7"/>
          <w:sz w:val="19"/>
        </w:rPr>
        <w:t xml:space="preserve"> </w:t>
      </w:r>
      <w:r>
        <w:rPr>
          <w:sz w:val="19"/>
        </w:rPr>
        <w:t>of</w:t>
      </w:r>
      <w:r>
        <w:rPr>
          <w:spacing w:val="-7"/>
          <w:sz w:val="19"/>
        </w:rPr>
        <w:t xml:space="preserve"> </w:t>
      </w:r>
      <w:r>
        <w:rPr>
          <w:sz w:val="19"/>
        </w:rPr>
        <w:t>Health</w:t>
      </w:r>
      <w:r>
        <w:rPr>
          <w:spacing w:val="-7"/>
          <w:sz w:val="19"/>
        </w:rPr>
        <w:t xml:space="preserve"> </w:t>
      </w:r>
      <w:r>
        <w:rPr>
          <w:sz w:val="19"/>
        </w:rPr>
        <w:t>and</w:t>
      </w:r>
      <w:r>
        <w:rPr>
          <w:spacing w:val="-7"/>
          <w:sz w:val="19"/>
        </w:rPr>
        <w:t xml:space="preserve"> </w:t>
      </w:r>
      <w:r>
        <w:rPr>
          <w:sz w:val="19"/>
        </w:rPr>
        <w:t>Welfare,</w:t>
      </w:r>
      <w:r>
        <w:rPr>
          <w:spacing w:val="-7"/>
          <w:sz w:val="19"/>
        </w:rPr>
        <w:t xml:space="preserve"> </w:t>
      </w:r>
    </w:p>
    <w:p w14:paraId="65280A13" w14:textId="2BAFE977" w:rsidR="009D54AF" w:rsidRDefault="00000000">
      <w:pPr>
        <w:spacing w:before="2" w:line="340" w:lineRule="auto"/>
        <w:ind w:left="142" w:right="6370"/>
        <w:rPr>
          <w:sz w:val="19"/>
        </w:rPr>
      </w:pPr>
      <w:r>
        <w:rPr>
          <w:i/>
          <w:sz w:val="19"/>
        </w:rPr>
        <w:t>Australian Open Disclosure Framework</w:t>
      </w:r>
      <w:r>
        <w:rPr>
          <w:sz w:val="19"/>
        </w:rPr>
        <w:t xml:space="preserve">,  </w:t>
      </w:r>
      <w:r>
        <w:rPr>
          <w:spacing w:val="-4"/>
          <w:sz w:val="19"/>
        </w:rPr>
        <w:t>Australian</w:t>
      </w:r>
      <w:r>
        <w:rPr>
          <w:spacing w:val="2"/>
          <w:sz w:val="19"/>
        </w:rPr>
        <w:t xml:space="preserve"> </w:t>
      </w:r>
      <w:r>
        <w:rPr>
          <w:spacing w:val="-4"/>
          <w:sz w:val="19"/>
        </w:rPr>
        <w:t>Passive</w:t>
      </w:r>
      <w:r>
        <w:rPr>
          <w:spacing w:val="-11"/>
          <w:sz w:val="19"/>
        </w:rPr>
        <w:t xml:space="preserve"> </w:t>
      </w:r>
      <w:r>
        <w:rPr>
          <w:spacing w:val="-4"/>
          <w:sz w:val="19"/>
        </w:rPr>
        <w:t>AMR</w:t>
      </w:r>
      <w:r>
        <w:rPr>
          <w:spacing w:val="3"/>
          <w:sz w:val="19"/>
        </w:rPr>
        <w:t xml:space="preserve"> </w:t>
      </w:r>
      <w:r>
        <w:rPr>
          <w:spacing w:val="-4"/>
          <w:sz w:val="19"/>
        </w:rPr>
        <w:t>Surveillance</w:t>
      </w:r>
      <w:r>
        <w:rPr>
          <w:spacing w:val="2"/>
          <w:sz w:val="19"/>
        </w:rPr>
        <w:t xml:space="preserve"> </w:t>
      </w:r>
      <w:r>
        <w:rPr>
          <w:spacing w:val="-4"/>
          <w:sz w:val="19"/>
        </w:rPr>
        <w:t>(APAS),</w:t>
      </w:r>
      <w:r>
        <w:rPr>
          <w:spacing w:val="3"/>
          <w:sz w:val="19"/>
        </w:rPr>
        <w:t xml:space="preserve"> </w:t>
      </w:r>
    </w:p>
    <w:p w14:paraId="03ED9A6B" w14:textId="77777777" w:rsidR="00F16969" w:rsidRDefault="00000000">
      <w:pPr>
        <w:spacing w:before="1" w:line="340" w:lineRule="auto"/>
        <w:ind w:left="142" w:right="3321"/>
        <w:rPr>
          <w:sz w:val="19"/>
        </w:rPr>
      </w:pPr>
      <w:r>
        <w:rPr>
          <w:sz w:val="19"/>
        </w:rPr>
        <w:t>Australian</w:t>
      </w:r>
      <w:r>
        <w:rPr>
          <w:spacing w:val="-5"/>
          <w:sz w:val="19"/>
        </w:rPr>
        <w:t xml:space="preserve"> </w:t>
      </w:r>
      <w:r>
        <w:rPr>
          <w:sz w:val="19"/>
        </w:rPr>
        <w:t>Public</w:t>
      </w:r>
      <w:r>
        <w:rPr>
          <w:spacing w:val="-5"/>
          <w:sz w:val="19"/>
        </w:rPr>
        <w:t xml:space="preserve"> </w:t>
      </w:r>
      <w:r>
        <w:rPr>
          <w:sz w:val="19"/>
        </w:rPr>
        <w:t>Service</w:t>
      </w:r>
      <w:r>
        <w:rPr>
          <w:spacing w:val="-5"/>
          <w:sz w:val="19"/>
        </w:rPr>
        <w:t xml:space="preserve"> </w:t>
      </w:r>
      <w:r>
        <w:rPr>
          <w:sz w:val="19"/>
        </w:rPr>
        <w:t>(APS)</w:t>
      </w:r>
      <w:r>
        <w:rPr>
          <w:spacing w:val="-5"/>
          <w:sz w:val="19"/>
        </w:rPr>
        <w:t xml:space="preserve"> </w:t>
      </w:r>
      <w:r>
        <w:rPr>
          <w:sz w:val="19"/>
        </w:rPr>
        <w:t>Strategic</w:t>
      </w:r>
      <w:r>
        <w:rPr>
          <w:spacing w:val="-5"/>
          <w:sz w:val="19"/>
        </w:rPr>
        <w:t xml:space="preserve"> </w:t>
      </w:r>
      <w:r>
        <w:rPr>
          <w:sz w:val="19"/>
        </w:rPr>
        <w:t>Commissioning</w:t>
      </w:r>
      <w:r>
        <w:rPr>
          <w:spacing w:val="-5"/>
          <w:sz w:val="19"/>
        </w:rPr>
        <w:t xml:space="preserve"> </w:t>
      </w:r>
      <w:r>
        <w:rPr>
          <w:sz w:val="19"/>
        </w:rPr>
        <w:t>Framework,</w:t>
      </w:r>
      <w:r>
        <w:rPr>
          <w:spacing w:val="-5"/>
          <w:sz w:val="19"/>
        </w:rPr>
        <w:t xml:space="preserve"> </w:t>
      </w:r>
      <w:r>
        <w:rPr>
          <w:sz w:val="19"/>
        </w:rPr>
        <w:t xml:space="preserve"> </w:t>
      </w:r>
    </w:p>
    <w:p w14:paraId="4C1759C3" w14:textId="1DF4A68B" w:rsidR="009D54AF" w:rsidRDefault="00000000">
      <w:pPr>
        <w:spacing w:before="1" w:line="340" w:lineRule="auto"/>
        <w:ind w:left="142" w:right="3321"/>
        <w:rPr>
          <w:sz w:val="19"/>
        </w:rPr>
      </w:pPr>
      <w:r>
        <w:rPr>
          <w:sz w:val="19"/>
        </w:rPr>
        <w:t xml:space="preserve">Australian Public Service Commission, </w:t>
      </w:r>
    </w:p>
    <w:p w14:paraId="6F87A69E" w14:textId="77777777" w:rsidR="00F16969" w:rsidRDefault="00000000">
      <w:pPr>
        <w:spacing w:before="1" w:line="340" w:lineRule="auto"/>
        <w:ind w:left="142" w:right="5920"/>
        <w:rPr>
          <w:sz w:val="19"/>
        </w:rPr>
      </w:pPr>
      <w:r>
        <w:rPr>
          <w:sz w:val="19"/>
        </w:rPr>
        <w:t>Australian</w:t>
      </w:r>
      <w:r>
        <w:rPr>
          <w:spacing w:val="-7"/>
          <w:sz w:val="19"/>
        </w:rPr>
        <w:t xml:space="preserve"> </w:t>
      </w:r>
      <w:r>
        <w:rPr>
          <w:sz w:val="19"/>
        </w:rPr>
        <w:t>Register</w:t>
      </w:r>
      <w:r>
        <w:rPr>
          <w:spacing w:val="-7"/>
          <w:sz w:val="19"/>
        </w:rPr>
        <w:t xml:space="preserve"> </w:t>
      </w:r>
      <w:r>
        <w:rPr>
          <w:sz w:val="19"/>
        </w:rPr>
        <w:t>of</w:t>
      </w:r>
      <w:r>
        <w:rPr>
          <w:spacing w:val="-7"/>
          <w:sz w:val="19"/>
        </w:rPr>
        <w:t xml:space="preserve"> </w:t>
      </w:r>
      <w:r>
        <w:rPr>
          <w:sz w:val="19"/>
        </w:rPr>
        <w:t>Clinical</w:t>
      </w:r>
      <w:r>
        <w:rPr>
          <w:spacing w:val="-7"/>
          <w:sz w:val="19"/>
        </w:rPr>
        <w:t xml:space="preserve"> </w:t>
      </w:r>
      <w:r>
        <w:rPr>
          <w:sz w:val="19"/>
        </w:rPr>
        <w:t>Registries,</w:t>
      </w:r>
      <w:r>
        <w:rPr>
          <w:spacing w:val="-7"/>
          <w:sz w:val="19"/>
        </w:rPr>
        <w:t xml:space="preserve"> </w:t>
      </w:r>
      <w:r>
        <w:rPr>
          <w:sz w:val="19"/>
        </w:rPr>
        <w:t xml:space="preserve"> </w:t>
      </w:r>
    </w:p>
    <w:p w14:paraId="36DB6608" w14:textId="75B92837" w:rsidR="009D54AF" w:rsidRDefault="00000000">
      <w:pPr>
        <w:spacing w:before="1" w:line="340" w:lineRule="auto"/>
        <w:ind w:left="142" w:right="5920"/>
        <w:rPr>
          <w:sz w:val="19"/>
        </w:rPr>
      </w:pPr>
      <w:r>
        <w:rPr>
          <w:sz w:val="19"/>
        </w:rPr>
        <w:t xml:space="preserve">avoidable hospital readmissions list, </w:t>
      </w:r>
    </w:p>
    <w:p w14:paraId="19E612BB" w14:textId="77777777" w:rsidR="009D54AF" w:rsidRDefault="00000000">
      <w:pPr>
        <w:pStyle w:val="Heading4"/>
        <w:spacing w:before="188"/>
      </w:pPr>
      <w:r>
        <w:rPr>
          <w:spacing w:val="-10"/>
        </w:rPr>
        <w:t>B</w:t>
      </w:r>
    </w:p>
    <w:p w14:paraId="5632ADC7" w14:textId="77777777" w:rsidR="00F16969" w:rsidRDefault="00000000">
      <w:pPr>
        <w:spacing w:before="112" w:line="340" w:lineRule="auto"/>
        <w:ind w:left="142" w:right="5464"/>
        <w:rPr>
          <w:spacing w:val="-7"/>
          <w:sz w:val="19"/>
        </w:rPr>
      </w:pPr>
      <w:r>
        <w:rPr>
          <w:sz w:val="19"/>
        </w:rPr>
        <w:t>benzathine</w:t>
      </w:r>
      <w:r>
        <w:rPr>
          <w:spacing w:val="-7"/>
          <w:sz w:val="19"/>
        </w:rPr>
        <w:t xml:space="preserve"> </w:t>
      </w:r>
      <w:r>
        <w:rPr>
          <w:sz w:val="19"/>
        </w:rPr>
        <w:t>benzylpenicillin</w:t>
      </w:r>
      <w:r>
        <w:rPr>
          <w:spacing w:val="-7"/>
          <w:sz w:val="19"/>
        </w:rPr>
        <w:t xml:space="preserve"> </w:t>
      </w:r>
      <w:r>
        <w:rPr>
          <w:sz w:val="19"/>
        </w:rPr>
        <w:t>injection,</w:t>
      </w:r>
      <w:r>
        <w:rPr>
          <w:spacing w:val="-7"/>
          <w:sz w:val="19"/>
        </w:rPr>
        <w:t xml:space="preserve"> </w:t>
      </w:r>
      <w:r>
        <w:rPr>
          <w:sz w:val="19"/>
        </w:rPr>
        <w:t>shortages</w:t>
      </w:r>
      <w:r>
        <w:rPr>
          <w:spacing w:val="-7"/>
          <w:sz w:val="19"/>
        </w:rPr>
        <w:t xml:space="preserve"> </w:t>
      </w:r>
      <w:r>
        <w:rPr>
          <w:sz w:val="19"/>
        </w:rPr>
        <w:t>of,</w:t>
      </w:r>
      <w:r>
        <w:rPr>
          <w:spacing w:val="-7"/>
          <w:sz w:val="19"/>
        </w:rPr>
        <w:t xml:space="preserve"> </w:t>
      </w:r>
    </w:p>
    <w:p w14:paraId="2A6950E6" w14:textId="6D84432B" w:rsidR="009D54AF" w:rsidRDefault="00000000">
      <w:pPr>
        <w:spacing w:before="112" w:line="340" w:lineRule="auto"/>
        <w:ind w:left="142" w:right="5464"/>
        <w:rPr>
          <w:sz w:val="19"/>
        </w:rPr>
      </w:pPr>
      <w:r>
        <w:rPr>
          <w:sz w:val="19"/>
        </w:rPr>
        <w:t xml:space="preserve">Better Care Everywhere initiative, </w:t>
      </w:r>
    </w:p>
    <w:p w14:paraId="25514D8A" w14:textId="6E55609B" w:rsidR="009D54AF" w:rsidRDefault="00000000">
      <w:pPr>
        <w:spacing w:before="1"/>
        <w:ind w:left="142"/>
        <w:rPr>
          <w:sz w:val="19"/>
        </w:rPr>
      </w:pPr>
      <w:r>
        <w:rPr>
          <w:sz w:val="19"/>
        </w:rPr>
        <w:t>Board,</w:t>
      </w:r>
      <w:r>
        <w:rPr>
          <w:spacing w:val="-3"/>
          <w:sz w:val="19"/>
        </w:rPr>
        <w:t xml:space="preserve"> </w:t>
      </w:r>
    </w:p>
    <w:p w14:paraId="3B1873A3" w14:textId="6029C2C9" w:rsidR="009D54AF" w:rsidRDefault="00000000">
      <w:pPr>
        <w:spacing w:before="92" w:line="340" w:lineRule="auto"/>
        <w:ind w:left="425" w:right="6600"/>
        <w:rPr>
          <w:sz w:val="19"/>
        </w:rPr>
      </w:pPr>
      <w:r>
        <w:rPr>
          <w:sz w:val="19"/>
        </w:rPr>
        <w:t>accountable</w:t>
      </w:r>
      <w:r>
        <w:rPr>
          <w:spacing w:val="-11"/>
          <w:sz w:val="19"/>
        </w:rPr>
        <w:t xml:space="preserve"> </w:t>
      </w:r>
      <w:r>
        <w:rPr>
          <w:sz w:val="19"/>
        </w:rPr>
        <w:t>authority</w:t>
      </w:r>
      <w:r>
        <w:rPr>
          <w:spacing w:val="-11"/>
          <w:sz w:val="19"/>
        </w:rPr>
        <w:t xml:space="preserve"> </w:t>
      </w:r>
      <w:r>
        <w:rPr>
          <w:sz w:val="19"/>
        </w:rPr>
        <w:t>statement,</w:t>
      </w:r>
      <w:r>
        <w:rPr>
          <w:spacing w:val="-11"/>
          <w:sz w:val="19"/>
        </w:rPr>
        <w:t xml:space="preserve"> </w:t>
      </w:r>
      <w:r>
        <w:rPr>
          <w:sz w:val="19"/>
        </w:rPr>
        <w:t xml:space="preserve"> appointment, </w:t>
      </w:r>
    </w:p>
    <w:p w14:paraId="3418F926" w14:textId="0BFF1BC0" w:rsidR="009D54AF" w:rsidRDefault="00000000">
      <w:pPr>
        <w:spacing w:before="2"/>
        <w:ind w:left="425"/>
        <w:rPr>
          <w:sz w:val="19"/>
        </w:rPr>
      </w:pPr>
      <w:r>
        <w:rPr>
          <w:sz w:val="19"/>
        </w:rPr>
        <w:t>Chair,</w:t>
      </w:r>
      <w:r>
        <w:rPr>
          <w:spacing w:val="-5"/>
          <w:sz w:val="19"/>
        </w:rPr>
        <w:t xml:space="preserve"> </w:t>
      </w:r>
    </w:p>
    <w:p w14:paraId="3D1B04D7" w14:textId="7D082EDC" w:rsidR="009D54AF" w:rsidRDefault="00000000">
      <w:pPr>
        <w:spacing w:before="92"/>
        <w:ind w:left="425"/>
        <w:rPr>
          <w:sz w:val="19"/>
        </w:rPr>
      </w:pPr>
      <w:r>
        <w:rPr>
          <w:sz w:val="19"/>
        </w:rPr>
        <w:t xml:space="preserve">Chair’s report, </w:t>
      </w:r>
    </w:p>
    <w:p w14:paraId="5095845F" w14:textId="3010DC1E" w:rsidR="009D54AF" w:rsidRDefault="00000000">
      <w:pPr>
        <w:spacing w:before="92"/>
        <w:ind w:left="425"/>
        <w:rPr>
          <w:sz w:val="19"/>
        </w:rPr>
      </w:pPr>
      <w:r>
        <w:rPr>
          <w:sz w:val="19"/>
        </w:rPr>
        <w:t>committees,</w:t>
      </w:r>
      <w:r>
        <w:rPr>
          <w:spacing w:val="-3"/>
          <w:sz w:val="19"/>
        </w:rPr>
        <w:t xml:space="preserve"> </w:t>
      </w:r>
    </w:p>
    <w:p w14:paraId="1304094E" w14:textId="575156C7" w:rsidR="009D54AF" w:rsidRDefault="00000000">
      <w:pPr>
        <w:spacing w:before="93"/>
        <w:ind w:left="425"/>
        <w:rPr>
          <w:sz w:val="19"/>
        </w:rPr>
      </w:pPr>
      <w:r>
        <w:rPr>
          <w:sz w:val="19"/>
        </w:rPr>
        <w:t xml:space="preserve">establishment, </w:t>
      </w:r>
    </w:p>
    <w:p w14:paraId="1CE5B22E" w14:textId="1879FDBA" w:rsidR="009D54AF" w:rsidRDefault="00000000">
      <w:pPr>
        <w:spacing w:before="92"/>
        <w:ind w:left="425"/>
        <w:rPr>
          <w:sz w:val="19"/>
        </w:rPr>
      </w:pPr>
      <w:r>
        <w:rPr>
          <w:sz w:val="19"/>
        </w:rPr>
        <w:t>ethical</w:t>
      </w:r>
      <w:r>
        <w:rPr>
          <w:spacing w:val="-3"/>
          <w:sz w:val="19"/>
        </w:rPr>
        <w:t xml:space="preserve"> </w:t>
      </w:r>
      <w:r>
        <w:rPr>
          <w:sz w:val="19"/>
        </w:rPr>
        <w:t>standards,</w:t>
      </w:r>
      <w:r>
        <w:rPr>
          <w:spacing w:val="-3"/>
          <w:sz w:val="19"/>
        </w:rPr>
        <w:t xml:space="preserve"> </w:t>
      </w:r>
    </w:p>
    <w:p w14:paraId="32F15512" w14:textId="0C3C86DC" w:rsidR="009D54AF" w:rsidRDefault="00000000">
      <w:pPr>
        <w:spacing w:before="93"/>
        <w:ind w:left="425"/>
        <w:rPr>
          <w:sz w:val="19"/>
        </w:rPr>
      </w:pPr>
      <w:r>
        <w:rPr>
          <w:sz w:val="19"/>
        </w:rPr>
        <w:t xml:space="preserve">induction, </w:t>
      </w:r>
    </w:p>
    <w:p w14:paraId="6F595C84" w14:textId="137CC97A" w:rsidR="009D54AF" w:rsidRDefault="00000000">
      <w:pPr>
        <w:spacing w:before="92"/>
        <w:ind w:left="425"/>
        <w:rPr>
          <w:sz w:val="19"/>
        </w:rPr>
      </w:pPr>
      <w:r>
        <w:rPr>
          <w:sz w:val="19"/>
        </w:rPr>
        <w:t xml:space="preserve">meetings, </w:t>
      </w:r>
    </w:p>
    <w:p w14:paraId="523F3102" w14:textId="1F49A0E5" w:rsidR="009D54AF" w:rsidRDefault="00000000">
      <w:pPr>
        <w:spacing w:before="92"/>
        <w:ind w:left="425"/>
        <w:rPr>
          <w:sz w:val="19"/>
        </w:rPr>
      </w:pPr>
      <w:r>
        <w:rPr>
          <w:sz w:val="19"/>
        </w:rPr>
        <w:t>membership,</w:t>
      </w:r>
      <w:r>
        <w:rPr>
          <w:spacing w:val="-3"/>
          <w:sz w:val="19"/>
        </w:rPr>
        <w:t xml:space="preserve"> </w:t>
      </w:r>
    </w:p>
    <w:p w14:paraId="5D47F9B5" w14:textId="45C3B7A0" w:rsidR="009D54AF" w:rsidRDefault="00000000">
      <w:pPr>
        <w:spacing w:before="93"/>
        <w:ind w:left="425"/>
        <w:rPr>
          <w:sz w:val="19"/>
        </w:rPr>
      </w:pPr>
      <w:r>
        <w:rPr>
          <w:sz w:val="19"/>
        </w:rPr>
        <w:t>operating</w:t>
      </w:r>
      <w:r>
        <w:rPr>
          <w:spacing w:val="-4"/>
          <w:sz w:val="19"/>
        </w:rPr>
        <w:t xml:space="preserve"> </w:t>
      </w:r>
      <w:r>
        <w:rPr>
          <w:sz w:val="19"/>
        </w:rPr>
        <w:t>guidelines,</w:t>
      </w:r>
      <w:r>
        <w:rPr>
          <w:spacing w:val="-4"/>
          <w:sz w:val="19"/>
        </w:rPr>
        <w:t xml:space="preserve"> </w:t>
      </w:r>
    </w:p>
    <w:p w14:paraId="2D4388BF" w14:textId="3A966354" w:rsidR="009D54AF" w:rsidRDefault="00000000">
      <w:pPr>
        <w:spacing w:before="92"/>
        <w:ind w:left="425"/>
        <w:rPr>
          <w:sz w:val="19"/>
        </w:rPr>
      </w:pPr>
      <w:r>
        <w:rPr>
          <w:sz w:val="19"/>
        </w:rPr>
        <w:t>professional</w:t>
      </w:r>
      <w:r>
        <w:rPr>
          <w:spacing w:val="-6"/>
          <w:sz w:val="19"/>
        </w:rPr>
        <w:t xml:space="preserve"> </w:t>
      </w:r>
      <w:r>
        <w:rPr>
          <w:sz w:val="19"/>
        </w:rPr>
        <w:t>development,</w:t>
      </w:r>
      <w:r>
        <w:rPr>
          <w:spacing w:val="-5"/>
          <w:sz w:val="19"/>
        </w:rPr>
        <w:t xml:space="preserve"> </w:t>
      </w:r>
    </w:p>
    <w:p w14:paraId="12E1C1C2" w14:textId="1DB584FE" w:rsidR="009D54AF" w:rsidRDefault="00000000">
      <w:pPr>
        <w:spacing w:before="93"/>
        <w:ind w:left="425"/>
        <w:rPr>
          <w:sz w:val="19"/>
        </w:rPr>
      </w:pPr>
      <w:r>
        <w:rPr>
          <w:sz w:val="19"/>
        </w:rPr>
        <w:t>remuneration,</w:t>
      </w:r>
      <w:r>
        <w:rPr>
          <w:spacing w:val="-3"/>
          <w:sz w:val="19"/>
        </w:rPr>
        <w:t xml:space="preserve"> </w:t>
      </w:r>
    </w:p>
    <w:p w14:paraId="79D2F60E" w14:textId="42C7778A" w:rsidR="009D54AF" w:rsidRDefault="00000000">
      <w:pPr>
        <w:spacing w:before="92"/>
        <w:ind w:left="425"/>
        <w:rPr>
          <w:sz w:val="19"/>
        </w:rPr>
      </w:pPr>
      <w:r>
        <w:rPr>
          <w:sz w:val="19"/>
        </w:rPr>
        <w:t>role</w:t>
      </w:r>
      <w:r>
        <w:rPr>
          <w:spacing w:val="-2"/>
          <w:sz w:val="19"/>
        </w:rPr>
        <w:t xml:space="preserve"> </w:t>
      </w:r>
      <w:r>
        <w:rPr>
          <w:sz w:val="19"/>
        </w:rPr>
        <w:t>and</w:t>
      </w:r>
      <w:r>
        <w:rPr>
          <w:spacing w:val="-1"/>
          <w:sz w:val="19"/>
        </w:rPr>
        <w:t xml:space="preserve"> </w:t>
      </w:r>
      <w:r>
        <w:rPr>
          <w:sz w:val="19"/>
        </w:rPr>
        <w:t>responsibilities,</w:t>
      </w:r>
      <w:r>
        <w:rPr>
          <w:spacing w:val="-1"/>
          <w:sz w:val="19"/>
        </w:rPr>
        <w:t xml:space="preserve"> </w:t>
      </w:r>
    </w:p>
    <w:p w14:paraId="2D367B56" w14:textId="2E98FE1C" w:rsidR="009D54AF" w:rsidRDefault="00000000">
      <w:pPr>
        <w:spacing w:before="92"/>
        <w:ind w:left="142"/>
        <w:rPr>
          <w:sz w:val="19"/>
        </w:rPr>
      </w:pPr>
      <w:r>
        <w:rPr>
          <w:sz w:val="19"/>
        </w:rPr>
        <w:t>Braithwaite,</w:t>
      </w:r>
      <w:r>
        <w:rPr>
          <w:spacing w:val="-4"/>
          <w:sz w:val="19"/>
        </w:rPr>
        <w:t xml:space="preserve"> </w:t>
      </w:r>
      <w:r>
        <w:rPr>
          <w:sz w:val="19"/>
        </w:rPr>
        <w:t>Professor</w:t>
      </w:r>
      <w:r>
        <w:rPr>
          <w:spacing w:val="-4"/>
          <w:sz w:val="19"/>
        </w:rPr>
        <w:t xml:space="preserve"> </w:t>
      </w:r>
      <w:r>
        <w:rPr>
          <w:sz w:val="19"/>
        </w:rPr>
        <w:t>Jeffrey,</w:t>
      </w:r>
      <w:r>
        <w:rPr>
          <w:spacing w:val="-4"/>
          <w:sz w:val="19"/>
        </w:rPr>
        <w:t xml:space="preserve"> </w:t>
      </w:r>
    </w:p>
    <w:p w14:paraId="1E265CA6" w14:textId="1BE71F07" w:rsidR="009D54AF" w:rsidRDefault="00000000">
      <w:pPr>
        <w:spacing w:before="93"/>
        <w:ind w:left="142"/>
        <w:rPr>
          <w:sz w:val="19"/>
        </w:rPr>
      </w:pPr>
      <w:r>
        <w:rPr>
          <w:sz w:val="19"/>
        </w:rPr>
        <w:t>Butler,</w:t>
      </w:r>
      <w:r>
        <w:rPr>
          <w:spacing w:val="-4"/>
          <w:sz w:val="19"/>
        </w:rPr>
        <w:t xml:space="preserve"> </w:t>
      </w:r>
      <w:r>
        <w:rPr>
          <w:sz w:val="19"/>
        </w:rPr>
        <w:t>Hon.</w:t>
      </w:r>
      <w:r>
        <w:rPr>
          <w:spacing w:val="-3"/>
          <w:sz w:val="19"/>
        </w:rPr>
        <w:t xml:space="preserve"> </w:t>
      </w:r>
      <w:r>
        <w:rPr>
          <w:sz w:val="19"/>
        </w:rPr>
        <w:t>Mark,</w:t>
      </w:r>
      <w:r>
        <w:rPr>
          <w:spacing w:val="-4"/>
          <w:sz w:val="19"/>
        </w:rPr>
        <w:t xml:space="preserve"> </w:t>
      </w:r>
      <w:r>
        <w:rPr>
          <w:i/>
          <w:sz w:val="19"/>
        </w:rPr>
        <w:t>see</w:t>
      </w:r>
      <w:r>
        <w:rPr>
          <w:i/>
          <w:spacing w:val="-3"/>
          <w:sz w:val="19"/>
        </w:rPr>
        <w:t xml:space="preserve"> </w:t>
      </w:r>
      <w:r>
        <w:rPr>
          <w:i/>
          <w:sz w:val="19"/>
        </w:rPr>
        <w:t>also</w:t>
      </w:r>
      <w:r>
        <w:rPr>
          <w:i/>
          <w:spacing w:val="-3"/>
          <w:sz w:val="19"/>
        </w:rPr>
        <w:t xml:space="preserve"> </w:t>
      </w:r>
      <w:r>
        <w:rPr>
          <w:sz w:val="19"/>
        </w:rPr>
        <w:t>Minister</w:t>
      </w:r>
      <w:r>
        <w:rPr>
          <w:spacing w:val="-3"/>
          <w:sz w:val="19"/>
        </w:rPr>
        <w:t xml:space="preserve"> </w:t>
      </w:r>
      <w:r>
        <w:rPr>
          <w:sz w:val="19"/>
        </w:rPr>
        <w:t>for</w:t>
      </w:r>
      <w:r>
        <w:rPr>
          <w:spacing w:val="-3"/>
          <w:sz w:val="19"/>
        </w:rPr>
        <w:t xml:space="preserve"> </w:t>
      </w:r>
      <w:r>
        <w:rPr>
          <w:sz w:val="19"/>
        </w:rPr>
        <w:t>Health,</w:t>
      </w:r>
      <w:r>
        <w:rPr>
          <w:spacing w:val="-3"/>
          <w:sz w:val="19"/>
        </w:rPr>
        <w:t xml:space="preserve"> </w:t>
      </w:r>
      <w:r>
        <w:rPr>
          <w:sz w:val="19"/>
        </w:rPr>
        <w:t>Disability</w:t>
      </w:r>
      <w:r>
        <w:rPr>
          <w:spacing w:val="-3"/>
          <w:sz w:val="19"/>
        </w:rPr>
        <w:t xml:space="preserve"> </w:t>
      </w:r>
      <w:r>
        <w:rPr>
          <w:sz w:val="19"/>
        </w:rPr>
        <w:t>and</w:t>
      </w:r>
      <w:r>
        <w:rPr>
          <w:spacing w:val="-13"/>
          <w:sz w:val="19"/>
        </w:rPr>
        <w:t xml:space="preserve"> </w:t>
      </w:r>
      <w:r>
        <w:rPr>
          <w:spacing w:val="-2"/>
          <w:sz w:val="19"/>
        </w:rPr>
        <w:t>Ageing</w:t>
      </w:r>
    </w:p>
    <w:p w14:paraId="40BD0DF1" w14:textId="77777777" w:rsidR="009D54AF" w:rsidRDefault="009D54AF">
      <w:pPr>
        <w:pStyle w:val="BodyText"/>
        <w:spacing w:before="60"/>
        <w:rPr>
          <w:sz w:val="19"/>
        </w:rPr>
      </w:pPr>
    </w:p>
    <w:p w14:paraId="2FCCB4E3" w14:textId="77777777" w:rsidR="009D54AF" w:rsidRDefault="00000000">
      <w:pPr>
        <w:pStyle w:val="Heading4"/>
        <w:spacing w:before="1"/>
      </w:pPr>
      <w:r>
        <w:rPr>
          <w:spacing w:val="-10"/>
        </w:rPr>
        <w:t>C</w:t>
      </w:r>
    </w:p>
    <w:p w14:paraId="62E1B0D4" w14:textId="37CE7768" w:rsidR="009D54AF" w:rsidRDefault="00000000">
      <w:pPr>
        <w:spacing w:before="70"/>
        <w:ind w:left="142"/>
        <w:rPr>
          <w:sz w:val="19"/>
        </w:rPr>
      </w:pPr>
      <w:r>
        <w:rPr>
          <w:sz w:val="19"/>
        </w:rPr>
        <w:t xml:space="preserve">cannabis, medicinal, </w:t>
      </w:r>
    </w:p>
    <w:p w14:paraId="074999B9" w14:textId="32795DF8" w:rsidR="009D54AF" w:rsidRDefault="00000000">
      <w:pPr>
        <w:spacing w:before="92"/>
        <w:ind w:left="142"/>
        <w:rPr>
          <w:sz w:val="19"/>
        </w:rPr>
      </w:pPr>
      <w:r>
        <w:rPr>
          <w:sz w:val="19"/>
        </w:rPr>
        <w:t>capability</w:t>
      </w:r>
      <w:r>
        <w:rPr>
          <w:spacing w:val="-8"/>
          <w:sz w:val="19"/>
        </w:rPr>
        <w:t xml:space="preserve"> </w:t>
      </w:r>
      <w:r>
        <w:rPr>
          <w:sz w:val="19"/>
        </w:rPr>
        <w:t>review,</w:t>
      </w:r>
      <w:r>
        <w:rPr>
          <w:spacing w:val="-8"/>
          <w:sz w:val="19"/>
        </w:rPr>
        <w:t xml:space="preserve"> </w:t>
      </w:r>
    </w:p>
    <w:p w14:paraId="2D9B067B" w14:textId="78ED130C" w:rsidR="009D54AF" w:rsidRDefault="00000000">
      <w:pPr>
        <w:spacing w:before="93" w:line="340" w:lineRule="auto"/>
        <w:ind w:left="142" w:right="3776"/>
        <w:rPr>
          <w:sz w:val="19"/>
        </w:rPr>
      </w:pPr>
      <w:proofErr w:type="spellStart"/>
      <w:r>
        <w:rPr>
          <w:sz w:val="19"/>
        </w:rPr>
        <w:t>CARAlert</w:t>
      </w:r>
      <w:proofErr w:type="spellEnd"/>
      <w:r>
        <w:rPr>
          <w:spacing w:val="-7"/>
          <w:sz w:val="19"/>
        </w:rPr>
        <w:t xml:space="preserve"> </w:t>
      </w:r>
      <w:r>
        <w:rPr>
          <w:sz w:val="19"/>
        </w:rPr>
        <w:t>(National</w:t>
      </w:r>
      <w:r>
        <w:rPr>
          <w:spacing w:val="-14"/>
          <w:sz w:val="19"/>
        </w:rPr>
        <w:t xml:space="preserve"> </w:t>
      </w:r>
      <w:r>
        <w:rPr>
          <w:sz w:val="19"/>
        </w:rPr>
        <w:t>Alert</w:t>
      </w:r>
      <w:r>
        <w:rPr>
          <w:spacing w:val="-4"/>
          <w:sz w:val="19"/>
        </w:rPr>
        <w:t xml:space="preserve"> </w:t>
      </w:r>
      <w:r>
        <w:rPr>
          <w:sz w:val="19"/>
        </w:rPr>
        <w:t>System</w:t>
      </w:r>
      <w:r>
        <w:rPr>
          <w:spacing w:val="-5"/>
          <w:sz w:val="19"/>
        </w:rPr>
        <w:t xml:space="preserve"> </w:t>
      </w:r>
      <w:r>
        <w:rPr>
          <w:sz w:val="19"/>
        </w:rPr>
        <w:t>for</w:t>
      </w:r>
      <w:r>
        <w:rPr>
          <w:spacing w:val="-5"/>
          <w:sz w:val="19"/>
        </w:rPr>
        <w:t xml:space="preserve"> </w:t>
      </w:r>
      <w:r>
        <w:rPr>
          <w:sz w:val="19"/>
        </w:rPr>
        <w:t>Critical</w:t>
      </w:r>
      <w:r>
        <w:rPr>
          <w:spacing w:val="-14"/>
          <w:sz w:val="19"/>
        </w:rPr>
        <w:t xml:space="preserve"> </w:t>
      </w:r>
      <w:r>
        <w:rPr>
          <w:sz w:val="19"/>
        </w:rPr>
        <w:t>Antimicrobial</w:t>
      </w:r>
      <w:r>
        <w:rPr>
          <w:spacing w:val="-4"/>
          <w:sz w:val="19"/>
        </w:rPr>
        <w:t xml:space="preserve"> </w:t>
      </w:r>
      <w:r>
        <w:rPr>
          <w:sz w:val="19"/>
        </w:rPr>
        <w:t>Resistances),</w:t>
      </w:r>
      <w:r>
        <w:rPr>
          <w:spacing w:val="-5"/>
          <w:sz w:val="19"/>
        </w:rPr>
        <w:t xml:space="preserve"> </w:t>
      </w:r>
      <w:r>
        <w:rPr>
          <w:sz w:val="19"/>
        </w:rPr>
        <w:t xml:space="preserve"> cardiac surgery, </w:t>
      </w:r>
    </w:p>
    <w:p w14:paraId="2F545FF8" w14:textId="77777777" w:rsidR="009D54AF" w:rsidRDefault="00000000">
      <w:pPr>
        <w:spacing w:before="1"/>
        <w:ind w:left="142"/>
        <w:rPr>
          <w:sz w:val="19"/>
        </w:rPr>
      </w:pPr>
      <w:r>
        <w:rPr>
          <w:sz w:val="19"/>
        </w:rPr>
        <w:t>case</w:t>
      </w:r>
      <w:r>
        <w:rPr>
          <w:spacing w:val="-3"/>
          <w:sz w:val="19"/>
        </w:rPr>
        <w:t xml:space="preserve"> </w:t>
      </w:r>
      <w:r>
        <w:rPr>
          <w:spacing w:val="-2"/>
          <w:sz w:val="19"/>
        </w:rPr>
        <w:t>studies</w:t>
      </w:r>
    </w:p>
    <w:p w14:paraId="6F813C25" w14:textId="77777777" w:rsidR="005B0B13" w:rsidRDefault="00000000" w:rsidP="005B0B13">
      <w:pPr>
        <w:spacing w:before="92" w:line="278" w:lineRule="auto"/>
        <w:ind w:left="425" w:right="3323"/>
        <w:rPr>
          <w:sz w:val="19"/>
        </w:rPr>
      </w:pPr>
      <w:r>
        <w:rPr>
          <w:sz w:val="19"/>
        </w:rPr>
        <w:t>National</w:t>
      </w:r>
      <w:r>
        <w:rPr>
          <w:spacing w:val="-6"/>
          <w:sz w:val="19"/>
        </w:rPr>
        <w:t xml:space="preserve"> </w:t>
      </w:r>
      <w:r>
        <w:rPr>
          <w:sz w:val="19"/>
        </w:rPr>
        <w:t>Safety</w:t>
      </w:r>
      <w:r>
        <w:rPr>
          <w:spacing w:val="-5"/>
          <w:sz w:val="19"/>
        </w:rPr>
        <w:t xml:space="preserve"> </w:t>
      </w:r>
      <w:r>
        <w:rPr>
          <w:sz w:val="19"/>
        </w:rPr>
        <w:t>and</w:t>
      </w:r>
      <w:r>
        <w:rPr>
          <w:spacing w:val="-5"/>
          <w:sz w:val="19"/>
        </w:rPr>
        <w:t xml:space="preserve"> </w:t>
      </w:r>
      <w:r>
        <w:rPr>
          <w:sz w:val="19"/>
        </w:rPr>
        <w:t>Quality</w:t>
      </w:r>
      <w:r>
        <w:rPr>
          <w:spacing w:val="-5"/>
          <w:sz w:val="19"/>
        </w:rPr>
        <w:t xml:space="preserve"> </w:t>
      </w:r>
      <w:r>
        <w:rPr>
          <w:sz w:val="19"/>
        </w:rPr>
        <w:t>Standards</w:t>
      </w:r>
      <w:r>
        <w:rPr>
          <w:spacing w:val="-14"/>
          <w:sz w:val="19"/>
        </w:rPr>
        <w:t xml:space="preserve"> </w:t>
      </w:r>
      <w:r>
        <w:rPr>
          <w:sz w:val="19"/>
        </w:rPr>
        <w:t>Assessor</w:t>
      </w:r>
      <w:r>
        <w:rPr>
          <w:spacing w:val="-4"/>
          <w:sz w:val="19"/>
        </w:rPr>
        <w:t xml:space="preserve"> </w:t>
      </w:r>
      <w:r>
        <w:rPr>
          <w:sz w:val="19"/>
        </w:rPr>
        <w:t>Orientation</w:t>
      </w:r>
      <w:r>
        <w:rPr>
          <w:spacing w:val="-5"/>
          <w:sz w:val="19"/>
        </w:rPr>
        <w:t xml:space="preserve"> </w:t>
      </w:r>
      <w:r>
        <w:rPr>
          <w:sz w:val="19"/>
        </w:rPr>
        <w:t>Course,</w:t>
      </w:r>
      <w:r>
        <w:rPr>
          <w:spacing w:val="-5"/>
          <w:sz w:val="19"/>
        </w:rPr>
        <w:t xml:space="preserve"> </w:t>
      </w:r>
      <w:r w:rsidR="005B0B13">
        <w:rPr>
          <w:sz w:val="19"/>
        </w:rPr>
        <w:t xml:space="preserve"> </w:t>
      </w:r>
    </w:p>
    <w:p w14:paraId="52F28B47" w14:textId="4BED59E4" w:rsidR="009D54AF" w:rsidRDefault="00000000">
      <w:pPr>
        <w:spacing w:before="92" w:line="340" w:lineRule="auto"/>
        <w:ind w:left="425" w:right="3321"/>
        <w:rPr>
          <w:sz w:val="19"/>
        </w:rPr>
      </w:pPr>
      <w:proofErr w:type="spellStart"/>
      <w:r>
        <w:rPr>
          <w:sz w:val="19"/>
        </w:rPr>
        <w:lastRenderedPageBreak/>
        <w:t>Paediatric</w:t>
      </w:r>
      <w:proofErr w:type="spellEnd"/>
      <w:r>
        <w:rPr>
          <w:sz w:val="19"/>
        </w:rPr>
        <w:t xml:space="preserve"> Improvement Collaborative (PIC), 36</w:t>
      </w:r>
    </w:p>
    <w:p w14:paraId="3DD608FF" w14:textId="62F9C345" w:rsidR="009D54AF" w:rsidRDefault="00000000">
      <w:pPr>
        <w:spacing w:before="2" w:line="340" w:lineRule="auto"/>
        <w:ind w:left="425" w:right="4242"/>
        <w:rPr>
          <w:sz w:val="19"/>
        </w:rPr>
      </w:pPr>
      <w:r>
        <w:rPr>
          <w:sz w:val="19"/>
        </w:rPr>
        <w:t>public</w:t>
      </w:r>
      <w:r>
        <w:rPr>
          <w:spacing w:val="-5"/>
          <w:sz w:val="19"/>
        </w:rPr>
        <w:t xml:space="preserve"> </w:t>
      </w:r>
      <w:r>
        <w:rPr>
          <w:sz w:val="19"/>
        </w:rPr>
        <w:t>consultation</w:t>
      </w:r>
      <w:r>
        <w:rPr>
          <w:spacing w:val="-5"/>
          <w:sz w:val="19"/>
        </w:rPr>
        <w:t xml:space="preserve"> </w:t>
      </w:r>
      <w:r>
        <w:rPr>
          <w:sz w:val="19"/>
        </w:rPr>
        <w:t>on</w:t>
      </w:r>
      <w:r>
        <w:rPr>
          <w:spacing w:val="-5"/>
          <w:sz w:val="19"/>
        </w:rPr>
        <w:t xml:space="preserve"> </w:t>
      </w:r>
      <w:r>
        <w:rPr>
          <w:sz w:val="19"/>
        </w:rPr>
        <w:t>the</w:t>
      </w:r>
      <w:r>
        <w:rPr>
          <w:spacing w:val="-5"/>
          <w:sz w:val="19"/>
        </w:rPr>
        <w:t xml:space="preserve"> </w:t>
      </w:r>
      <w:r>
        <w:rPr>
          <w:sz w:val="19"/>
        </w:rPr>
        <w:t>NSQHS</w:t>
      </w:r>
      <w:r>
        <w:rPr>
          <w:spacing w:val="-5"/>
          <w:sz w:val="19"/>
        </w:rPr>
        <w:t xml:space="preserve"> </w:t>
      </w:r>
      <w:r>
        <w:rPr>
          <w:sz w:val="19"/>
        </w:rPr>
        <w:t>Standards</w:t>
      </w:r>
      <w:r>
        <w:rPr>
          <w:spacing w:val="-5"/>
          <w:sz w:val="19"/>
        </w:rPr>
        <w:t xml:space="preserve"> </w:t>
      </w:r>
      <w:r>
        <w:rPr>
          <w:sz w:val="19"/>
        </w:rPr>
        <w:t>(third</w:t>
      </w:r>
      <w:r>
        <w:rPr>
          <w:spacing w:val="-5"/>
          <w:sz w:val="19"/>
        </w:rPr>
        <w:t xml:space="preserve"> </w:t>
      </w:r>
      <w:r>
        <w:rPr>
          <w:sz w:val="19"/>
        </w:rPr>
        <w:t>edition),</w:t>
      </w:r>
      <w:r>
        <w:rPr>
          <w:spacing w:val="-5"/>
          <w:sz w:val="19"/>
        </w:rPr>
        <w:t xml:space="preserve"> </w:t>
      </w:r>
      <w:r>
        <w:rPr>
          <w:sz w:val="19"/>
        </w:rPr>
        <w:t xml:space="preserve"> supporting safe and sustainable use of intravenous fluids, </w:t>
      </w:r>
    </w:p>
    <w:p w14:paraId="5D7465DF" w14:textId="2084B6AD" w:rsidR="005B0B13" w:rsidRDefault="00000000">
      <w:pPr>
        <w:spacing w:before="1" w:line="340" w:lineRule="auto"/>
        <w:ind w:left="425" w:right="7216" w:hanging="284"/>
        <w:rPr>
          <w:spacing w:val="40"/>
          <w:sz w:val="19"/>
        </w:rPr>
      </w:pPr>
      <w:r>
        <w:rPr>
          <w:sz w:val="19"/>
        </w:rPr>
        <w:t xml:space="preserve">Chair of the Board, </w:t>
      </w:r>
      <w:r>
        <w:rPr>
          <w:spacing w:val="40"/>
          <w:sz w:val="19"/>
        </w:rPr>
        <w:t xml:space="preserve"> </w:t>
      </w:r>
    </w:p>
    <w:p w14:paraId="670BBEF4" w14:textId="2C20F8BF" w:rsidR="005B0B13" w:rsidRDefault="00000000" w:rsidP="005B0B13">
      <w:pPr>
        <w:spacing w:before="1" w:line="341" w:lineRule="auto"/>
        <w:ind w:left="142" w:right="7218" w:firstLine="284"/>
        <w:rPr>
          <w:sz w:val="19"/>
        </w:rPr>
      </w:pPr>
      <w:r>
        <w:rPr>
          <w:sz w:val="19"/>
        </w:rPr>
        <w:t>attendance</w:t>
      </w:r>
      <w:r>
        <w:rPr>
          <w:spacing w:val="-9"/>
          <w:sz w:val="19"/>
        </w:rPr>
        <w:t xml:space="preserve"> </w:t>
      </w:r>
      <w:r>
        <w:rPr>
          <w:sz w:val="19"/>
        </w:rPr>
        <w:t>at</w:t>
      </w:r>
      <w:r>
        <w:rPr>
          <w:spacing w:val="-9"/>
          <w:sz w:val="19"/>
        </w:rPr>
        <w:t xml:space="preserve"> </w:t>
      </w:r>
      <w:r>
        <w:rPr>
          <w:sz w:val="19"/>
        </w:rPr>
        <w:t>Board</w:t>
      </w:r>
      <w:r>
        <w:rPr>
          <w:spacing w:val="-9"/>
          <w:sz w:val="19"/>
        </w:rPr>
        <w:t xml:space="preserve"> </w:t>
      </w:r>
      <w:r>
        <w:rPr>
          <w:sz w:val="19"/>
        </w:rPr>
        <w:t>meetings,</w:t>
      </w:r>
      <w:r>
        <w:rPr>
          <w:spacing w:val="-9"/>
          <w:sz w:val="19"/>
        </w:rPr>
        <w:t xml:space="preserve"> </w:t>
      </w:r>
      <w:r>
        <w:rPr>
          <w:sz w:val="19"/>
        </w:rPr>
        <w:t xml:space="preserve"> </w:t>
      </w:r>
    </w:p>
    <w:p w14:paraId="5723EF2F" w14:textId="0C66BBA0" w:rsidR="009D54AF" w:rsidRDefault="00000000" w:rsidP="005B0B13">
      <w:pPr>
        <w:spacing w:before="1" w:line="341" w:lineRule="auto"/>
        <w:ind w:left="142" w:right="7218" w:firstLine="284"/>
        <w:rPr>
          <w:sz w:val="19"/>
        </w:rPr>
      </w:pPr>
      <w:r>
        <w:rPr>
          <w:sz w:val="19"/>
        </w:rPr>
        <w:t xml:space="preserve">remuneration, </w:t>
      </w:r>
    </w:p>
    <w:p w14:paraId="189BC208" w14:textId="60314BD2" w:rsidR="009D54AF" w:rsidRDefault="00000000">
      <w:pPr>
        <w:spacing w:before="2"/>
        <w:ind w:left="425"/>
        <w:rPr>
          <w:sz w:val="19"/>
        </w:rPr>
      </w:pPr>
      <w:r>
        <w:rPr>
          <w:sz w:val="19"/>
        </w:rPr>
        <w:t>report,</w:t>
      </w:r>
      <w:r>
        <w:rPr>
          <w:spacing w:val="-3"/>
          <w:sz w:val="19"/>
        </w:rPr>
        <w:t xml:space="preserve"> </w:t>
      </w:r>
    </w:p>
    <w:p w14:paraId="2A6F6C39" w14:textId="7150235A" w:rsidR="009D54AF" w:rsidRDefault="00000000">
      <w:pPr>
        <w:spacing w:before="92" w:line="340" w:lineRule="auto"/>
        <w:ind w:left="425" w:right="5464"/>
        <w:rPr>
          <w:sz w:val="19"/>
        </w:rPr>
      </w:pPr>
      <w:r>
        <w:rPr>
          <w:sz w:val="19"/>
        </w:rPr>
        <w:t>statement</w:t>
      </w:r>
      <w:r>
        <w:rPr>
          <w:spacing w:val="-7"/>
          <w:sz w:val="19"/>
        </w:rPr>
        <w:t xml:space="preserve"> </w:t>
      </w:r>
      <w:r>
        <w:rPr>
          <w:sz w:val="19"/>
        </w:rPr>
        <w:t>on</w:t>
      </w:r>
      <w:r>
        <w:rPr>
          <w:spacing w:val="-7"/>
          <w:sz w:val="19"/>
        </w:rPr>
        <w:t xml:space="preserve"> </w:t>
      </w:r>
      <w:r>
        <w:rPr>
          <w:sz w:val="19"/>
        </w:rPr>
        <w:t>annual</w:t>
      </w:r>
      <w:r>
        <w:rPr>
          <w:spacing w:val="-7"/>
          <w:sz w:val="19"/>
        </w:rPr>
        <w:t xml:space="preserve"> </w:t>
      </w:r>
      <w:r>
        <w:rPr>
          <w:sz w:val="19"/>
        </w:rPr>
        <w:t>performance</w:t>
      </w:r>
      <w:r>
        <w:rPr>
          <w:spacing w:val="-7"/>
          <w:sz w:val="19"/>
        </w:rPr>
        <w:t xml:space="preserve"> </w:t>
      </w:r>
      <w:r>
        <w:rPr>
          <w:sz w:val="19"/>
        </w:rPr>
        <w:t>statements,</w:t>
      </w:r>
      <w:r>
        <w:rPr>
          <w:spacing w:val="-7"/>
          <w:sz w:val="19"/>
        </w:rPr>
        <w:t xml:space="preserve"> </w:t>
      </w:r>
      <w:r>
        <w:rPr>
          <w:sz w:val="19"/>
        </w:rPr>
        <w:t xml:space="preserve"> statement on financial statements, </w:t>
      </w:r>
    </w:p>
    <w:p w14:paraId="0F978CD8" w14:textId="4FA70464" w:rsidR="009D54AF" w:rsidRDefault="00000000">
      <w:pPr>
        <w:spacing w:before="1"/>
        <w:ind w:left="142"/>
        <w:rPr>
          <w:sz w:val="19"/>
        </w:rPr>
      </w:pPr>
      <w:r>
        <w:rPr>
          <w:sz w:val="19"/>
        </w:rPr>
        <w:t>Chief</w:t>
      </w:r>
      <w:r>
        <w:rPr>
          <w:spacing w:val="-5"/>
          <w:sz w:val="19"/>
        </w:rPr>
        <w:t xml:space="preserve"> </w:t>
      </w:r>
      <w:r>
        <w:rPr>
          <w:sz w:val="19"/>
        </w:rPr>
        <w:t>Executive</w:t>
      </w:r>
      <w:r>
        <w:rPr>
          <w:spacing w:val="-5"/>
          <w:sz w:val="19"/>
        </w:rPr>
        <w:t xml:space="preserve"> </w:t>
      </w:r>
      <w:r>
        <w:rPr>
          <w:sz w:val="19"/>
        </w:rPr>
        <w:t>Officer,</w:t>
      </w:r>
    </w:p>
    <w:p w14:paraId="4402EE8B" w14:textId="69ED6695" w:rsidR="009D54AF" w:rsidRDefault="00000000">
      <w:pPr>
        <w:spacing w:before="93"/>
        <w:ind w:left="425"/>
        <w:rPr>
          <w:sz w:val="19"/>
        </w:rPr>
      </w:pPr>
      <w:r>
        <w:rPr>
          <w:sz w:val="19"/>
        </w:rPr>
        <w:t xml:space="preserve">appointment, </w:t>
      </w:r>
    </w:p>
    <w:p w14:paraId="3F862D8D" w14:textId="1E3395C0" w:rsidR="009D54AF" w:rsidRDefault="00000000">
      <w:pPr>
        <w:spacing w:before="92"/>
        <w:ind w:left="425"/>
        <w:rPr>
          <w:sz w:val="19"/>
        </w:rPr>
      </w:pPr>
      <w:r>
        <w:rPr>
          <w:sz w:val="19"/>
        </w:rPr>
        <w:t>remuneration,</w:t>
      </w:r>
      <w:r>
        <w:rPr>
          <w:spacing w:val="-3"/>
          <w:sz w:val="19"/>
        </w:rPr>
        <w:t xml:space="preserve"> </w:t>
      </w:r>
    </w:p>
    <w:p w14:paraId="198E5902" w14:textId="060F0D6A" w:rsidR="009D54AF" w:rsidRDefault="00000000">
      <w:pPr>
        <w:spacing w:before="93"/>
        <w:ind w:left="425"/>
        <w:rPr>
          <w:sz w:val="19"/>
        </w:rPr>
      </w:pPr>
      <w:r>
        <w:rPr>
          <w:sz w:val="19"/>
        </w:rPr>
        <w:t>report,</w:t>
      </w:r>
      <w:r>
        <w:rPr>
          <w:spacing w:val="-3"/>
          <w:sz w:val="19"/>
        </w:rPr>
        <w:t xml:space="preserve"> </w:t>
      </w:r>
    </w:p>
    <w:p w14:paraId="04F972F4" w14:textId="46926EE5" w:rsidR="009D54AF" w:rsidRDefault="00000000">
      <w:pPr>
        <w:spacing w:before="92"/>
        <w:ind w:left="425"/>
        <w:rPr>
          <w:sz w:val="19"/>
        </w:rPr>
      </w:pPr>
      <w:r>
        <w:rPr>
          <w:sz w:val="19"/>
        </w:rPr>
        <w:t>role</w:t>
      </w:r>
      <w:r>
        <w:rPr>
          <w:spacing w:val="-2"/>
          <w:sz w:val="19"/>
        </w:rPr>
        <w:t xml:space="preserve"> </w:t>
      </w:r>
      <w:r>
        <w:rPr>
          <w:sz w:val="19"/>
        </w:rPr>
        <w:t>and</w:t>
      </w:r>
      <w:r>
        <w:rPr>
          <w:spacing w:val="-2"/>
          <w:sz w:val="19"/>
        </w:rPr>
        <w:t xml:space="preserve"> </w:t>
      </w:r>
      <w:r>
        <w:rPr>
          <w:sz w:val="19"/>
        </w:rPr>
        <w:t>responsibilities,</w:t>
      </w:r>
      <w:r>
        <w:rPr>
          <w:spacing w:val="-1"/>
          <w:sz w:val="19"/>
        </w:rPr>
        <w:t xml:space="preserve"> </w:t>
      </w:r>
    </w:p>
    <w:p w14:paraId="24AC4A93" w14:textId="77777777" w:rsidR="005B0B13" w:rsidRDefault="00000000" w:rsidP="005B0B13">
      <w:pPr>
        <w:spacing w:before="92" w:line="278" w:lineRule="auto"/>
        <w:ind w:left="142" w:right="6600" w:firstLine="284"/>
        <w:rPr>
          <w:sz w:val="19"/>
        </w:rPr>
      </w:pPr>
      <w:r>
        <w:rPr>
          <w:sz w:val="19"/>
        </w:rPr>
        <w:t>statement</w:t>
      </w:r>
      <w:r>
        <w:rPr>
          <w:spacing w:val="-14"/>
          <w:sz w:val="19"/>
        </w:rPr>
        <w:t xml:space="preserve"> </w:t>
      </w:r>
      <w:r>
        <w:rPr>
          <w:sz w:val="19"/>
        </w:rPr>
        <w:t>on</w:t>
      </w:r>
      <w:r>
        <w:rPr>
          <w:spacing w:val="-13"/>
          <w:sz w:val="19"/>
        </w:rPr>
        <w:t xml:space="preserve"> </w:t>
      </w:r>
      <w:r>
        <w:rPr>
          <w:sz w:val="19"/>
        </w:rPr>
        <w:t>financial</w:t>
      </w:r>
      <w:r>
        <w:rPr>
          <w:spacing w:val="-13"/>
          <w:sz w:val="19"/>
        </w:rPr>
        <w:t xml:space="preserve"> </w:t>
      </w:r>
      <w:r>
        <w:rPr>
          <w:sz w:val="19"/>
        </w:rPr>
        <w:t>statements,</w:t>
      </w:r>
      <w:r>
        <w:rPr>
          <w:spacing w:val="-13"/>
          <w:sz w:val="19"/>
        </w:rPr>
        <w:t xml:space="preserve"> </w:t>
      </w:r>
      <w:r>
        <w:rPr>
          <w:sz w:val="19"/>
        </w:rPr>
        <w:t xml:space="preserve"> </w:t>
      </w:r>
    </w:p>
    <w:p w14:paraId="70BBAA38" w14:textId="3203474D" w:rsidR="009D54AF" w:rsidRDefault="00000000">
      <w:pPr>
        <w:spacing w:before="92" w:line="340" w:lineRule="auto"/>
        <w:ind w:left="142" w:right="6600" w:firstLine="283"/>
        <w:rPr>
          <w:sz w:val="19"/>
        </w:rPr>
      </w:pPr>
      <w:r>
        <w:rPr>
          <w:sz w:val="19"/>
        </w:rPr>
        <w:t xml:space="preserve">Chief Medical Officer, </w:t>
      </w:r>
    </w:p>
    <w:p w14:paraId="3B52EC40" w14:textId="470DD848" w:rsidR="005B0B13" w:rsidRDefault="00000000">
      <w:pPr>
        <w:spacing w:before="2" w:line="340" w:lineRule="auto"/>
        <w:ind w:left="142" w:right="8072"/>
        <w:rPr>
          <w:sz w:val="19"/>
        </w:rPr>
      </w:pPr>
      <w:r>
        <w:rPr>
          <w:sz w:val="19"/>
        </w:rPr>
        <w:t xml:space="preserve">Chief Nursing Officer, </w:t>
      </w:r>
    </w:p>
    <w:p w14:paraId="6A7E0D4B" w14:textId="1F51D750" w:rsidR="009D54AF" w:rsidRDefault="00000000">
      <w:pPr>
        <w:spacing w:before="2" w:line="340" w:lineRule="auto"/>
        <w:ind w:left="142" w:right="8072"/>
        <w:rPr>
          <w:sz w:val="19"/>
        </w:rPr>
      </w:pPr>
      <w:r>
        <w:rPr>
          <w:sz w:val="19"/>
        </w:rPr>
        <w:t>Chief</w:t>
      </w:r>
      <w:r>
        <w:rPr>
          <w:spacing w:val="-14"/>
          <w:sz w:val="19"/>
        </w:rPr>
        <w:t xml:space="preserve"> </w:t>
      </w:r>
      <w:r>
        <w:rPr>
          <w:sz w:val="19"/>
        </w:rPr>
        <w:t>Operating</w:t>
      </w:r>
      <w:r>
        <w:rPr>
          <w:spacing w:val="-13"/>
          <w:sz w:val="19"/>
        </w:rPr>
        <w:t xml:space="preserve"> </w:t>
      </w:r>
      <w:r>
        <w:rPr>
          <w:sz w:val="19"/>
        </w:rPr>
        <w:t>Officer,</w:t>
      </w:r>
      <w:r>
        <w:rPr>
          <w:spacing w:val="-13"/>
          <w:sz w:val="19"/>
        </w:rPr>
        <w:t xml:space="preserve"> </w:t>
      </w:r>
    </w:p>
    <w:p w14:paraId="00D0E645" w14:textId="092ABF53" w:rsidR="009D54AF" w:rsidRDefault="00000000">
      <w:pPr>
        <w:spacing w:before="1"/>
        <w:ind w:left="425"/>
        <w:rPr>
          <w:sz w:val="19"/>
        </w:rPr>
      </w:pPr>
      <w:r>
        <w:rPr>
          <w:sz w:val="19"/>
        </w:rPr>
        <w:t xml:space="preserve">remuneration, </w:t>
      </w:r>
    </w:p>
    <w:p w14:paraId="47853E0B" w14:textId="44F27316" w:rsidR="005B0B13" w:rsidRDefault="00000000" w:rsidP="005B0B13">
      <w:pPr>
        <w:spacing w:before="92" w:line="278" w:lineRule="auto"/>
        <w:ind w:left="142" w:right="6600" w:firstLine="284"/>
        <w:rPr>
          <w:sz w:val="19"/>
        </w:rPr>
      </w:pPr>
      <w:r>
        <w:rPr>
          <w:sz w:val="19"/>
        </w:rPr>
        <w:t>statement</w:t>
      </w:r>
      <w:r>
        <w:rPr>
          <w:spacing w:val="-14"/>
          <w:sz w:val="19"/>
        </w:rPr>
        <w:t xml:space="preserve"> </w:t>
      </w:r>
      <w:r>
        <w:rPr>
          <w:sz w:val="19"/>
        </w:rPr>
        <w:t>on</w:t>
      </w:r>
      <w:r>
        <w:rPr>
          <w:spacing w:val="-13"/>
          <w:sz w:val="19"/>
        </w:rPr>
        <w:t xml:space="preserve"> </w:t>
      </w:r>
      <w:r>
        <w:rPr>
          <w:sz w:val="19"/>
        </w:rPr>
        <w:t>financial</w:t>
      </w:r>
      <w:r>
        <w:rPr>
          <w:spacing w:val="-13"/>
          <w:sz w:val="19"/>
        </w:rPr>
        <w:t xml:space="preserve"> </w:t>
      </w:r>
      <w:r>
        <w:rPr>
          <w:sz w:val="19"/>
        </w:rPr>
        <w:t>statements,</w:t>
      </w:r>
      <w:r>
        <w:rPr>
          <w:spacing w:val="-13"/>
          <w:sz w:val="19"/>
        </w:rPr>
        <w:t xml:space="preserve"> </w:t>
      </w:r>
      <w:r>
        <w:rPr>
          <w:sz w:val="19"/>
        </w:rPr>
        <w:t xml:space="preserve"> </w:t>
      </w:r>
    </w:p>
    <w:p w14:paraId="691E8762" w14:textId="0BE0BB7C" w:rsidR="009D54AF" w:rsidRDefault="00000000" w:rsidP="005B0B13">
      <w:pPr>
        <w:spacing w:before="92" w:line="341" w:lineRule="auto"/>
        <w:ind w:left="142" w:right="6600"/>
        <w:rPr>
          <w:sz w:val="19"/>
        </w:rPr>
      </w:pPr>
      <w:r>
        <w:rPr>
          <w:sz w:val="19"/>
        </w:rPr>
        <w:t xml:space="preserve">children </w:t>
      </w:r>
      <w:r>
        <w:rPr>
          <w:i/>
          <w:sz w:val="19"/>
        </w:rPr>
        <w:t xml:space="preserve">see </w:t>
      </w:r>
      <w:proofErr w:type="spellStart"/>
      <w:r>
        <w:rPr>
          <w:sz w:val="19"/>
        </w:rPr>
        <w:t>paediatric</w:t>
      </w:r>
      <w:proofErr w:type="spellEnd"/>
      <w:r>
        <w:rPr>
          <w:sz w:val="19"/>
        </w:rPr>
        <w:t xml:space="preserve"> care</w:t>
      </w:r>
    </w:p>
    <w:p w14:paraId="533C9BC9" w14:textId="419AF245" w:rsidR="009D54AF" w:rsidRDefault="00000000">
      <w:pPr>
        <w:spacing w:before="2" w:line="340" w:lineRule="auto"/>
        <w:ind w:left="425" w:right="5920" w:hanging="284"/>
        <w:rPr>
          <w:sz w:val="19"/>
        </w:rPr>
      </w:pPr>
      <w:r>
        <w:rPr>
          <w:spacing w:val="-2"/>
          <w:sz w:val="19"/>
        </w:rPr>
        <w:t>chronic</w:t>
      </w:r>
      <w:r>
        <w:rPr>
          <w:spacing w:val="-10"/>
          <w:sz w:val="19"/>
        </w:rPr>
        <w:t xml:space="preserve"> </w:t>
      </w:r>
      <w:r>
        <w:rPr>
          <w:spacing w:val="-2"/>
          <w:sz w:val="19"/>
        </w:rPr>
        <w:t>obstructive</w:t>
      </w:r>
      <w:r>
        <w:rPr>
          <w:spacing w:val="-10"/>
          <w:sz w:val="19"/>
        </w:rPr>
        <w:t xml:space="preserve"> </w:t>
      </w:r>
      <w:r>
        <w:rPr>
          <w:spacing w:val="-2"/>
          <w:sz w:val="19"/>
        </w:rPr>
        <w:t>pulmonary</w:t>
      </w:r>
      <w:r>
        <w:rPr>
          <w:spacing w:val="-10"/>
          <w:sz w:val="19"/>
        </w:rPr>
        <w:t xml:space="preserve"> </w:t>
      </w:r>
      <w:r>
        <w:rPr>
          <w:spacing w:val="-2"/>
          <w:sz w:val="19"/>
        </w:rPr>
        <w:t>disease</w:t>
      </w:r>
      <w:r>
        <w:rPr>
          <w:spacing w:val="-10"/>
          <w:sz w:val="19"/>
        </w:rPr>
        <w:t xml:space="preserve"> </w:t>
      </w:r>
      <w:r>
        <w:rPr>
          <w:spacing w:val="-2"/>
          <w:sz w:val="19"/>
        </w:rPr>
        <w:t xml:space="preserve">(COPD) </w:t>
      </w:r>
      <w:r>
        <w:rPr>
          <w:sz w:val="19"/>
        </w:rPr>
        <w:t xml:space="preserve">Clinical Care Standard, </w:t>
      </w:r>
    </w:p>
    <w:p w14:paraId="12F7B2A0" w14:textId="77777777" w:rsidR="005B0B13" w:rsidRDefault="00000000">
      <w:pPr>
        <w:spacing w:before="1" w:line="340" w:lineRule="auto"/>
        <w:ind w:left="425" w:right="5920"/>
        <w:rPr>
          <w:sz w:val="19"/>
        </w:rPr>
      </w:pPr>
      <w:r>
        <w:rPr>
          <w:sz w:val="19"/>
        </w:rPr>
        <w:t>GP</w:t>
      </w:r>
      <w:r>
        <w:rPr>
          <w:spacing w:val="-9"/>
          <w:sz w:val="19"/>
        </w:rPr>
        <w:t xml:space="preserve"> </w:t>
      </w:r>
      <w:r>
        <w:rPr>
          <w:sz w:val="19"/>
        </w:rPr>
        <w:t>prescribing</w:t>
      </w:r>
      <w:r>
        <w:rPr>
          <w:spacing w:val="-5"/>
          <w:sz w:val="19"/>
        </w:rPr>
        <w:t xml:space="preserve"> </w:t>
      </w:r>
      <w:r>
        <w:rPr>
          <w:sz w:val="19"/>
        </w:rPr>
        <w:t>and</w:t>
      </w:r>
      <w:r>
        <w:rPr>
          <w:spacing w:val="-5"/>
          <w:sz w:val="19"/>
        </w:rPr>
        <w:t xml:space="preserve"> </w:t>
      </w:r>
      <w:r>
        <w:rPr>
          <w:sz w:val="19"/>
        </w:rPr>
        <w:t>patient</w:t>
      </w:r>
      <w:r>
        <w:rPr>
          <w:spacing w:val="-5"/>
          <w:sz w:val="19"/>
        </w:rPr>
        <w:t xml:space="preserve"> </w:t>
      </w:r>
      <w:r>
        <w:rPr>
          <w:sz w:val="19"/>
        </w:rPr>
        <w:t>care</w:t>
      </w:r>
      <w:r>
        <w:rPr>
          <w:spacing w:val="-5"/>
          <w:sz w:val="19"/>
        </w:rPr>
        <w:t xml:space="preserve"> </w:t>
      </w:r>
      <w:r>
        <w:rPr>
          <w:sz w:val="19"/>
        </w:rPr>
        <w:t>patterns,</w:t>
      </w:r>
      <w:r>
        <w:rPr>
          <w:spacing w:val="-5"/>
          <w:sz w:val="19"/>
        </w:rPr>
        <w:t xml:space="preserve"> </w:t>
      </w:r>
      <w:r>
        <w:rPr>
          <w:sz w:val="19"/>
        </w:rPr>
        <w:t xml:space="preserve"> </w:t>
      </w:r>
    </w:p>
    <w:p w14:paraId="57314383" w14:textId="60AB15CF" w:rsidR="009D54AF" w:rsidRDefault="00000000">
      <w:pPr>
        <w:spacing w:before="1" w:line="340" w:lineRule="auto"/>
        <w:ind w:left="425" w:right="5920"/>
        <w:rPr>
          <w:sz w:val="19"/>
        </w:rPr>
      </w:pPr>
      <w:r>
        <w:rPr>
          <w:sz w:val="19"/>
        </w:rPr>
        <w:t xml:space="preserve">reports for GPs, </w:t>
      </w:r>
    </w:p>
    <w:p w14:paraId="17F7DC19" w14:textId="574A3AE1" w:rsidR="009D54AF" w:rsidRDefault="00000000">
      <w:pPr>
        <w:spacing w:before="1"/>
        <w:ind w:left="142"/>
        <w:rPr>
          <w:sz w:val="19"/>
        </w:rPr>
      </w:pPr>
      <w:r>
        <w:rPr>
          <w:sz w:val="19"/>
        </w:rPr>
        <w:t>Clark,</w:t>
      </w:r>
      <w:r>
        <w:rPr>
          <w:spacing w:val="-4"/>
          <w:sz w:val="19"/>
        </w:rPr>
        <w:t xml:space="preserve"> </w:t>
      </w:r>
      <w:r>
        <w:rPr>
          <w:sz w:val="19"/>
        </w:rPr>
        <w:t>Jennifer,</w:t>
      </w:r>
      <w:r>
        <w:rPr>
          <w:spacing w:val="-4"/>
          <w:sz w:val="19"/>
        </w:rPr>
        <w:t xml:space="preserve"> </w:t>
      </w:r>
    </w:p>
    <w:p w14:paraId="42F6C705" w14:textId="42B4C4AF" w:rsidR="005B0B13" w:rsidRDefault="00000000" w:rsidP="005B0B13">
      <w:pPr>
        <w:spacing w:before="92" w:line="278" w:lineRule="auto"/>
        <w:ind w:left="142" w:right="5046"/>
        <w:rPr>
          <w:sz w:val="19"/>
        </w:rPr>
      </w:pPr>
      <w:r>
        <w:rPr>
          <w:sz w:val="19"/>
        </w:rPr>
        <w:t>Classification</w:t>
      </w:r>
      <w:r>
        <w:rPr>
          <w:spacing w:val="-7"/>
          <w:sz w:val="19"/>
        </w:rPr>
        <w:t xml:space="preserve"> </w:t>
      </w:r>
      <w:r>
        <w:rPr>
          <w:sz w:val="19"/>
        </w:rPr>
        <w:t>of</w:t>
      </w:r>
      <w:r>
        <w:rPr>
          <w:spacing w:val="-5"/>
          <w:sz w:val="19"/>
        </w:rPr>
        <w:t xml:space="preserve"> </w:t>
      </w:r>
      <w:r>
        <w:rPr>
          <w:sz w:val="19"/>
        </w:rPr>
        <w:t>Hospital</w:t>
      </w:r>
      <w:r>
        <w:rPr>
          <w:spacing w:val="-14"/>
          <w:sz w:val="19"/>
        </w:rPr>
        <w:t xml:space="preserve"> </w:t>
      </w:r>
      <w:r>
        <w:rPr>
          <w:sz w:val="19"/>
        </w:rPr>
        <w:t>Acquired</w:t>
      </w:r>
      <w:r>
        <w:rPr>
          <w:spacing w:val="-5"/>
          <w:sz w:val="19"/>
        </w:rPr>
        <w:t xml:space="preserve"> </w:t>
      </w:r>
      <w:r>
        <w:rPr>
          <w:sz w:val="19"/>
        </w:rPr>
        <w:t>Diagnoses</w:t>
      </w:r>
      <w:r>
        <w:rPr>
          <w:spacing w:val="-5"/>
          <w:sz w:val="19"/>
        </w:rPr>
        <w:t xml:space="preserve"> </w:t>
      </w:r>
      <w:r>
        <w:rPr>
          <w:sz w:val="19"/>
        </w:rPr>
        <w:t>(</w:t>
      </w:r>
      <w:proofErr w:type="spellStart"/>
      <w:r>
        <w:rPr>
          <w:sz w:val="19"/>
        </w:rPr>
        <w:t>CHADx</w:t>
      </w:r>
      <w:proofErr w:type="spellEnd"/>
      <w:r>
        <w:rPr>
          <w:sz w:val="19"/>
        </w:rPr>
        <w:t>),</w:t>
      </w:r>
      <w:r>
        <w:rPr>
          <w:spacing w:val="-5"/>
          <w:sz w:val="19"/>
        </w:rPr>
        <w:t xml:space="preserve"> </w:t>
      </w:r>
    </w:p>
    <w:p w14:paraId="3581B02A" w14:textId="77777777" w:rsidR="005B0B13" w:rsidRDefault="00000000" w:rsidP="005B0B13">
      <w:pPr>
        <w:spacing w:before="92" w:line="278" w:lineRule="auto"/>
        <w:ind w:left="142" w:right="5046"/>
        <w:rPr>
          <w:sz w:val="19"/>
        </w:rPr>
      </w:pPr>
      <w:r>
        <w:rPr>
          <w:sz w:val="19"/>
        </w:rPr>
        <w:t xml:space="preserve">climate change,  </w:t>
      </w:r>
      <w:r>
        <w:rPr>
          <w:i/>
          <w:sz w:val="19"/>
        </w:rPr>
        <w:t xml:space="preserve">see also </w:t>
      </w:r>
      <w:r>
        <w:rPr>
          <w:sz w:val="19"/>
        </w:rPr>
        <w:t xml:space="preserve">environmental sustainability </w:t>
      </w:r>
    </w:p>
    <w:p w14:paraId="1AC366F4" w14:textId="2127D98B" w:rsidR="009D54AF" w:rsidRDefault="00000000">
      <w:pPr>
        <w:spacing w:before="92" w:line="340" w:lineRule="auto"/>
        <w:ind w:left="142" w:right="5049"/>
        <w:rPr>
          <w:sz w:val="19"/>
        </w:rPr>
      </w:pPr>
      <w:r>
        <w:rPr>
          <w:sz w:val="19"/>
        </w:rPr>
        <w:t xml:space="preserve">Clinical Care Standards, </w:t>
      </w:r>
    </w:p>
    <w:p w14:paraId="55515723" w14:textId="79BF4CDF" w:rsidR="009D54AF" w:rsidRDefault="00000000">
      <w:pPr>
        <w:spacing w:before="2"/>
        <w:ind w:left="425"/>
        <w:rPr>
          <w:sz w:val="19"/>
        </w:rPr>
      </w:pPr>
      <w:r>
        <w:rPr>
          <w:sz w:val="19"/>
        </w:rPr>
        <w:t>acute</w:t>
      </w:r>
      <w:r>
        <w:rPr>
          <w:spacing w:val="-1"/>
          <w:sz w:val="19"/>
        </w:rPr>
        <w:t xml:space="preserve"> </w:t>
      </w:r>
      <w:r>
        <w:rPr>
          <w:sz w:val="19"/>
        </w:rPr>
        <w:t>coronary</w:t>
      </w:r>
      <w:r>
        <w:rPr>
          <w:spacing w:val="-1"/>
          <w:sz w:val="19"/>
        </w:rPr>
        <w:t xml:space="preserve"> </w:t>
      </w:r>
      <w:r>
        <w:rPr>
          <w:sz w:val="19"/>
        </w:rPr>
        <w:t>syndrome,</w:t>
      </w:r>
      <w:r>
        <w:rPr>
          <w:spacing w:val="-1"/>
          <w:sz w:val="19"/>
        </w:rPr>
        <w:t xml:space="preserve"> </w:t>
      </w:r>
    </w:p>
    <w:p w14:paraId="2C88B1E8" w14:textId="560597CD" w:rsidR="009D54AF" w:rsidRDefault="00000000">
      <w:pPr>
        <w:spacing w:before="93"/>
        <w:ind w:left="425"/>
        <w:rPr>
          <w:sz w:val="19"/>
        </w:rPr>
      </w:pPr>
      <w:r>
        <w:rPr>
          <w:sz w:val="19"/>
        </w:rPr>
        <w:t>colonoscopy,</w:t>
      </w:r>
      <w:r>
        <w:rPr>
          <w:spacing w:val="-2"/>
          <w:sz w:val="19"/>
        </w:rPr>
        <w:t xml:space="preserve"> </w:t>
      </w:r>
    </w:p>
    <w:p w14:paraId="131DE31B" w14:textId="49263D51" w:rsidR="009D54AF" w:rsidRDefault="00000000">
      <w:pPr>
        <w:spacing w:before="92"/>
        <w:ind w:left="425"/>
        <w:rPr>
          <w:sz w:val="19"/>
        </w:rPr>
      </w:pPr>
      <w:r>
        <w:rPr>
          <w:sz w:val="19"/>
        </w:rPr>
        <w:t xml:space="preserve">COPD, </w:t>
      </w:r>
    </w:p>
    <w:p w14:paraId="7C9E43C5" w14:textId="5B0B1CD3" w:rsidR="009D54AF" w:rsidRDefault="00000000">
      <w:pPr>
        <w:spacing w:before="92"/>
        <w:ind w:left="425"/>
        <w:rPr>
          <w:sz w:val="19"/>
        </w:rPr>
      </w:pPr>
      <w:r>
        <w:rPr>
          <w:spacing w:val="-4"/>
          <w:sz w:val="19"/>
        </w:rPr>
        <w:t>emergency</w:t>
      </w:r>
      <w:r>
        <w:rPr>
          <w:spacing w:val="-6"/>
          <w:sz w:val="19"/>
        </w:rPr>
        <w:t xml:space="preserve"> </w:t>
      </w:r>
      <w:r>
        <w:rPr>
          <w:spacing w:val="-4"/>
          <w:sz w:val="19"/>
        </w:rPr>
        <w:t>laparotomy,</w:t>
      </w:r>
      <w:r>
        <w:rPr>
          <w:spacing w:val="-6"/>
          <w:sz w:val="19"/>
        </w:rPr>
        <w:t xml:space="preserve"> </w:t>
      </w:r>
    </w:p>
    <w:p w14:paraId="5E9AC8E9" w14:textId="545DA0AB" w:rsidR="009D54AF" w:rsidRDefault="00000000">
      <w:pPr>
        <w:spacing w:before="93"/>
        <w:ind w:left="425"/>
        <w:rPr>
          <w:sz w:val="19"/>
        </w:rPr>
      </w:pPr>
      <w:r>
        <w:rPr>
          <w:sz w:val="19"/>
        </w:rPr>
        <w:t xml:space="preserve">indicators, </w:t>
      </w:r>
    </w:p>
    <w:p w14:paraId="731A85A8" w14:textId="26E9AE0B" w:rsidR="009D54AF" w:rsidRDefault="00000000">
      <w:pPr>
        <w:spacing w:before="92"/>
        <w:ind w:left="425"/>
        <w:rPr>
          <w:sz w:val="19"/>
        </w:rPr>
      </w:pPr>
      <w:r>
        <w:rPr>
          <w:sz w:val="19"/>
        </w:rPr>
        <w:t xml:space="preserve">osteoporosis, </w:t>
      </w:r>
    </w:p>
    <w:p w14:paraId="5B867744" w14:textId="6DC6A161" w:rsidR="009D54AF" w:rsidRDefault="00000000">
      <w:pPr>
        <w:spacing w:before="93"/>
        <w:ind w:left="425"/>
        <w:rPr>
          <w:sz w:val="19"/>
        </w:rPr>
      </w:pPr>
      <w:r>
        <w:rPr>
          <w:sz w:val="19"/>
        </w:rPr>
        <w:t xml:space="preserve">reviews of, </w:t>
      </w:r>
    </w:p>
    <w:p w14:paraId="453B7A82" w14:textId="77777777" w:rsidR="005B0B13" w:rsidRDefault="00000000" w:rsidP="005B0B13">
      <w:pPr>
        <w:spacing w:before="92" w:line="278" w:lineRule="auto"/>
        <w:ind w:left="425" w:right="6889"/>
        <w:rPr>
          <w:sz w:val="19"/>
        </w:rPr>
      </w:pPr>
      <w:r>
        <w:rPr>
          <w:sz w:val="19"/>
        </w:rPr>
        <w:t>safety</w:t>
      </w:r>
      <w:r>
        <w:rPr>
          <w:spacing w:val="-8"/>
          <w:sz w:val="19"/>
        </w:rPr>
        <w:t xml:space="preserve"> </w:t>
      </w:r>
      <w:r>
        <w:rPr>
          <w:sz w:val="19"/>
        </w:rPr>
        <w:t>and</w:t>
      </w:r>
      <w:r>
        <w:rPr>
          <w:spacing w:val="-8"/>
          <w:sz w:val="19"/>
        </w:rPr>
        <w:t xml:space="preserve"> </w:t>
      </w:r>
      <w:r>
        <w:rPr>
          <w:sz w:val="19"/>
        </w:rPr>
        <w:t>quality</w:t>
      </w:r>
      <w:r>
        <w:rPr>
          <w:spacing w:val="-8"/>
          <w:sz w:val="19"/>
        </w:rPr>
        <w:t xml:space="preserve"> </w:t>
      </w:r>
      <w:r>
        <w:rPr>
          <w:sz w:val="19"/>
        </w:rPr>
        <w:t>indicators,</w:t>
      </w:r>
      <w:r>
        <w:rPr>
          <w:spacing w:val="-8"/>
          <w:sz w:val="19"/>
        </w:rPr>
        <w:t xml:space="preserve"> </w:t>
      </w:r>
      <w:r>
        <w:rPr>
          <w:sz w:val="19"/>
        </w:rPr>
        <w:t xml:space="preserve"> </w:t>
      </w:r>
    </w:p>
    <w:p w14:paraId="509A41A5" w14:textId="128FCCE9" w:rsidR="009D54AF" w:rsidRDefault="00000000">
      <w:pPr>
        <w:spacing w:before="92" w:line="340" w:lineRule="auto"/>
        <w:ind w:left="425" w:right="6889"/>
        <w:rPr>
          <w:sz w:val="19"/>
        </w:rPr>
      </w:pPr>
      <w:r>
        <w:rPr>
          <w:sz w:val="19"/>
        </w:rPr>
        <w:t xml:space="preserve">stroke, </w:t>
      </w:r>
    </w:p>
    <w:p w14:paraId="48D53DE5" w14:textId="4938ED6E" w:rsidR="009D54AF" w:rsidRDefault="00000000" w:rsidP="00405BF4">
      <w:pPr>
        <w:spacing w:before="1"/>
        <w:ind w:left="142" w:right="6577" w:firstLine="284"/>
        <w:rPr>
          <w:sz w:val="19"/>
        </w:rPr>
      </w:pPr>
      <w:r>
        <w:rPr>
          <w:sz w:val="19"/>
        </w:rPr>
        <w:t>venous thromboembolism,</w:t>
      </w:r>
    </w:p>
    <w:p w14:paraId="37B443B2" w14:textId="0B7BFF97" w:rsidR="009D54AF" w:rsidRDefault="00000000" w:rsidP="00405BF4">
      <w:pPr>
        <w:spacing w:before="93"/>
        <w:ind w:left="142" w:right="6577"/>
        <w:rPr>
          <w:sz w:val="19"/>
        </w:rPr>
      </w:pPr>
      <w:r>
        <w:rPr>
          <w:sz w:val="19"/>
        </w:rPr>
        <w:t>clinical</w:t>
      </w:r>
      <w:r>
        <w:rPr>
          <w:spacing w:val="-2"/>
          <w:sz w:val="19"/>
        </w:rPr>
        <w:t xml:space="preserve"> </w:t>
      </w:r>
      <w:r>
        <w:rPr>
          <w:sz w:val="19"/>
        </w:rPr>
        <w:t>governance,</w:t>
      </w:r>
      <w:r>
        <w:rPr>
          <w:spacing w:val="-1"/>
          <w:sz w:val="19"/>
        </w:rPr>
        <w:t xml:space="preserve"> </w:t>
      </w:r>
    </w:p>
    <w:p w14:paraId="1995E4C6" w14:textId="5201A058" w:rsidR="009D54AF" w:rsidRDefault="00000000">
      <w:pPr>
        <w:spacing w:before="92"/>
        <w:ind w:left="425"/>
        <w:rPr>
          <w:sz w:val="19"/>
        </w:rPr>
      </w:pPr>
      <w:r>
        <w:rPr>
          <w:sz w:val="19"/>
        </w:rPr>
        <w:t>of</w:t>
      </w:r>
      <w:r>
        <w:rPr>
          <w:spacing w:val="-3"/>
          <w:sz w:val="19"/>
        </w:rPr>
        <w:t xml:space="preserve"> </w:t>
      </w:r>
      <w:r>
        <w:rPr>
          <w:sz w:val="19"/>
        </w:rPr>
        <w:t>clinical</w:t>
      </w:r>
      <w:r>
        <w:rPr>
          <w:spacing w:val="-2"/>
          <w:sz w:val="19"/>
        </w:rPr>
        <w:t xml:space="preserve"> </w:t>
      </w:r>
      <w:r>
        <w:rPr>
          <w:sz w:val="19"/>
        </w:rPr>
        <w:t>trials,</w:t>
      </w:r>
      <w:r>
        <w:rPr>
          <w:spacing w:val="-3"/>
          <w:sz w:val="19"/>
        </w:rPr>
        <w:t xml:space="preserve"> </w:t>
      </w:r>
    </w:p>
    <w:p w14:paraId="03EB839F" w14:textId="296051EC" w:rsidR="00405BF4" w:rsidRDefault="00000000" w:rsidP="00405BF4">
      <w:pPr>
        <w:spacing w:before="92" w:line="278" w:lineRule="auto"/>
        <w:ind w:left="142" w:right="5919" w:firstLine="284"/>
        <w:rPr>
          <w:sz w:val="19"/>
        </w:rPr>
      </w:pPr>
      <w:r>
        <w:rPr>
          <w:sz w:val="19"/>
        </w:rPr>
        <w:t>national</w:t>
      </w:r>
      <w:r>
        <w:rPr>
          <w:spacing w:val="-13"/>
          <w:sz w:val="19"/>
        </w:rPr>
        <w:t xml:space="preserve"> </w:t>
      </w:r>
      <w:r>
        <w:rPr>
          <w:sz w:val="19"/>
        </w:rPr>
        <w:t xml:space="preserve">model, </w:t>
      </w:r>
    </w:p>
    <w:p w14:paraId="267642FE" w14:textId="28634DED" w:rsidR="009D54AF" w:rsidRDefault="00000000" w:rsidP="00405BF4">
      <w:pPr>
        <w:spacing w:before="92" w:line="341" w:lineRule="auto"/>
        <w:ind w:left="142" w:right="5919"/>
        <w:rPr>
          <w:sz w:val="19"/>
        </w:rPr>
      </w:pPr>
      <w:r>
        <w:rPr>
          <w:sz w:val="19"/>
        </w:rPr>
        <w:t xml:space="preserve">Clinical Governance Advisory Committee, </w:t>
      </w:r>
    </w:p>
    <w:p w14:paraId="21F4D38E" w14:textId="167AE2DD" w:rsidR="009D54AF" w:rsidRDefault="00000000">
      <w:pPr>
        <w:spacing w:before="2"/>
        <w:ind w:left="142"/>
        <w:rPr>
          <w:sz w:val="19"/>
        </w:rPr>
      </w:pPr>
      <w:r>
        <w:rPr>
          <w:sz w:val="19"/>
        </w:rPr>
        <w:t>clinical</w:t>
      </w:r>
      <w:r>
        <w:rPr>
          <w:spacing w:val="-6"/>
          <w:sz w:val="19"/>
        </w:rPr>
        <w:t xml:space="preserve"> </w:t>
      </w:r>
      <w:r>
        <w:rPr>
          <w:sz w:val="19"/>
        </w:rPr>
        <w:t>guidance,</w:t>
      </w:r>
      <w:r>
        <w:rPr>
          <w:spacing w:val="-6"/>
          <w:sz w:val="19"/>
        </w:rPr>
        <w:t xml:space="preserve"> </w:t>
      </w:r>
      <w:r>
        <w:rPr>
          <w:sz w:val="19"/>
        </w:rPr>
        <w:t>improving</w:t>
      </w:r>
      <w:r>
        <w:rPr>
          <w:spacing w:val="-6"/>
          <w:sz w:val="19"/>
        </w:rPr>
        <w:t xml:space="preserve"> </w:t>
      </w:r>
      <w:r>
        <w:rPr>
          <w:sz w:val="19"/>
        </w:rPr>
        <w:t>national</w:t>
      </w:r>
      <w:r>
        <w:rPr>
          <w:spacing w:val="-6"/>
          <w:sz w:val="19"/>
        </w:rPr>
        <w:t xml:space="preserve"> </w:t>
      </w:r>
      <w:r>
        <w:rPr>
          <w:sz w:val="19"/>
        </w:rPr>
        <w:t>coordination</w:t>
      </w:r>
      <w:r>
        <w:rPr>
          <w:spacing w:val="-6"/>
          <w:sz w:val="19"/>
        </w:rPr>
        <w:t xml:space="preserve"> </w:t>
      </w:r>
      <w:r>
        <w:rPr>
          <w:sz w:val="19"/>
        </w:rPr>
        <w:t>of,</w:t>
      </w:r>
      <w:r>
        <w:rPr>
          <w:spacing w:val="-6"/>
          <w:sz w:val="19"/>
        </w:rPr>
        <w:t xml:space="preserve"> </w:t>
      </w:r>
    </w:p>
    <w:p w14:paraId="5B5EA6CE" w14:textId="77777777" w:rsidR="009D54AF" w:rsidRDefault="00000000">
      <w:pPr>
        <w:spacing w:before="70"/>
        <w:ind w:left="142"/>
        <w:rPr>
          <w:sz w:val="19"/>
        </w:rPr>
      </w:pPr>
      <w:r>
        <w:rPr>
          <w:sz w:val="19"/>
        </w:rPr>
        <w:lastRenderedPageBreak/>
        <w:t>clinical</w:t>
      </w:r>
      <w:r>
        <w:rPr>
          <w:spacing w:val="-2"/>
          <w:sz w:val="19"/>
        </w:rPr>
        <w:t xml:space="preserve"> </w:t>
      </w:r>
      <w:r>
        <w:rPr>
          <w:sz w:val="19"/>
        </w:rPr>
        <w:t>handovers</w:t>
      </w:r>
      <w:r>
        <w:rPr>
          <w:spacing w:val="-2"/>
          <w:sz w:val="19"/>
        </w:rPr>
        <w:t xml:space="preserve"> </w:t>
      </w:r>
      <w:r>
        <w:rPr>
          <w:i/>
          <w:sz w:val="19"/>
        </w:rPr>
        <w:t>see</w:t>
      </w:r>
      <w:r>
        <w:rPr>
          <w:i/>
          <w:spacing w:val="-2"/>
          <w:sz w:val="19"/>
        </w:rPr>
        <w:t xml:space="preserve"> </w:t>
      </w:r>
      <w:r>
        <w:rPr>
          <w:sz w:val="19"/>
        </w:rPr>
        <w:t>transitions</w:t>
      </w:r>
      <w:r>
        <w:rPr>
          <w:spacing w:val="-2"/>
          <w:sz w:val="19"/>
        </w:rPr>
        <w:t xml:space="preserve"> </w:t>
      </w:r>
      <w:r>
        <w:rPr>
          <w:sz w:val="19"/>
        </w:rPr>
        <w:t>of</w:t>
      </w:r>
      <w:r>
        <w:rPr>
          <w:spacing w:val="-1"/>
          <w:sz w:val="19"/>
        </w:rPr>
        <w:t xml:space="preserve"> </w:t>
      </w:r>
      <w:r>
        <w:rPr>
          <w:spacing w:val="-4"/>
          <w:sz w:val="19"/>
        </w:rPr>
        <w:t>care</w:t>
      </w:r>
    </w:p>
    <w:p w14:paraId="43E877FF" w14:textId="456DC5A5" w:rsidR="00405BF4" w:rsidRDefault="00000000" w:rsidP="00405BF4">
      <w:pPr>
        <w:spacing w:before="92" w:line="278" w:lineRule="auto"/>
        <w:ind w:left="142" w:right="4768"/>
        <w:rPr>
          <w:sz w:val="19"/>
        </w:rPr>
      </w:pPr>
      <w:r>
        <w:rPr>
          <w:sz w:val="19"/>
        </w:rPr>
        <w:t>clinical</w:t>
      </w:r>
      <w:r>
        <w:rPr>
          <w:spacing w:val="-5"/>
          <w:sz w:val="19"/>
        </w:rPr>
        <w:t xml:space="preserve"> </w:t>
      </w:r>
      <w:r>
        <w:rPr>
          <w:sz w:val="19"/>
        </w:rPr>
        <w:t>practice,</w:t>
      </w:r>
      <w:r>
        <w:rPr>
          <w:spacing w:val="-5"/>
          <w:sz w:val="19"/>
        </w:rPr>
        <w:t xml:space="preserve"> </w:t>
      </w:r>
      <w:r>
        <w:rPr>
          <w:sz w:val="19"/>
        </w:rPr>
        <w:t>credentialing</w:t>
      </w:r>
      <w:r>
        <w:rPr>
          <w:spacing w:val="-5"/>
          <w:sz w:val="19"/>
        </w:rPr>
        <w:t xml:space="preserve"> </w:t>
      </w:r>
      <w:r>
        <w:rPr>
          <w:sz w:val="19"/>
        </w:rPr>
        <w:t>and</w:t>
      </w:r>
      <w:r>
        <w:rPr>
          <w:spacing w:val="-5"/>
          <w:sz w:val="19"/>
        </w:rPr>
        <w:t xml:space="preserve"> </w:t>
      </w:r>
      <w:r>
        <w:rPr>
          <w:sz w:val="19"/>
        </w:rPr>
        <w:t>defining</w:t>
      </w:r>
      <w:r>
        <w:rPr>
          <w:spacing w:val="-5"/>
          <w:sz w:val="19"/>
        </w:rPr>
        <w:t xml:space="preserve"> </w:t>
      </w:r>
      <w:r>
        <w:rPr>
          <w:sz w:val="19"/>
        </w:rPr>
        <w:t>scope</w:t>
      </w:r>
      <w:r>
        <w:rPr>
          <w:spacing w:val="-5"/>
          <w:sz w:val="19"/>
        </w:rPr>
        <w:t xml:space="preserve"> </w:t>
      </w:r>
      <w:r>
        <w:rPr>
          <w:sz w:val="19"/>
        </w:rPr>
        <w:t>of,</w:t>
      </w:r>
      <w:r>
        <w:rPr>
          <w:spacing w:val="-5"/>
          <w:sz w:val="19"/>
        </w:rPr>
        <w:t xml:space="preserve"> </w:t>
      </w:r>
    </w:p>
    <w:p w14:paraId="59321B5B" w14:textId="3C36BC2F" w:rsidR="009D54AF" w:rsidRDefault="00000000">
      <w:pPr>
        <w:spacing w:before="92" w:line="340" w:lineRule="auto"/>
        <w:ind w:left="142" w:right="4771"/>
        <w:rPr>
          <w:sz w:val="19"/>
        </w:rPr>
      </w:pPr>
      <w:r>
        <w:rPr>
          <w:sz w:val="19"/>
        </w:rPr>
        <w:t xml:space="preserve">clinical quality registries, </w:t>
      </w:r>
    </w:p>
    <w:p w14:paraId="725048D3" w14:textId="4C8D3B9F" w:rsidR="009D54AF" w:rsidRDefault="00000000">
      <w:pPr>
        <w:spacing w:before="2"/>
        <w:ind w:left="142"/>
        <w:rPr>
          <w:sz w:val="19"/>
        </w:rPr>
      </w:pPr>
      <w:r>
        <w:rPr>
          <w:sz w:val="19"/>
        </w:rPr>
        <w:t>clinical</w:t>
      </w:r>
      <w:r>
        <w:rPr>
          <w:spacing w:val="-4"/>
          <w:sz w:val="19"/>
        </w:rPr>
        <w:t xml:space="preserve"> </w:t>
      </w:r>
      <w:r>
        <w:rPr>
          <w:sz w:val="19"/>
        </w:rPr>
        <w:t>trials,</w:t>
      </w:r>
      <w:r>
        <w:rPr>
          <w:spacing w:val="-3"/>
          <w:sz w:val="19"/>
        </w:rPr>
        <w:t xml:space="preserve"> </w:t>
      </w:r>
    </w:p>
    <w:p w14:paraId="0D06AD88" w14:textId="4CDEE345" w:rsidR="009D54AF" w:rsidRDefault="00000000">
      <w:pPr>
        <w:spacing w:before="92"/>
        <w:ind w:left="142"/>
        <w:rPr>
          <w:sz w:val="19"/>
        </w:rPr>
      </w:pPr>
      <w:r>
        <w:rPr>
          <w:sz w:val="19"/>
        </w:rPr>
        <w:t xml:space="preserve">clozapine, </w:t>
      </w:r>
    </w:p>
    <w:p w14:paraId="543BFD04" w14:textId="245A9D4C" w:rsidR="009D54AF" w:rsidRDefault="00000000">
      <w:pPr>
        <w:spacing w:before="92" w:line="340" w:lineRule="auto"/>
        <w:ind w:left="142" w:right="7238"/>
        <w:rPr>
          <w:sz w:val="19"/>
        </w:rPr>
      </w:pPr>
      <w:r>
        <w:rPr>
          <w:sz w:val="19"/>
        </w:rPr>
        <w:t>co-design resource hub,  collaboration</w:t>
      </w:r>
      <w:r>
        <w:rPr>
          <w:spacing w:val="-14"/>
          <w:sz w:val="19"/>
        </w:rPr>
        <w:t xml:space="preserve"> </w:t>
      </w:r>
      <w:r>
        <w:rPr>
          <w:i/>
          <w:sz w:val="19"/>
        </w:rPr>
        <w:t>see</w:t>
      </w:r>
      <w:r>
        <w:rPr>
          <w:i/>
          <w:spacing w:val="-13"/>
          <w:sz w:val="19"/>
        </w:rPr>
        <w:t xml:space="preserve"> </w:t>
      </w:r>
      <w:r>
        <w:rPr>
          <w:sz w:val="19"/>
        </w:rPr>
        <w:t>partnerships</w:t>
      </w:r>
    </w:p>
    <w:p w14:paraId="1C666EA7" w14:textId="1FA6BFD9" w:rsidR="009D54AF" w:rsidRDefault="00000000">
      <w:pPr>
        <w:spacing w:before="2" w:line="340" w:lineRule="auto"/>
        <w:ind w:left="142" w:right="6484"/>
        <w:rPr>
          <w:sz w:val="19"/>
        </w:rPr>
      </w:pPr>
      <w:r>
        <w:rPr>
          <w:spacing w:val="-2"/>
          <w:sz w:val="19"/>
        </w:rPr>
        <w:t>Collaborative</w:t>
      </w:r>
      <w:r>
        <w:rPr>
          <w:spacing w:val="-15"/>
          <w:sz w:val="19"/>
        </w:rPr>
        <w:t xml:space="preserve"> </w:t>
      </w:r>
      <w:r>
        <w:rPr>
          <w:spacing w:val="-2"/>
          <w:sz w:val="19"/>
        </w:rPr>
        <w:t>Action</w:t>
      </w:r>
      <w:r>
        <w:rPr>
          <w:spacing w:val="-10"/>
          <w:sz w:val="19"/>
        </w:rPr>
        <w:t xml:space="preserve"> </w:t>
      </w:r>
      <w:r>
        <w:rPr>
          <w:spacing w:val="-2"/>
          <w:sz w:val="19"/>
        </w:rPr>
        <w:t>on</w:t>
      </w:r>
      <w:r>
        <w:rPr>
          <w:spacing w:val="-7"/>
          <w:sz w:val="19"/>
        </w:rPr>
        <w:t xml:space="preserve"> </w:t>
      </w:r>
      <w:r>
        <w:rPr>
          <w:spacing w:val="-2"/>
          <w:sz w:val="19"/>
        </w:rPr>
        <w:t>Climate</w:t>
      </w:r>
      <w:r>
        <w:rPr>
          <w:spacing w:val="-7"/>
          <w:sz w:val="19"/>
        </w:rPr>
        <w:t xml:space="preserve"> </w:t>
      </w:r>
      <w:r>
        <w:rPr>
          <w:spacing w:val="-2"/>
          <w:sz w:val="19"/>
        </w:rPr>
        <w:t>and</w:t>
      </w:r>
      <w:r>
        <w:rPr>
          <w:spacing w:val="-7"/>
          <w:sz w:val="19"/>
        </w:rPr>
        <w:t xml:space="preserve"> </w:t>
      </w:r>
      <w:r>
        <w:rPr>
          <w:spacing w:val="-2"/>
          <w:sz w:val="19"/>
        </w:rPr>
        <w:t>Health,</w:t>
      </w:r>
      <w:r>
        <w:rPr>
          <w:spacing w:val="-7"/>
          <w:sz w:val="19"/>
        </w:rPr>
        <w:t xml:space="preserve"> </w:t>
      </w:r>
      <w:r>
        <w:rPr>
          <w:spacing w:val="-2"/>
          <w:sz w:val="19"/>
        </w:rPr>
        <w:t xml:space="preserve"> colonoscopy</w:t>
      </w:r>
    </w:p>
    <w:p w14:paraId="20AFBB3C" w14:textId="19E458B0" w:rsidR="009D54AF" w:rsidRDefault="00000000">
      <w:pPr>
        <w:spacing w:before="1"/>
        <w:ind w:left="425"/>
        <w:rPr>
          <w:sz w:val="19"/>
        </w:rPr>
      </w:pPr>
      <w:r>
        <w:rPr>
          <w:i/>
          <w:sz w:val="19"/>
        </w:rPr>
        <w:t>Atlas</w:t>
      </w:r>
      <w:r>
        <w:rPr>
          <w:i/>
          <w:spacing w:val="-1"/>
          <w:sz w:val="19"/>
        </w:rPr>
        <w:t xml:space="preserve"> </w:t>
      </w:r>
      <w:r>
        <w:rPr>
          <w:i/>
          <w:sz w:val="19"/>
        </w:rPr>
        <w:t>Focus Report: Colonoscopy</w:t>
      </w:r>
      <w:r>
        <w:rPr>
          <w:sz w:val="19"/>
        </w:rPr>
        <w:t xml:space="preserve">, </w:t>
      </w:r>
    </w:p>
    <w:p w14:paraId="0C82A078" w14:textId="7CDB9D74" w:rsidR="00405BF4" w:rsidRDefault="00000000" w:rsidP="00405BF4">
      <w:pPr>
        <w:spacing w:before="92" w:line="278" w:lineRule="auto"/>
        <w:ind w:left="425" w:right="4241"/>
        <w:rPr>
          <w:sz w:val="19"/>
        </w:rPr>
      </w:pPr>
      <w:r>
        <w:rPr>
          <w:sz w:val="19"/>
        </w:rPr>
        <w:t>Colonoscopy</w:t>
      </w:r>
      <w:r>
        <w:rPr>
          <w:spacing w:val="-3"/>
          <w:sz w:val="19"/>
        </w:rPr>
        <w:t xml:space="preserve"> </w:t>
      </w:r>
      <w:r>
        <w:rPr>
          <w:sz w:val="19"/>
        </w:rPr>
        <w:t>Clinical</w:t>
      </w:r>
      <w:r>
        <w:rPr>
          <w:spacing w:val="-3"/>
          <w:sz w:val="19"/>
        </w:rPr>
        <w:t xml:space="preserve"> </w:t>
      </w:r>
      <w:r>
        <w:rPr>
          <w:sz w:val="19"/>
        </w:rPr>
        <w:t>Care</w:t>
      </w:r>
      <w:r>
        <w:rPr>
          <w:spacing w:val="-3"/>
          <w:sz w:val="19"/>
        </w:rPr>
        <w:t xml:space="preserve"> </w:t>
      </w:r>
      <w:r>
        <w:rPr>
          <w:sz w:val="19"/>
        </w:rPr>
        <w:t xml:space="preserve">Standard, </w:t>
      </w:r>
    </w:p>
    <w:p w14:paraId="10AEB9FA" w14:textId="47B7168F" w:rsidR="009D54AF" w:rsidRDefault="00000000">
      <w:pPr>
        <w:spacing w:before="92" w:line="340" w:lineRule="auto"/>
        <w:ind w:left="425" w:right="4242"/>
        <w:rPr>
          <w:sz w:val="19"/>
        </w:rPr>
      </w:pPr>
      <w:r>
        <w:rPr>
          <w:sz w:val="19"/>
        </w:rPr>
        <w:t xml:space="preserve">Safety and Quality Model for Colonoscopy, </w:t>
      </w:r>
    </w:p>
    <w:p w14:paraId="1A2162BF" w14:textId="5A82E385" w:rsidR="009D54AF" w:rsidRDefault="00000000">
      <w:pPr>
        <w:spacing w:before="2"/>
        <w:ind w:left="142"/>
        <w:rPr>
          <w:sz w:val="19"/>
        </w:rPr>
      </w:pPr>
      <w:proofErr w:type="spellStart"/>
      <w:r>
        <w:rPr>
          <w:sz w:val="19"/>
        </w:rPr>
        <w:t>Comcover</w:t>
      </w:r>
      <w:proofErr w:type="spellEnd"/>
      <w:r>
        <w:rPr>
          <w:sz w:val="19"/>
        </w:rPr>
        <w:t>,</w:t>
      </w:r>
      <w:r>
        <w:rPr>
          <w:spacing w:val="-11"/>
          <w:sz w:val="19"/>
        </w:rPr>
        <w:t xml:space="preserve"> </w:t>
      </w:r>
    </w:p>
    <w:p w14:paraId="0DD5F256" w14:textId="77777777" w:rsidR="009D54AF" w:rsidRDefault="00000000">
      <w:pPr>
        <w:spacing w:before="92" w:line="340" w:lineRule="auto"/>
        <w:ind w:left="142" w:right="3321"/>
        <w:rPr>
          <w:sz w:val="19"/>
        </w:rPr>
      </w:pPr>
      <w:r>
        <w:rPr>
          <w:sz w:val="19"/>
        </w:rPr>
        <w:t>Commission</w:t>
      </w:r>
      <w:r>
        <w:rPr>
          <w:spacing w:val="-4"/>
          <w:sz w:val="19"/>
        </w:rPr>
        <w:t xml:space="preserve"> </w:t>
      </w:r>
      <w:r>
        <w:rPr>
          <w:i/>
          <w:sz w:val="19"/>
        </w:rPr>
        <w:t>see</w:t>
      </w:r>
      <w:r>
        <w:rPr>
          <w:i/>
          <w:spacing w:val="-14"/>
          <w:sz w:val="19"/>
        </w:rPr>
        <w:t xml:space="preserve"> </w:t>
      </w:r>
      <w:r>
        <w:rPr>
          <w:sz w:val="19"/>
        </w:rPr>
        <w:t>Australian</w:t>
      </w:r>
      <w:r>
        <w:rPr>
          <w:spacing w:val="-3"/>
          <w:sz w:val="19"/>
        </w:rPr>
        <w:t xml:space="preserve"> </w:t>
      </w:r>
      <w:r>
        <w:rPr>
          <w:sz w:val="19"/>
        </w:rPr>
        <w:t>Commission</w:t>
      </w:r>
      <w:r>
        <w:rPr>
          <w:spacing w:val="-4"/>
          <w:sz w:val="19"/>
        </w:rPr>
        <w:t xml:space="preserve"> </w:t>
      </w:r>
      <w:r>
        <w:rPr>
          <w:sz w:val="19"/>
        </w:rPr>
        <w:t>on</w:t>
      </w:r>
      <w:r>
        <w:rPr>
          <w:spacing w:val="-4"/>
          <w:sz w:val="19"/>
        </w:rPr>
        <w:t xml:space="preserve"> </w:t>
      </w:r>
      <w:r>
        <w:rPr>
          <w:sz w:val="19"/>
        </w:rPr>
        <w:t>Safety</w:t>
      </w:r>
      <w:r>
        <w:rPr>
          <w:spacing w:val="-4"/>
          <w:sz w:val="19"/>
        </w:rPr>
        <w:t xml:space="preserve"> </w:t>
      </w:r>
      <w:r>
        <w:rPr>
          <w:sz w:val="19"/>
        </w:rPr>
        <w:t>and</w:t>
      </w:r>
      <w:r>
        <w:rPr>
          <w:spacing w:val="-4"/>
          <w:sz w:val="19"/>
        </w:rPr>
        <w:t xml:space="preserve"> </w:t>
      </w:r>
      <w:r>
        <w:rPr>
          <w:sz w:val="19"/>
        </w:rPr>
        <w:t>Quality</w:t>
      </w:r>
      <w:r>
        <w:rPr>
          <w:spacing w:val="-4"/>
          <w:sz w:val="19"/>
        </w:rPr>
        <w:t xml:space="preserve"> </w:t>
      </w:r>
      <w:r>
        <w:rPr>
          <w:sz w:val="19"/>
        </w:rPr>
        <w:t>in</w:t>
      </w:r>
      <w:r>
        <w:rPr>
          <w:spacing w:val="-4"/>
          <w:sz w:val="19"/>
        </w:rPr>
        <w:t xml:space="preserve"> </w:t>
      </w:r>
      <w:r>
        <w:rPr>
          <w:sz w:val="19"/>
        </w:rPr>
        <w:t>Health</w:t>
      </w:r>
      <w:r>
        <w:rPr>
          <w:spacing w:val="-4"/>
          <w:sz w:val="19"/>
        </w:rPr>
        <w:t xml:space="preserve"> </w:t>
      </w:r>
      <w:r>
        <w:rPr>
          <w:sz w:val="19"/>
        </w:rPr>
        <w:t xml:space="preserve">Care </w:t>
      </w:r>
      <w:r>
        <w:rPr>
          <w:spacing w:val="-2"/>
          <w:sz w:val="19"/>
        </w:rPr>
        <w:t>committees</w:t>
      </w:r>
    </w:p>
    <w:p w14:paraId="63BE8284" w14:textId="1AC4E2A8" w:rsidR="009D54AF" w:rsidRDefault="00000000">
      <w:pPr>
        <w:spacing w:before="1"/>
        <w:ind w:left="425"/>
        <w:rPr>
          <w:sz w:val="19"/>
        </w:rPr>
      </w:pPr>
      <w:r>
        <w:rPr>
          <w:sz w:val="19"/>
        </w:rPr>
        <w:t>Board,</w:t>
      </w:r>
      <w:r>
        <w:rPr>
          <w:spacing w:val="-3"/>
          <w:sz w:val="19"/>
        </w:rPr>
        <w:t xml:space="preserve"> </w:t>
      </w:r>
    </w:p>
    <w:p w14:paraId="1EA1E16A" w14:textId="19074B8F" w:rsidR="009D54AF" w:rsidRDefault="00000000">
      <w:pPr>
        <w:spacing w:before="93"/>
        <w:ind w:left="425"/>
        <w:rPr>
          <w:sz w:val="19"/>
        </w:rPr>
      </w:pPr>
      <w:r>
        <w:rPr>
          <w:sz w:val="19"/>
        </w:rPr>
        <w:t xml:space="preserve">internal, </w:t>
      </w:r>
    </w:p>
    <w:p w14:paraId="435162B8" w14:textId="77777777" w:rsidR="009D54AF" w:rsidRDefault="00000000">
      <w:pPr>
        <w:spacing w:before="92"/>
        <w:ind w:left="425"/>
        <w:rPr>
          <w:sz w:val="19"/>
        </w:rPr>
      </w:pPr>
      <w:r>
        <w:rPr>
          <w:i/>
          <w:sz w:val="19"/>
        </w:rPr>
        <w:t>see</w:t>
      </w:r>
      <w:r>
        <w:rPr>
          <w:i/>
          <w:spacing w:val="-3"/>
          <w:sz w:val="19"/>
        </w:rPr>
        <w:t xml:space="preserve"> </w:t>
      </w:r>
      <w:r>
        <w:rPr>
          <w:sz w:val="19"/>
        </w:rPr>
        <w:t>also</w:t>
      </w:r>
      <w:r>
        <w:rPr>
          <w:spacing w:val="-3"/>
          <w:sz w:val="19"/>
        </w:rPr>
        <w:t xml:space="preserve"> </w:t>
      </w:r>
      <w:r>
        <w:rPr>
          <w:sz w:val="19"/>
        </w:rPr>
        <w:t>stakeholder</w:t>
      </w:r>
      <w:r>
        <w:rPr>
          <w:spacing w:val="-3"/>
          <w:sz w:val="19"/>
        </w:rPr>
        <w:t xml:space="preserve"> </w:t>
      </w:r>
      <w:r>
        <w:rPr>
          <w:sz w:val="19"/>
        </w:rPr>
        <w:t>consultation</w:t>
      </w:r>
      <w:r>
        <w:rPr>
          <w:spacing w:val="-3"/>
          <w:sz w:val="19"/>
        </w:rPr>
        <w:t xml:space="preserve"> </w:t>
      </w:r>
      <w:r>
        <w:rPr>
          <w:sz w:val="19"/>
        </w:rPr>
        <w:t>and</w:t>
      </w:r>
      <w:r>
        <w:rPr>
          <w:spacing w:val="-3"/>
          <w:sz w:val="19"/>
        </w:rPr>
        <w:t xml:space="preserve"> </w:t>
      </w:r>
      <w:r>
        <w:rPr>
          <w:sz w:val="19"/>
        </w:rPr>
        <w:t>advisory</w:t>
      </w:r>
      <w:r>
        <w:rPr>
          <w:spacing w:val="-3"/>
          <w:sz w:val="19"/>
        </w:rPr>
        <w:t xml:space="preserve"> </w:t>
      </w:r>
      <w:r>
        <w:rPr>
          <w:spacing w:val="-2"/>
          <w:sz w:val="19"/>
        </w:rPr>
        <w:t>mechanisms</w:t>
      </w:r>
    </w:p>
    <w:p w14:paraId="24450410" w14:textId="077910A4" w:rsidR="009D54AF" w:rsidRDefault="00000000">
      <w:pPr>
        <w:spacing w:before="92"/>
        <w:ind w:left="142"/>
        <w:rPr>
          <w:sz w:val="19"/>
        </w:rPr>
      </w:pPr>
      <w:r>
        <w:rPr>
          <w:i/>
          <w:sz w:val="19"/>
        </w:rPr>
        <w:t>Commonwealth</w:t>
      </w:r>
      <w:r>
        <w:rPr>
          <w:i/>
          <w:spacing w:val="-6"/>
          <w:sz w:val="19"/>
        </w:rPr>
        <w:t xml:space="preserve"> </w:t>
      </w:r>
      <w:r>
        <w:rPr>
          <w:i/>
          <w:sz w:val="19"/>
        </w:rPr>
        <w:t>Electoral</w:t>
      </w:r>
      <w:r>
        <w:rPr>
          <w:i/>
          <w:spacing w:val="-12"/>
          <w:sz w:val="19"/>
        </w:rPr>
        <w:t xml:space="preserve"> </w:t>
      </w:r>
      <w:r>
        <w:rPr>
          <w:i/>
          <w:sz w:val="19"/>
        </w:rPr>
        <w:t>Act</w:t>
      </w:r>
      <w:r>
        <w:rPr>
          <w:i/>
          <w:spacing w:val="-6"/>
          <w:sz w:val="19"/>
        </w:rPr>
        <w:t xml:space="preserve"> </w:t>
      </w:r>
      <w:r>
        <w:rPr>
          <w:i/>
          <w:sz w:val="19"/>
        </w:rPr>
        <w:t>1918</w:t>
      </w:r>
      <w:r>
        <w:rPr>
          <w:sz w:val="19"/>
        </w:rPr>
        <w:t>,</w:t>
      </w:r>
      <w:r>
        <w:rPr>
          <w:spacing w:val="-5"/>
          <w:sz w:val="19"/>
        </w:rPr>
        <w:t xml:space="preserve"> </w:t>
      </w:r>
    </w:p>
    <w:p w14:paraId="06B99DC7" w14:textId="4525028B" w:rsidR="009D54AF" w:rsidRDefault="00000000">
      <w:pPr>
        <w:spacing w:before="93" w:line="340" w:lineRule="auto"/>
        <w:ind w:left="142" w:right="4242"/>
        <w:rPr>
          <w:sz w:val="19"/>
        </w:rPr>
      </w:pPr>
      <w:r>
        <w:rPr>
          <w:sz w:val="19"/>
        </w:rPr>
        <w:t>Commonwealth</w:t>
      </w:r>
      <w:r>
        <w:rPr>
          <w:spacing w:val="-6"/>
          <w:sz w:val="19"/>
        </w:rPr>
        <w:t xml:space="preserve"> </w:t>
      </w:r>
      <w:r>
        <w:rPr>
          <w:sz w:val="19"/>
        </w:rPr>
        <w:t>Fraud</w:t>
      </w:r>
      <w:r>
        <w:rPr>
          <w:spacing w:val="-6"/>
          <w:sz w:val="19"/>
        </w:rPr>
        <w:t xml:space="preserve"> </w:t>
      </w:r>
      <w:r>
        <w:rPr>
          <w:sz w:val="19"/>
        </w:rPr>
        <w:t>and</w:t>
      </w:r>
      <w:r>
        <w:rPr>
          <w:spacing w:val="-6"/>
          <w:sz w:val="19"/>
        </w:rPr>
        <w:t xml:space="preserve"> </w:t>
      </w:r>
      <w:r>
        <w:rPr>
          <w:sz w:val="19"/>
        </w:rPr>
        <w:t>Corruption</w:t>
      </w:r>
      <w:r>
        <w:rPr>
          <w:spacing w:val="-6"/>
          <w:sz w:val="19"/>
        </w:rPr>
        <w:t xml:space="preserve"> </w:t>
      </w:r>
      <w:r>
        <w:rPr>
          <w:sz w:val="19"/>
        </w:rPr>
        <w:t>Control</w:t>
      </w:r>
      <w:r>
        <w:rPr>
          <w:spacing w:val="-6"/>
          <w:sz w:val="19"/>
        </w:rPr>
        <w:t xml:space="preserve"> </w:t>
      </w:r>
      <w:r>
        <w:rPr>
          <w:sz w:val="19"/>
        </w:rPr>
        <w:t>Framework,</w:t>
      </w:r>
      <w:r>
        <w:rPr>
          <w:spacing w:val="-6"/>
          <w:sz w:val="19"/>
        </w:rPr>
        <w:t xml:space="preserve"> </w:t>
      </w:r>
      <w:r>
        <w:rPr>
          <w:sz w:val="19"/>
        </w:rPr>
        <w:t xml:space="preserve"> Commonwealth Risk Management Policy, </w:t>
      </w:r>
    </w:p>
    <w:p w14:paraId="19E6851B" w14:textId="06015097" w:rsidR="009D54AF" w:rsidRDefault="00000000">
      <w:pPr>
        <w:spacing w:before="1" w:line="340" w:lineRule="auto"/>
        <w:ind w:left="142" w:right="6889"/>
        <w:rPr>
          <w:sz w:val="19"/>
        </w:rPr>
      </w:pPr>
      <w:r>
        <w:rPr>
          <w:sz w:val="19"/>
        </w:rPr>
        <w:t>community</w:t>
      </w:r>
      <w:r>
        <w:rPr>
          <w:spacing w:val="-9"/>
          <w:sz w:val="19"/>
        </w:rPr>
        <w:t xml:space="preserve"> </w:t>
      </w:r>
      <w:r>
        <w:rPr>
          <w:sz w:val="19"/>
        </w:rPr>
        <w:t>healthcare</w:t>
      </w:r>
      <w:r>
        <w:rPr>
          <w:spacing w:val="-9"/>
          <w:sz w:val="19"/>
        </w:rPr>
        <w:t xml:space="preserve"> </w:t>
      </w:r>
      <w:r>
        <w:rPr>
          <w:sz w:val="19"/>
        </w:rPr>
        <w:t>standards,</w:t>
      </w:r>
      <w:r>
        <w:rPr>
          <w:spacing w:val="-9"/>
          <w:sz w:val="19"/>
        </w:rPr>
        <w:t xml:space="preserve"> </w:t>
      </w:r>
      <w:r>
        <w:rPr>
          <w:sz w:val="19"/>
        </w:rPr>
        <w:t xml:space="preserve"> Comprehensive Care Standard,  conflicts of interest disclosure,  consultative processes</w:t>
      </w:r>
    </w:p>
    <w:p w14:paraId="3B8D1DEC" w14:textId="47CC50FE" w:rsidR="009D54AF" w:rsidRDefault="00000000">
      <w:pPr>
        <w:spacing w:before="3"/>
        <w:ind w:left="425"/>
        <w:rPr>
          <w:sz w:val="19"/>
        </w:rPr>
      </w:pPr>
      <w:r>
        <w:rPr>
          <w:sz w:val="19"/>
        </w:rPr>
        <w:t xml:space="preserve">Board, </w:t>
      </w:r>
    </w:p>
    <w:p w14:paraId="2FC1BAA8" w14:textId="6B4641ED" w:rsidR="009D54AF" w:rsidRDefault="00000000">
      <w:pPr>
        <w:spacing w:before="92"/>
        <w:ind w:left="425"/>
        <w:rPr>
          <w:sz w:val="19"/>
        </w:rPr>
      </w:pPr>
      <w:r>
        <w:rPr>
          <w:sz w:val="19"/>
        </w:rPr>
        <w:t>staff,</w:t>
      </w:r>
      <w:r>
        <w:rPr>
          <w:spacing w:val="-4"/>
          <w:sz w:val="19"/>
        </w:rPr>
        <w:t xml:space="preserve"> </w:t>
      </w:r>
    </w:p>
    <w:p w14:paraId="3622834B" w14:textId="77777777" w:rsidR="009D54AF" w:rsidRDefault="00000000">
      <w:pPr>
        <w:spacing w:before="92"/>
        <w:ind w:left="425"/>
        <w:rPr>
          <w:sz w:val="19"/>
        </w:rPr>
      </w:pPr>
      <w:r>
        <w:rPr>
          <w:i/>
          <w:sz w:val="19"/>
        </w:rPr>
        <w:t>see</w:t>
      </w:r>
      <w:r>
        <w:rPr>
          <w:i/>
          <w:spacing w:val="-3"/>
          <w:sz w:val="19"/>
        </w:rPr>
        <w:t xml:space="preserve"> </w:t>
      </w:r>
      <w:r>
        <w:rPr>
          <w:sz w:val="19"/>
        </w:rPr>
        <w:t>also</w:t>
      </w:r>
      <w:r>
        <w:rPr>
          <w:spacing w:val="-3"/>
          <w:sz w:val="19"/>
        </w:rPr>
        <w:t xml:space="preserve"> </w:t>
      </w:r>
      <w:r>
        <w:rPr>
          <w:sz w:val="19"/>
        </w:rPr>
        <w:t>committees;</w:t>
      </w:r>
      <w:r>
        <w:rPr>
          <w:spacing w:val="-2"/>
          <w:sz w:val="19"/>
        </w:rPr>
        <w:t xml:space="preserve"> </w:t>
      </w:r>
      <w:r>
        <w:rPr>
          <w:sz w:val="19"/>
        </w:rPr>
        <w:t>stakeholder</w:t>
      </w:r>
      <w:r>
        <w:rPr>
          <w:spacing w:val="-3"/>
          <w:sz w:val="19"/>
        </w:rPr>
        <w:t xml:space="preserve"> </w:t>
      </w:r>
      <w:r>
        <w:rPr>
          <w:sz w:val="19"/>
        </w:rPr>
        <w:t>consultation</w:t>
      </w:r>
      <w:r>
        <w:rPr>
          <w:spacing w:val="-2"/>
          <w:sz w:val="19"/>
        </w:rPr>
        <w:t xml:space="preserve"> </w:t>
      </w:r>
      <w:r>
        <w:rPr>
          <w:sz w:val="19"/>
        </w:rPr>
        <w:t>and</w:t>
      </w:r>
      <w:r>
        <w:rPr>
          <w:spacing w:val="-3"/>
          <w:sz w:val="19"/>
        </w:rPr>
        <w:t xml:space="preserve"> </w:t>
      </w:r>
      <w:r>
        <w:rPr>
          <w:sz w:val="19"/>
        </w:rPr>
        <w:t>advisory</w:t>
      </w:r>
      <w:r>
        <w:rPr>
          <w:spacing w:val="-2"/>
          <w:sz w:val="19"/>
        </w:rPr>
        <w:t xml:space="preserve"> mechanisms</w:t>
      </w:r>
    </w:p>
    <w:p w14:paraId="27BC35EE" w14:textId="77141E7D" w:rsidR="00405BF4" w:rsidRDefault="00000000" w:rsidP="00405BF4">
      <w:pPr>
        <w:spacing w:before="93" w:line="278" w:lineRule="auto"/>
        <w:ind w:left="142" w:right="2070"/>
        <w:rPr>
          <w:sz w:val="19"/>
        </w:rPr>
      </w:pPr>
      <w:r>
        <w:rPr>
          <w:sz w:val="19"/>
        </w:rPr>
        <w:t>consumers,</w:t>
      </w:r>
      <w:r>
        <w:rPr>
          <w:spacing w:val="-5"/>
          <w:sz w:val="19"/>
        </w:rPr>
        <w:t xml:space="preserve"> </w:t>
      </w:r>
      <w:r>
        <w:rPr>
          <w:i/>
          <w:sz w:val="19"/>
        </w:rPr>
        <w:t>see</w:t>
      </w:r>
      <w:r>
        <w:rPr>
          <w:i/>
          <w:spacing w:val="-4"/>
          <w:sz w:val="19"/>
        </w:rPr>
        <w:t xml:space="preserve"> </w:t>
      </w:r>
      <w:r>
        <w:rPr>
          <w:i/>
          <w:sz w:val="19"/>
        </w:rPr>
        <w:t>also</w:t>
      </w:r>
      <w:r>
        <w:rPr>
          <w:i/>
          <w:spacing w:val="-4"/>
          <w:sz w:val="19"/>
        </w:rPr>
        <w:t xml:space="preserve"> </w:t>
      </w:r>
      <w:r>
        <w:rPr>
          <w:sz w:val="19"/>
        </w:rPr>
        <w:t>patient</w:t>
      </w:r>
      <w:r>
        <w:rPr>
          <w:spacing w:val="-4"/>
          <w:sz w:val="19"/>
        </w:rPr>
        <w:t xml:space="preserve"> </w:t>
      </w:r>
      <w:r>
        <w:rPr>
          <w:sz w:val="19"/>
        </w:rPr>
        <w:t>safety;</w:t>
      </w:r>
      <w:r>
        <w:rPr>
          <w:spacing w:val="-4"/>
          <w:sz w:val="19"/>
        </w:rPr>
        <w:t xml:space="preserve"> </w:t>
      </w:r>
      <w:r>
        <w:rPr>
          <w:sz w:val="19"/>
        </w:rPr>
        <w:t>patient-reported</w:t>
      </w:r>
      <w:r>
        <w:rPr>
          <w:spacing w:val="-4"/>
          <w:sz w:val="19"/>
        </w:rPr>
        <w:t xml:space="preserve"> </w:t>
      </w:r>
      <w:r>
        <w:rPr>
          <w:sz w:val="19"/>
        </w:rPr>
        <w:t>experience</w:t>
      </w:r>
      <w:r>
        <w:rPr>
          <w:spacing w:val="-4"/>
          <w:sz w:val="19"/>
        </w:rPr>
        <w:t xml:space="preserve"> </w:t>
      </w:r>
      <w:r>
        <w:rPr>
          <w:sz w:val="19"/>
        </w:rPr>
        <w:t>measures</w:t>
      </w:r>
      <w:r>
        <w:rPr>
          <w:spacing w:val="-4"/>
          <w:sz w:val="19"/>
        </w:rPr>
        <w:t xml:space="preserve"> </w:t>
      </w:r>
      <w:r>
        <w:rPr>
          <w:sz w:val="19"/>
        </w:rPr>
        <w:t xml:space="preserve">(PREM) </w:t>
      </w:r>
    </w:p>
    <w:p w14:paraId="651399ED" w14:textId="2CE28DB6" w:rsidR="009D54AF" w:rsidRDefault="00000000">
      <w:pPr>
        <w:spacing w:before="93" w:line="340" w:lineRule="auto"/>
        <w:ind w:left="142" w:right="2068"/>
        <w:rPr>
          <w:sz w:val="19"/>
        </w:rPr>
      </w:pPr>
      <w:r>
        <w:rPr>
          <w:sz w:val="19"/>
        </w:rPr>
        <w:t xml:space="preserve">contact details, </w:t>
      </w:r>
    </w:p>
    <w:p w14:paraId="3C051674" w14:textId="77777777" w:rsidR="009D54AF" w:rsidRDefault="00000000">
      <w:pPr>
        <w:spacing w:before="1"/>
        <w:ind w:left="142"/>
        <w:rPr>
          <w:sz w:val="19"/>
        </w:rPr>
      </w:pPr>
      <w:r>
        <w:rPr>
          <w:sz w:val="19"/>
        </w:rPr>
        <w:t>COPD</w:t>
      </w:r>
      <w:r>
        <w:rPr>
          <w:spacing w:val="-6"/>
          <w:sz w:val="19"/>
        </w:rPr>
        <w:t xml:space="preserve"> </w:t>
      </w:r>
      <w:r>
        <w:rPr>
          <w:i/>
          <w:sz w:val="19"/>
        </w:rPr>
        <w:t>see</w:t>
      </w:r>
      <w:r>
        <w:rPr>
          <w:i/>
          <w:spacing w:val="-3"/>
          <w:sz w:val="19"/>
        </w:rPr>
        <w:t xml:space="preserve"> </w:t>
      </w:r>
      <w:r>
        <w:rPr>
          <w:sz w:val="19"/>
        </w:rPr>
        <w:t>chronic</w:t>
      </w:r>
      <w:r>
        <w:rPr>
          <w:spacing w:val="-4"/>
          <w:sz w:val="19"/>
        </w:rPr>
        <w:t xml:space="preserve"> </w:t>
      </w:r>
      <w:r>
        <w:rPr>
          <w:sz w:val="19"/>
        </w:rPr>
        <w:t>obstructive</w:t>
      </w:r>
      <w:r>
        <w:rPr>
          <w:spacing w:val="-3"/>
          <w:sz w:val="19"/>
        </w:rPr>
        <w:t xml:space="preserve"> </w:t>
      </w:r>
      <w:r>
        <w:rPr>
          <w:sz w:val="19"/>
        </w:rPr>
        <w:t>pulmonary</w:t>
      </w:r>
      <w:r>
        <w:rPr>
          <w:spacing w:val="-4"/>
          <w:sz w:val="19"/>
        </w:rPr>
        <w:t xml:space="preserve"> </w:t>
      </w:r>
      <w:r>
        <w:rPr>
          <w:sz w:val="19"/>
        </w:rPr>
        <w:t>disease</w:t>
      </w:r>
      <w:r>
        <w:rPr>
          <w:spacing w:val="-3"/>
          <w:sz w:val="19"/>
        </w:rPr>
        <w:t xml:space="preserve"> </w:t>
      </w:r>
      <w:r>
        <w:rPr>
          <w:spacing w:val="-2"/>
          <w:sz w:val="19"/>
        </w:rPr>
        <w:t>(COPD)</w:t>
      </w:r>
    </w:p>
    <w:p w14:paraId="1A75AD5A" w14:textId="77777777" w:rsidR="00405BF4" w:rsidRDefault="00000000" w:rsidP="00405BF4">
      <w:pPr>
        <w:spacing w:before="92" w:line="278" w:lineRule="auto"/>
        <w:ind w:left="142" w:right="1372"/>
        <w:rPr>
          <w:sz w:val="19"/>
        </w:rPr>
      </w:pPr>
      <w:r>
        <w:rPr>
          <w:sz w:val="19"/>
        </w:rPr>
        <w:t>Core</w:t>
      </w:r>
      <w:r>
        <w:rPr>
          <w:spacing w:val="-8"/>
          <w:sz w:val="19"/>
        </w:rPr>
        <w:t xml:space="preserve"> </w:t>
      </w:r>
      <w:r>
        <w:rPr>
          <w:sz w:val="19"/>
        </w:rPr>
        <w:t>Cultural</w:t>
      </w:r>
      <w:r>
        <w:rPr>
          <w:spacing w:val="-5"/>
          <w:sz w:val="19"/>
        </w:rPr>
        <w:t xml:space="preserve"> </w:t>
      </w:r>
      <w:r>
        <w:rPr>
          <w:sz w:val="19"/>
        </w:rPr>
        <w:t>Learning:</w:t>
      </w:r>
      <w:r>
        <w:rPr>
          <w:spacing w:val="-14"/>
          <w:sz w:val="19"/>
        </w:rPr>
        <w:t xml:space="preserve"> </w:t>
      </w:r>
      <w:r>
        <w:rPr>
          <w:sz w:val="19"/>
        </w:rPr>
        <w:t>Aboriginal</w:t>
      </w:r>
      <w:r>
        <w:rPr>
          <w:spacing w:val="-4"/>
          <w:sz w:val="19"/>
        </w:rPr>
        <w:t xml:space="preserve"> </w:t>
      </w:r>
      <w:r>
        <w:rPr>
          <w:sz w:val="19"/>
        </w:rPr>
        <w:t>and</w:t>
      </w:r>
      <w:r>
        <w:rPr>
          <w:spacing w:val="-9"/>
          <w:sz w:val="19"/>
        </w:rPr>
        <w:t xml:space="preserve"> </w:t>
      </w:r>
      <w:r>
        <w:rPr>
          <w:sz w:val="19"/>
        </w:rPr>
        <w:t>Torres</w:t>
      </w:r>
      <w:r>
        <w:rPr>
          <w:spacing w:val="-5"/>
          <w:sz w:val="19"/>
        </w:rPr>
        <w:t xml:space="preserve"> </w:t>
      </w:r>
      <w:r>
        <w:rPr>
          <w:sz w:val="19"/>
        </w:rPr>
        <w:t>Strait</w:t>
      </w:r>
      <w:r>
        <w:rPr>
          <w:spacing w:val="-5"/>
          <w:sz w:val="19"/>
        </w:rPr>
        <w:t xml:space="preserve"> </w:t>
      </w:r>
      <w:r>
        <w:rPr>
          <w:sz w:val="19"/>
        </w:rPr>
        <w:t>Islander</w:t>
      </w:r>
      <w:r>
        <w:rPr>
          <w:spacing w:val="-14"/>
          <w:sz w:val="19"/>
        </w:rPr>
        <w:t xml:space="preserve"> </w:t>
      </w:r>
      <w:r>
        <w:rPr>
          <w:sz w:val="19"/>
        </w:rPr>
        <w:t>Australia</w:t>
      </w:r>
      <w:r>
        <w:rPr>
          <w:spacing w:val="-4"/>
          <w:sz w:val="19"/>
        </w:rPr>
        <w:t xml:space="preserve"> </w:t>
      </w:r>
      <w:r>
        <w:rPr>
          <w:sz w:val="19"/>
        </w:rPr>
        <w:t>(CORE)</w:t>
      </w:r>
      <w:r>
        <w:rPr>
          <w:spacing w:val="-5"/>
          <w:sz w:val="19"/>
        </w:rPr>
        <w:t xml:space="preserve"> </w:t>
      </w:r>
      <w:r>
        <w:rPr>
          <w:sz w:val="19"/>
        </w:rPr>
        <w:t>Foundation</w:t>
      </w:r>
      <w:r>
        <w:rPr>
          <w:spacing w:val="-5"/>
          <w:sz w:val="19"/>
        </w:rPr>
        <w:t xml:space="preserve"> </w:t>
      </w:r>
      <w:r>
        <w:rPr>
          <w:sz w:val="19"/>
        </w:rPr>
        <w:t>Course,</w:t>
      </w:r>
      <w:r>
        <w:rPr>
          <w:spacing w:val="-5"/>
          <w:sz w:val="19"/>
        </w:rPr>
        <w:t xml:space="preserve"> </w:t>
      </w:r>
      <w:r>
        <w:rPr>
          <w:sz w:val="19"/>
        </w:rPr>
        <w:t xml:space="preserve"> </w:t>
      </w:r>
    </w:p>
    <w:p w14:paraId="2A3B358F" w14:textId="419DC0C1" w:rsidR="009D54AF" w:rsidRDefault="00000000">
      <w:pPr>
        <w:spacing w:before="92" w:line="340" w:lineRule="auto"/>
        <w:ind w:left="142" w:right="1372"/>
        <w:rPr>
          <w:sz w:val="19"/>
        </w:rPr>
      </w:pPr>
      <w:r>
        <w:rPr>
          <w:sz w:val="19"/>
        </w:rPr>
        <w:t xml:space="preserve">Core Hospital-Based Outcome Indicators (CHBOI) Toolkit, </w:t>
      </w:r>
    </w:p>
    <w:p w14:paraId="3C828B7C" w14:textId="7FBF7A7C" w:rsidR="009D54AF" w:rsidRDefault="00000000">
      <w:pPr>
        <w:spacing w:before="2" w:line="340" w:lineRule="auto"/>
        <w:ind w:left="142" w:right="7238"/>
        <w:rPr>
          <w:sz w:val="19"/>
        </w:rPr>
      </w:pPr>
      <w:r>
        <w:rPr>
          <w:sz w:val="19"/>
        </w:rPr>
        <w:t>core</w:t>
      </w:r>
      <w:r>
        <w:rPr>
          <w:spacing w:val="-9"/>
          <w:sz w:val="19"/>
        </w:rPr>
        <w:t xml:space="preserve"> </w:t>
      </w:r>
      <w:r>
        <w:rPr>
          <w:sz w:val="19"/>
        </w:rPr>
        <w:t>work</w:t>
      </w:r>
      <w:r>
        <w:rPr>
          <w:spacing w:val="-9"/>
          <w:sz w:val="19"/>
        </w:rPr>
        <w:t xml:space="preserve"> </w:t>
      </w:r>
      <w:r>
        <w:rPr>
          <w:sz w:val="19"/>
        </w:rPr>
        <w:t>brought</w:t>
      </w:r>
      <w:r>
        <w:rPr>
          <w:spacing w:val="-9"/>
          <w:sz w:val="19"/>
        </w:rPr>
        <w:t xml:space="preserve"> </w:t>
      </w:r>
      <w:r>
        <w:rPr>
          <w:sz w:val="19"/>
        </w:rPr>
        <w:t>in-house,</w:t>
      </w:r>
      <w:r>
        <w:rPr>
          <w:spacing w:val="-9"/>
          <w:sz w:val="19"/>
        </w:rPr>
        <w:t xml:space="preserve"> </w:t>
      </w:r>
      <w:r>
        <w:rPr>
          <w:sz w:val="19"/>
        </w:rPr>
        <w:t xml:space="preserve"> coronary care, </w:t>
      </w:r>
    </w:p>
    <w:p w14:paraId="54F6E0EE" w14:textId="744D5C67" w:rsidR="00405BF4" w:rsidRDefault="00000000">
      <w:pPr>
        <w:spacing w:before="1" w:line="340" w:lineRule="auto"/>
        <w:ind w:left="142" w:right="5920"/>
        <w:rPr>
          <w:sz w:val="19"/>
        </w:rPr>
      </w:pPr>
      <w:r>
        <w:rPr>
          <w:sz w:val="19"/>
        </w:rPr>
        <w:t>corporate</w:t>
      </w:r>
      <w:r>
        <w:rPr>
          <w:spacing w:val="-12"/>
          <w:sz w:val="19"/>
        </w:rPr>
        <w:t xml:space="preserve"> </w:t>
      </w:r>
      <w:r>
        <w:rPr>
          <w:sz w:val="19"/>
        </w:rPr>
        <w:t>governance</w:t>
      </w:r>
      <w:r>
        <w:rPr>
          <w:spacing w:val="-12"/>
          <w:sz w:val="19"/>
        </w:rPr>
        <w:t xml:space="preserve"> </w:t>
      </w:r>
      <w:r>
        <w:rPr>
          <w:sz w:val="19"/>
        </w:rPr>
        <w:t>and</w:t>
      </w:r>
      <w:r>
        <w:rPr>
          <w:spacing w:val="-12"/>
          <w:sz w:val="19"/>
        </w:rPr>
        <w:t xml:space="preserve"> </w:t>
      </w:r>
      <w:r>
        <w:rPr>
          <w:sz w:val="19"/>
        </w:rPr>
        <w:t>accountability,</w:t>
      </w:r>
      <w:r>
        <w:rPr>
          <w:spacing w:val="-12"/>
          <w:sz w:val="19"/>
        </w:rPr>
        <w:t xml:space="preserve"> </w:t>
      </w:r>
    </w:p>
    <w:p w14:paraId="772DFA65" w14:textId="35D996E4" w:rsidR="009D54AF" w:rsidRDefault="00000000">
      <w:pPr>
        <w:spacing w:before="1" w:line="340" w:lineRule="auto"/>
        <w:ind w:left="142" w:right="5920"/>
        <w:rPr>
          <w:sz w:val="19"/>
        </w:rPr>
      </w:pPr>
      <w:r>
        <w:rPr>
          <w:sz w:val="19"/>
        </w:rPr>
        <w:t>Corporate Plan 2025–26</w:t>
      </w:r>
    </w:p>
    <w:p w14:paraId="76D70CBB" w14:textId="77777777" w:rsidR="00405BF4" w:rsidRDefault="00000000">
      <w:pPr>
        <w:spacing w:before="1" w:line="340" w:lineRule="auto"/>
        <w:ind w:left="142" w:right="5464" w:firstLine="283"/>
        <w:rPr>
          <w:sz w:val="19"/>
        </w:rPr>
      </w:pPr>
      <w:r>
        <w:rPr>
          <w:sz w:val="19"/>
        </w:rPr>
        <w:t>Commission</w:t>
      </w:r>
      <w:r>
        <w:rPr>
          <w:spacing w:val="-9"/>
          <w:sz w:val="19"/>
        </w:rPr>
        <w:t xml:space="preserve"> </w:t>
      </w:r>
      <w:r>
        <w:rPr>
          <w:sz w:val="19"/>
        </w:rPr>
        <w:t>performance</w:t>
      </w:r>
      <w:r>
        <w:rPr>
          <w:spacing w:val="-9"/>
          <w:sz w:val="19"/>
        </w:rPr>
        <w:t xml:space="preserve"> </w:t>
      </w:r>
      <w:r>
        <w:rPr>
          <w:sz w:val="19"/>
        </w:rPr>
        <w:t>against</w:t>
      </w:r>
      <w:r>
        <w:rPr>
          <w:spacing w:val="-9"/>
          <w:sz w:val="19"/>
        </w:rPr>
        <w:t xml:space="preserve"> </w:t>
      </w:r>
      <w:r>
        <w:rPr>
          <w:sz w:val="19"/>
        </w:rPr>
        <w:t>criteria,</w:t>
      </w:r>
      <w:r>
        <w:rPr>
          <w:spacing w:val="-9"/>
          <w:sz w:val="19"/>
        </w:rPr>
        <w:t xml:space="preserve"> </w:t>
      </w:r>
      <w:r>
        <w:rPr>
          <w:sz w:val="19"/>
        </w:rPr>
        <w:t xml:space="preserve"> </w:t>
      </w:r>
    </w:p>
    <w:p w14:paraId="39EBF98A" w14:textId="3521A5D0" w:rsidR="009D54AF" w:rsidRDefault="00000000" w:rsidP="00405BF4">
      <w:pPr>
        <w:spacing w:before="1" w:line="341" w:lineRule="auto"/>
        <w:ind w:left="142" w:right="5466"/>
        <w:rPr>
          <w:sz w:val="19"/>
        </w:rPr>
      </w:pPr>
      <w:r>
        <w:rPr>
          <w:sz w:val="19"/>
        </w:rPr>
        <w:t xml:space="preserve">corporate services, </w:t>
      </w:r>
    </w:p>
    <w:p w14:paraId="2CD0FEEC" w14:textId="01CE838B" w:rsidR="009D54AF" w:rsidRDefault="00000000">
      <w:pPr>
        <w:spacing w:before="1"/>
        <w:ind w:left="142"/>
        <w:rPr>
          <w:sz w:val="19"/>
        </w:rPr>
      </w:pPr>
      <w:r>
        <w:rPr>
          <w:sz w:val="19"/>
        </w:rPr>
        <w:t>corruption</w:t>
      </w:r>
      <w:r>
        <w:rPr>
          <w:spacing w:val="-5"/>
          <w:sz w:val="19"/>
        </w:rPr>
        <w:t xml:space="preserve"> </w:t>
      </w:r>
      <w:r>
        <w:rPr>
          <w:sz w:val="19"/>
        </w:rPr>
        <w:t>control,</w:t>
      </w:r>
      <w:r>
        <w:rPr>
          <w:spacing w:val="-4"/>
          <w:sz w:val="19"/>
        </w:rPr>
        <w:t xml:space="preserve"> </w:t>
      </w:r>
    </w:p>
    <w:p w14:paraId="0D351FEE" w14:textId="0BFBC6CA" w:rsidR="00405BF4" w:rsidRDefault="00000000" w:rsidP="00405BF4">
      <w:pPr>
        <w:spacing w:before="93" w:line="278" w:lineRule="auto"/>
        <w:ind w:left="142" w:right="5466"/>
        <w:rPr>
          <w:sz w:val="19"/>
        </w:rPr>
      </w:pPr>
      <w:r>
        <w:rPr>
          <w:sz w:val="19"/>
        </w:rPr>
        <w:t xml:space="preserve">Cosmetic Surgery Standards and Module,  </w:t>
      </w:r>
    </w:p>
    <w:p w14:paraId="68D06AC4" w14:textId="098633BE" w:rsidR="009D54AF" w:rsidRDefault="00000000">
      <w:pPr>
        <w:spacing w:before="93" w:line="340" w:lineRule="auto"/>
        <w:ind w:left="142" w:right="5464"/>
        <w:rPr>
          <w:sz w:val="19"/>
        </w:rPr>
      </w:pPr>
      <w:r>
        <w:rPr>
          <w:sz w:val="19"/>
        </w:rPr>
        <w:t>credentialing,</w:t>
      </w:r>
      <w:r>
        <w:rPr>
          <w:spacing w:val="-6"/>
          <w:sz w:val="19"/>
        </w:rPr>
        <w:t xml:space="preserve"> </w:t>
      </w:r>
      <w:r>
        <w:rPr>
          <w:i/>
          <w:sz w:val="19"/>
        </w:rPr>
        <w:t>see</w:t>
      </w:r>
      <w:r>
        <w:rPr>
          <w:i/>
          <w:spacing w:val="-6"/>
          <w:sz w:val="19"/>
        </w:rPr>
        <w:t xml:space="preserve"> </w:t>
      </w:r>
      <w:r>
        <w:rPr>
          <w:i/>
          <w:sz w:val="19"/>
        </w:rPr>
        <w:t>also</w:t>
      </w:r>
      <w:r>
        <w:rPr>
          <w:i/>
          <w:spacing w:val="-6"/>
          <w:sz w:val="19"/>
        </w:rPr>
        <w:t xml:space="preserve"> </w:t>
      </w:r>
      <w:r>
        <w:rPr>
          <w:sz w:val="19"/>
        </w:rPr>
        <w:t>accreditation</w:t>
      </w:r>
      <w:r>
        <w:rPr>
          <w:spacing w:val="-6"/>
          <w:sz w:val="19"/>
        </w:rPr>
        <w:t xml:space="preserve"> </w:t>
      </w:r>
      <w:r>
        <w:rPr>
          <w:sz w:val="19"/>
        </w:rPr>
        <w:t xml:space="preserve">assessment Crowe Australasia, </w:t>
      </w:r>
    </w:p>
    <w:p w14:paraId="1E9CC28A" w14:textId="7C7BC5C7" w:rsidR="009D54AF" w:rsidRDefault="00000000">
      <w:pPr>
        <w:spacing w:before="2"/>
        <w:ind w:left="142"/>
        <w:rPr>
          <w:sz w:val="19"/>
        </w:rPr>
      </w:pPr>
      <w:r>
        <w:rPr>
          <w:sz w:val="19"/>
        </w:rPr>
        <w:t>cultural</w:t>
      </w:r>
      <w:r>
        <w:rPr>
          <w:spacing w:val="-8"/>
          <w:sz w:val="19"/>
        </w:rPr>
        <w:t xml:space="preserve"> </w:t>
      </w:r>
      <w:r>
        <w:rPr>
          <w:sz w:val="19"/>
        </w:rPr>
        <w:t>safety,</w:t>
      </w:r>
      <w:r>
        <w:rPr>
          <w:spacing w:val="-7"/>
          <w:sz w:val="19"/>
        </w:rPr>
        <w:t xml:space="preserve"> </w:t>
      </w:r>
    </w:p>
    <w:p w14:paraId="7EDFD9BB" w14:textId="335F679E" w:rsidR="009D54AF" w:rsidRDefault="00000000">
      <w:pPr>
        <w:spacing w:before="92"/>
        <w:ind w:left="425"/>
        <w:rPr>
          <w:sz w:val="19"/>
        </w:rPr>
      </w:pPr>
      <w:r>
        <w:rPr>
          <w:sz w:val="19"/>
        </w:rPr>
        <w:lastRenderedPageBreak/>
        <w:t>staff</w:t>
      </w:r>
      <w:r>
        <w:rPr>
          <w:spacing w:val="-4"/>
          <w:sz w:val="19"/>
        </w:rPr>
        <w:t xml:space="preserve"> </w:t>
      </w:r>
      <w:r>
        <w:rPr>
          <w:sz w:val="19"/>
        </w:rPr>
        <w:t>awareness</w:t>
      </w:r>
      <w:r>
        <w:rPr>
          <w:spacing w:val="-1"/>
          <w:sz w:val="19"/>
        </w:rPr>
        <w:t xml:space="preserve"> </w:t>
      </w:r>
      <w:r>
        <w:rPr>
          <w:sz w:val="19"/>
        </w:rPr>
        <w:t>building,</w:t>
      </w:r>
      <w:r>
        <w:rPr>
          <w:spacing w:val="-1"/>
          <w:sz w:val="19"/>
        </w:rPr>
        <w:t xml:space="preserve"> </w:t>
      </w:r>
    </w:p>
    <w:p w14:paraId="64647429" w14:textId="77777777" w:rsidR="00405BF4" w:rsidRDefault="00000000" w:rsidP="00405BF4">
      <w:pPr>
        <w:spacing w:before="92" w:line="278" w:lineRule="auto"/>
        <w:ind w:left="142" w:right="4241" w:firstLine="284"/>
        <w:rPr>
          <w:sz w:val="19"/>
        </w:rPr>
      </w:pPr>
      <w:r>
        <w:rPr>
          <w:sz w:val="19"/>
        </w:rPr>
        <w:t>standards</w:t>
      </w:r>
      <w:r>
        <w:rPr>
          <w:spacing w:val="-4"/>
          <w:sz w:val="19"/>
        </w:rPr>
        <w:t xml:space="preserve"> </w:t>
      </w:r>
      <w:r>
        <w:rPr>
          <w:sz w:val="19"/>
        </w:rPr>
        <w:t>for</w:t>
      </w:r>
      <w:r>
        <w:rPr>
          <w:spacing w:val="-4"/>
          <w:sz w:val="19"/>
        </w:rPr>
        <w:t xml:space="preserve"> </w:t>
      </w:r>
      <w:r>
        <w:rPr>
          <w:sz w:val="19"/>
        </w:rPr>
        <w:t>health</w:t>
      </w:r>
      <w:r>
        <w:rPr>
          <w:spacing w:val="-4"/>
          <w:sz w:val="19"/>
        </w:rPr>
        <w:t xml:space="preserve"> </w:t>
      </w:r>
      <w:r>
        <w:rPr>
          <w:sz w:val="19"/>
        </w:rPr>
        <w:t>services</w:t>
      </w:r>
      <w:r>
        <w:rPr>
          <w:spacing w:val="-4"/>
          <w:sz w:val="19"/>
        </w:rPr>
        <w:t xml:space="preserve"> </w:t>
      </w:r>
      <w:r>
        <w:rPr>
          <w:sz w:val="19"/>
        </w:rPr>
        <w:t>and</w:t>
      </w:r>
      <w:r>
        <w:rPr>
          <w:spacing w:val="-4"/>
          <w:sz w:val="19"/>
        </w:rPr>
        <w:t xml:space="preserve"> </w:t>
      </w:r>
      <w:r>
        <w:rPr>
          <w:sz w:val="19"/>
        </w:rPr>
        <w:t>hospitals,</w:t>
      </w:r>
      <w:r>
        <w:rPr>
          <w:spacing w:val="-4"/>
          <w:sz w:val="19"/>
        </w:rPr>
        <w:t xml:space="preserve"> </w:t>
      </w:r>
    </w:p>
    <w:p w14:paraId="6CB0E493" w14:textId="1FB37ADD" w:rsidR="009D54AF" w:rsidRDefault="00000000" w:rsidP="00405BF4">
      <w:pPr>
        <w:spacing w:before="92" w:line="341" w:lineRule="auto"/>
        <w:ind w:left="142" w:right="4241"/>
        <w:rPr>
          <w:sz w:val="19"/>
        </w:rPr>
      </w:pPr>
      <w:r>
        <w:rPr>
          <w:sz w:val="19"/>
        </w:rPr>
        <w:t xml:space="preserve">Cultural Safety Standards Review Project, </w:t>
      </w:r>
    </w:p>
    <w:p w14:paraId="593DCF2A" w14:textId="0CFCE9B0" w:rsidR="009D54AF" w:rsidRDefault="00000000">
      <w:pPr>
        <w:spacing w:before="2" w:line="340" w:lineRule="auto"/>
        <w:ind w:left="142" w:right="5920"/>
        <w:rPr>
          <w:sz w:val="19"/>
        </w:rPr>
      </w:pPr>
      <w:r>
        <w:rPr>
          <w:sz w:val="19"/>
        </w:rPr>
        <w:t>Culturally</w:t>
      </w:r>
      <w:r>
        <w:rPr>
          <w:spacing w:val="-7"/>
          <w:sz w:val="19"/>
        </w:rPr>
        <w:t xml:space="preserve"> </w:t>
      </w:r>
      <w:r>
        <w:rPr>
          <w:sz w:val="19"/>
        </w:rPr>
        <w:t>and</w:t>
      </w:r>
      <w:r>
        <w:rPr>
          <w:spacing w:val="-7"/>
          <w:sz w:val="19"/>
        </w:rPr>
        <w:t xml:space="preserve"> </w:t>
      </w:r>
      <w:r>
        <w:rPr>
          <w:sz w:val="19"/>
        </w:rPr>
        <w:t>Linguistically</w:t>
      </w:r>
      <w:r>
        <w:rPr>
          <w:spacing w:val="-7"/>
          <w:sz w:val="19"/>
        </w:rPr>
        <w:t xml:space="preserve"> </w:t>
      </w:r>
      <w:r>
        <w:rPr>
          <w:sz w:val="19"/>
        </w:rPr>
        <w:t>Diverse</w:t>
      </w:r>
      <w:r>
        <w:rPr>
          <w:spacing w:val="-7"/>
          <w:sz w:val="19"/>
        </w:rPr>
        <w:t xml:space="preserve"> </w:t>
      </w:r>
      <w:r>
        <w:rPr>
          <w:sz w:val="19"/>
        </w:rPr>
        <w:t>Network,</w:t>
      </w:r>
      <w:r>
        <w:rPr>
          <w:spacing w:val="-7"/>
          <w:sz w:val="19"/>
        </w:rPr>
        <w:t xml:space="preserve"> </w:t>
      </w:r>
      <w:r>
        <w:rPr>
          <w:sz w:val="19"/>
        </w:rPr>
        <w:t xml:space="preserve"> Culture Working Group, </w:t>
      </w:r>
    </w:p>
    <w:p w14:paraId="70869E97" w14:textId="77777777" w:rsidR="009D54AF" w:rsidRDefault="00000000">
      <w:pPr>
        <w:pStyle w:val="Heading4"/>
        <w:spacing w:before="66"/>
      </w:pPr>
      <w:r>
        <w:rPr>
          <w:spacing w:val="-10"/>
        </w:rPr>
        <w:t>D</w:t>
      </w:r>
    </w:p>
    <w:p w14:paraId="777F05DB" w14:textId="51E33BC3" w:rsidR="009D54AF" w:rsidRDefault="00000000">
      <w:pPr>
        <w:spacing w:before="111"/>
        <w:ind w:left="142"/>
        <w:rPr>
          <w:sz w:val="19"/>
        </w:rPr>
      </w:pPr>
      <w:r>
        <w:rPr>
          <w:sz w:val="19"/>
        </w:rPr>
        <w:t>data</w:t>
      </w:r>
      <w:r>
        <w:rPr>
          <w:spacing w:val="-3"/>
          <w:sz w:val="19"/>
        </w:rPr>
        <w:t xml:space="preserve"> </w:t>
      </w:r>
      <w:r>
        <w:rPr>
          <w:sz w:val="19"/>
        </w:rPr>
        <w:t>collection,</w:t>
      </w:r>
      <w:r>
        <w:rPr>
          <w:spacing w:val="-1"/>
          <w:sz w:val="19"/>
        </w:rPr>
        <w:t xml:space="preserve"> </w:t>
      </w:r>
    </w:p>
    <w:p w14:paraId="5F109E43" w14:textId="3B715E95" w:rsidR="009D54AF" w:rsidRDefault="00000000">
      <w:pPr>
        <w:spacing w:before="93" w:line="340" w:lineRule="auto"/>
        <w:ind w:left="425" w:right="4715" w:hanging="284"/>
        <w:rPr>
          <w:sz w:val="19"/>
        </w:rPr>
      </w:pPr>
      <w:r>
        <w:rPr>
          <w:sz w:val="19"/>
        </w:rPr>
        <w:t>day</w:t>
      </w:r>
      <w:r>
        <w:rPr>
          <w:spacing w:val="-4"/>
          <w:sz w:val="19"/>
        </w:rPr>
        <w:t xml:space="preserve"> </w:t>
      </w:r>
      <w:r>
        <w:rPr>
          <w:sz w:val="19"/>
        </w:rPr>
        <w:t>procedure</w:t>
      </w:r>
      <w:r>
        <w:rPr>
          <w:spacing w:val="-4"/>
          <w:sz w:val="19"/>
        </w:rPr>
        <w:t xml:space="preserve"> </w:t>
      </w:r>
      <w:r>
        <w:rPr>
          <w:sz w:val="19"/>
        </w:rPr>
        <w:t>services</w:t>
      </w:r>
      <w:r>
        <w:rPr>
          <w:spacing w:val="-4"/>
          <w:sz w:val="19"/>
        </w:rPr>
        <w:t xml:space="preserve"> </w:t>
      </w:r>
      <w:r>
        <w:rPr>
          <w:sz w:val="19"/>
        </w:rPr>
        <w:t>assessment</w:t>
      </w:r>
      <w:r>
        <w:rPr>
          <w:spacing w:val="-4"/>
          <w:sz w:val="19"/>
        </w:rPr>
        <w:t xml:space="preserve"> </w:t>
      </w:r>
      <w:r>
        <w:rPr>
          <w:sz w:val="19"/>
        </w:rPr>
        <w:t>to</w:t>
      </w:r>
      <w:r>
        <w:rPr>
          <w:spacing w:val="-4"/>
          <w:sz w:val="19"/>
        </w:rPr>
        <w:t xml:space="preserve"> </w:t>
      </w:r>
      <w:r>
        <w:rPr>
          <w:sz w:val="19"/>
        </w:rPr>
        <w:t>NSQHS</w:t>
      </w:r>
      <w:r>
        <w:rPr>
          <w:spacing w:val="-4"/>
          <w:sz w:val="19"/>
        </w:rPr>
        <w:t xml:space="preserve"> </w:t>
      </w:r>
      <w:r>
        <w:rPr>
          <w:sz w:val="19"/>
        </w:rPr>
        <w:t>Standards,</w:t>
      </w:r>
      <w:r>
        <w:rPr>
          <w:spacing w:val="-4"/>
          <w:sz w:val="19"/>
        </w:rPr>
        <w:t xml:space="preserve"> </w:t>
      </w:r>
      <w:r>
        <w:rPr>
          <w:sz w:val="19"/>
        </w:rPr>
        <w:t xml:space="preserve"> decision-making, </w:t>
      </w:r>
    </w:p>
    <w:p w14:paraId="1B946C59" w14:textId="7487A94D" w:rsidR="009D54AF" w:rsidRDefault="00000000">
      <w:pPr>
        <w:spacing w:before="1" w:line="340" w:lineRule="auto"/>
        <w:ind w:left="425" w:right="5920"/>
        <w:rPr>
          <w:sz w:val="19"/>
        </w:rPr>
      </w:pPr>
      <w:r>
        <w:rPr>
          <w:sz w:val="19"/>
        </w:rPr>
        <w:t>electronic</w:t>
      </w:r>
      <w:r>
        <w:rPr>
          <w:spacing w:val="-7"/>
          <w:sz w:val="19"/>
        </w:rPr>
        <w:t xml:space="preserve"> </w:t>
      </w:r>
      <w:r>
        <w:rPr>
          <w:sz w:val="19"/>
        </w:rPr>
        <w:t>clinical</w:t>
      </w:r>
      <w:r>
        <w:rPr>
          <w:spacing w:val="-7"/>
          <w:sz w:val="19"/>
        </w:rPr>
        <w:t xml:space="preserve"> </w:t>
      </w:r>
      <w:r>
        <w:rPr>
          <w:sz w:val="19"/>
        </w:rPr>
        <w:t>decision</w:t>
      </w:r>
      <w:r>
        <w:rPr>
          <w:spacing w:val="-7"/>
          <w:sz w:val="19"/>
        </w:rPr>
        <w:t xml:space="preserve"> </w:t>
      </w:r>
      <w:r>
        <w:rPr>
          <w:sz w:val="19"/>
        </w:rPr>
        <w:t>support</w:t>
      </w:r>
      <w:r>
        <w:rPr>
          <w:spacing w:val="-7"/>
          <w:sz w:val="19"/>
        </w:rPr>
        <w:t xml:space="preserve"> </w:t>
      </w:r>
      <w:r>
        <w:rPr>
          <w:sz w:val="19"/>
        </w:rPr>
        <w:t>system,</w:t>
      </w:r>
      <w:r>
        <w:rPr>
          <w:spacing w:val="-7"/>
          <w:sz w:val="19"/>
        </w:rPr>
        <w:t xml:space="preserve"> </w:t>
      </w:r>
      <w:r>
        <w:rPr>
          <w:sz w:val="19"/>
        </w:rPr>
        <w:t xml:space="preserve"> shared, </w:t>
      </w:r>
    </w:p>
    <w:p w14:paraId="280D5D69" w14:textId="42DBA8B6" w:rsidR="009D54AF" w:rsidRDefault="00000000">
      <w:pPr>
        <w:spacing w:before="1"/>
        <w:ind w:left="142"/>
        <w:rPr>
          <w:sz w:val="19"/>
        </w:rPr>
      </w:pPr>
      <w:r>
        <w:rPr>
          <w:sz w:val="19"/>
        </w:rPr>
        <w:t>definitions</w:t>
      </w:r>
      <w:r>
        <w:rPr>
          <w:spacing w:val="-4"/>
          <w:sz w:val="19"/>
        </w:rPr>
        <w:t xml:space="preserve"> </w:t>
      </w:r>
      <w:r>
        <w:rPr>
          <w:sz w:val="19"/>
        </w:rPr>
        <w:t>(glossary),</w:t>
      </w:r>
      <w:r>
        <w:rPr>
          <w:spacing w:val="-2"/>
          <w:sz w:val="19"/>
        </w:rPr>
        <w:t xml:space="preserve"> </w:t>
      </w:r>
    </w:p>
    <w:p w14:paraId="23C55F23" w14:textId="6CA1AD69" w:rsidR="009D54AF" w:rsidRDefault="00000000">
      <w:pPr>
        <w:spacing w:before="93"/>
        <w:ind w:left="142"/>
        <w:rPr>
          <w:sz w:val="19"/>
        </w:rPr>
      </w:pPr>
      <w:r>
        <w:rPr>
          <w:sz w:val="19"/>
        </w:rPr>
        <w:t>dental</w:t>
      </w:r>
      <w:r>
        <w:rPr>
          <w:spacing w:val="-3"/>
          <w:sz w:val="19"/>
        </w:rPr>
        <w:t xml:space="preserve"> </w:t>
      </w:r>
      <w:r>
        <w:rPr>
          <w:sz w:val="19"/>
        </w:rPr>
        <w:t>practices,</w:t>
      </w:r>
      <w:r>
        <w:rPr>
          <w:spacing w:val="-2"/>
          <w:sz w:val="19"/>
        </w:rPr>
        <w:t xml:space="preserve"> </w:t>
      </w:r>
    </w:p>
    <w:p w14:paraId="67603497" w14:textId="09AE257A" w:rsidR="006D22A6" w:rsidRDefault="00000000" w:rsidP="006D22A6">
      <w:pPr>
        <w:spacing w:before="92" w:line="278" w:lineRule="auto"/>
        <w:ind w:left="142" w:right="4768"/>
        <w:rPr>
          <w:sz w:val="19"/>
        </w:rPr>
      </w:pPr>
      <w:r>
        <w:rPr>
          <w:sz w:val="19"/>
        </w:rPr>
        <w:t xml:space="preserve">Department of Finance, </w:t>
      </w:r>
      <w:r>
        <w:rPr>
          <w:i/>
          <w:sz w:val="19"/>
        </w:rPr>
        <w:t xml:space="preserve">see also </w:t>
      </w:r>
      <w:r>
        <w:rPr>
          <w:sz w:val="19"/>
        </w:rPr>
        <w:t xml:space="preserve">Minister for Finance </w:t>
      </w:r>
    </w:p>
    <w:p w14:paraId="65DF7AF5" w14:textId="14E74214" w:rsidR="009D54AF" w:rsidRDefault="00000000">
      <w:pPr>
        <w:spacing w:before="92" w:line="340" w:lineRule="auto"/>
        <w:ind w:left="142" w:right="4771"/>
        <w:rPr>
          <w:sz w:val="19"/>
        </w:rPr>
      </w:pPr>
      <w:r>
        <w:rPr>
          <w:sz w:val="19"/>
        </w:rPr>
        <w:t>Department</w:t>
      </w:r>
      <w:r>
        <w:rPr>
          <w:spacing w:val="-5"/>
          <w:sz w:val="19"/>
        </w:rPr>
        <w:t xml:space="preserve"> </w:t>
      </w:r>
      <w:r>
        <w:rPr>
          <w:sz w:val="19"/>
        </w:rPr>
        <w:t>of</w:t>
      </w:r>
      <w:r>
        <w:rPr>
          <w:spacing w:val="-4"/>
          <w:sz w:val="19"/>
        </w:rPr>
        <w:t xml:space="preserve"> </w:t>
      </w:r>
      <w:r>
        <w:rPr>
          <w:sz w:val="19"/>
        </w:rPr>
        <w:t>Health,</w:t>
      </w:r>
      <w:r>
        <w:rPr>
          <w:spacing w:val="-4"/>
          <w:sz w:val="19"/>
        </w:rPr>
        <w:t xml:space="preserve"> </w:t>
      </w:r>
      <w:r>
        <w:rPr>
          <w:sz w:val="19"/>
        </w:rPr>
        <w:t>Disability</w:t>
      </w:r>
      <w:r>
        <w:rPr>
          <w:spacing w:val="-4"/>
          <w:sz w:val="19"/>
        </w:rPr>
        <w:t xml:space="preserve"> </w:t>
      </w:r>
      <w:r>
        <w:rPr>
          <w:sz w:val="19"/>
        </w:rPr>
        <w:t>and</w:t>
      </w:r>
      <w:r>
        <w:rPr>
          <w:spacing w:val="-14"/>
          <w:sz w:val="19"/>
        </w:rPr>
        <w:t xml:space="preserve"> </w:t>
      </w:r>
      <w:r>
        <w:rPr>
          <w:sz w:val="19"/>
        </w:rPr>
        <w:t>Ageing,</w:t>
      </w:r>
      <w:r>
        <w:rPr>
          <w:spacing w:val="-3"/>
          <w:sz w:val="19"/>
        </w:rPr>
        <w:t xml:space="preserve"> </w:t>
      </w:r>
    </w:p>
    <w:p w14:paraId="26E66E96" w14:textId="060C7663" w:rsidR="006D22A6" w:rsidRDefault="00000000">
      <w:pPr>
        <w:spacing w:before="1" w:line="340" w:lineRule="auto"/>
        <w:ind w:left="425" w:right="3776"/>
        <w:rPr>
          <w:sz w:val="19"/>
        </w:rPr>
      </w:pPr>
      <w:r>
        <w:rPr>
          <w:sz w:val="19"/>
        </w:rPr>
        <w:t>feasibility</w:t>
      </w:r>
      <w:r>
        <w:rPr>
          <w:spacing w:val="-5"/>
          <w:sz w:val="19"/>
        </w:rPr>
        <w:t xml:space="preserve"> </w:t>
      </w:r>
      <w:r>
        <w:rPr>
          <w:sz w:val="19"/>
        </w:rPr>
        <w:t>assessment</w:t>
      </w:r>
      <w:r>
        <w:rPr>
          <w:spacing w:val="-5"/>
          <w:sz w:val="19"/>
        </w:rPr>
        <w:t xml:space="preserve"> </w:t>
      </w:r>
      <w:r>
        <w:rPr>
          <w:sz w:val="19"/>
        </w:rPr>
        <w:t>of</w:t>
      </w:r>
      <w:r>
        <w:rPr>
          <w:spacing w:val="-5"/>
          <w:sz w:val="19"/>
        </w:rPr>
        <w:t xml:space="preserve"> </w:t>
      </w:r>
      <w:r>
        <w:rPr>
          <w:sz w:val="19"/>
        </w:rPr>
        <w:t>electronic</w:t>
      </w:r>
      <w:r>
        <w:rPr>
          <w:spacing w:val="-5"/>
          <w:sz w:val="19"/>
        </w:rPr>
        <w:t xml:space="preserve"> </w:t>
      </w:r>
      <w:r>
        <w:rPr>
          <w:sz w:val="19"/>
        </w:rPr>
        <w:t>clinical</w:t>
      </w:r>
      <w:r>
        <w:rPr>
          <w:spacing w:val="-5"/>
          <w:sz w:val="19"/>
        </w:rPr>
        <w:t xml:space="preserve"> </w:t>
      </w:r>
      <w:r>
        <w:rPr>
          <w:sz w:val="19"/>
        </w:rPr>
        <w:t>decision</w:t>
      </w:r>
      <w:r>
        <w:rPr>
          <w:spacing w:val="-5"/>
          <w:sz w:val="19"/>
        </w:rPr>
        <w:t xml:space="preserve"> </w:t>
      </w:r>
      <w:r>
        <w:rPr>
          <w:sz w:val="19"/>
        </w:rPr>
        <w:t>support</w:t>
      </w:r>
      <w:r>
        <w:rPr>
          <w:spacing w:val="-5"/>
          <w:sz w:val="19"/>
        </w:rPr>
        <w:t xml:space="preserve"> </w:t>
      </w:r>
      <w:r>
        <w:rPr>
          <w:sz w:val="19"/>
        </w:rPr>
        <w:t xml:space="preserve">system, </w:t>
      </w:r>
    </w:p>
    <w:p w14:paraId="497D0084" w14:textId="7C6DFEF9" w:rsidR="006D22A6" w:rsidRDefault="00000000">
      <w:pPr>
        <w:spacing w:before="1" w:line="340" w:lineRule="auto"/>
        <w:ind w:left="425" w:right="3776"/>
        <w:rPr>
          <w:sz w:val="19"/>
        </w:rPr>
      </w:pPr>
      <w:r>
        <w:rPr>
          <w:sz w:val="19"/>
        </w:rPr>
        <w:t xml:space="preserve">mental health standards and, </w:t>
      </w:r>
    </w:p>
    <w:p w14:paraId="22DB9F6E" w14:textId="77777777" w:rsidR="006D22A6" w:rsidRDefault="006D22A6">
      <w:pPr>
        <w:rPr>
          <w:sz w:val="19"/>
        </w:rPr>
      </w:pPr>
      <w:r>
        <w:rPr>
          <w:sz w:val="19"/>
        </w:rPr>
        <w:br w:type="page"/>
      </w:r>
    </w:p>
    <w:p w14:paraId="2D56DCA0" w14:textId="27886FB3" w:rsidR="006D22A6" w:rsidRDefault="00000000">
      <w:pPr>
        <w:spacing w:before="1" w:line="340" w:lineRule="auto"/>
        <w:ind w:left="425" w:right="6600"/>
        <w:rPr>
          <w:sz w:val="19"/>
        </w:rPr>
      </w:pPr>
      <w:r>
        <w:rPr>
          <w:sz w:val="19"/>
        </w:rPr>
        <w:lastRenderedPageBreak/>
        <w:t>program</w:t>
      </w:r>
      <w:r>
        <w:rPr>
          <w:spacing w:val="-5"/>
          <w:sz w:val="19"/>
        </w:rPr>
        <w:t xml:space="preserve"> </w:t>
      </w:r>
      <w:r>
        <w:rPr>
          <w:sz w:val="19"/>
        </w:rPr>
        <w:t>funding,</w:t>
      </w:r>
      <w:r>
        <w:rPr>
          <w:spacing w:val="-5"/>
          <w:sz w:val="19"/>
        </w:rPr>
        <w:t xml:space="preserve"> </w:t>
      </w:r>
    </w:p>
    <w:p w14:paraId="5B8996ED" w14:textId="773DBF61" w:rsidR="009D54AF" w:rsidRDefault="00000000">
      <w:pPr>
        <w:spacing w:before="1" w:line="340" w:lineRule="auto"/>
        <w:ind w:left="425" w:right="6600"/>
        <w:rPr>
          <w:sz w:val="19"/>
        </w:rPr>
      </w:pPr>
      <w:r>
        <w:rPr>
          <w:sz w:val="19"/>
        </w:rPr>
        <w:t>shared services agreement,</w:t>
      </w:r>
    </w:p>
    <w:p w14:paraId="486FED2C" w14:textId="3FD029EF" w:rsidR="009D54AF" w:rsidRDefault="00000000">
      <w:pPr>
        <w:spacing w:before="2" w:line="340" w:lineRule="auto"/>
        <w:ind w:left="142" w:right="5464" w:firstLine="283"/>
        <w:rPr>
          <w:sz w:val="19"/>
        </w:rPr>
      </w:pPr>
      <w:r>
        <w:rPr>
          <w:i/>
          <w:sz w:val="19"/>
        </w:rPr>
        <w:t>see</w:t>
      </w:r>
      <w:r>
        <w:rPr>
          <w:i/>
          <w:spacing w:val="-7"/>
          <w:sz w:val="19"/>
        </w:rPr>
        <w:t xml:space="preserve"> </w:t>
      </w:r>
      <w:r>
        <w:rPr>
          <w:i/>
          <w:sz w:val="19"/>
        </w:rPr>
        <w:t>also</w:t>
      </w:r>
      <w:r>
        <w:rPr>
          <w:i/>
          <w:spacing w:val="-5"/>
          <w:sz w:val="19"/>
        </w:rPr>
        <w:t xml:space="preserve"> </w:t>
      </w:r>
      <w:r>
        <w:rPr>
          <w:sz w:val="19"/>
        </w:rPr>
        <w:t>Minister</w:t>
      </w:r>
      <w:r>
        <w:rPr>
          <w:spacing w:val="-5"/>
          <w:sz w:val="19"/>
        </w:rPr>
        <w:t xml:space="preserve"> </w:t>
      </w:r>
      <w:r>
        <w:rPr>
          <w:sz w:val="19"/>
        </w:rPr>
        <w:t>for</w:t>
      </w:r>
      <w:r>
        <w:rPr>
          <w:spacing w:val="-5"/>
          <w:sz w:val="19"/>
        </w:rPr>
        <w:t xml:space="preserve"> </w:t>
      </w:r>
      <w:r>
        <w:rPr>
          <w:sz w:val="19"/>
        </w:rPr>
        <w:t>Health,</w:t>
      </w:r>
      <w:r>
        <w:rPr>
          <w:spacing w:val="-5"/>
          <w:sz w:val="19"/>
        </w:rPr>
        <w:t xml:space="preserve"> </w:t>
      </w:r>
      <w:r>
        <w:rPr>
          <w:sz w:val="19"/>
        </w:rPr>
        <w:t>Disability</w:t>
      </w:r>
      <w:r>
        <w:rPr>
          <w:spacing w:val="-5"/>
          <w:sz w:val="19"/>
        </w:rPr>
        <w:t xml:space="preserve"> </w:t>
      </w:r>
      <w:r>
        <w:rPr>
          <w:sz w:val="19"/>
        </w:rPr>
        <w:t>and</w:t>
      </w:r>
      <w:r>
        <w:rPr>
          <w:spacing w:val="-14"/>
          <w:sz w:val="19"/>
        </w:rPr>
        <w:t xml:space="preserve"> </w:t>
      </w:r>
      <w:r>
        <w:rPr>
          <w:sz w:val="19"/>
        </w:rPr>
        <w:t xml:space="preserve">Ageing developments and significant events, </w:t>
      </w:r>
    </w:p>
    <w:p w14:paraId="08EA7A1E" w14:textId="74CAB222" w:rsidR="009D54AF" w:rsidRDefault="00000000">
      <w:pPr>
        <w:spacing w:before="1"/>
        <w:ind w:left="142"/>
        <w:rPr>
          <w:sz w:val="19"/>
        </w:rPr>
      </w:pPr>
      <w:r>
        <w:rPr>
          <w:sz w:val="19"/>
        </w:rPr>
        <w:t xml:space="preserve">diabetes, </w:t>
      </w:r>
    </w:p>
    <w:p w14:paraId="265B8F2A" w14:textId="4D283491" w:rsidR="009D54AF" w:rsidRDefault="00000000">
      <w:pPr>
        <w:spacing w:before="92"/>
        <w:ind w:left="142"/>
        <w:rPr>
          <w:sz w:val="19"/>
        </w:rPr>
      </w:pPr>
      <w:r>
        <w:rPr>
          <w:sz w:val="19"/>
        </w:rPr>
        <w:t>Diagnostic</w:t>
      </w:r>
      <w:r>
        <w:rPr>
          <w:spacing w:val="-8"/>
          <w:sz w:val="19"/>
        </w:rPr>
        <w:t xml:space="preserve"> </w:t>
      </w:r>
      <w:r>
        <w:rPr>
          <w:sz w:val="19"/>
        </w:rPr>
        <w:t>Imaging</w:t>
      </w:r>
      <w:r>
        <w:rPr>
          <w:spacing w:val="-13"/>
          <w:sz w:val="19"/>
        </w:rPr>
        <w:t xml:space="preserve"> </w:t>
      </w:r>
      <w:r>
        <w:rPr>
          <w:sz w:val="19"/>
        </w:rPr>
        <w:t>Accreditation</w:t>
      </w:r>
      <w:r>
        <w:rPr>
          <w:spacing w:val="-5"/>
          <w:sz w:val="19"/>
        </w:rPr>
        <w:t xml:space="preserve"> </w:t>
      </w:r>
      <w:r>
        <w:rPr>
          <w:sz w:val="19"/>
        </w:rPr>
        <w:t>Scheme,</w:t>
      </w:r>
      <w:r>
        <w:rPr>
          <w:spacing w:val="-4"/>
          <w:sz w:val="19"/>
        </w:rPr>
        <w:t xml:space="preserve"> </w:t>
      </w:r>
    </w:p>
    <w:p w14:paraId="219015ED" w14:textId="2B957287" w:rsidR="009D54AF" w:rsidRDefault="00000000">
      <w:pPr>
        <w:spacing w:before="93"/>
        <w:ind w:left="142"/>
        <w:rPr>
          <w:sz w:val="19"/>
        </w:rPr>
      </w:pPr>
      <w:r>
        <w:rPr>
          <w:sz w:val="19"/>
        </w:rPr>
        <w:t>digital</w:t>
      </w:r>
      <w:r>
        <w:rPr>
          <w:spacing w:val="-2"/>
          <w:sz w:val="19"/>
        </w:rPr>
        <w:t xml:space="preserve"> </w:t>
      </w:r>
      <w:r>
        <w:rPr>
          <w:sz w:val="19"/>
        </w:rPr>
        <w:t>health,</w:t>
      </w:r>
      <w:r>
        <w:rPr>
          <w:spacing w:val="-2"/>
          <w:sz w:val="19"/>
        </w:rPr>
        <w:t xml:space="preserve"> </w:t>
      </w:r>
    </w:p>
    <w:p w14:paraId="2FA5EC81" w14:textId="781EF321" w:rsidR="009D54AF" w:rsidRDefault="00000000">
      <w:pPr>
        <w:spacing w:before="92"/>
        <w:ind w:left="425"/>
        <w:rPr>
          <w:sz w:val="19"/>
        </w:rPr>
      </w:pPr>
      <w:r>
        <w:rPr>
          <w:sz w:val="19"/>
        </w:rPr>
        <w:t>electronic</w:t>
      </w:r>
      <w:r>
        <w:rPr>
          <w:spacing w:val="-3"/>
          <w:sz w:val="19"/>
        </w:rPr>
        <w:t xml:space="preserve"> </w:t>
      </w:r>
      <w:r>
        <w:rPr>
          <w:sz w:val="19"/>
        </w:rPr>
        <w:t>clinical</w:t>
      </w:r>
      <w:r>
        <w:rPr>
          <w:spacing w:val="-3"/>
          <w:sz w:val="19"/>
        </w:rPr>
        <w:t xml:space="preserve"> </w:t>
      </w:r>
      <w:r>
        <w:rPr>
          <w:sz w:val="19"/>
        </w:rPr>
        <w:t>decision</w:t>
      </w:r>
      <w:r>
        <w:rPr>
          <w:spacing w:val="-3"/>
          <w:sz w:val="19"/>
        </w:rPr>
        <w:t xml:space="preserve"> </w:t>
      </w:r>
      <w:r>
        <w:rPr>
          <w:sz w:val="19"/>
        </w:rPr>
        <w:t>support</w:t>
      </w:r>
      <w:r>
        <w:rPr>
          <w:spacing w:val="-3"/>
          <w:sz w:val="19"/>
        </w:rPr>
        <w:t xml:space="preserve"> </w:t>
      </w:r>
      <w:r>
        <w:rPr>
          <w:sz w:val="19"/>
        </w:rPr>
        <w:t>system,</w:t>
      </w:r>
      <w:r>
        <w:rPr>
          <w:spacing w:val="-2"/>
          <w:sz w:val="19"/>
        </w:rPr>
        <w:t xml:space="preserve"> </w:t>
      </w:r>
    </w:p>
    <w:p w14:paraId="0B6EEEAD" w14:textId="0D9E2824" w:rsidR="009D54AF" w:rsidRDefault="00000000">
      <w:pPr>
        <w:spacing w:before="92" w:line="340" w:lineRule="auto"/>
        <w:ind w:left="142" w:right="2068" w:firstLine="283"/>
        <w:rPr>
          <w:sz w:val="19"/>
        </w:rPr>
      </w:pPr>
      <w:r>
        <w:rPr>
          <w:i/>
          <w:sz w:val="19"/>
        </w:rPr>
        <w:t>see</w:t>
      </w:r>
      <w:r>
        <w:rPr>
          <w:i/>
          <w:spacing w:val="-3"/>
          <w:sz w:val="19"/>
        </w:rPr>
        <w:t xml:space="preserve"> </w:t>
      </w:r>
      <w:r>
        <w:rPr>
          <w:i/>
          <w:sz w:val="19"/>
        </w:rPr>
        <w:t>also</w:t>
      </w:r>
      <w:r>
        <w:rPr>
          <w:i/>
          <w:spacing w:val="-3"/>
          <w:sz w:val="19"/>
        </w:rPr>
        <w:t xml:space="preserve"> </w:t>
      </w:r>
      <w:r>
        <w:rPr>
          <w:sz w:val="19"/>
        </w:rPr>
        <w:t>artificial</w:t>
      </w:r>
      <w:r>
        <w:rPr>
          <w:spacing w:val="-3"/>
          <w:sz w:val="19"/>
        </w:rPr>
        <w:t xml:space="preserve"> </w:t>
      </w:r>
      <w:r>
        <w:rPr>
          <w:sz w:val="19"/>
        </w:rPr>
        <w:t>intelligence</w:t>
      </w:r>
      <w:r>
        <w:rPr>
          <w:spacing w:val="-3"/>
          <w:sz w:val="19"/>
        </w:rPr>
        <w:t xml:space="preserve"> </w:t>
      </w:r>
      <w:r>
        <w:rPr>
          <w:sz w:val="19"/>
        </w:rPr>
        <w:t>(AI);</w:t>
      </w:r>
      <w:r>
        <w:rPr>
          <w:spacing w:val="-3"/>
          <w:sz w:val="19"/>
        </w:rPr>
        <w:t xml:space="preserve"> </w:t>
      </w:r>
      <w:r>
        <w:rPr>
          <w:sz w:val="19"/>
        </w:rPr>
        <w:t>digitally</w:t>
      </w:r>
      <w:r>
        <w:rPr>
          <w:spacing w:val="-3"/>
          <w:sz w:val="19"/>
        </w:rPr>
        <w:t xml:space="preserve"> </w:t>
      </w:r>
      <w:r>
        <w:rPr>
          <w:sz w:val="19"/>
        </w:rPr>
        <w:t>enabled</w:t>
      </w:r>
      <w:r>
        <w:rPr>
          <w:spacing w:val="-3"/>
          <w:sz w:val="19"/>
        </w:rPr>
        <w:t xml:space="preserve"> </w:t>
      </w:r>
      <w:r>
        <w:rPr>
          <w:sz w:val="19"/>
        </w:rPr>
        <w:t>care;</w:t>
      </w:r>
      <w:r>
        <w:rPr>
          <w:spacing w:val="-3"/>
          <w:sz w:val="19"/>
        </w:rPr>
        <w:t xml:space="preserve"> </w:t>
      </w:r>
      <w:r>
        <w:rPr>
          <w:sz w:val="19"/>
        </w:rPr>
        <w:t>My</w:t>
      </w:r>
      <w:r>
        <w:rPr>
          <w:spacing w:val="-3"/>
          <w:sz w:val="19"/>
        </w:rPr>
        <w:t xml:space="preserve"> </w:t>
      </w:r>
      <w:r>
        <w:rPr>
          <w:sz w:val="19"/>
        </w:rPr>
        <w:t>Health</w:t>
      </w:r>
      <w:r>
        <w:rPr>
          <w:spacing w:val="-3"/>
          <w:sz w:val="19"/>
        </w:rPr>
        <w:t xml:space="preserve"> </w:t>
      </w:r>
      <w:r>
        <w:rPr>
          <w:sz w:val="19"/>
        </w:rPr>
        <w:t>Record</w:t>
      </w:r>
      <w:r>
        <w:rPr>
          <w:spacing w:val="-3"/>
          <w:sz w:val="19"/>
        </w:rPr>
        <w:t xml:space="preserve"> </w:t>
      </w:r>
      <w:r>
        <w:rPr>
          <w:sz w:val="19"/>
        </w:rPr>
        <w:t>system;</w:t>
      </w:r>
      <w:r>
        <w:rPr>
          <w:spacing w:val="-3"/>
          <w:sz w:val="19"/>
        </w:rPr>
        <w:t xml:space="preserve"> </w:t>
      </w:r>
      <w:r>
        <w:rPr>
          <w:sz w:val="19"/>
        </w:rPr>
        <w:t>virtual</w:t>
      </w:r>
      <w:r>
        <w:rPr>
          <w:spacing w:val="-3"/>
          <w:sz w:val="19"/>
        </w:rPr>
        <w:t xml:space="preserve"> </w:t>
      </w:r>
      <w:r>
        <w:rPr>
          <w:sz w:val="19"/>
        </w:rPr>
        <w:t xml:space="preserve">care Digital Mental Health Modules, </w:t>
      </w:r>
    </w:p>
    <w:p w14:paraId="39C72635" w14:textId="08A6A96C" w:rsidR="009D54AF" w:rsidRDefault="00000000">
      <w:pPr>
        <w:spacing w:before="2"/>
        <w:ind w:left="142"/>
        <w:rPr>
          <w:sz w:val="19"/>
        </w:rPr>
      </w:pPr>
      <w:r>
        <w:rPr>
          <w:sz w:val="19"/>
        </w:rPr>
        <w:t>digital</w:t>
      </w:r>
      <w:r>
        <w:rPr>
          <w:spacing w:val="-4"/>
          <w:sz w:val="19"/>
        </w:rPr>
        <w:t xml:space="preserve"> </w:t>
      </w:r>
      <w:r>
        <w:rPr>
          <w:sz w:val="19"/>
        </w:rPr>
        <w:t>mental</w:t>
      </w:r>
      <w:r>
        <w:rPr>
          <w:spacing w:val="-3"/>
          <w:sz w:val="19"/>
        </w:rPr>
        <w:t xml:space="preserve"> </w:t>
      </w:r>
      <w:r>
        <w:rPr>
          <w:sz w:val="19"/>
        </w:rPr>
        <w:t>health</w:t>
      </w:r>
      <w:r>
        <w:rPr>
          <w:spacing w:val="-3"/>
          <w:sz w:val="19"/>
        </w:rPr>
        <w:t xml:space="preserve"> </w:t>
      </w:r>
      <w:r>
        <w:rPr>
          <w:sz w:val="19"/>
        </w:rPr>
        <w:t>standards,</w:t>
      </w:r>
      <w:r>
        <w:rPr>
          <w:spacing w:val="-3"/>
          <w:sz w:val="19"/>
        </w:rPr>
        <w:t xml:space="preserve"> </w:t>
      </w:r>
    </w:p>
    <w:p w14:paraId="2811A469" w14:textId="2604D512" w:rsidR="009D54AF" w:rsidRDefault="00000000">
      <w:pPr>
        <w:spacing w:before="92"/>
        <w:ind w:left="142"/>
        <w:rPr>
          <w:sz w:val="19"/>
        </w:rPr>
      </w:pPr>
      <w:r>
        <w:rPr>
          <w:sz w:val="19"/>
        </w:rPr>
        <w:t>digitally</w:t>
      </w:r>
      <w:r>
        <w:rPr>
          <w:spacing w:val="-1"/>
          <w:sz w:val="19"/>
        </w:rPr>
        <w:t xml:space="preserve"> </w:t>
      </w:r>
      <w:r>
        <w:rPr>
          <w:sz w:val="19"/>
        </w:rPr>
        <w:t>enabled</w:t>
      </w:r>
      <w:r>
        <w:rPr>
          <w:spacing w:val="-1"/>
          <w:sz w:val="19"/>
        </w:rPr>
        <w:t xml:space="preserve"> </w:t>
      </w:r>
      <w:r>
        <w:rPr>
          <w:sz w:val="19"/>
        </w:rPr>
        <w:t>care,</w:t>
      </w:r>
      <w:r>
        <w:rPr>
          <w:spacing w:val="-1"/>
          <w:sz w:val="19"/>
        </w:rPr>
        <w:t xml:space="preserve"> </w:t>
      </w:r>
    </w:p>
    <w:p w14:paraId="47DD0BDD" w14:textId="77777777" w:rsidR="009D54AF" w:rsidRDefault="00000000">
      <w:pPr>
        <w:spacing w:before="22"/>
        <w:ind w:left="142"/>
        <w:rPr>
          <w:sz w:val="19"/>
        </w:rPr>
      </w:pPr>
      <w:r>
        <w:rPr>
          <w:i/>
          <w:sz w:val="19"/>
        </w:rPr>
        <w:t>see</w:t>
      </w:r>
      <w:r>
        <w:rPr>
          <w:i/>
          <w:spacing w:val="-4"/>
          <w:sz w:val="19"/>
        </w:rPr>
        <w:t xml:space="preserve"> </w:t>
      </w:r>
      <w:r>
        <w:rPr>
          <w:i/>
          <w:sz w:val="19"/>
        </w:rPr>
        <w:t>also</w:t>
      </w:r>
      <w:r>
        <w:rPr>
          <w:i/>
          <w:spacing w:val="-4"/>
          <w:sz w:val="19"/>
        </w:rPr>
        <w:t xml:space="preserve"> </w:t>
      </w:r>
      <w:r>
        <w:rPr>
          <w:sz w:val="19"/>
        </w:rPr>
        <w:t>virtual</w:t>
      </w:r>
      <w:r>
        <w:rPr>
          <w:spacing w:val="-3"/>
          <w:sz w:val="19"/>
        </w:rPr>
        <w:t xml:space="preserve"> </w:t>
      </w:r>
      <w:r>
        <w:rPr>
          <w:spacing w:val="-4"/>
          <w:sz w:val="19"/>
        </w:rPr>
        <w:t>care</w:t>
      </w:r>
    </w:p>
    <w:p w14:paraId="2EDCD499" w14:textId="1ECBFA9A" w:rsidR="006D22A6" w:rsidRDefault="00000000" w:rsidP="006D22A6">
      <w:pPr>
        <w:spacing w:before="92" w:line="278" w:lineRule="auto"/>
        <w:ind w:left="142" w:right="5466"/>
        <w:rPr>
          <w:sz w:val="19"/>
        </w:rPr>
      </w:pPr>
      <w:r>
        <w:rPr>
          <w:sz w:val="19"/>
        </w:rPr>
        <w:t>Digitally</w:t>
      </w:r>
      <w:r>
        <w:rPr>
          <w:spacing w:val="-8"/>
          <w:sz w:val="19"/>
        </w:rPr>
        <w:t xml:space="preserve"> </w:t>
      </w:r>
      <w:r>
        <w:rPr>
          <w:sz w:val="19"/>
        </w:rPr>
        <w:t>Enabled</w:t>
      </w:r>
      <w:r>
        <w:rPr>
          <w:spacing w:val="-6"/>
          <w:sz w:val="19"/>
        </w:rPr>
        <w:t xml:space="preserve"> </w:t>
      </w:r>
      <w:r>
        <w:rPr>
          <w:sz w:val="19"/>
        </w:rPr>
        <w:t>Care</w:t>
      </w:r>
      <w:r>
        <w:rPr>
          <w:spacing w:val="-14"/>
          <w:sz w:val="19"/>
        </w:rPr>
        <w:t xml:space="preserve"> </w:t>
      </w:r>
      <w:r>
        <w:rPr>
          <w:sz w:val="19"/>
        </w:rPr>
        <w:t>Advisory</w:t>
      </w:r>
      <w:r>
        <w:rPr>
          <w:spacing w:val="-5"/>
          <w:sz w:val="19"/>
        </w:rPr>
        <w:t xml:space="preserve"> </w:t>
      </w:r>
      <w:r>
        <w:rPr>
          <w:sz w:val="19"/>
        </w:rPr>
        <w:t>Committee,</w:t>
      </w:r>
      <w:r>
        <w:rPr>
          <w:spacing w:val="-6"/>
          <w:sz w:val="19"/>
        </w:rPr>
        <w:t xml:space="preserve"> </w:t>
      </w:r>
    </w:p>
    <w:p w14:paraId="061CEE36" w14:textId="0924C340" w:rsidR="009D54AF" w:rsidRDefault="00000000">
      <w:pPr>
        <w:spacing w:before="92" w:line="340" w:lineRule="auto"/>
        <w:ind w:left="142" w:right="5464"/>
        <w:rPr>
          <w:sz w:val="19"/>
        </w:rPr>
      </w:pPr>
      <w:r>
        <w:rPr>
          <w:sz w:val="19"/>
        </w:rPr>
        <w:t xml:space="preserve">Disability and Carers Network, </w:t>
      </w:r>
    </w:p>
    <w:p w14:paraId="5C6DB253" w14:textId="77777777" w:rsidR="006D22A6" w:rsidRDefault="00000000">
      <w:pPr>
        <w:spacing w:before="1" w:line="340" w:lineRule="auto"/>
        <w:ind w:left="142" w:right="4771"/>
        <w:rPr>
          <w:sz w:val="19"/>
        </w:rPr>
      </w:pPr>
      <w:r>
        <w:rPr>
          <w:sz w:val="19"/>
        </w:rPr>
        <w:t>disability</w:t>
      </w:r>
      <w:r>
        <w:rPr>
          <w:spacing w:val="-6"/>
          <w:sz w:val="19"/>
        </w:rPr>
        <w:t xml:space="preserve"> </w:t>
      </w:r>
      <w:r>
        <w:rPr>
          <w:sz w:val="19"/>
        </w:rPr>
        <w:t>services</w:t>
      </w:r>
      <w:r>
        <w:rPr>
          <w:spacing w:val="-6"/>
          <w:sz w:val="19"/>
        </w:rPr>
        <w:t xml:space="preserve"> </w:t>
      </w:r>
      <w:r>
        <w:rPr>
          <w:sz w:val="19"/>
        </w:rPr>
        <w:t>for</w:t>
      </w:r>
      <w:r>
        <w:rPr>
          <w:spacing w:val="-6"/>
          <w:sz w:val="19"/>
        </w:rPr>
        <w:t xml:space="preserve"> </w:t>
      </w:r>
      <w:r>
        <w:rPr>
          <w:sz w:val="19"/>
        </w:rPr>
        <w:t>people</w:t>
      </w:r>
      <w:r>
        <w:rPr>
          <w:spacing w:val="-6"/>
          <w:sz w:val="19"/>
        </w:rPr>
        <w:t xml:space="preserve"> </w:t>
      </w:r>
      <w:r>
        <w:rPr>
          <w:sz w:val="19"/>
        </w:rPr>
        <w:t>with</w:t>
      </w:r>
      <w:r>
        <w:rPr>
          <w:spacing w:val="-6"/>
          <w:sz w:val="19"/>
        </w:rPr>
        <w:t xml:space="preserve"> </w:t>
      </w:r>
      <w:r>
        <w:rPr>
          <w:sz w:val="19"/>
        </w:rPr>
        <w:t>intellectual</w:t>
      </w:r>
      <w:r>
        <w:rPr>
          <w:spacing w:val="-6"/>
          <w:sz w:val="19"/>
        </w:rPr>
        <w:t xml:space="preserve"> </w:t>
      </w:r>
      <w:r>
        <w:rPr>
          <w:sz w:val="19"/>
        </w:rPr>
        <w:t>disability,</w:t>
      </w:r>
      <w:r>
        <w:rPr>
          <w:spacing w:val="-6"/>
          <w:sz w:val="19"/>
        </w:rPr>
        <w:t xml:space="preserve"> </w:t>
      </w:r>
      <w:r>
        <w:rPr>
          <w:sz w:val="19"/>
        </w:rPr>
        <w:t xml:space="preserve"> </w:t>
      </w:r>
    </w:p>
    <w:p w14:paraId="1EEB47B0" w14:textId="1E3681E3" w:rsidR="009D54AF" w:rsidRDefault="00000000">
      <w:pPr>
        <w:spacing w:before="1" w:line="340" w:lineRule="auto"/>
        <w:ind w:left="142" w:right="4771"/>
        <w:rPr>
          <w:sz w:val="19"/>
        </w:rPr>
      </w:pPr>
      <w:r>
        <w:rPr>
          <w:sz w:val="19"/>
        </w:rPr>
        <w:t xml:space="preserve">discharge summaries, </w:t>
      </w:r>
    </w:p>
    <w:p w14:paraId="40D884F7" w14:textId="77777777" w:rsidR="006D22A6" w:rsidRDefault="00000000">
      <w:pPr>
        <w:spacing w:before="1" w:line="340" w:lineRule="auto"/>
        <w:ind w:left="142" w:right="7238"/>
        <w:rPr>
          <w:sz w:val="19"/>
        </w:rPr>
      </w:pPr>
      <w:r>
        <w:rPr>
          <w:sz w:val="19"/>
        </w:rPr>
        <w:t>Diversity</w:t>
      </w:r>
      <w:r>
        <w:rPr>
          <w:spacing w:val="-14"/>
          <w:sz w:val="19"/>
        </w:rPr>
        <w:t xml:space="preserve"> </w:t>
      </w:r>
      <w:r>
        <w:rPr>
          <w:sz w:val="19"/>
        </w:rPr>
        <w:t>Council</w:t>
      </w:r>
      <w:r>
        <w:rPr>
          <w:spacing w:val="-13"/>
          <w:sz w:val="19"/>
        </w:rPr>
        <w:t xml:space="preserve"> </w:t>
      </w:r>
      <w:r>
        <w:rPr>
          <w:sz w:val="19"/>
        </w:rPr>
        <w:t>Australia,</w:t>
      </w:r>
      <w:r>
        <w:rPr>
          <w:spacing w:val="-13"/>
          <w:sz w:val="19"/>
        </w:rPr>
        <w:t xml:space="preserve"> </w:t>
      </w:r>
      <w:r>
        <w:rPr>
          <w:sz w:val="19"/>
        </w:rPr>
        <w:t xml:space="preserve"> </w:t>
      </w:r>
    </w:p>
    <w:p w14:paraId="4329FC03" w14:textId="2276203B" w:rsidR="009D54AF" w:rsidRDefault="00000000">
      <w:pPr>
        <w:spacing w:before="1" w:line="340" w:lineRule="auto"/>
        <w:ind w:left="142" w:right="7238"/>
        <w:rPr>
          <w:sz w:val="19"/>
        </w:rPr>
      </w:pPr>
      <w:r>
        <w:rPr>
          <w:sz w:val="19"/>
        </w:rPr>
        <w:t xml:space="preserve">Duggan, Professor Anne, </w:t>
      </w:r>
    </w:p>
    <w:p w14:paraId="3CB5C719" w14:textId="02BE1EE4" w:rsidR="009D54AF" w:rsidRDefault="00000000">
      <w:pPr>
        <w:spacing w:before="2"/>
        <w:ind w:left="425"/>
        <w:rPr>
          <w:sz w:val="19"/>
        </w:rPr>
      </w:pPr>
      <w:r>
        <w:rPr>
          <w:sz w:val="19"/>
        </w:rPr>
        <w:t>CEO’s</w:t>
      </w:r>
      <w:r>
        <w:rPr>
          <w:spacing w:val="-5"/>
          <w:sz w:val="19"/>
        </w:rPr>
        <w:t xml:space="preserve"> </w:t>
      </w:r>
      <w:r>
        <w:rPr>
          <w:sz w:val="19"/>
        </w:rPr>
        <w:t>report,</w:t>
      </w:r>
      <w:r>
        <w:rPr>
          <w:spacing w:val="-5"/>
          <w:sz w:val="19"/>
        </w:rPr>
        <w:t xml:space="preserve"> </w:t>
      </w:r>
    </w:p>
    <w:p w14:paraId="24A3D2EA" w14:textId="34773E11" w:rsidR="009D54AF" w:rsidRDefault="00000000">
      <w:pPr>
        <w:spacing w:before="92"/>
        <w:ind w:left="425"/>
        <w:rPr>
          <w:sz w:val="19"/>
        </w:rPr>
      </w:pPr>
      <w:r>
        <w:rPr>
          <w:sz w:val="19"/>
        </w:rPr>
        <w:t>statement</w:t>
      </w:r>
      <w:r>
        <w:rPr>
          <w:spacing w:val="-3"/>
          <w:sz w:val="19"/>
        </w:rPr>
        <w:t xml:space="preserve"> </w:t>
      </w:r>
      <w:r>
        <w:rPr>
          <w:sz w:val="19"/>
        </w:rPr>
        <w:t>on</w:t>
      </w:r>
      <w:r>
        <w:rPr>
          <w:spacing w:val="-2"/>
          <w:sz w:val="19"/>
        </w:rPr>
        <w:t xml:space="preserve"> </w:t>
      </w:r>
      <w:r>
        <w:rPr>
          <w:sz w:val="19"/>
        </w:rPr>
        <w:t>financial</w:t>
      </w:r>
      <w:r>
        <w:rPr>
          <w:spacing w:val="-2"/>
          <w:sz w:val="19"/>
        </w:rPr>
        <w:t xml:space="preserve"> </w:t>
      </w:r>
      <w:r>
        <w:rPr>
          <w:sz w:val="19"/>
        </w:rPr>
        <w:t>statements,</w:t>
      </w:r>
      <w:r>
        <w:rPr>
          <w:spacing w:val="-2"/>
          <w:sz w:val="19"/>
        </w:rPr>
        <w:t xml:space="preserve"> </w:t>
      </w:r>
    </w:p>
    <w:p w14:paraId="3BDF23C4" w14:textId="77777777" w:rsidR="009D54AF" w:rsidRDefault="00000000">
      <w:pPr>
        <w:spacing w:before="92"/>
        <w:ind w:left="425"/>
        <w:rPr>
          <w:sz w:val="19"/>
        </w:rPr>
      </w:pPr>
      <w:r>
        <w:rPr>
          <w:i/>
          <w:sz w:val="19"/>
        </w:rPr>
        <w:t>see</w:t>
      </w:r>
      <w:r>
        <w:rPr>
          <w:i/>
          <w:spacing w:val="-4"/>
          <w:sz w:val="19"/>
        </w:rPr>
        <w:t xml:space="preserve"> </w:t>
      </w:r>
      <w:r>
        <w:rPr>
          <w:i/>
          <w:sz w:val="19"/>
        </w:rPr>
        <w:t>also</w:t>
      </w:r>
      <w:r>
        <w:rPr>
          <w:i/>
          <w:spacing w:val="-3"/>
          <w:sz w:val="19"/>
        </w:rPr>
        <w:t xml:space="preserve"> </w:t>
      </w:r>
      <w:r>
        <w:rPr>
          <w:sz w:val="19"/>
        </w:rPr>
        <w:t>Chief</w:t>
      </w:r>
      <w:r>
        <w:rPr>
          <w:spacing w:val="-3"/>
          <w:sz w:val="19"/>
        </w:rPr>
        <w:t xml:space="preserve"> </w:t>
      </w:r>
      <w:r>
        <w:rPr>
          <w:sz w:val="19"/>
        </w:rPr>
        <w:t>Executive</w:t>
      </w:r>
      <w:r>
        <w:rPr>
          <w:spacing w:val="-3"/>
          <w:sz w:val="19"/>
        </w:rPr>
        <w:t xml:space="preserve"> </w:t>
      </w:r>
      <w:r>
        <w:rPr>
          <w:spacing w:val="-2"/>
          <w:sz w:val="19"/>
        </w:rPr>
        <w:t>Officer</w:t>
      </w:r>
    </w:p>
    <w:p w14:paraId="7A6BD7FD" w14:textId="77777777" w:rsidR="009D54AF" w:rsidRDefault="00000000">
      <w:pPr>
        <w:pStyle w:val="Heading4"/>
        <w:spacing w:before="280"/>
      </w:pPr>
      <w:r>
        <w:rPr>
          <w:spacing w:val="-10"/>
        </w:rPr>
        <w:t>E</w:t>
      </w:r>
    </w:p>
    <w:p w14:paraId="1649F12F" w14:textId="14FDCA95" w:rsidR="009D54AF" w:rsidRDefault="00000000">
      <w:pPr>
        <w:spacing w:before="111" w:line="340" w:lineRule="auto"/>
        <w:ind w:left="142" w:right="7238"/>
        <w:rPr>
          <w:sz w:val="19"/>
        </w:rPr>
      </w:pPr>
      <w:r>
        <w:rPr>
          <w:sz w:val="19"/>
        </w:rPr>
        <w:t>East</w:t>
      </w:r>
      <w:r>
        <w:rPr>
          <w:spacing w:val="-9"/>
          <w:sz w:val="19"/>
        </w:rPr>
        <w:t xml:space="preserve"> </w:t>
      </w:r>
      <w:r>
        <w:rPr>
          <w:sz w:val="19"/>
        </w:rPr>
        <w:t>Java</w:t>
      </w:r>
      <w:r>
        <w:rPr>
          <w:spacing w:val="-9"/>
          <w:sz w:val="19"/>
        </w:rPr>
        <w:t xml:space="preserve"> </w:t>
      </w:r>
      <w:r>
        <w:rPr>
          <w:sz w:val="19"/>
        </w:rPr>
        <w:t>University</w:t>
      </w:r>
      <w:r>
        <w:rPr>
          <w:spacing w:val="-9"/>
          <w:sz w:val="19"/>
        </w:rPr>
        <w:t xml:space="preserve"> </w:t>
      </w:r>
      <w:r>
        <w:rPr>
          <w:sz w:val="19"/>
        </w:rPr>
        <w:t>Consortium,</w:t>
      </w:r>
      <w:r>
        <w:rPr>
          <w:spacing w:val="-9"/>
          <w:sz w:val="19"/>
        </w:rPr>
        <w:t xml:space="preserve"> </w:t>
      </w:r>
      <w:r>
        <w:rPr>
          <w:sz w:val="19"/>
        </w:rPr>
        <w:t xml:space="preserve">Easy Read fact sheets, </w:t>
      </w:r>
    </w:p>
    <w:p w14:paraId="377BF4ED" w14:textId="696AF7A5" w:rsidR="006D22A6" w:rsidRDefault="00000000">
      <w:pPr>
        <w:spacing w:before="2" w:line="340" w:lineRule="auto"/>
        <w:ind w:left="142" w:right="5609"/>
        <w:rPr>
          <w:sz w:val="19"/>
        </w:rPr>
      </w:pPr>
      <w:r>
        <w:rPr>
          <w:sz w:val="19"/>
        </w:rPr>
        <w:t xml:space="preserve">ecologically sustainable development, </w:t>
      </w:r>
    </w:p>
    <w:p w14:paraId="2DB65DAF" w14:textId="2C458FBD" w:rsidR="009D54AF" w:rsidRDefault="00000000">
      <w:pPr>
        <w:spacing w:before="2" w:line="340" w:lineRule="auto"/>
        <w:ind w:left="142" w:right="5609"/>
        <w:rPr>
          <w:sz w:val="19"/>
        </w:rPr>
      </w:pPr>
      <w:r>
        <w:rPr>
          <w:sz w:val="19"/>
        </w:rPr>
        <w:t>electricity</w:t>
      </w:r>
      <w:r>
        <w:rPr>
          <w:spacing w:val="-6"/>
          <w:sz w:val="19"/>
        </w:rPr>
        <w:t xml:space="preserve"> </w:t>
      </w:r>
      <w:r>
        <w:rPr>
          <w:sz w:val="19"/>
        </w:rPr>
        <w:t>usage</w:t>
      </w:r>
      <w:r>
        <w:rPr>
          <w:spacing w:val="-6"/>
          <w:sz w:val="19"/>
        </w:rPr>
        <w:t xml:space="preserve"> </w:t>
      </w:r>
      <w:r>
        <w:rPr>
          <w:sz w:val="19"/>
        </w:rPr>
        <w:t>and</w:t>
      </w:r>
      <w:r>
        <w:rPr>
          <w:spacing w:val="-6"/>
          <w:sz w:val="19"/>
        </w:rPr>
        <w:t xml:space="preserve"> </w:t>
      </w:r>
      <w:r>
        <w:rPr>
          <w:sz w:val="19"/>
        </w:rPr>
        <w:t>greenhouse</w:t>
      </w:r>
      <w:r>
        <w:rPr>
          <w:spacing w:val="-6"/>
          <w:sz w:val="19"/>
        </w:rPr>
        <w:t xml:space="preserve"> </w:t>
      </w:r>
      <w:r>
        <w:rPr>
          <w:sz w:val="19"/>
        </w:rPr>
        <w:t>gas</w:t>
      </w:r>
      <w:r>
        <w:rPr>
          <w:spacing w:val="-6"/>
          <w:sz w:val="19"/>
        </w:rPr>
        <w:t xml:space="preserve"> </w:t>
      </w:r>
      <w:r>
        <w:rPr>
          <w:sz w:val="19"/>
        </w:rPr>
        <w:t xml:space="preserve">emissions, electronic discharge summaries, </w:t>
      </w:r>
    </w:p>
    <w:p w14:paraId="4834D299" w14:textId="22C2E5F0" w:rsidR="009D54AF" w:rsidRDefault="00000000">
      <w:pPr>
        <w:spacing w:before="1" w:line="340" w:lineRule="auto"/>
        <w:ind w:left="142" w:right="4880"/>
        <w:rPr>
          <w:sz w:val="19"/>
        </w:rPr>
      </w:pPr>
      <w:r>
        <w:rPr>
          <w:sz w:val="19"/>
        </w:rPr>
        <w:t xml:space="preserve">electronic health records </w:t>
      </w:r>
      <w:r>
        <w:rPr>
          <w:i/>
          <w:sz w:val="19"/>
        </w:rPr>
        <w:t xml:space="preserve">see </w:t>
      </w:r>
      <w:r>
        <w:rPr>
          <w:sz w:val="19"/>
        </w:rPr>
        <w:t>My Health Record system Electronic</w:t>
      </w:r>
      <w:r>
        <w:rPr>
          <w:spacing w:val="-9"/>
          <w:sz w:val="19"/>
        </w:rPr>
        <w:t xml:space="preserve"> </w:t>
      </w:r>
      <w:r>
        <w:rPr>
          <w:sz w:val="19"/>
        </w:rPr>
        <w:t>Medication</w:t>
      </w:r>
      <w:r>
        <w:rPr>
          <w:spacing w:val="-9"/>
          <w:sz w:val="19"/>
        </w:rPr>
        <w:t xml:space="preserve"> </w:t>
      </w:r>
      <w:r>
        <w:rPr>
          <w:sz w:val="19"/>
        </w:rPr>
        <w:t>Management</w:t>
      </w:r>
      <w:r>
        <w:rPr>
          <w:spacing w:val="-9"/>
          <w:sz w:val="19"/>
        </w:rPr>
        <w:t xml:space="preserve"> </w:t>
      </w:r>
      <w:r>
        <w:rPr>
          <w:sz w:val="19"/>
        </w:rPr>
        <w:t>Self-Assessment</w:t>
      </w:r>
      <w:r>
        <w:rPr>
          <w:spacing w:val="-12"/>
          <w:sz w:val="19"/>
        </w:rPr>
        <w:t xml:space="preserve"> </w:t>
      </w:r>
      <w:r>
        <w:rPr>
          <w:sz w:val="19"/>
        </w:rPr>
        <w:t>Tool,</w:t>
      </w:r>
      <w:r>
        <w:rPr>
          <w:spacing w:val="-9"/>
          <w:sz w:val="19"/>
        </w:rPr>
        <w:t xml:space="preserve"> </w:t>
      </w:r>
    </w:p>
    <w:p w14:paraId="1B06FA65" w14:textId="7EC20D67" w:rsidR="006D22A6" w:rsidRDefault="00000000">
      <w:pPr>
        <w:spacing w:before="2" w:line="340" w:lineRule="auto"/>
        <w:ind w:left="142" w:right="3776"/>
        <w:rPr>
          <w:sz w:val="19"/>
        </w:rPr>
      </w:pPr>
      <w:r>
        <w:rPr>
          <w:sz w:val="19"/>
        </w:rPr>
        <w:t>Emergency</w:t>
      </w:r>
      <w:r>
        <w:rPr>
          <w:spacing w:val="-4"/>
          <w:sz w:val="19"/>
        </w:rPr>
        <w:t xml:space="preserve"> </w:t>
      </w:r>
      <w:r>
        <w:rPr>
          <w:sz w:val="19"/>
        </w:rPr>
        <w:t>Laparotomy</w:t>
      </w:r>
      <w:r>
        <w:rPr>
          <w:spacing w:val="-4"/>
          <w:sz w:val="19"/>
        </w:rPr>
        <w:t xml:space="preserve"> </w:t>
      </w:r>
      <w:r>
        <w:rPr>
          <w:sz w:val="19"/>
        </w:rPr>
        <w:t>Clinical</w:t>
      </w:r>
      <w:r>
        <w:rPr>
          <w:spacing w:val="-4"/>
          <w:sz w:val="19"/>
        </w:rPr>
        <w:t xml:space="preserve"> </w:t>
      </w:r>
      <w:r>
        <w:rPr>
          <w:sz w:val="19"/>
        </w:rPr>
        <w:t>Care</w:t>
      </w:r>
      <w:r>
        <w:rPr>
          <w:spacing w:val="-4"/>
          <w:sz w:val="19"/>
        </w:rPr>
        <w:t xml:space="preserve"> </w:t>
      </w:r>
      <w:r>
        <w:rPr>
          <w:sz w:val="19"/>
        </w:rPr>
        <w:t>Standard,</w:t>
      </w:r>
      <w:r>
        <w:rPr>
          <w:spacing w:val="-4"/>
          <w:sz w:val="19"/>
        </w:rPr>
        <w:t xml:space="preserve"> </w:t>
      </w:r>
    </w:p>
    <w:p w14:paraId="2D80111F" w14:textId="39F58548" w:rsidR="009D54AF" w:rsidRDefault="00000000">
      <w:pPr>
        <w:spacing w:before="2" w:line="340" w:lineRule="auto"/>
        <w:ind w:left="142" w:right="3776"/>
        <w:rPr>
          <w:sz w:val="19"/>
        </w:rPr>
      </w:pPr>
      <w:r>
        <w:rPr>
          <w:sz w:val="19"/>
        </w:rPr>
        <w:t xml:space="preserve">employees </w:t>
      </w:r>
      <w:r>
        <w:rPr>
          <w:i/>
          <w:sz w:val="19"/>
        </w:rPr>
        <w:t xml:space="preserve">see </w:t>
      </w:r>
      <w:r>
        <w:rPr>
          <w:sz w:val="19"/>
        </w:rPr>
        <w:t>staff</w:t>
      </w:r>
    </w:p>
    <w:p w14:paraId="251DAE6D" w14:textId="21FEDC40" w:rsidR="009D54AF" w:rsidRDefault="00000000">
      <w:pPr>
        <w:spacing w:before="1" w:line="340" w:lineRule="auto"/>
        <w:ind w:left="142" w:right="6543"/>
        <w:rPr>
          <w:sz w:val="19"/>
        </w:rPr>
      </w:pPr>
      <w:r>
        <w:rPr>
          <w:sz w:val="19"/>
        </w:rPr>
        <w:t>enabling</w:t>
      </w:r>
      <w:r>
        <w:rPr>
          <w:spacing w:val="-9"/>
          <w:sz w:val="19"/>
        </w:rPr>
        <w:t xml:space="preserve"> </w:t>
      </w:r>
      <w:r>
        <w:rPr>
          <w:sz w:val="19"/>
        </w:rPr>
        <w:t>legislation</w:t>
      </w:r>
      <w:r>
        <w:rPr>
          <w:spacing w:val="-9"/>
          <w:sz w:val="19"/>
        </w:rPr>
        <w:t xml:space="preserve"> </w:t>
      </w:r>
      <w:r>
        <w:rPr>
          <w:i/>
          <w:sz w:val="19"/>
        </w:rPr>
        <w:t>see</w:t>
      </w:r>
      <w:r>
        <w:rPr>
          <w:i/>
          <w:spacing w:val="-9"/>
          <w:sz w:val="19"/>
        </w:rPr>
        <w:t xml:space="preserve"> </w:t>
      </w:r>
      <w:r>
        <w:rPr>
          <w:sz w:val="19"/>
        </w:rPr>
        <w:t>legislative</w:t>
      </w:r>
      <w:r>
        <w:rPr>
          <w:spacing w:val="-9"/>
          <w:sz w:val="19"/>
        </w:rPr>
        <w:t xml:space="preserve"> </w:t>
      </w:r>
      <w:r>
        <w:rPr>
          <w:sz w:val="19"/>
        </w:rPr>
        <w:t xml:space="preserve">framework end-of-life, </w:t>
      </w:r>
    </w:p>
    <w:p w14:paraId="7EB94F1B" w14:textId="42FFFE7D" w:rsidR="009D54AF" w:rsidRDefault="00000000">
      <w:pPr>
        <w:spacing w:before="1"/>
        <w:ind w:left="142"/>
        <w:rPr>
          <w:sz w:val="19"/>
        </w:rPr>
      </w:pPr>
      <w:r>
        <w:rPr>
          <w:sz w:val="19"/>
        </w:rPr>
        <w:t>end-of-life</w:t>
      </w:r>
      <w:r>
        <w:rPr>
          <w:spacing w:val="-5"/>
          <w:sz w:val="19"/>
        </w:rPr>
        <w:t xml:space="preserve"> </w:t>
      </w:r>
      <w:r>
        <w:rPr>
          <w:sz w:val="19"/>
        </w:rPr>
        <w:t>care,</w:t>
      </w:r>
      <w:r>
        <w:rPr>
          <w:spacing w:val="-5"/>
          <w:sz w:val="19"/>
        </w:rPr>
        <w:t xml:space="preserve"> </w:t>
      </w:r>
    </w:p>
    <w:p w14:paraId="261CB1E6" w14:textId="3E43B9AD" w:rsidR="009D54AF" w:rsidRDefault="00000000">
      <w:pPr>
        <w:spacing w:before="93"/>
        <w:ind w:left="142"/>
        <w:rPr>
          <w:sz w:val="19"/>
        </w:rPr>
      </w:pPr>
      <w:r>
        <w:rPr>
          <w:sz w:val="19"/>
        </w:rPr>
        <w:t>enquiries</w:t>
      </w:r>
      <w:r>
        <w:rPr>
          <w:spacing w:val="-2"/>
          <w:sz w:val="19"/>
        </w:rPr>
        <w:t xml:space="preserve"> </w:t>
      </w:r>
      <w:r>
        <w:rPr>
          <w:sz w:val="19"/>
        </w:rPr>
        <w:t>to</w:t>
      </w:r>
      <w:r>
        <w:rPr>
          <w:spacing w:val="-12"/>
          <w:sz w:val="19"/>
        </w:rPr>
        <w:t xml:space="preserve"> </w:t>
      </w:r>
      <w:r>
        <w:rPr>
          <w:sz w:val="19"/>
        </w:rPr>
        <w:t>Advice</w:t>
      </w:r>
      <w:r>
        <w:rPr>
          <w:spacing w:val="-2"/>
          <w:sz w:val="19"/>
        </w:rPr>
        <w:t xml:space="preserve"> </w:t>
      </w:r>
      <w:r>
        <w:rPr>
          <w:sz w:val="19"/>
        </w:rPr>
        <w:t>Centre,</w:t>
      </w:r>
      <w:r>
        <w:rPr>
          <w:spacing w:val="-1"/>
          <w:sz w:val="19"/>
        </w:rPr>
        <w:t xml:space="preserve"> </w:t>
      </w:r>
    </w:p>
    <w:p w14:paraId="2B865A5D" w14:textId="238A9ECD" w:rsidR="009D54AF" w:rsidRDefault="00000000">
      <w:pPr>
        <w:spacing w:before="70"/>
        <w:ind w:left="142"/>
        <w:rPr>
          <w:sz w:val="19"/>
        </w:rPr>
      </w:pPr>
      <w:r>
        <w:rPr>
          <w:sz w:val="19"/>
        </w:rPr>
        <w:t>Enterprise</w:t>
      </w:r>
      <w:r>
        <w:rPr>
          <w:spacing w:val="-14"/>
          <w:sz w:val="19"/>
        </w:rPr>
        <w:t xml:space="preserve"> </w:t>
      </w:r>
      <w:r>
        <w:rPr>
          <w:sz w:val="19"/>
        </w:rPr>
        <w:t>Agreement</w:t>
      </w:r>
      <w:r>
        <w:rPr>
          <w:spacing w:val="-3"/>
          <w:sz w:val="19"/>
        </w:rPr>
        <w:t xml:space="preserve"> </w:t>
      </w:r>
      <w:r>
        <w:rPr>
          <w:sz w:val="19"/>
        </w:rPr>
        <w:t>2024–2027,</w:t>
      </w:r>
      <w:r>
        <w:rPr>
          <w:spacing w:val="-3"/>
          <w:sz w:val="19"/>
        </w:rPr>
        <w:t xml:space="preserve"> </w:t>
      </w:r>
    </w:p>
    <w:p w14:paraId="5C457B2C" w14:textId="2867741D" w:rsidR="009D54AF" w:rsidRDefault="00000000">
      <w:pPr>
        <w:spacing w:before="92"/>
        <w:ind w:left="142"/>
        <w:rPr>
          <w:sz w:val="19"/>
        </w:rPr>
      </w:pPr>
      <w:r>
        <w:rPr>
          <w:i/>
          <w:sz w:val="19"/>
        </w:rPr>
        <w:t>Environment</w:t>
      </w:r>
      <w:r>
        <w:rPr>
          <w:i/>
          <w:spacing w:val="-4"/>
          <w:sz w:val="19"/>
        </w:rPr>
        <w:t xml:space="preserve"> </w:t>
      </w:r>
      <w:r>
        <w:rPr>
          <w:i/>
          <w:sz w:val="19"/>
        </w:rPr>
        <w:t>Protection</w:t>
      </w:r>
      <w:r>
        <w:rPr>
          <w:i/>
          <w:spacing w:val="-4"/>
          <w:sz w:val="19"/>
        </w:rPr>
        <w:t xml:space="preserve"> </w:t>
      </w:r>
      <w:r>
        <w:rPr>
          <w:i/>
          <w:sz w:val="19"/>
        </w:rPr>
        <w:t>and</w:t>
      </w:r>
      <w:r>
        <w:rPr>
          <w:i/>
          <w:spacing w:val="-4"/>
          <w:sz w:val="19"/>
        </w:rPr>
        <w:t xml:space="preserve"> </w:t>
      </w:r>
      <w:r>
        <w:rPr>
          <w:i/>
          <w:sz w:val="19"/>
        </w:rPr>
        <w:t>Biodiversity</w:t>
      </w:r>
      <w:r>
        <w:rPr>
          <w:i/>
          <w:spacing w:val="-4"/>
          <w:sz w:val="19"/>
        </w:rPr>
        <w:t xml:space="preserve"> </w:t>
      </w:r>
      <w:r>
        <w:rPr>
          <w:i/>
          <w:sz w:val="19"/>
        </w:rPr>
        <w:t>Conservation</w:t>
      </w:r>
      <w:r>
        <w:rPr>
          <w:i/>
          <w:spacing w:val="-10"/>
          <w:sz w:val="19"/>
        </w:rPr>
        <w:t xml:space="preserve"> </w:t>
      </w:r>
      <w:r>
        <w:rPr>
          <w:i/>
          <w:sz w:val="19"/>
        </w:rPr>
        <w:t>Act</w:t>
      </w:r>
      <w:r>
        <w:rPr>
          <w:i/>
          <w:spacing w:val="-4"/>
          <w:sz w:val="19"/>
        </w:rPr>
        <w:t xml:space="preserve"> </w:t>
      </w:r>
      <w:r>
        <w:rPr>
          <w:i/>
          <w:sz w:val="19"/>
        </w:rPr>
        <w:t>1999</w:t>
      </w:r>
      <w:r>
        <w:rPr>
          <w:sz w:val="19"/>
        </w:rPr>
        <w:t>,</w:t>
      </w:r>
      <w:r>
        <w:rPr>
          <w:spacing w:val="-4"/>
          <w:sz w:val="19"/>
        </w:rPr>
        <w:t xml:space="preserve"> </w:t>
      </w:r>
    </w:p>
    <w:p w14:paraId="70933B92" w14:textId="6972FF9A" w:rsidR="009D54AF" w:rsidRDefault="00000000">
      <w:pPr>
        <w:spacing w:before="93"/>
        <w:ind w:left="142"/>
        <w:rPr>
          <w:sz w:val="19"/>
        </w:rPr>
      </w:pPr>
      <w:r>
        <w:rPr>
          <w:sz w:val="19"/>
        </w:rPr>
        <w:t>environmental</w:t>
      </w:r>
      <w:r>
        <w:rPr>
          <w:spacing w:val="-6"/>
          <w:sz w:val="19"/>
        </w:rPr>
        <w:t xml:space="preserve"> </w:t>
      </w:r>
      <w:r>
        <w:rPr>
          <w:sz w:val="19"/>
        </w:rPr>
        <w:t>performance,</w:t>
      </w:r>
      <w:r>
        <w:rPr>
          <w:spacing w:val="-5"/>
          <w:sz w:val="19"/>
        </w:rPr>
        <w:t xml:space="preserve"> </w:t>
      </w:r>
    </w:p>
    <w:p w14:paraId="5B614227" w14:textId="67694E98" w:rsidR="009D54AF" w:rsidRDefault="00000000">
      <w:pPr>
        <w:spacing w:before="92"/>
        <w:ind w:left="142"/>
        <w:rPr>
          <w:sz w:val="19"/>
        </w:rPr>
      </w:pPr>
      <w:r>
        <w:rPr>
          <w:sz w:val="19"/>
        </w:rPr>
        <w:t>environmental</w:t>
      </w:r>
      <w:r>
        <w:rPr>
          <w:spacing w:val="-6"/>
          <w:sz w:val="19"/>
        </w:rPr>
        <w:t xml:space="preserve"> </w:t>
      </w:r>
      <w:r>
        <w:rPr>
          <w:sz w:val="19"/>
        </w:rPr>
        <w:t>sustainability,</w:t>
      </w:r>
      <w:r>
        <w:rPr>
          <w:spacing w:val="-5"/>
          <w:sz w:val="19"/>
        </w:rPr>
        <w:t xml:space="preserve"> </w:t>
      </w:r>
    </w:p>
    <w:p w14:paraId="3D33C495" w14:textId="643EBFB4" w:rsidR="009D54AF" w:rsidRDefault="00000000">
      <w:pPr>
        <w:spacing w:before="93"/>
        <w:ind w:left="142"/>
        <w:rPr>
          <w:sz w:val="19"/>
        </w:rPr>
      </w:pPr>
      <w:r>
        <w:rPr>
          <w:sz w:val="19"/>
        </w:rPr>
        <w:t>ethical</w:t>
      </w:r>
      <w:r>
        <w:rPr>
          <w:spacing w:val="-3"/>
          <w:sz w:val="19"/>
        </w:rPr>
        <w:t xml:space="preserve"> </w:t>
      </w:r>
      <w:r>
        <w:rPr>
          <w:sz w:val="19"/>
        </w:rPr>
        <w:t>standards,</w:t>
      </w:r>
      <w:r>
        <w:rPr>
          <w:spacing w:val="-3"/>
          <w:sz w:val="19"/>
        </w:rPr>
        <w:t xml:space="preserve"> </w:t>
      </w:r>
    </w:p>
    <w:p w14:paraId="06096FFC" w14:textId="41ADCE5E" w:rsidR="009D54AF" w:rsidRDefault="00000000">
      <w:pPr>
        <w:spacing w:before="92"/>
        <w:ind w:left="142"/>
        <w:rPr>
          <w:sz w:val="19"/>
        </w:rPr>
      </w:pPr>
      <w:r>
        <w:rPr>
          <w:sz w:val="19"/>
        </w:rPr>
        <w:t>evidence-based</w:t>
      </w:r>
      <w:r>
        <w:rPr>
          <w:spacing w:val="-7"/>
          <w:sz w:val="19"/>
        </w:rPr>
        <w:t xml:space="preserve"> </w:t>
      </w:r>
      <w:r>
        <w:rPr>
          <w:sz w:val="19"/>
        </w:rPr>
        <w:t>practice,</w:t>
      </w:r>
      <w:r>
        <w:rPr>
          <w:spacing w:val="-6"/>
          <w:sz w:val="19"/>
        </w:rPr>
        <w:t xml:space="preserve"> </w:t>
      </w:r>
    </w:p>
    <w:p w14:paraId="3319C095" w14:textId="0875476A" w:rsidR="009D54AF" w:rsidRDefault="00000000">
      <w:pPr>
        <w:spacing w:before="92"/>
        <w:ind w:left="142"/>
        <w:rPr>
          <w:sz w:val="19"/>
        </w:rPr>
      </w:pPr>
      <w:r>
        <w:rPr>
          <w:sz w:val="19"/>
        </w:rPr>
        <w:t>Executive</w:t>
      </w:r>
      <w:r>
        <w:rPr>
          <w:spacing w:val="-4"/>
          <w:sz w:val="19"/>
        </w:rPr>
        <w:t xml:space="preserve"> </w:t>
      </w:r>
      <w:r>
        <w:rPr>
          <w:sz w:val="19"/>
        </w:rPr>
        <w:t>Directors,</w:t>
      </w:r>
      <w:r>
        <w:rPr>
          <w:spacing w:val="-4"/>
          <w:sz w:val="19"/>
        </w:rPr>
        <w:t xml:space="preserve"> </w:t>
      </w:r>
    </w:p>
    <w:p w14:paraId="7DFDEA25" w14:textId="0FD3807D" w:rsidR="009D54AF" w:rsidRDefault="00000000">
      <w:pPr>
        <w:spacing w:before="93"/>
        <w:ind w:left="142"/>
        <w:rPr>
          <w:sz w:val="19"/>
        </w:rPr>
      </w:pPr>
      <w:r>
        <w:rPr>
          <w:sz w:val="19"/>
        </w:rPr>
        <w:t>executive</w:t>
      </w:r>
      <w:r>
        <w:rPr>
          <w:spacing w:val="-6"/>
          <w:sz w:val="19"/>
        </w:rPr>
        <w:t xml:space="preserve"> </w:t>
      </w:r>
      <w:r>
        <w:rPr>
          <w:sz w:val="19"/>
        </w:rPr>
        <w:t>remuneration,</w:t>
      </w:r>
      <w:r>
        <w:rPr>
          <w:spacing w:val="-5"/>
          <w:sz w:val="19"/>
        </w:rPr>
        <w:t xml:space="preserve"> </w:t>
      </w:r>
    </w:p>
    <w:p w14:paraId="110C7B5D" w14:textId="33468316" w:rsidR="009D54AF" w:rsidRDefault="00000000">
      <w:pPr>
        <w:spacing w:before="92"/>
        <w:ind w:left="142"/>
        <w:rPr>
          <w:sz w:val="19"/>
        </w:rPr>
      </w:pPr>
      <w:r>
        <w:rPr>
          <w:spacing w:val="-2"/>
          <w:sz w:val="19"/>
        </w:rPr>
        <w:lastRenderedPageBreak/>
        <w:t>Executive</w:t>
      </w:r>
      <w:r>
        <w:rPr>
          <w:spacing w:val="-5"/>
          <w:sz w:val="19"/>
        </w:rPr>
        <w:t xml:space="preserve"> </w:t>
      </w:r>
      <w:r>
        <w:rPr>
          <w:spacing w:val="-2"/>
          <w:sz w:val="19"/>
        </w:rPr>
        <w:t>Team,</w:t>
      </w:r>
      <w:r>
        <w:rPr>
          <w:spacing w:val="-1"/>
          <w:sz w:val="19"/>
        </w:rPr>
        <w:t xml:space="preserve"> </w:t>
      </w:r>
    </w:p>
    <w:p w14:paraId="26E5643F" w14:textId="608E2C3A" w:rsidR="009D54AF" w:rsidRDefault="00000000">
      <w:pPr>
        <w:spacing w:before="93"/>
        <w:ind w:left="142"/>
        <w:rPr>
          <w:sz w:val="19"/>
        </w:rPr>
      </w:pPr>
      <w:r>
        <w:rPr>
          <w:sz w:val="19"/>
        </w:rPr>
        <w:t>external</w:t>
      </w:r>
      <w:r>
        <w:rPr>
          <w:spacing w:val="-11"/>
          <w:sz w:val="19"/>
        </w:rPr>
        <w:t xml:space="preserve"> </w:t>
      </w:r>
      <w:r>
        <w:rPr>
          <w:sz w:val="19"/>
        </w:rPr>
        <w:t>scrutiny,</w:t>
      </w:r>
      <w:r>
        <w:rPr>
          <w:spacing w:val="-10"/>
          <w:sz w:val="19"/>
        </w:rPr>
        <w:t xml:space="preserve"> </w:t>
      </w:r>
    </w:p>
    <w:p w14:paraId="494386F9" w14:textId="77777777" w:rsidR="009D54AF" w:rsidRDefault="009D54AF">
      <w:pPr>
        <w:pStyle w:val="BodyText"/>
        <w:spacing w:before="60"/>
        <w:rPr>
          <w:sz w:val="19"/>
        </w:rPr>
      </w:pPr>
    </w:p>
    <w:p w14:paraId="3FCC1C9C" w14:textId="77777777" w:rsidR="006D22A6" w:rsidRDefault="006D22A6">
      <w:pPr>
        <w:rPr>
          <w:b/>
          <w:bCs/>
          <w:spacing w:val="-10"/>
          <w:sz w:val="30"/>
          <w:szCs w:val="30"/>
        </w:rPr>
      </w:pPr>
      <w:r>
        <w:rPr>
          <w:spacing w:val="-10"/>
        </w:rPr>
        <w:br w:type="page"/>
      </w:r>
    </w:p>
    <w:p w14:paraId="3E9DE03D" w14:textId="49438EDA" w:rsidR="009D54AF" w:rsidRDefault="00000000">
      <w:pPr>
        <w:pStyle w:val="Heading4"/>
      </w:pPr>
      <w:r>
        <w:rPr>
          <w:spacing w:val="-10"/>
        </w:rPr>
        <w:lastRenderedPageBreak/>
        <w:t>F</w:t>
      </w:r>
    </w:p>
    <w:p w14:paraId="49B05F93" w14:textId="6A782E5D" w:rsidR="009D54AF" w:rsidRDefault="00000000">
      <w:pPr>
        <w:spacing w:before="112"/>
        <w:ind w:left="142"/>
        <w:rPr>
          <w:sz w:val="19"/>
        </w:rPr>
      </w:pPr>
      <w:r>
        <w:rPr>
          <w:sz w:val="19"/>
        </w:rPr>
        <w:t xml:space="preserve">fact sheets, </w:t>
      </w:r>
    </w:p>
    <w:p w14:paraId="0E4F54F6" w14:textId="1F3169B9" w:rsidR="009D54AF" w:rsidRDefault="00000000">
      <w:pPr>
        <w:spacing w:before="92" w:line="340" w:lineRule="auto"/>
        <w:ind w:left="142" w:right="7668"/>
        <w:rPr>
          <w:sz w:val="19"/>
        </w:rPr>
      </w:pPr>
      <w:r>
        <w:rPr>
          <w:sz w:val="19"/>
        </w:rPr>
        <w:t>finance law compliance,  financial</w:t>
      </w:r>
      <w:r>
        <w:rPr>
          <w:spacing w:val="-14"/>
          <w:sz w:val="19"/>
        </w:rPr>
        <w:t xml:space="preserve"> </w:t>
      </w:r>
      <w:r>
        <w:rPr>
          <w:sz w:val="19"/>
        </w:rPr>
        <w:t>statements,</w:t>
      </w:r>
      <w:r>
        <w:rPr>
          <w:spacing w:val="-13"/>
          <w:sz w:val="19"/>
        </w:rPr>
        <w:t xml:space="preserve"> </w:t>
      </w:r>
    </w:p>
    <w:p w14:paraId="147B0A95" w14:textId="23E8637F" w:rsidR="009D54AF" w:rsidRDefault="00000000">
      <w:pPr>
        <w:spacing w:before="2" w:line="340" w:lineRule="auto"/>
        <w:ind w:left="425" w:right="6600"/>
        <w:rPr>
          <w:sz w:val="19"/>
        </w:rPr>
      </w:pPr>
      <w:r>
        <w:rPr>
          <w:sz w:val="19"/>
        </w:rPr>
        <w:t>Chair,</w:t>
      </w:r>
      <w:r>
        <w:rPr>
          <w:spacing w:val="-12"/>
          <w:sz w:val="19"/>
        </w:rPr>
        <w:t xml:space="preserve"> </w:t>
      </w:r>
      <w:r>
        <w:rPr>
          <w:sz w:val="19"/>
        </w:rPr>
        <w:t>CEO</w:t>
      </w:r>
      <w:r>
        <w:rPr>
          <w:spacing w:val="-12"/>
          <w:sz w:val="19"/>
        </w:rPr>
        <w:t xml:space="preserve"> </w:t>
      </w:r>
      <w:r>
        <w:rPr>
          <w:sz w:val="19"/>
        </w:rPr>
        <w:t>and</w:t>
      </w:r>
      <w:r>
        <w:rPr>
          <w:spacing w:val="-12"/>
          <w:sz w:val="19"/>
        </w:rPr>
        <w:t xml:space="preserve"> </w:t>
      </w:r>
      <w:r>
        <w:rPr>
          <w:sz w:val="19"/>
        </w:rPr>
        <w:t>CFO</w:t>
      </w:r>
      <w:r>
        <w:rPr>
          <w:spacing w:val="-12"/>
          <w:sz w:val="19"/>
        </w:rPr>
        <w:t xml:space="preserve"> </w:t>
      </w:r>
      <w:r>
        <w:rPr>
          <w:sz w:val="19"/>
        </w:rPr>
        <w:t>statement</w:t>
      </w:r>
      <w:r>
        <w:rPr>
          <w:spacing w:val="-12"/>
          <w:sz w:val="19"/>
        </w:rPr>
        <w:t xml:space="preserve"> </w:t>
      </w:r>
      <w:r>
        <w:rPr>
          <w:sz w:val="19"/>
        </w:rPr>
        <w:t>on,</w:t>
      </w:r>
      <w:r>
        <w:rPr>
          <w:spacing w:val="-12"/>
          <w:sz w:val="19"/>
        </w:rPr>
        <w:t xml:space="preserve"> </w:t>
      </w:r>
      <w:r>
        <w:rPr>
          <w:sz w:val="19"/>
        </w:rPr>
        <w:t xml:space="preserve"> independent auditor’s report,  preparation of, </w:t>
      </w:r>
    </w:p>
    <w:p w14:paraId="73BA4463" w14:textId="77777777" w:rsidR="006D22A6" w:rsidRDefault="00000000">
      <w:pPr>
        <w:spacing w:before="1" w:line="340" w:lineRule="auto"/>
        <w:ind w:left="142" w:right="7668"/>
        <w:rPr>
          <w:sz w:val="19"/>
        </w:rPr>
      </w:pPr>
      <w:r>
        <w:rPr>
          <w:sz w:val="19"/>
        </w:rPr>
        <w:t>First</w:t>
      </w:r>
      <w:r>
        <w:rPr>
          <w:spacing w:val="-9"/>
          <w:sz w:val="19"/>
        </w:rPr>
        <w:t xml:space="preserve"> </w:t>
      </w:r>
      <w:r>
        <w:rPr>
          <w:sz w:val="19"/>
        </w:rPr>
        <w:t>Nations</w:t>
      </w:r>
      <w:r>
        <w:rPr>
          <w:spacing w:val="-9"/>
          <w:sz w:val="19"/>
        </w:rPr>
        <w:t xml:space="preserve"> </w:t>
      </w:r>
      <w:r>
        <w:rPr>
          <w:sz w:val="19"/>
        </w:rPr>
        <w:t>Health</w:t>
      </w:r>
      <w:r>
        <w:rPr>
          <w:spacing w:val="-9"/>
          <w:sz w:val="19"/>
        </w:rPr>
        <w:t xml:space="preserve"> </w:t>
      </w:r>
      <w:r>
        <w:rPr>
          <w:sz w:val="19"/>
        </w:rPr>
        <w:t>team,</w:t>
      </w:r>
      <w:r>
        <w:rPr>
          <w:spacing w:val="-9"/>
          <w:sz w:val="19"/>
        </w:rPr>
        <w:t xml:space="preserve"> </w:t>
      </w:r>
      <w:r>
        <w:rPr>
          <w:sz w:val="19"/>
        </w:rPr>
        <w:t xml:space="preserve"> </w:t>
      </w:r>
    </w:p>
    <w:p w14:paraId="4F51A5DC" w14:textId="7436C1EB" w:rsidR="009D54AF" w:rsidRDefault="00000000">
      <w:pPr>
        <w:spacing w:before="1" w:line="340" w:lineRule="auto"/>
        <w:ind w:left="142" w:right="7668"/>
        <w:rPr>
          <w:sz w:val="19"/>
        </w:rPr>
      </w:pPr>
      <w:r>
        <w:rPr>
          <w:sz w:val="19"/>
        </w:rPr>
        <w:t>First Nations people</w:t>
      </w:r>
    </w:p>
    <w:p w14:paraId="0A54B773" w14:textId="1137821A" w:rsidR="009D54AF" w:rsidRDefault="00000000">
      <w:pPr>
        <w:spacing w:before="2" w:line="340" w:lineRule="auto"/>
        <w:ind w:left="425" w:right="6600"/>
        <w:rPr>
          <w:sz w:val="19"/>
        </w:rPr>
      </w:pPr>
      <w:r>
        <w:rPr>
          <w:sz w:val="19"/>
        </w:rPr>
        <w:t>Acknowledgement</w:t>
      </w:r>
      <w:r>
        <w:rPr>
          <w:spacing w:val="-14"/>
          <w:sz w:val="19"/>
        </w:rPr>
        <w:t xml:space="preserve"> </w:t>
      </w:r>
      <w:r>
        <w:rPr>
          <w:sz w:val="19"/>
        </w:rPr>
        <w:t>of</w:t>
      </w:r>
      <w:r>
        <w:rPr>
          <w:spacing w:val="-13"/>
          <w:sz w:val="19"/>
        </w:rPr>
        <w:t xml:space="preserve"> </w:t>
      </w:r>
      <w:r>
        <w:rPr>
          <w:sz w:val="19"/>
        </w:rPr>
        <w:t>Country,</w:t>
      </w:r>
      <w:r>
        <w:rPr>
          <w:spacing w:val="-13"/>
          <w:sz w:val="19"/>
        </w:rPr>
        <w:t xml:space="preserve"> </w:t>
      </w:r>
      <w:r>
        <w:rPr>
          <w:sz w:val="19"/>
        </w:rPr>
        <w:t xml:space="preserve"> Commission employees, </w:t>
      </w:r>
    </w:p>
    <w:p w14:paraId="3807393C" w14:textId="5A96E6F9" w:rsidR="006D22A6" w:rsidRDefault="00000000">
      <w:pPr>
        <w:spacing w:before="1" w:line="340" w:lineRule="auto"/>
        <w:ind w:left="425" w:right="7238"/>
        <w:rPr>
          <w:sz w:val="19"/>
        </w:rPr>
      </w:pPr>
      <w:r>
        <w:rPr>
          <w:sz w:val="19"/>
        </w:rPr>
        <w:t xml:space="preserve">cultural safety, </w:t>
      </w:r>
    </w:p>
    <w:p w14:paraId="6F0E780A" w14:textId="517B12BA" w:rsidR="009D54AF" w:rsidRDefault="00000000">
      <w:pPr>
        <w:spacing w:before="1" w:line="340" w:lineRule="auto"/>
        <w:ind w:left="425" w:right="7238"/>
        <w:rPr>
          <w:sz w:val="19"/>
        </w:rPr>
      </w:pPr>
      <w:r>
        <w:rPr>
          <w:sz w:val="19"/>
        </w:rPr>
        <w:t>health advisory groups,  Reconciliation</w:t>
      </w:r>
      <w:r>
        <w:rPr>
          <w:spacing w:val="-14"/>
          <w:sz w:val="19"/>
        </w:rPr>
        <w:t xml:space="preserve"> </w:t>
      </w:r>
      <w:r>
        <w:rPr>
          <w:sz w:val="19"/>
        </w:rPr>
        <w:t>Action</w:t>
      </w:r>
      <w:r>
        <w:rPr>
          <w:spacing w:val="-13"/>
          <w:sz w:val="19"/>
        </w:rPr>
        <w:t xml:space="preserve"> </w:t>
      </w:r>
      <w:r>
        <w:rPr>
          <w:sz w:val="19"/>
        </w:rPr>
        <w:t>Plan,</w:t>
      </w:r>
      <w:r>
        <w:rPr>
          <w:spacing w:val="-8"/>
          <w:sz w:val="19"/>
        </w:rPr>
        <w:t xml:space="preserve"> </w:t>
      </w:r>
    </w:p>
    <w:p w14:paraId="191FF97E" w14:textId="4A84EB15" w:rsidR="009D54AF" w:rsidRDefault="00000000">
      <w:pPr>
        <w:spacing w:before="2"/>
        <w:ind w:left="142"/>
        <w:rPr>
          <w:sz w:val="19"/>
        </w:rPr>
      </w:pPr>
      <w:r>
        <w:rPr>
          <w:sz w:val="19"/>
        </w:rPr>
        <w:t>fraud</w:t>
      </w:r>
      <w:r>
        <w:rPr>
          <w:spacing w:val="-2"/>
          <w:sz w:val="19"/>
        </w:rPr>
        <w:t xml:space="preserve"> </w:t>
      </w:r>
      <w:r>
        <w:rPr>
          <w:sz w:val="19"/>
        </w:rPr>
        <w:t>control,</w:t>
      </w:r>
      <w:r>
        <w:rPr>
          <w:spacing w:val="-2"/>
          <w:sz w:val="19"/>
        </w:rPr>
        <w:t xml:space="preserve"> </w:t>
      </w:r>
    </w:p>
    <w:p w14:paraId="7AB312F0" w14:textId="18AC2362" w:rsidR="009D54AF" w:rsidRDefault="00000000">
      <w:pPr>
        <w:spacing w:before="92"/>
        <w:ind w:left="142"/>
        <w:rPr>
          <w:sz w:val="19"/>
        </w:rPr>
      </w:pPr>
      <w:r>
        <w:rPr>
          <w:sz w:val="19"/>
        </w:rPr>
        <w:t xml:space="preserve">freedom of information, </w:t>
      </w:r>
    </w:p>
    <w:p w14:paraId="42EA7BEC" w14:textId="385A8F24" w:rsidR="009D54AF" w:rsidRDefault="00000000">
      <w:pPr>
        <w:spacing w:before="93"/>
        <w:ind w:left="142"/>
        <w:rPr>
          <w:sz w:val="19"/>
        </w:rPr>
      </w:pPr>
      <w:r>
        <w:rPr>
          <w:sz w:val="19"/>
        </w:rPr>
        <w:t>Friends</w:t>
      </w:r>
      <w:r>
        <w:rPr>
          <w:spacing w:val="-6"/>
          <w:sz w:val="19"/>
        </w:rPr>
        <w:t xml:space="preserve"> </w:t>
      </w:r>
      <w:r>
        <w:rPr>
          <w:sz w:val="19"/>
        </w:rPr>
        <w:t>of</w:t>
      </w:r>
      <w:r>
        <w:rPr>
          <w:spacing w:val="-4"/>
          <w:sz w:val="19"/>
        </w:rPr>
        <w:t xml:space="preserve"> </w:t>
      </w:r>
      <w:r>
        <w:rPr>
          <w:sz w:val="19"/>
        </w:rPr>
        <w:t>the</w:t>
      </w:r>
      <w:r>
        <w:rPr>
          <w:spacing w:val="-5"/>
          <w:sz w:val="19"/>
        </w:rPr>
        <w:t xml:space="preserve"> </w:t>
      </w:r>
      <w:r>
        <w:rPr>
          <w:sz w:val="19"/>
        </w:rPr>
        <w:t>National</w:t>
      </w:r>
      <w:r>
        <w:rPr>
          <w:spacing w:val="-13"/>
          <w:sz w:val="19"/>
        </w:rPr>
        <w:t xml:space="preserve"> </w:t>
      </w:r>
      <w:r>
        <w:rPr>
          <w:sz w:val="19"/>
        </w:rPr>
        <w:t>Aboriginal</w:t>
      </w:r>
      <w:r>
        <w:rPr>
          <w:spacing w:val="-4"/>
          <w:sz w:val="19"/>
        </w:rPr>
        <w:t xml:space="preserve"> </w:t>
      </w:r>
      <w:r>
        <w:rPr>
          <w:sz w:val="19"/>
        </w:rPr>
        <w:t>and</w:t>
      </w:r>
      <w:r>
        <w:rPr>
          <w:spacing w:val="-8"/>
          <w:sz w:val="19"/>
        </w:rPr>
        <w:t xml:space="preserve"> </w:t>
      </w:r>
      <w:r>
        <w:rPr>
          <w:sz w:val="19"/>
        </w:rPr>
        <w:t>Torres</w:t>
      </w:r>
      <w:r>
        <w:rPr>
          <w:spacing w:val="-5"/>
          <w:sz w:val="19"/>
        </w:rPr>
        <w:t xml:space="preserve"> </w:t>
      </w:r>
      <w:r>
        <w:rPr>
          <w:sz w:val="19"/>
        </w:rPr>
        <w:t>Strait</w:t>
      </w:r>
      <w:r>
        <w:rPr>
          <w:spacing w:val="-4"/>
          <w:sz w:val="19"/>
        </w:rPr>
        <w:t xml:space="preserve"> </w:t>
      </w:r>
      <w:r>
        <w:rPr>
          <w:sz w:val="19"/>
        </w:rPr>
        <w:t>Islander</w:t>
      </w:r>
      <w:r>
        <w:rPr>
          <w:spacing w:val="-4"/>
          <w:sz w:val="19"/>
        </w:rPr>
        <w:t xml:space="preserve"> </w:t>
      </w:r>
      <w:r>
        <w:rPr>
          <w:sz w:val="19"/>
        </w:rPr>
        <w:t>Network,</w:t>
      </w:r>
      <w:r>
        <w:rPr>
          <w:spacing w:val="-4"/>
          <w:sz w:val="19"/>
        </w:rPr>
        <w:t xml:space="preserve"> </w:t>
      </w:r>
    </w:p>
    <w:p w14:paraId="38A0D497" w14:textId="77777777" w:rsidR="009D54AF" w:rsidRDefault="009D54AF">
      <w:pPr>
        <w:pStyle w:val="BodyText"/>
        <w:spacing w:before="60"/>
        <w:rPr>
          <w:sz w:val="19"/>
        </w:rPr>
      </w:pPr>
    </w:p>
    <w:p w14:paraId="0D08861E" w14:textId="77777777" w:rsidR="009D54AF" w:rsidRDefault="00000000">
      <w:pPr>
        <w:pStyle w:val="Heading4"/>
      </w:pPr>
      <w:r>
        <w:rPr>
          <w:spacing w:val="-10"/>
        </w:rPr>
        <w:t>G</w:t>
      </w:r>
    </w:p>
    <w:p w14:paraId="6514F330" w14:textId="771114DB" w:rsidR="006D22A6" w:rsidRDefault="00000000" w:rsidP="006D22A6">
      <w:pPr>
        <w:spacing w:before="112" w:line="278" w:lineRule="auto"/>
        <w:ind w:left="142" w:right="7808"/>
        <w:rPr>
          <w:sz w:val="19"/>
        </w:rPr>
      </w:pPr>
      <w:r>
        <w:rPr>
          <w:sz w:val="19"/>
        </w:rPr>
        <w:t xml:space="preserve">Gee, Christine, </w:t>
      </w:r>
    </w:p>
    <w:p w14:paraId="1B0DD789" w14:textId="559431B2" w:rsidR="009D54AF" w:rsidRDefault="00000000" w:rsidP="006D22A6">
      <w:pPr>
        <w:spacing w:before="112" w:line="340" w:lineRule="auto"/>
        <w:ind w:left="142" w:right="7810"/>
        <w:rPr>
          <w:sz w:val="19"/>
        </w:rPr>
      </w:pPr>
      <w:r>
        <w:rPr>
          <w:sz w:val="19"/>
        </w:rPr>
        <w:t>Gender</w:t>
      </w:r>
      <w:r>
        <w:rPr>
          <w:spacing w:val="-11"/>
          <w:sz w:val="19"/>
        </w:rPr>
        <w:t xml:space="preserve"> </w:t>
      </w:r>
      <w:r>
        <w:rPr>
          <w:sz w:val="19"/>
        </w:rPr>
        <w:t>Equality</w:t>
      </w:r>
      <w:r>
        <w:rPr>
          <w:spacing w:val="-11"/>
          <w:sz w:val="19"/>
        </w:rPr>
        <w:t xml:space="preserve"> </w:t>
      </w:r>
      <w:r>
        <w:rPr>
          <w:sz w:val="19"/>
        </w:rPr>
        <w:t>Network,</w:t>
      </w:r>
      <w:r>
        <w:rPr>
          <w:spacing w:val="-11"/>
          <w:sz w:val="19"/>
        </w:rPr>
        <w:t xml:space="preserve"> </w:t>
      </w:r>
      <w:r>
        <w:rPr>
          <w:sz w:val="19"/>
        </w:rPr>
        <w:t xml:space="preserve"> general practices</w:t>
      </w:r>
    </w:p>
    <w:p w14:paraId="7D1263CE" w14:textId="0BA17B47" w:rsidR="009D54AF" w:rsidRDefault="00000000" w:rsidP="006D22A6">
      <w:pPr>
        <w:spacing w:before="2" w:line="340" w:lineRule="auto"/>
        <w:ind w:left="425" w:right="6906"/>
        <w:rPr>
          <w:sz w:val="19"/>
        </w:rPr>
      </w:pPr>
      <w:r>
        <w:rPr>
          <w:sz w:val="19"/>
        </w:rPr>
        <w:t>assessment</w:t>
      </w:r>
      <w:r>
        <w:rPr>
          <w:spacing w:val="-8"/>
          <w:sz w:val="19"/>
        </w:rPr>
        <w:t xml:space="preserve"> </w:t>
      </w:r>
      <w:r>
        <w:rPr>
          <w:sz w:val="19"/>
        </w:rPr>
        <w:t>to</w:t>
      </w:r>
      <w:r>
        <w:rPr>
          <w:spacing w:val="-8"/>
          <w:sz w:val="19"/>
        </w:rPr>
        <w:t xml:space="preserve"> </w:t>
      </w:r>
      <w:r>
        <w:rPr>
          <w:sz w:val="19"/>
        </w:rPr>
        <w:t>RACGP</w:t>
      </w:r>
      <w:r>
        <w:rPr>
          <w:spacing w:val="-12"/>
          <w:sz w:val="19"/>
        </w:rPr>
        <w:t xml:space="preserve"> </w:t>
      </w:r>
      <w:r>
        <w:rPr>
          <w:sz w:val="19"/>
        </w:rPr>
        <w:t>standards,</w:t>
      </w:r>
      <w:r>
        <w:rPr>
          <w:spacing w:val="-8"/>
          <w:sz w:val="19"/>
        </w:rPr>
        <w:t xml:space="preserve"> </w:t>
      </w:r>
      <w:r>
        <w:rPr>
          <w:sz w:val="19"/>
        </w:rPr>
        <w:t xml:space="preserve"> Practice Reflections, </w:t>
      </w:r>
    </w:p>
    <w:p w14:paraId="458BC927" w14:textId="01AEB814" w:rsidR="009D54AF" w:rsidRDefault="00000000" w:rsidP="006D22A6">
      <w:pPr>
        <w:spacing w:before="1" w:line="340" w:lineRule="auto"/>
        <w:ind w:left="142" w:right="7421" w:firstLine="283"/>
        <w:rPr>
          <w:sz w:val="19"/>
        </w:rPr>
      </w:pPr>
      <w:r>
        <w:rPr>
          <w:sz w:val="19"/>
        </w:rPr>
        <w:t>primary</w:t>
      </w:r>
      <w:r>
        <w:rPr>
          <w:spacing w:val="-9"/>
          <w:sz w:val="19"/>
        </w:rPr>
        <w:t xml:space="preserve"> </w:t>
      </w:r>
      <w:r>
        <w:rPr>
          <w:sz w:val="19"/>
        </w:rPr>
        <w:t>care</w:t>
      </w:r>
      <w:r>
        <w:rPr>
          <w:spacing w:val="-9"/>
          <w:sz w:val="19"/>
        </w:rPr>
        <w:t xml:space="preserve"> </w:t>
      </w:r>
      <w:r>
        <w:rPr>
          <w:sz w:val="19"/>
        </w:rPr>
        <w:t>data</w:t>
      </w:r>
      <w:r>
        <w:rPr>
          <w:spacing w:val="-9"/>
          <w:sz w:val="19"/>
        </w:rPr>
        <w:t xml:space="preserve"> </w:t>
      </w:r>
      <w:r>
        <w:rPr>
          <w:sz w:val="19"/>
        </w:rPr>
        <w:t>collection,</w:t>
      </w:r>
      <w:r>
        <w:rPr>
          <w:spacing w:val="-9"/>
          <w:sz w:val="19"/>
        </w:rPr>
        <w:t xml:space="preserve"> </w:t>
      </w:r>
      <w:r>
        <w:rPr>
          <w:sz w:val="19"/>
        </w:rPr>
        <w:t xml:space="preserve"> glossary, </w:t>
      </w:r>
    </w:p>
    <w:p w14:paraId="1EB0A5A0" w14:textId="77777777" w:rsidR="009D54AF" w:rsidRDefault="00000000">
      <w:pPr>
        <w:spacing w:before="1"/>
        <w:ind w:left="142"/>
        <w:rPr>
          <w:sz w:val="19"/>
        </w:rPr>
      </w:pPr>
      <w:r>
        <w:rPr>
          <w:spacing w:val="-2"/>
          <w:sz w:val="19"/>
        </w:rPr>
        <w:t>governance</w:t>
      </w:r>
    </w:p>
    <w:p w14:paraId="79CEB766" w14:textId="03B7E11B" w:rsidR="009D54AF" w:rsidRDefault="00000000" w:rsidP="006D22A6">
      <w:pPr>
        <w:spacing w:before="93" w:line="340" w:lineRule="auto"/>
        <w:ind w:left="425" w:right="6766"/>
        <w:rPr>
          <w:sz w:val="19"/>
        </w:rPr>
      </w:pPr>
      <w:r>
        <w:rPr>
          <w:sz w:val="19"/>
        </w:rPr>
        <w:t>of</w:t>
      </w:r>
      <w:r>
        <w:rPr>
          <w:spacing w:val="-1"/>
          <w:sz w:val="19"/>
        </w:rPr>
        <w:t xml:space="preserve"> </w:t>
      </w:r>
      <w:r>
        <w:rPr>
          <w:sz w:val="19"/>
        </w:rPr>
        <w:t>clinical</w:t>
      </w:r>
      <w:r>
        <w:rPr>
          <w:spacing w:val="-1"/>
          <w:sz w:val="19"/>
        </w:rPr>
        <w:t xml:space="preserve"> </w:t>
      </w:r>
      <w:r>
        <w:rPr>
          <w:sz w:val="19"/>
        </w:rPr>
        <w:t>trials</w:t>
      </w:r>
      <w:r>
        <w:rPr>
          <w:spacing w:val="-1"/>
          <w:sz w:val="19"/>
        </w:rPr>
        <w:t xml:space="preserve"> </w:t>
      </w:r>
      <w:r>
        <w:rPr>
          <w:sz w:val="19"/>
        </w:rPr>
        <w:t>see</w:t>
      </w:r>
      <w:r>
        <w:rPr>
          <w:spacing w:val="-1"/>
          <w:sz w:val="19"/>
        </w:rPr>
        <w:t xml:space="preserve"> </w:t>
      </w:r>
      <w:r>
        <w:rPr>
          <w:sz w:val="19"/>
        </w:rPr>
        <w:t>clinical</w:t>
      </w:r>
      <w:r>
        <w:rPr>
          <w:spacing w:val="-1"/>
          <w:sz w:val="19"/>
        </w:rPr>
        <w:t xml:space="preserve"> </w:t>
      </w:r>
      <w:r>
        <w:rPr>
          <w:sz w:val="19"/>
        </w:rPr>
        <w:t>governance Commission</w:t>
      </w:r>
      <w:r>
        <w:rPr>
          <w:spacing w:val="-11"/>
          <w:sz w:val="19"/>
        </w:rPr>
        <w:t xml:space="preserve"> </w:t>
      </w:r>
      <w:r>
        <w:rPr>
          <w:sz w:val="19"/>
        </w:rPr>
        <w:t>internal</w:t>
      </w:r>
      <w:r>
        <w:rPr>
          <w:spacing w:val="-11"/>
          <w:sz w:val="19"/>
        </w:rPr>
        <w:t xml:space="preserve"> </w:t>
      </w:r>
      <w:r>
        <w:rPr>
          <w:sz w:val="19"/>
        </w:rPr>
        <w:t xml:space="preserve">governance, Commission’s Board </w:t>
      </w:r>
      <w:r>
        <w:rPr>
          <w:i/>
          <w:sz w:val="19"/>
        </w:rPr>
        <w:t xml:space="preserve">see </w:t>
      </w:r>
      <w:r>
        <w:rPr>
          <w:sz w:val="19"/>
        </w:rPr>
        <w:t>Board</w:t>
      </w:r>
    </w:p>
    <w:p w14:paraId="0A5EC0D0" w14:textId="681CB002" w:rsidR="009D54AF" w:rsidRDefault="00000000" w:rsidP="006D22A6">
      <w:pPr>
        <w:spacing w:before="2" w:line="340" w:lineRule="auto"/>
        <w:ind w:left="142" w:right="7450"/>
        <w:rPr>
          <w:sz w:val="19"/>
        </w:rPr>
      </w:pPr>
      <w:r>
        <w:rPr>
          <w:sz w:val="19"/>
        </w:rPr>
        <w:t>government policy orders,  greenhouse</w:t>
      </w:r>
      <w:r>
        <w:rPr>
          <w:spacing w:val="-5"/>
          <w:sz w:val="19"/>
        </w:rPr>
        <w:t xml:space="preserve"> </w:t>
      </w:r>
      <w:r>
        <w:rPr>
          <w:sz w:val="19"/>
        </w:rPr>
        <w:t>gas</w:t>
      </w:r>
      <w:r>
        <w:rPr>
          <w:spacing w:val="-4"/>
          <w:sz w:val="19"/>
        </w:rPr>
        <w:t xml:space="preserve"> </w:t>
      </w:r>
      <w:r>
        <w:rPr>
          <w:sz w:val="19"/>
        </w:rPr>
        <w:t>emissions,</w:t>
      </w:r>
      <w:r>
        <w:rPr>
          <w:spacing w:val="-4"/>
          <w:sz w:val="19"/>
        </w:rPr>
        <w:t xml:space="preserve"> </w:t>
      </w:r>
    </w:p>
    <w:p w14:paraId="7017AFAB" w14:textId="77777777" w:rsidR="009D54AF" w:rsidRDefault="00000000">
      <w:pPr>
        <w:pStyle w:val="Heading4"/>
        <w:spacing w:before="188"/>
      </w:pPr>
      <w:r>
        <w:rPr>
          <w:spacing w:val="-10"/>
        </w:rPr>
        <w:t>H</w:t>
      </w:r>
    </w:p>
    <w:p w14:paraId="57BB3798" w14:textId="1E43C717" w:rsidR="009D54AF" w:rsidRDefault="00000000">
      <w:pPr>
        <w:spacing w:before="111"/>
        <w:ind w:left="142"/>
        <w:rPr>
          <w:sz w:val="19"/>
        </w:rPr>
      </w:pPr>
      <w:r>
        <w:rPr>
          <w:sz w:val="19"/>
        </w:rPr>
        <w:t>hand</w:t>
      </w:r>
      <w:r>
        <w:rPr>
          <w:spacing w:val="-3"/>
          <w:sz w:val="19"/>
        </w:rPr>
        <w:t xml:space="preserve"> </w:t>
      </w:r>
      <w:r>
        <w:rPr>
          <w:sz w:val="19"/>
        </w:rPr>
        <w:t>hygiene,</w:t>
      </w:r>
      <w:r>
        <w:rPr>
          <w:spacing w:val="-1"/>
          <w:sz w:val="19"/>
        </w:rPr>
        <w:t xml:space="preserve"> </w:t>
      </w:r>
    </w:p>
    <w:p w14:paraId="4450A174" w14:textId="20C09278" w:rsidR="009D54AF" w:rsidRDefault="00000000" w:rsidP="000963BC">
      <w:pPr>
        <w:spacing w:beforeLines="29" w:before="69"/>
        <w:ind w:left="142"/>
        <w:rPr>
          <w:sz w:val="19"/>
        </w:rPr>
      </w:pPr>
      <w:r>
        <w:rPr>
          <w:sz w:val="19"/>
        </w:rPr>
        <w:t xml:space="preserve">Handa, Suchit, </w:t>
      </w:r>
    </w:p>
    <w:p w14:paraId="644EB3CF" w14:textId="10BC242F" w:rsidR="009D54AF" w:rsidRDefault="00000000" w:rsidP="000963BC">
      <w:pPr>
        <w:spacing w:beforeLines="29" w:before="69"/>
        <w:ind w:left="142" w:right="5464"/>
        <w:rPr>
          <w:sz w:val="19"/>
        </w:rPr>
      </w:pPr>
      <w:r>
        <w:rPr>
          <w:sz w:val="19"/>
        </w:rPr>
        <w:t>health</w:t>
      </w:r>
      <w:r>
        <w:rPr>
          <w:spacing w:val="-4"/>
          <w:sz w:val="19"/>
        </w:rPr>
        <w:t xml:space="preserve"> </w:t>
      </w:r>
      <w:r>
        <w:rPr>
          <w:sz w:val="19"/>
        </w:rPr>
        <w:t>and</w:t>
      </w:r>
      <w:r>
        <w:rPr>
          <w:spacing w:val="-4"/>
          <w:sz w:val="19"/>
        </w:rPr>
        <w:t xml:space="preserve"> </w:t>
      </w:r>
      <w:r>
        <w:rPr>
          <w:sz w:val="19"/>
        </w:rPr>
        <w:t>safety</w:t>
      </w:r>
      <w:r>
        <w:rPr>
          <w:spacing w:val="-4"/>
          <w:sz w:val="19"/>
        </w:rPr>
        <w:t xml:space="preserve"> </w:t>
      </w:r>
      <w:r>
        <w:rPr>
          <w:sz w:val="19"/>
        </w:rPr>
        <w:t>at</w:t>
      </w:r>
      <w:r>
        <w:rPr>
          <w:spacing w:val="-4"/>
          <w:sz w:val="19"/>
        </w:rPr>
        <w:t xml:space="preserve"> </w:t>
      </w:r>
      <w:r>
        <w:rPr>
          <w:sz w:val="19"/>
        </w:rPr>
        <w:t>work</w:t>
      </w:r>
      <w:r>
        <w:rPr>
          <w:spacing w:val="-4"/>
          <w:sz w:val="19"/>
        </w:rPr>
        <w:t xml:space="preserve"> </w:t>
      </w:r>
      <w:r>
        <w:rPr>
          <w:i/>
          <w:sz w:val="19"/>
        </w:rPr>
        <w:t>see</w:t>
      </w:r>
      <w:r>
        <w:rPr>
          <w:i/>
          <w:spacing w:val="-4"/>
          <w:sz w:val="19"/>
        </w:rPr>
        <w:t xml:space="preserve"> </w:t>
      </w:r>
      <w:r>
        <w:rPr>
          <w:sz w:val="19"/>
        </w:rPr>
        <w:t>work</w:t>
      </w:r>
      <w:r>
        <w:rPr>
          <w:spacing w:val="-4"/>
          <w:sz w:val="19"/>
        </w:rPr>
        <w:t xml:space="preserve"> </w:t>
      </w:r>
      <w:r>
        <w:rPr>
          <w:sz w:val="19"/>
        </w:rPr>
        <w:t>health</w:t>
      </w:r>
      <w:r>
        <w:rPr>
          <w:spacing w:val="-4"/>
          <w:sz w:val="19"/>
        </w:rPr>
        <w:t xml:space="preserve"> </w:t>
      </w:r>
      <w:r>
        <w:rPr>
          <w:sz w:val="19"/>
        </w:rPr>
        <w:t>and</w:t>
      </w:r>
      <w:r>
        <w:rPr>
          <w:spacing w:val="-4"/>
          <w:sz w:val="19"/>
        </w:rPr>
        <w:t xml:space="preserve"> </w:t>
      </w:r>
      <w:r>
        <w:rPr>
          <w:sz w:val="19"/>
        </w:rPr>
        <w:t xml:space="preserve">safety health care, </w:t>
      </w:r>
    </w:p>
    <w:p w14:paraId="677F8E7D" w14:textId="208195A6" w:rsidR="009D54AF" w:rsidRDefault="00000000" w:rsidP="000963BC">
      <w:pPr>
        <w:spacing w:beforeLines="29" w:before="69"/>
        <w:ind w:left="425"/>
        <w:rPr>
          <w:sz w:val="19"/>
        </w:rPr>
      </w:pPr>
      <w:bookmarkStart w:id="100" w:name="_bookmark16"/>
      <w:bookmarkEnd w:id="100"/>
      <w:r>
        <w:rPr>
          <w:sz w:val="19"/>
        </w:rPr>
        <w:t>assessment</w:t>
      </w:r>
      <w:r>
        <w:rPr>
          <w:spacing w:val="-2"/>
          <w:sz w:val="19"/>
        </w:rPr>
        <w:t xml:space="preserve"> </w:t>
      </w:r>
      <w:r>
        <w:rPr>
          <w:sz w:val="19"/>
        </w:rPr>
        <w:t>to</w:t>
      </w:r>
      <w:r>
        <w:rPr>
          <w:spacing w:val="-1"/>
          <w:sz w:val="19"/>
        </w:rPr>
        <w:t xml:space="preserve"> </w:t>
      </w:r>
      <w:r>
        <w:rPr>
          <w:sz w:val="19"/>
        </w:rPr>
        <w:t>NSQPCH</w:t>
      </w:r>
      <w:r>
        <w:rPr>
          <w:spacing w:val="-1"/>
          <w:sz w:val="19"/>
        </w:rPr>
        <w:t xml:space="preserve"> </w:t>
      </w:r>
      <w:r>
        <w:rPr>
          <w:sz w:val="19"/>
        </w:rPr>
        <w:t>Standards,</w:t>
      </w:r>
      <w:r>
        <w:rPr>
          <w:spacing w:val="-1"/>
          <w:sz w:val="19"/>
        </w:rPr>
        <w:t xml:space="preserve"> </w:t>
      </w:r>
    </w:p>
    <w:p w14:paraId="238A5283" w14:textId="6AE305FA" w:rsidR="009D54AF" w:rsidRDefault="00000000" w:rsidP="000963BC">
      <w:pPr>
        <w:spacing w:beforeLines="29" w:before="69"/>
        <w:ind w:left="425"/>
        <w:rPr>
          <w:sz w:val="19"/>
        </w:rPr>
      </w:pPr>
      <w:r>
        <w:rPr>
          <w:sz w:val="19"/>
        </w:rPr>
        <w:t>data</w:t>
      </w:r>
      <w:r>
        <w:rPr>
          <w:spacing w:val="-2"/>
          <w:sz w:val="19"/>
        </w:rPr>
        <w:t xml:space="preserve"> </w:t>
      </w:r>
      <w:r>
        <w:rPr>
          <w:sz w:val="19"/>
        </w:rPr>
        <w:t>collection,</w:t>
      </w:r>
      <w:r>
        <w:rPr>
          <w:spacing w:val="-1"/>
          <w:sz w:val="19"/>
        </w:rPr>
        <w:t xml:space="preserve"> </w:t>
      </w:r>
    </w:p>
    <w:p w14:paraId="0C8C4429" w14:textId="37974D31" w:rsidR="009D54AF" w:rsidRDefault="00000000" w:rsidP="000963BC">
      <w:pPr>
        <w:spacing w:beforeLines="29" w:before="69"/>
        <w:ind w:left="425"/>
        <w:rPr>
          <w:sz w:val="19"/>
        </w:rPr>
      </w:pPr>
      <w:r>
        <w:rPr>
          <w:sz w:val="19"/>
        </w:rPr>
        <w:t>informed</w:t>
      </w:r>
      <w:r>
        <w:rPr>
          <w:spacing w:val="-4"/>
          <w:sz w:val="19"/>
        </w:rPr>
        <w:t xml:space="preserve"> </w:t>
      </w:r>
      <w:r>
        <w:rPr>
          <w:sz w:val="19"/>
        </w:rPr>
        <w:t>consent,</w:t>
      </w:r>
      <w:r>
        <w:rPr>
          <w:spacing w:val="-2"/>
          <w:sz w:val="19"/>
        </w:rPr>
        <w:t xml:space="preserve"> </w:t>
      </w:r>
    </w:p>
    <w:p w14:paraId="7C1F80D4" w14:textId="01EFF804" w:rsidR="009D54AF" w:rsidRDefault="00000000" w:rsidP="000963BC">
      <w:pPr>
        <w:spacing w:beforeLines="29" w:before="69"/>
        <w:ind w:left="425"/>
        <w:rPr>
          <w:sz w:val="19"/>
        </w:rPr>
      </w:pPr>
      <w:r>
        <w:rPr>
          <w:sz w:val="19"/>
        </w:rPr>
        <w:t xml:space="preserve">low-value, </w:t>
      </w:r>
    </w:p>
    <w:p w14:paraId="73A0F839" w14:textId="5A06E945" w:rsidR="006D22A6" w:rsidRDefault="00000000" w:rsidP="000963BC">
      <w:pPr>
        <w:spacing w:beforeLines="29" w:before="69"/>
        <w:ind w:left="425" w:right="5857"/>
        <w:rPr>
          <w:sz w:val="19"/>
        </w:rPr>
      </w:pPr>
      <w:r>
        <w:rPr>
          <w:sz w:val="19"/>
        </w:rPr>
        <w:t>performance</w:t>
      </w:r>
      <w:r>
        <w:rPr>
          <w:spacing w:val="-6"/>
          <w:sz w:val="19"/>
        </w:rPr>
        <w:t xml:space="preserve"> </w:t>
      </w:r>
      <w:r>
        <w:rPr>
          <w:sz w:val="19"/>
        </w:rPr>
        <w:t>assessment</w:t>
      </w:r>
      <w:r>
        <w:rPr>
          <w:spacing w:val="-6"/>
          <w:sz w:val="19"/>
        </w:rPr>
        <w:t xml:space="preserve"> </w:t>
      </w:r>
      <w:r>
        <w:rPr>
          <w:sz w:val="19"/>
        </w:rPr>
        <w:t>of</w:t>
      </w:r>
      <w:r>
        <w:rPr>
          <w:spacing w:val="-6"/>
          <w:sz w:val="19"/>
        </w:rPr>
        <w:t xml:space="preserve"> </w:t>
      </w:r>
      <w:r>
        <w:rPr>
          <w:sz w:val="19"/>
        </w:rPr>
        <w:t>health</w:t>
      </w:r>
      <w:r>
        <w:rPr>
          <w:spacing w:val="-6"/>
          <w:sz w:val="19"/>
        </w:rPr>
        <w:t xml:space="preserve"> </w:t>
      </w:r>
      <w:r>
        <w:rPr>
          <w:sz w:val="19"/>
        </w:rPr>
        <w:t>system,</w:t>
      </w:r>
      <w:r>
        <w:rPr>
          <w:spacing w:val="-6"/>
          <w:sz w:val="19"/>
        </w:rPr>
        <w:t xml:space="preserve"> </w:t>
      </w:r>
    </w:p>
    <w:p w14:paraId="5F9E3E19" w14:textId="4220114F" w:rsidR="000963BC" w:rsidRDefault="00000000" w:rsidP="000963BC">
      <w:pPr>
        <w:spacing w:beforeLines="29" w:before="69"/>
        <w:ind w:left="425" w:right="5857"/>
        <w:rPr>
          <w:sz w:val="19"/>
        </w:rPr>
      </w:pPr>
      <w:r>
        <w:rPr>
          <w:sz w:val="19"/>
        </w:rPr>
        <w:t>person-</w:t>
      </w:r>
      <w:proofErr w:type="spellStart"/>
      <w:r>
        <w:rPr>
          <w:sz w:val="19"/>
        </w:rPr>
        <w:t>centred</w:t>
      </w:r>
      <w:proofErr w:type="spellEnd"/>
      <w:r>
        <w:rPr>
          <w:sz w:val="19"/>
        </w:rPr>
        <w:t xml:space="preserve">, </w:t>
      </w:r>
    </w:p>
    <w:p w14:paraId="0F71BE5D" w14:textId="77777777" w:rsidR="000963BC" w:rsidRDefault="000963BC" w:rsidP="000963BC">
      <w:pPr>
        <w:spacing w:beforeLines="29" w:before="69"/>
        <w:rPr>
          <w:sz w:val="19"/>
        </w:rPr>
      </w:pPr>
      <w:r>
        <w:rPr>
          <w:sz w:val="19"/>
        </w:rPr>
        <w:br w:type="page"/>
      </w:r>
    </w:p>
    <w:p w14:paraId="57CC95D3" w14:textId="77777777" w:rsidR="000963BC" w:rsidRDefault="00000000" w:rsidP="000963BC">
      <w:pPr>
        <w:spacing w:beforeLines="29" w:before="69" w:line="278" w:lineRule="auto"/>
        <w:ind w:left="425" w:right="6600"/>
        <w:rPr>
          <w:sz w:val="19"/>
        </w:rPr>
      </w:pPr>
      <w:r>
        <w:rPr>
          <w:sz w:val="19"/>
        </w:rPr>
        <w:lastRenderedPageBreak/>
        <w:t>priorities</w:t>
      </w:r>
      <w:r>
        <w:rPr>
          <w:spacing w:val="-9"/>
          <w:sz w:val="19"/>
        </w:rPr>
        <w:t xml:space="preserve"> </w:t>
      </w:r>
      <w:r>
        <w:rPr>
          <w:i/>
          <w:sz w:val="19"/>
        </w:rPr>
        <w:t>see</w:t>
      </w:r>
      <w:r>
        <w:rPr>
          <w:i/>
          <w:spacing w:val="-9"/>
          <w:sz w:val="19"/>
        </w:rPr>
        <w:t xml:space="preserve"> </w:t>
      </w:r>
      <w:r>
        <w:rPr>
          <w:sz w:val="19"/>
        </w:rPr>
        <w:t>Strategic</w:t>
      </w:r>
      <w:r>
        <w:rPr>
          <w:spacing w:val="-9"/>
          <w:sz w:val="19"/>
        </w:rPr>
        <w:t xml:space="preserve"> </w:t>
      </w:r>
      <w:r>
        <w:rPr>
          <w:sz w:val="19"/>
        </w:rPr>
        <w:t>Plan</w:t>
      </w:r>
      <w:r>
        <w:rPr>
          <w:spacing w:val="-9"/>
          <w:sz w:val="19"/>
        </w:rPr>
        <w:t xml:space="preserve"> </w:t>
      </w:r>
      <w:r>
        <w:rPr>
          <w:sz w:val="19"/>
        </w:rPr>
        <w:t xml:space="preserve">2025–2030 </w:t>
      </w:r>
    </w:p>
    <w:p w14:paraId="39E9FABD" w14:textId="14868FAB" w:rsidR="000963BC" w:rsidRDefault="00000000" w:rsidP="000963BC">
      <w:pPr>
        <w:spacing w:beforeLines="29" w:before="69" w:line="278" w:lineRule="auto"/>
        <w:ind w:left="425" w:right="6600"/>
        <w:rPr>
          <w:sz w:val="19"/>
        </w:rPr>
      </w:pPr>
      <w:r>
        <w:rPr>
          <w:sz w:val="19"/>
        </w:rPr>
        <w:t xml:space="preserve">risk screening and assessment, </w:t>
      </w:r>
    </w:p>
    <w:p w14:paraId="54C1334D" w14:textId="5E9CA16F" w:rsidR="009D54AF" w:rsidRDefault="00000000" w:rsidP="000963BC">
      <w:pPr>
        <w:spacing w:beforeLines="29" w:before="69" w:line="278" w:lineRule="auto"/>
        <w:ind w:left="425" w:right="6600"/>
        <w:rPr>
          <w:sz w:val="19"/>
        </w:rPr>
      </w:pPr>
      <w:r>
        <w:rPr>
          <w:sz w:val="19"/>
        </w:rPr>
        <w:t xml:space="preserve">variations in </w:t>
      </w:r>
      <w:r>
        <w:rPr>
          <w:i/>
          <w:sz w:val="19"/>
        </w:rPr>
        <w:t xml:space="preserve">see </w:t>
      </w:r>
      <w:r>
        <w:rPr>
          <w:sz w:val="19"/>
        </w:rPr>
        <w:t>healthcare variation</w:t>
      </w:r>
    </w:p>
    <w:p w14:paraId="12D9F23C" w14:textId="77777777" w:rsidR="009D54AF" w:rsidRDefault="00000000" w:rsidP="000963BC">
      <w:pPr>
        <w:spacing w:beforeLines="29" w:before="69" w:line="278" w:lineRule="auto"/>
        <w:ind w:left="425" w:right="397"/>
        <w:rPr>
          <w:sz w:val="19"/>
        </w:rPr>
      </w:pPr>
      <w:r>
        <w:rPr>
          <w:i/>
          <w:sz w:val="19"/>
        </w:rPr>
        <w:t>see</w:t>
      </w:r>
      <w:r>
        <w:rPr>
          <w:i/>
          <w:spacing w:val="-3"/>
          <w:sz w:val="19"/>
        </w:rPr>
        <w:t xml:space="preserve"> </w:t>
      </w:r>
      <w:r>
        <w:rPr>
          <w:i/>
          <w:sz w:val="19"/>
        </w:rPr>
        <w:t>also</w:t>
      </w:r>
      <w:r>
        <w:rPr>
          <w:i/>
          <w:spacing w:val="-3"/>
          <w:sz w:val="19"/>
        </w:rPr>
        <w:t xml:space="preserve"> </w:t>
      </w:r>
      <w:r>
        <w:rPr>
          <w:sz w:val="19"/>
        </w:rPr>
        <w:t>adverse</w:t>
      </w:r>
      <w:r>
        <w:rPr>
          <w:spacing w:val="-3"/>
          <w:sz w:val="19"/>
        </w:rPr>
        <w:t xml:space="preserve"> </w:t>
      </w:r>
      <w:r>
        <w:rPr>
          <w:sz w:val="19"/>
        </w:rPr>
        <w:t>events;</w:t>
      </w:r>
      <w:r>
        <w:rPr>
          <w:spacing w:val="-3"/>
          <w:sz w:val="19"/>
        </w:rPr>
        <w:t xml:space="preserve"> </w:t>
      </w:r>
      <w:r>
        <w:rPr>
          <w:sz w:val="19"/>
        </w:rPr>
        <w:t>hospitals;</w:t>
      </w:r>
      <w:r>
        <w:rPr>
          <w:spacing w:val="-3"/>
          <w:sz w:val="19"/>
        </w:rPr>
        <w:t xml:space="preserve"> </w:t>
      </w:r>
      <w:r>
        <w:rPr>
          <w:sz w:val="19"/>
        </w:rPr>
        <w:t>National</w:t>
      </w:r>
      <w:r>
        <w:rPr>
          <w:spacing w:val="-3"/>
          <w:sz w:val="19"/>
        </w:rPr>
        <w:t xml:space="preserve"> </w:t>
      </w:r>
      <w:r>
        <w:rPr>
          <w:sz w:val="19"/>
        </w:rPr>
        <w:t>Safety</w:t>
      </w:r>
      <w:r>
        <w:rPr>
          <w:spacing w:val="-3"/>
          <w:sz w:val="19"/>
        </w:rPr>
        <w:t xml:space="preserve"> </w:t>
      </w:r>
      <w:r>
        <w:rPr>
          <w:sz w:val="19"/>
        </w:rPr>
        <w:t>and</w:t>
      </w:r>
      <w:r>
        <w:rPr>
          <w:spacing w:val="-3"/>
          <w:sz w:val="19"/>
        </w:rPr>
        <w:t xml:space="preserve"> </w:t>
      </w:r>
      <w:r>
        <w:rPr>
          <w:sz w:val="19"/>
        </w:rPr>
        <w:t>Quality</w:t>
      </w:r>
      <w:r>
        <w:rPr>
          <w:spacing w:val="-3"/>
          <w:sz w:val="19"/>
        </w:rPr>
        <w:t xml:space="preserve"> </w:t>
      </w:r>
      <w:r>
        <w:rPr>
          <w:sz w:val="19"/>
        </w:rPr>
        <w:t>Health</w:t>
      </w:r>
      <w:r>
        <w:rPr>
          <w:spacing w:val="-3"/>
          <w:sz w:val="19"/>
        </w:rPr>
        <w:t xml:space="preserve"> </w:t>
      </w:r>
      <w:r>
        <w:rPr>
          <w:sz w:val="19"/>
        </w:rPr>
        <w:t>Service</w:t>
      </w:r>
      <w:r>
        <w:rPr>
          <w:spacing w:val="-3"/>
          <w:sz w:val="19"/>
        </w:rPr>
        <w:t xml:space="preserve"> </w:t>
      </w:r>
      <w:r>
        <w:rPr>
          <w:sz w:val="19"/>
        </w:rPr>
        <w:t>(NSQHS)</w:t>
      </w:r>
      <w:r>
        <w:rPr>
          <w:spacing w:val="-3"/>
          <w:sz w:val="19"/>
        </w:rPr>
        <w:t xml:space="preserve"> </w:t>
      </w:r>
      <w:r>
        <w:rPr>
          <w:sz w:val="19"/>
        </w:rPr>
        <w:t>Standards;</w:t>
      </w:r>
      <w:r>
        <w:rPr>
          <w:spacing w:val="-3"/>
          <w:sz w:val="19"/>
        </w:rPr>
        <w:t xml:space="preserve"> </w:t>
      </w:r>
      <w:r>
        <w:rPr>
          <w:sz w:val="19"/>
        </w:rPr>
        <w:t>patient</w:t>
      </w:r>
      <w:r>
        <w:rPr>
          <w:spacing w:val="-3"/>
          <w:sz w:val="19"/>
        </w:rPr>
        <w:t xml:space="preserve"> </w:t>
      </w:r>
      <w:r>
        <w:rPr>
          <w:sz w:val="19"/>
        </w:rPr>
        <w:t>safety; patient-reported experience measures (PREM)</w:t>
      </w:r>
    </w:p>
    <w:p w14:paraId="4E2E926E" w14:textId="77777777" w:rsidR="009D54AF" w:rsidRDefault="00000000" w:rsidP="000963BC">
      <w:pPr>
        <w:spacing w:before="29" w:line="278" w:lineRule="auto"/>
        <w:ind w:left="142"/>
        <w:rPr>
          <w:sz w:val="19"/>
        </w:rPr>
      </w:pPr>
      <w:r>
        <w:rPr>
          <w:sz w:val="19"/>
        </w:rPr>
        <w:t>Health</w:t>
      </w:r>
      <w:r>
        <w:rPr>
          <w:spacing w:val="-5"/>
          <w:sz w:val="19"/>
        </w:rPr>
        <w:t xml:space="preserve"> </w:t>
      </w:r>
      <w:r>
        <w:rPr>
          <w:sz w:val="19"/>
        </w:rPr>
        <w:t>Portfolio</w:t>
      </w:r>
      <w:r>
        <w:rPr>
          <w:spacing w:val="-4"/>
          <w:sz w:val="19"/>
        </w:rPr>
        <w:t xml:space="preserve"> </w:t>
      </w:r>
      <w:r>
        <w:rPr>
          <w:sz w:val="19"/>
        </w:rPr>
        <w:t>Budget</w:t>
      </w:r>
      <w:r>
        <w:rPr>
          <w:spacing w:val="-4"/>
          <w:sz w:val="19"/>
        </w:rPr>
        <w:t xml:space="preserve"> </w:t>
      </w:r>
      <w:r>
        <w:rPr>
          <w:spacing w:val="-2"/>
          <w:sz w:val="19"/>
        </w:rPr>
        <w:t>Statements</w:t>
      </w:r>
    </w:p>
    <w:p w14:paraId="2EFC9AA9" w14:textId="77777777" w:rsidR="000963BC" w:rsidRDefault="00000000" w:rsidP="000963BC">
      <w:pPr>
        <w:spacing w:before="29" w:line="278" w:lineRule="auto"/>
        <w:ind w:left="142" w:right="5920" w:firstLine="283"/>
        <w:rPr>
          <w:sz w:val="19"/>
        </w:rPr>
      </w:pPr>
      <w:r>
        <w:rPr>
          <w:sz w:val="19"/>
        </w:rPr>
        <w:t>Commission</w:t>
      </w:r>
      <w:r>
        <w:rPr>
          <w:spacing w:val="-9"/>
          <w:sz w:val="19"/>
        </w:rPr>
        <w:t xml:space="preserve"> </w:t>
      </w:r>
      <w:r>
        <w:rPr>
          <w:sz w:val="19"/>
        </w:rPr>
        <w:t>performance</w:t>
      </w:r>
      <w:r>
        <w:rPr>
          <w:spacing w:val="-9"/>
          <w:sz w:val="19"/>
        </w:rPr>
        <w:t xml:space="preserve"> </w:t>
      </w:r>
      <w:r>
        <w:rPr>
          <w:sz w:val="19"/>
        </w:rPr>
        <w:t>against</w:t>
      </w:r>
      <w:r>
        <w:rPr>
          <w:spacing w:val="-9"/>
          <w:sz w:val="19"/>
        </w:rPr>
        <w:t xml:space="preserve"> </w:t>
      </w:r>
      <w:r>
        <w:rPr>
          <w:sz w:val="19"/>
        </w:rPr>
        <w:t>criteria,</w:t>
      </w:r>
      <w:r>
        <w:rPr>
          <w:spacing w:val="-9"/>
          <w:sz w:val="19"/>
        </w:rPr>
        <w:t xml:space="preserve"> </w:t>
      </w:r>
      <w:r>
        <w:rPr>
          <w:sz w:val="19"/>
        </w:rPr>
        <w:t xml:space="preserve"> </w:t>
      </w:r>
    </w:p>
    <w:p w14:paraId="6BB46D5C" w14:textId="3AE83307" w:rsidR="009D54AF" w:rsidRDefault="00000000" w:rsidP="000963BC">
      <w:pPr>
        <w:spacing w:before="29" w:line="278" w:lineRule="auto"/>
        <w:ind w:left="142" w:right="5920" w:firstLine="283"/>
        <w:rPr>
          <w:sz w:val="19"/>
        </w:rPr>
      </w:pPr>
      <w:r>
        <w:rPr>
          <w:sz w:val="19"/>
        </w:rPr>
        <w:t xml:space="preserve">Health Pride (LGBTQIA+) Network, </w:t>
      </w:r>
    </w:p>
    <w:p w14:paraId="3B8DAB67" w14:textId="2D9FC2C5" w:rsidR="000963BC" w:rsidRDefault="00000000" w:rsidP="000963BC">
      <w:pPr>
        <w:spacing w:before="29" w:line="278" w:lineRule="auto"/>
        <w:ind w:left="142" w:right="5464"/>
        <w:rPr>
          <w:sz w:val="19"/>
        </w:rPr>
      </w:pPr>
      <w:r>
        <w:rPr>
          <w:sz w:val="19"/>
        </w:rPr>
        <w:t>health</w:t>
      </w:r>
      <w:r>
        <w:rPr>
          <w:spacing w:val="-4"/>
          <w:sz w:val="19"/>
        </w:rPr>
        <w:t xml:space="preserve"> </w:t>
      </w:r>
      <w:r>
        <w:rPr>
          <w:sz w:val="19"/>
        </w:rPr>
        <w:t>records</w:t>
      </w:r>
      <w:r>
        <w:rPr>
          <w:spacing w:val="-4"/>
          <w:sz w:val="19"/>
        </w:rPr>
        <w:t xml:space="preserve"> </w:t>
      </w:r>
      <w:r>
        <w:rPr>
          <w:sz w:val="19"/>
        </w:rPr>
        <w:t>(My</w:t>
      </w:r>
      <w:r>
        <w:rPr>
          <w:spacing w:val="-4"/>
          <w:sz w:val="19"/>
        </w:rPr>
        <w:t xml:space="preserve"> </w:t>
      </w:r>
      <w:r>
        <w:rPr>
          <w:sz w:val="19"/>
        </w:rPr>
        <w:t>Health</w:t>
      </w:r>
      <w:r>
        <w:rPr>
          <w:spacing w:val="-4"/>
          <w:sz w:val="19"/>
        </w:rPr>
        <w:t xml:space="preserve"> </w:t>
      </w:r>
      <w:r>
        <w:rPr>
          <w:sz w:val="19"/>
        </w:rPr>
        <w:t>Record</w:t>
      </w:r>
      <w:r>
        <w:rPr>
          <w:spacing w:val="-4"/>
          <w:sz w:val="19"/>
        </w:rPr>
        <w:t xml:space="preserve"> </w:t>
      </w:r>
      <w:r>
        <w:rPr>
          <w:sz w:val="19"/>
        </w:rPr>
        <w:t>system),</w:t>
      </w:r>
      <w:r>
        <w:rPr>
          <w:spacing w:val="-4"/>
          <w:sz w:val="19"/>
        </w:rPr>
        <w:t xml:space="preserve"> </w:t>
      </w:r>
    </w:p>
    <w:p w14:paraId="03D455BE" w14:textId="44F55A52" w:rsidR="009D54AF" w:rsidRDefault="00000000" w:rsidP="000963BC">
      <w:pPr>
        <w:spacing w:before="29" w:line="278" w:lineRule="auto"/>
        <w:ind w:left="142" w:right="5464"/>
        <w:rPr>
          <w:sz w:val="19"/>
        </w:rPr>
      </w:pPr>
      <w:r>
        <w:rPr>
          <w:sz w:val="19"/>
        </w:rPr>
        <w:t xml:space="preserve">health service </w:t>
      </w:r>
      <w:proofErr w:type="spellStart"/>
      <w:r>
        <w:rPr>
          <w:sz w:val="19"/>
        </w:rPr>
        <w:t>organisations</w:t>
      </w:r>
      <w:proofErr w:type="spellEnd"/>
    </w:p>
    <w:p w14:paraId="03E9FC1F" w14:textId="37227392" w:rsidR="009D54AF" w:rsidRDefault="00000000" w:rsidP="000963BC">
      <w:pPr>
        <w:spacing w:before="29" w:line="278" w:lineRule="auto"/>
        <w:ind w:left="425"/>
        <w:rPr>
          <w:sz w:val="19"/>
        </w:rPr>
      </w:pPr>
      <w:r>
        <w:rPr>
          <w:sz w:val="19"/>
        </w:rPr>
        <w:t>assessment</w:t>
      </w:r>
      <w:r>
        <w:rPr>
          <w:spacing w:val="-3"/>
          <w:sz w:val="19"/>
        </w:rPr>
        <w:t xml:space="preserve"> </w:t>
      </w:r>
      <w:r>
        <w:rPr>
          <w:sz w:val="19"/>
        </w:rPr>
        <w:t>to</w:t>
      </w:r>
      <w:r>
        <w:rPr>
          <w:spacing w:val="-1"/>
          <w:sz w:val="19"/>
        </w:rPr>
        <w:t xml:space="preserve"> </w:t>
      </w:r>
      <w:r>
        <w:rPr>
          <w:sz w:val="19"/>
        </w:rPr>
        <w:t>NSQHS</w:t>
      </w:r>
      <w:r>
        <w:rPr>
          <w:spacing w:val="-1"/>
          <w:sz w:val="19"/>
        </w:rPr>
        <w:t xml:space="preserve"> </w:t>
      </w:r>
      <w:r>
        <w:rPr>
          <w:sz w:val="19"/>
        </w:rPr>
        <w:t>Standards,</w:t>
      </w:r>
      <w:r>
        <w:rPr>
          <w:spacing w:val="-1"/>
          <w:sz w:val="19"/>
        </w:rPr>
        <w:t xml:space="preserve"> </w:t>
      </w:r>
    </w:p>
    <w:p w14:paraId="2070338C" w14:textId="5205F7B5" w:rsidR="000963BC" w:rsidRDefault="00000000" w:rsidP="000963BC">
      <w:pPr>
        <w:spacing w:before="29" w:line="278" w:lineRule="auto"/>
        <w:ind w:left="425" w:right="6078"/>
        <w:rPr>
          <w:sz w:val="19"/>
        </w:rPr>
      </w:pPr>
      <w:r>
        <w:rPr>
          <w:sz w:val="19"/>
        </w:rPr>
        <w:t>cultural</w:t>
      </w:r>
      <w:r>
        <w:rPr>
          <w:spacing w:val="-5"/>
          <w:sz w:val="19"/>
        </w:rPr>
        <w:t xml:space="preserve"> </w:t>
      </w:r>
      <w:r>
        <w:rPr>
          <w:sz w:val="19"/>
        </w:rPr>
        <w:t>safety</w:t>
      </w:r>
      <w:r>
        <w:rPr>
          <w:spacing w:val="-5"/>
          <w:sz w:val="19"/>
        </w:rPr>
        <w:t xml:space="preserve"> </w:t>
      </w:r>
      <w:r>
        <w:rPr>
          <w:sz w:val="19"/>
        </w:rPr>
        <w:t>standards,</w:t>
      </w:r>
      <w:r>
        <w:rPr>
          <w:spacing w:val="-5"/>
          <w:sz w:val="19"/>
        </w:rPr>
        <w:t xml:space="preserve"> </w:t>
      </w:r>
    </w:p>
    <w:p w14:paraId="4279D72D" w14:textId="7FF0AE25" w:rsidR="009D54AF" w:rsidRDefault="00000000" w:rsidP="000963BC">
      <w:pPr>
        <w:spacing w:before="29" w:line="278" w:lineRule="auto"/>
        <w:ind w:left="425" w:right="6078"/>
        <w:rPr>
          <w:sz w:val="19"/>
        </w:rPr>
      </w:pPr>
      <w:r>
        <w:rPr>
          <w:sz w:val="19"/>
        </w:rPr>
        <w:t xml:space="preserve">risk screening and assessment, </w:t>
      </w:r>
    </w:p>
    <w:p w14:paraId="267739C3" w14:textId="77777777" w:rsidR="000963BC" w:rsidRDefault="00000000" w:rsidP="000963BC">
      <w:pPr>
        <w:spacing w:before="29" w:line="278" w:lineRule="auto"/>
        <w:ind w:left="142" w:right="5410" w:firstLine="283"/>
        <w:rPr>
          <w:sz w:val="19"/>
        </w:rPr>
      </w:pPr>
      <w:r>
        <w:rPr>
          <w:i/>
          <w:sz w:val="19"/>
        </w:rPr>
        <w:t xml:space="preserve">see also </w:t>
      </w:r>
      <w:r>
        <w:rPr>
          <w:sz w:val="19"/>
        </w:rPr>
        <w:t>accreditation assessment; hospitals</w:t>
      </w:r>
    </w:p>
    <w:p w14:paraId="5740AFBD" w14:textId="56EF8DDF" w:rsidR="009D54AF" w:rsidRDefault="00000000" w:rsidP="000963BC">
      <w:pPr>
        <w:spacing w:before="29" w:line="278" w:lineRule="auto"/>
        <w:ind w:left="142" w:right="5409"/>
        <w:rPr>
          <w:sz w:val="19"/>
        </w:rPr>
      </w:pPr>
      <w:r>
        <w:rPr>
          <w:sz w:val="19"/>
        </w:rPr>
        <w:t>Healthcare</w:t>
      </w:r>
      <w:r>
        <w:rPr>
          <w:spacing w:val="-5"/>
          <w:sz w:val="19"/>
        </w:rPr>
        <w:t xml:space="preserve"> </w:t>
      </w:r>
      <w:r>
        <w:rPr>
          <w:sz w:val="19"/>
        </w:rPr>
        <w:t>Sustainability</w:t>
      </w:r>
      <w:r>
        <w:rPr>
          <w:spacing w:val="-5"/>
          <w:sz w:val="19"/>
        </w:rPr>
        <w:t xml:space="preserve"> </w:t>
      </w:r>
      <w:r>
        <w:rPr>
          <w:sz w:val="19"/>
        </w:rPr>
        <w:t>and</w:t>
      </w:r>
      <w:r>
        <w:rPr>
          <w:spacing w:val="-5"/>
          <w:sz w:val="19"/>
        </w:rPr>
        <w:t xml:space="preserve"> </w:t>
      </w:r>
      <w:r>
        <w:rPr>
          <w:sz w:val="19"/>
        </w:rPr>
        <w:t>Resilience</w:t>
      </w:r>
      <w:r>
        <w:rPr>
          <w:spacing w:val="-5"/>
          <w:sz w:val="19"/>
        </w:rPr>
        <w:t xml:space="preserve"> </w:t>
      </w:r>
      <w:r>
        <w:rPr>
          <w:sz w:val="19"/>
        </w:rPr>
        <w:t>Module,</w:t>
      </w:r>
      <w:r>
        <w:rPr>
          <w:spacing w:val="-5"/>
          <w:sz w:val="19"/>
        </w:rPr>
        <w:t xml:space="preserve"> </w:t>
      </w:r>
    </w:p>
    <w:p w14:paraId="67A2D00E" w14:textId="304D3194" w:rsidR="009D54AF" w:rsidRDefault="00000000" w:rsidP="000963BC">
      <w:pPr>
        <w:spacing w:before="29" w:line="278" w:lineRule="auto"/>
        <w:ind w:left="142"/>
        <w:rPr>
          <w:sz w:val="19"/>
        </w:rPr>
      </w:pPr>
      <w:r>
        <w:rPr>
          <w:sz w:val="19"/>
        </w:rPr>
        <w:t>healthcare</w:t>
      </w:r>
      <w:r>
        <w:rPr>
          <w:spacing w:val="-3"/>
          <w:sz w:val="19"/>
        </w:rPr>
        <w:t xml:space="preserve"> </w:t>
      </w:r>
      <w:r>
        <w:rPr>
          <w:sz w:val="19"/>
        </w:rPr>
        <w:t>variation,</w:t>
      </w:r>
      <w:r>
        <w:rPr>
          <w:spacing w:val="-2"/>
          <w:sz w:val="19"/>
        </w:rPr>
        <w:t xml:space="preserve"> </w:t>
      </w:r>
    </w:p>
    <w:p w14:paraId="6C14A697" w14:textId="4BF0E4AB" w:rsidR="009D54AF" w:rsidRDefault="00000000">
      <w:pPr>
        <w:spacing w:before="92"/>
        <w:ind w:left="425"/>
        <w:rPr>
          <w:sz w:val="19"/>
        </w:rPr>
      </w:pPr>
      <w:r>
        <w:rPr>
          <w:i/>
          <w:sz w:val="19"/>
        </w:rPr>
        <w:t>Atlas</w:t>
      </w:r>
      <w:r>
        <w:rPr>
          <w:i/>
          <w:spacing w:val="-1"/>
          <w:sz w:val="19"/>
        </w:rPr>
        <w:t xml:space="preserve"> </w:t>
      </w:r>
      <w:r>
        <w:rPr>
          <w:i/>
          <w:sz w:val="19"/>
        </w:rPr>
        <w:t>Focus Report: Colonoscopy</w:t>
      </w:r>
      <w:r>
        <w:rPr>
          <w:sz w:val="19"/>
        </w:rPr>
        <w:t xml:space="preserve">, </w:t>
      </w:r>
    </w:p>
    <w:p w14:paraId="6F47D235" w14:textId="6586F963" w:rsidR="009D54AF" w:rsidRDefault="00000000">
      <w:pPr>
        <w:spacing w:before="92"/>
        <w:ind w:left="425"/>
        <w:rPr>
          <w:sz w:val="19"/>
        </w:rPr>
      </w:pPr>
      <w:r>
        <w:rPr>
          <w:sz w:val="19"/>
        </w:rPr>
        <w:t xml:space="preserve">unwarranted, </w:t>
      </w:r>
    </w:p>
    <w:p w14:paraId="31583610" w14:textId="5858AC25" w:rsidR="009D54AF" w:rsidRDefault="00000000">
      <w:pPr>
        <w:spacing w:before="93"/>
        <w:ind w:left="142"/>
        <w:rPr>
          <w:sz w:val="19"/>
        </w:rPr>
      </w:pPr>
      <w:r>
        <w:rPr>
          <w:sz w:val="19"/>
        </w:rPr>
        <w:t>healthcare-associated</w:t>
      </w:r>
      <w:r>
        <w:rPr>
          <w:spacing w:val="-7"/>
          <w:sz w:val="19"/>
        </w:rPr>
        <w:t xml:space="preserve"> </w:t>
      </w:r>
      <w:r>
        <w:rPr>
          <w:sz w:val="19"/>
        </w:rPr>
        <w:t>infections,</w:t>
      </w:r>
      <w:r>
        <w:rPr>
          <w:spacing w:val="-7"/>
          <w:sz w:val="19"/>
        </w:rPr>
        <w:t xml:space="preserve"> </w:t>
      </w:r>
    </w:p>
    <w:p w14:paraId="201ED290" w14:textId="544859DD" w:rsidR="009D54AF" w:rsidRDefault="00000000">
      <w:pPr>
        <w:spacing w:before="92"/>
        <w:ind w:left="142"/>
        <w:rPr>
          <w:sz w:val="19"/>
        </w:rPr>
      </w:pPr>
      <w:proofErr w:type="spellStart"/>
      <w:r>
        <w:rPr>
          <w:sz w:val="19"/>
        </w:rPr>
        <w:t>Healthdirect</w:t>
      </w:r>
      <w:proofErr w:type="spellEnd"/>
      <w:r>
        <w:rPr>
          <w:sz w:val="19"/>
        </w:rPr>
        <w:t xml:space="preserve">, </w:t>
      </w:r>
    </w:p>
    <w:p w14:paraId="5980B47B" w14:textId="49797787" w:rsidR="009D54AF" w:rsidRDefault="00000000">
      <w:pPr>
        <w:spacing w:before="93"/>
        <w:ind w:left="142"/>
        <w:rPr>
          <w:sz w:val="19"/>
        </w:rPr>
      </w:pPr>
      <w:r>
        <w:rPr>
          <w:sz w:val="19"/>
        </w:rPr>
        <w:t>highlights</w:t>
      </w:r>
      <w:r>
        <w:rPr>
          <w:spacing w:val="-1"/>
          <w:sz w:val="19"/>
        </w:rPr>
        <w:t xml:space="preserve"> </w:t>
      </w:r>
      <w:r>
        <w:rPr>
          <w:sz w:val="19"/>
        </w:rPr>
        <w:t>(summary),</w:t>
      </w:r>
      <w:r>
        <w:rPr>
          <w:spacing w:val="-1"/>
          <w:sz w:val="19"/>
        </w:rPr>
        <w:t xml:space="preserve"> </w:t>
      </w:r>
    </w:p>
    <w:p w14:paraId="3998A82D" w14:textId="0505870C" w:rsidR="009D54AF" w:rsidRDefault="00000000">
      <w:pPr>
        <w:spacing w:before="92"/>
        <w:ind w:left="142"/>
        <w:rPr>
          <w:sz w:val="19"/>
        </w:rPr>
      </w:pPr>
      <w:r>
        <w:rPr>
          <w:sz w:val="19"/>
        </w:rPr>
        <w:t>high-risk</w:t>
      </w:r>
      <w:r>
        <w:rPr>
          <w:spacing w:val="-2"/>
          <w:sz w:val="19"/>
        </w:rPr>
        <w:t xml:space="preserve"> </w:t>
      </w:r>
      <w:r>
        <w:rPr>
          <w:sz w:val="19"/>
        </w:rPr>
        <w:t>medicines</w:t>
      </w:r>
      <w:r>
        <w:rPr>
          <w:spacing w:val="-2"/>
          <w:sz w:val="19"/>
        </w:rPr>
        <w:t xml:space="preserve"> </w:t>
      </w:r>
      <w:r>
        <w:rPr>
          <w:sz w:val="19"/>
        </w:rPr>
        <w:t>learning</w:t>
      </w:r>
      <w:r>
        <w:rPr>
          <w:spacing w:val="-2"/>
          <w:sz w:val="19"/>
        </w:rPr>
        <w:t xml:space="preserve"> </w:t>
      </w:r>
      <w:r>
        <w:rPr>
          <w:sz w:val="19"/>
        </w:rPr>
        <w:t>modules,</w:t>
      </w:r>
      <w:r>
        <w:rPr>
          <w:spacing w:val="-1"/>
          <w:sz w:val="19"/>
        </w:rPr>
        <w:t xml:space="preserve"> </w:t>
      </w:r>
    </w:p>
    <w:p w14:paraId="138C1B55" w14:textId="039AE71C" w:rsidR="000963BC" w:rsidRDefault="00000000" w:rsidP="000963BC">
      <w:pPr>
        <w:spacing w:before="92" w:line="278" w:lineRule="auto"/>
        <w:ind w:left="142" w:right="5466"/>
        <w:rPr>
          <w:sz w:val="19"/>
        </w:rPr>
      </w:pPr>
      <w:r>
        <w:rPr>
          <w:sz w:val="19"/>
        </w:rPr>
        <w:t>hospital-acquired</w:t>
      </w:r>
      <w:r>
        <w:rPr>
          <w:spacing w:val="-6"/>
          <w:sz w:val="19"/>
        </w:rPr>
        <w:t xml:space="preserve"> </w:t>
      </w:r>
      <w:r>
        <w:rPr>
          <w:sz w:val="19"/>
        </w:rPr>
        <w:t>complications</w:t>
      </w:r>
      <w:r>
        <w:rPr>
          <w:spacing w:val="-6"/>
          <w:sz w:val="19"/>
        </w:rPr>
        <w:t xml:space="preserve"> </w:t>
      </w:r>
      <w:r>
        <w:rPr>
          <w:sz w:val="19"/>
        </w:rPr>
        <w:t>(HACs),</w:t>
      </w:r>
      <w:r>
        <w:rPr>
          <w:spacing w:val="-6"/>
          <w:sz w:val="19"/>
        </w:rPr>
        <w:t xml:space="preserve"> </w:t>
      </w:r>
    </w:p>
    <w:p w14:paraId="3078A9DB" w14:textId="6A532A56" w:rsidR="009D54AF" w:rsidRDefault="00000000">
      <w:pPr>
        <w:spacing w:before="92" w:line="340" w:lineRule="auto"/>
        <w:ind w:left="142" w:right="5464"/>
        <w:rPr>
          <w:sz w:val="19"/>
        </w:rPr>
      </w:pPr>
      <w:r>
        <w:rPr>
          <w:spacing w:val="-2"/>
          <w:sz w:val="19"/>
        </w:rPr>
        <w:t>hospitals</w:t>
      </w:r>
    </w:p>
    <w:p w14:paraId="75A7D20E" w14:textId="6D3F1ED3" w:rsidR="000963BC" w:rsidRDefault="00000000">
      <w:pPr>
        <w:spacing w:before="2" w:line="340" w:lineRule="auto"/>
        <w:ind w:left="425" w:right="5920"/>
        <w:rPr>
          <w:sz w:val="19"/>
        </w:rPr>
      </w:pPr>
      <w:r>
        <w:rPr>
          <w:sz w:val="19"/>
        </w:rPr>
        <w:t>adverse</w:t>
      </w:r>
      <w:r>
        <w:rPr>
          <w:spacing w:val="-7"/>
          <w:sz w:val="19"/>
        </w:rPr>
        <w:t xml:space="preserve"> </w:t>
      </w:r>
      <w:r>
        <w:rPr>
          <w:sz w:val="19"/>
        </w:rPr>
        <w:t>events</w:t>
      </w:r>
      <w:r>
        <w:rPr>
          <w:spacing w:val="-7"/>
          <w:sz w:val="19"/>
        </w:rPr>
        <w:t xml:space="preserve"> </w:t>
      </w:r>
      <w:r>
        <w:rPr>
          <w:sz w:val="19"/>
        </w:rPr>
        <w:t>indicators</w:t>
      </w:r>
      <w:r>
        <w:rPr>
          <w:spacing w:val="-7"/>
          <w:sz w:val="19"/>
        </w:rPr>
        <w:t xml:space="preserve"> </w:t>
      </w:r>
      <w:r>
        <w:rPr>
          <w:sz w:val="19"/>
        </w:rPr>
        <w:t>and</w:t>
      </w:r>
      <w:r>
        <w:rPr>
          <w:spacing w:val="-7"/>
          <w:sz w:val="19"/>
        </w:rPr>
        <w:t xml:space="preserve"> </w:t>
      </w:r>
      <w:r>
        <w:rPr>
          <w:sz w:val="19"/>
        </w:rPr>
        <w:t>measures,</w:t>
      </w:r>
      <w:r>
        <w:rPr>
          <w:spacing w:val="-7"/>
          <w:sz w:val="19"/>
        </w:rPr>
        <w:t xml:space="preserve"> </w:t>
      </w:r>
      <w:r>
        <w:rPr>
          <w:sz w:val="19"/>
        </w:rPr>
        <w:t xml:space="preserve"> assessment to NSQHS Standards, </w:t>
      </w:r>
    </w:p>
    <w:p w14:paraId="2018F26E" w14:textId="5C26D052" w:rsidR="009D54AF" w:rsidRDefault="00000000">
      <w:pPr>
        <w:spacing w:before="2" w:line="340" w:lineRule="auto"/>
        <w:ind w:left="425" w:right="5920"/>
        <w:rPr>
          <w:sz w:val="19"/>
        </w:rPr>
      </w:pPr>
      <w:r>
        <w:rPr>
          <w:sz w:val="19"/>
        </w:rPr>
        <w:t xml:space="preserve">avoidable readmissions list, </w:t>
      </w:r>
    </w:p>
    <w:p w14:paraId="72F27BFF" w14:textId="77777777" w:rsidR="000963BC" w:rsidRDefault="00000000">
      <w:pPr>
        <w:spacing w:before="1" w:line="340" w:lineRule="auto"/>
        <w:ind w:left="425" w:right="4242"/>
        <w:rPr>
          <w:sz w:val="19"/>
        </w:rPr>
      </w:pPr>
      <w:r>
        <w:rPr>
          <w:sz w:val="19"/>
        </w:rPr>
        <w:t>Core</w:t>
      </w:r>
      <w:r>
        <w:rPr>
          <w:spacing w:val="-9"/>
          <w:sz w:val="19"/>
        </w:rPr>
        <w:t xml:space="preserve"> </w:t>
      </w:r>
      <w:r>
        <w:rPr>
          <w:sz w:val="19"/>
        </w:rPr>
        <w:t>Hospital-Based</w:t>
      </w:r>
      <w:r>
        <w:rPr>
          <w:spacing w:val="-9"/>
          <w:sz w:val="19"/>
        </w:rPr>
        <w:t xml:space="preserve"> </w:t>
      </w:r>
      <w:r>
        <w:rPr>
          <w:sz w:val="19"/>
        </w:rPr>
        <w:t>Outcome</w:t>
      </w:r>
      <w:r>
        <w:rPr>
          <w:spacing w:val="-9"/>
          <w:sz w:val="19"/>
        </w:rPr>
        <w:t xml:space="preserve"> </w:t>
      </w:r>
      <w:r>
        <w:rPr>
          <w:sz w:val="19"/>
        </w:rPr>
        <w:t>Indicators</w:t>
      </w:r>
      <w:r>
        <w:rPr>
          <w:spacing w:val="-9"/>
          <w:sz w:val="19"/>
        </w:rPr>
        <w:t xml:space="preserve"> </w:t>
      </w:r>
      <w:r>
        <w:rPr>
          <w:sz w:val="19"/>
        </w:rPr>
        <w:t>(CHBOIs)</w:t>
      </w:r>
      <w:r>
        <w:rPr>
          <w:spacing w:val="-13"/>
          <w:sz w:val="19"/>
        </w:rPr>
        <w:t xml:space="preserve"> </w:t>
      </w:r>
      <w:r>
        <w:rPr>
          <w:sz w:val="19"/>
        </w:rPr>
        <w:t>Toolkit,</w:t>
      </w:r>
      <w:r>
        <w:rPr>
          <w:spacing w:val="-9"/>
          <w:sz w:val="19"/>
        </w:rPr>
        <w:t xml:space="preserve"> </w:t>
      </w:r>
      <w:r>
        <w:rPr>
          <w:sz w:val="19"/>
        </w:rPr>
        <w:t xml:space="preserve"> </w:t>
      </w:r>
    </w:p>
    <w:p w14:paraId="78191E74" w14:textId="6A9C8044" w:rsidR="009D54AF" w:rsidRDefault="00000000">
      <w:pPr>
        <w:spacing w:before="1" w:line="340" w:lineRule="auto"/>
        <w:ind w:left="425" w:right="4242"/>
        <w:rPr>
          <w:sz w:val="19"/>
        </w:rPr>
      </w:pPr>
      <w:r>
        <w:rPr>
          <w:sz w:val="19"/>
        </w:rPr>
        <w:t xml:space="preserve">cultural safety standards, </w:t>
      </w:r>
    </w:p>
    <w:p w14:paraId="12504086" w14:textId="77777777" w:rsidR="000963BC" w:rsidRDefault="00000000">
      <w:pPr>
        <w:spacing w:before="2" w:line="340" w:lineRule="auto"/>
        <w:ind w:left="425" w:right="5464"/>
        <w:rPr>
          <w:sz w:val="19"/>
        </w:rPr>
      </w:pPr>
      <w:r>
        <w:rPr>
          <w:sz w:val="19"/>
        </w:rPr>
        <w:t>medical</w:t>
      </w:r>
      <w:r>
        <w:rPr>
          <w:spacing w:val="-6"/>
          <w:sz w:val="19"/>
        </w:rPr>
        <w:t xml:space="preserve"> </w:t>
      </w:r>
      <w:r>
        <w:rPr>
          <w:sz w:val="19"/>
        </w:rPr>
        <w:t>device</w:t>
      </w:r>
      <w:r>
        <w:rPr>
          <w:spacing w:val="-6"/>
          <w:sz w:val="19"/>
        </w:rPr>
        <w:t xml:space="preserve"> </w:t>
      </w:r>
      <w:r>
        <w:rPr>
          <w:sz w:val="19"/>
        </w:rPr>
        <w:t>adverse</w:t>
      </w:r>
      <w:r>
        <w:rPr>
          <w:spacing w:val="-6"/>
          <w:sz w:val="19"/>
        </w:rPr>
        <w:t xml:space="preserve"> </w:t>
      </w:r>
      <w:r>
        <w:rPr>
          <w:sz w:val="19"/>
        </w:rPr>
        <w:t>event</w:t>
      </w:r>
      <w:r>
        <w:rPr>
          <w:spacing w:val="-6"/>
          <w:sz w:val="19"/>
        </w:rPr>
        <w:t xml:space="preserve"> </w:t>
      </w:r>
      <w:r>
        <w:rPr>
          <w:sz w:val="19"/>
        </w:rPr>
        <w:t>reporting,</w:t>
      </w:r>
      <w:r>
        <w:rPr>
          <w:spacing w:val="-6"/>
          <w:sz w:val="19"/>
        </w:rPr>
        <w:t xml:space="preserve"> </w:t>
      </w:r>
      <w:r>
        <w:rPr>
          <w:sz w:val="19"/>
        </w:rPr>
        <w:t xml:space="preserve"> </w:t>
      </w:r>
    </w:p>
    <w:p w14:paraId="76B246B1" w14:textId="1A731450" w:rsidR="009D54AF" w:rsidRDefault="00000000">
      <w:pPr>
        <w:spacing w:before="2" w:line="340" w:lineRule="auto"/>
        <w:ind w:left="425" w:right="5464"/>
        <w:rPr>
          <w:sz w:val="19"/>
        </w:rPr>
      </w:pPr>
      <w:r>
        <w:rPr>
          <w:sz w:val="19"/>
        </w:rPr>
        <w:t xml:space="preserve">medication management systems, </w:t>
      </w:r>
    </w:p>
    <w:p w14:paraId="304EEC90" w14:textId="437AA241" w:rsidR="009D54AF" w:rsidRDefault="00000000">
      <w:pPr>
        <w:spacing w:before="1"/>
        <w:ind w:left="425"/>
        <w:rPr>
          <w:sz w:val="19"/>
        </w:rPr>
      </w:pPr>
      <w:r>
        <w:rPr>
          <w:sz w:val="19"/>
        </w:rPr>
        <w:t>short</w:t>
      </w:r>
      <w:r>
        <w:rPr>
          <w:spacing w:val="-2"/>
          <w:sz w:val="19"/>
        </w:rPr>
        <w:t xml:space="preserve"> </w:t>
      </w:r>
      <w:r>
        <w:rPr>
          <w:sz w:val="19"/>
        </w:rPr>
        <w:t>notice</w:t>
      </w:r>
      <w:r>
        <w:rPr>
          <w:spacing w:val="-2"/>
          <w:sz w:val="19"/>
        </w:rPr>
        <w:t xml:space="preserve"> </w:t>
      </w:r>
      <w:r>
        <w:rPr>
          <w:sz w:val="19"/>
        </w:rPr>
        <w:t>assessments,</w:t>
      </w:r>
      <w:r>
        <w:rPr>
          <w:spacing w:val="-1"/>
          <w:sz w:val="19"/>
        </w:rPr>
        <w:t xml:space="preserve"> </w:t>
      </w:r>
    </w:p>
    <w:p w14:paraId="5ED61851" w14:textId="77777777" w:rsidR="009D54AF" w:rsidRDefault="00000000">
      <w:pPr>
        <w:pStyle w:val="Heading4"/>
        <w:spacing w:before="279"/>
      </w:pPr>
      <w:r>
        <w:rPr>
          <w:spacing w:val="-10"/>
        </w:rPr>
        <w:t>I</w:t>
      </w:r>
    </w:p>
    <w:p w14:paraId="446CEDE1" w14:textId="77777777" w:rsidR="000963BC" w:rsidRDefault="00000000" w:rsidP="000963BC">
      <w:pPr>
        <w:spacing w:before="112" w:line="278" w:lineRule="auto"/>
        <w:ind w:left="142" w:right="7666"/>
        <w:rPr>
          <w:sz w:val="19"/>
        </w:rPr>
      </w:pPr>
      <w:r>
        <w:rPr>
          <w:sz w:val="19"/>
        </w:rPr>
        <w:t xml:space="preserve">imaging practices,  </w:t>
      </w:r>
    </w:p>
    <w:p w14:paraId="566FCA9E" w14:textId="2ACC0D81" w:rsidR="009D54AF" w:rsidRDefault="00000000" w:rsidP="000963BC">
      <w:pPr>
        <w:spacing w:before="29" w:line="278" w:lineRule="auto"/>
        <w:ind w:left="142" w:right="7666"/>
        <w:rPr>
          <w:sz w:val="19"/>
        </w:rPr>
      </w:pPr>
      <w:r>
        <w:rPr>
          <w:sz w:val="19"/>
        </w:rPr>
        <w:t>indemnity</w:t>
      </w:r>
      <w:r>
        <w:rPr>
          <w:spacing w:val="-11"/>
          <w:sz w:val="19"/>
        </w:rPr>
        <w:t xml:space="preserve"> </w:t>
      </w:r>
      <w:r>
        <w:rPr>
          <w:sz w:val="19"/>
        </w:rPr>
        <w:t>and</w:t>
      </w:r>
      <w:r>
        <w:rPr>
          <w:spacing w:val="-11"/>
          <w:sz w:val="19"/>
        </w:rPr>
        <w:t xml:space="preserve"> </w:t>
      </w:r>
      <w:r>
        <w:rPr>
          <w:sz w:val="19"/>
        </w:rPr>
        <w:t>insurance,</w:t>
      </w:r>
      <w:r>
        <w:rPr>
          <w:spacing w:val="-11"/>
          <w:sz w:val="19"/>
        </w:rPr>
        <w:t xml:space="preserve"> </w:t>
      </w:r>
    </w:p>
    <w:p w14:paraId="7FA7A36E" w14:textId="39D0977A" w:rsidR="000963BC" w:rsidRDefault="00000000">
      <w:pPr>
        <w:spacing w:before="1" w:line="340" w:lineRule="auto"/>
        <w:ind w:left="142" w:right="4771"/>
        <w:rPr>
          <w:sz w:val="19"/>
        </w:rPr>
      </w:pPr>
      <w:r>
        <w:rPr>
          <w:sz w:val="19"/>
        </w:rPr>
        <w:t>indicators,</w:t>
      </w:r>
      <w:r>
        <w:rPr>
          <w:spacing w:val="-6"/>
          <w:sz w:val="19"/>
        </w:rPr>
        <w:t xml:space="preserve"> </w:t>
      </w:r>
      <w:r>
        <w:rPr>
          <w:sz w:val="19"/>
        </w:rPr>
        <w:t>measures</w:t>
      </w:r>
      <w:r>
        <w:rPr>
          <w:spacing w:val="-6"/>
          <w:sz w:val="19"/>
        </w:rPr>
        <w:t xml:space="preserve"> </w:t>
      </w:r>
      <w:r>
        <w:rPr>
          <w:sz w:val="19"/>
        </w:rPr>
        <w:t>and</w:t>
      </w:r>
      <w:r>
        <w:rPr>
          <w:spacing w:val="-6"/>
          <w:sz w:val="19"/>
        </w:rPr>
        <w:t xml:space="preserve"> </w:t>
      </w:r>
      <w:r>
        <w:rPr>
          <w:sz w:val="19"/>
        </w:rPr>
        <w:t>dataset</w:t>
      </w:r>
      <w:r>
        <w:rPr>
          <w:spacing w:val="-6"/>
          <w:sz w:val="19"/>
        </w:rPr>
        <w:t xml:space="preserve"> </w:t>
      </w:r>
      <w:r>
        <w:rPr>
          <w:sz w:val="19"/>
        </w:rPr>
        <w:t>specifications,</w:t>
      </w:r>
      <w:r>
        <w:rPr>
          <w:spacing w:val="-6"/>
          <w:sz w:val="19"/>
        </w:rPr>
        <w:t xml:space="preserve"> </w:t>
      </w:r>
    </w:p>
    <w:p w14:paraId="19BCFE85" w14:textId="21FD7C14" w:rsidR="009D54AF" w:rsidRDefault="00000000">
      <w:pPr>
        <w:spacing w:before="1" w:line="340" w:lineRule="auto"/>
        <w:ind w:left="142" w:right="4771"/>
        <w:rPr>
          <w:sz w:val="19"/>
        </w:rPr>
      </w:pPr>
      <w:r>
        <w:rPr>
          <w:sz w:val="19"/>
        </w:rPr>
        <w:t xml:space="preserve">individual flexibility agreements, </w:t>
      </w:r>
    </w:p>
    <w:p w14:paraId="36B9EF53" w14:textId="77777777" w:rsidR="000963BC" w:rsidRDefault="00000000">
      <w:pPr>
        <w:spacing w:before="1" w:line="340" w:lineRule="auto"/>
        <w:ind w:left="142" w:right="2542"/>
        <w:rPr>
          <w:sz w:val="19"/>
        </w:rPr>
      </w:pPr>
      <w:r>
        <w:rPr>
          <w:sz w:val="19"/>
        </w:rPr>
        <w:t>infection</w:t>
      </w:r>
      <w:r>
        <w:rPr>
          <w:spacing w:val="-3"/>
          <w:sz w:val="19"/>
        </w:rPr>
        <w:t xml:space="preserve"> </w:t>
      </w:r>
      <w:r>
        <w:rPr>
          <w:sz w:val="19"/>
        </w:rPr>
        <w:t>prevention</w:t>
      </w:r>
      <w:r>
        <w:rPr>
          <w:spacing w:val="-3"/>
          <w:sz w:val="19"/>
        </w:rPr>
        <w:t xml:space="preserve"> </w:t>
      </w:r>
      <w:r>
        <w:rPr>
          <w:sz w:val="19"/>
        </w:rPr>
        <w:t>and</w:t>
      </w:r>
      <w:r>
        <w:rPr>
          <w:spacing w:val="-3"/>
          <w:sz w:val="19"/>
        </w:rPr>
        <w:t xml:space="preserve"> </w:t>
      </w:r>
      <w:r>
        <w:rPr>
          <w:sz w:val="19"/>
        </w:rPr>
        <w:t>control</w:t>
      </w:r>
      <w:r w:rsidR="000963BC">
        <w:rPr>
          <w:sz w:val="19"/>
        </w:rPr>
        <w:t xml:space="preserve"> </w:t>
      </w:r>
      <w:r>
        <w:rPr>
          <w:sz w:val="19"/>
        </w:rPr>
        <w:t>,</w:t>
      </w:r>
      <w:r>
        <w:rPr>
          <w:spacing w:val="-3"/>
          <w:sz w:val="19"/>
        </w:rPr>
        <w:t xml:space="preserve"> </w:t>
      </w:r>
      <w:r>
        <w:rPr>
          <w:sz w:val="19"/>
        </w:rPr>
        <w:t>see</w:t>
      </w:r>
      <w:r>
        <w:rPr>
          <w:spacing w:val="-3"/>
          <w:sz w:val="19"/>
        </w:rPr>
        <w:t xml:space="preserve"> </w:t>
      </w:r>
      <w:r>
        <w:rPr>
          <w:sz w:val="19"/>
        </w:rPr>
        <w:t>also</w:t>
      </w:r>
      <w:r>
        <w:rPr>
          <w:spacing w:val="-3"/>
          <w:sz w:val="19"/>
        </w:rPr>
        <w:t xml:space="preserve"> </w:t>
      </w:r>
      <w:r>
        <w:rPr>
          <w:sz w:val="19"/>
        </w:rPr>
        <w:t>antimicrobial</w:t>
      </w:r>
      <w:r>
        <w:rPr>
          <w:spacing w:val="-3"/>
          <w:sz w:val="19"/>
        </w:rPr>
        <w:t xml:space="preserve"> </w:t>
      </w:r>
      <w:r>
        <w:rPr>
          <w:sz w:val="19"/>
        </w:rPr>
        <w:t>resistance</w:t>
      </w:r>
      <w:r>
        <w:rPr>
          <w:spacing w:val="-3"/>
          <w:sz w:val="19"/>
        </w:rPr>
        <w:t xml:space="preserve"> </w:t>
      </w:r>
      <w:r>
        <w:rPr>
          <w:sz w:val="19"/>
        </w:rPr>
        <w:t>(AMR);</w:t>
      </w:r>
      <w:r>
        <w:rPr>
          <w:spacing w:val="-3"/>
          <w:sz w:val="19"/>
        </w:rPr>
        <w:t xml:space="preserve"> </w:t>
      </w:r>
      <w:r>
        <w:rPr>
          <w:sz w:val="19"/>
        </w:rPr>
        <w:t xml:space="preserve">sepsis </w:t>
      </w:r>
    </w:p>
    <w:p w14:paraId="027CF61C" w14:textId="42858F7F" w:rsidR="009D54AF" w:rsidRDefault="00000000">
      <w:pPr>
        <w:spacing w:before="1" w:line="340" w:lineRule="auto"/>
        <w:ind w:left="142" w:right="2542"/>
        <w:rPr>
          <w:sz w:val="19"/>
        </w:rPr>
      </w:pPr>
      <w:r>
        <w:rPr>
          <w:sz w:val="19"/>
        </w:rPr>
        <w:t xml:space="preserve">Information and Records Management Steering Committee, </w:t>
      </w:r>
    </w:p>
    <w:p w14:paraId="5A3F4194" w14:textId="77777777" w:rsidR="000963BC" w:rsidRDefault="00000000">
      <w:pPr>
        <w:spacing w:before="2" w:line="340" w:lineRule="auto"/>
        <w:ind w:left="142" w:right="6600"/>
        <w:rPr>
          <w:sz w:val="19"/>
        </w:rPr>
      </w:pPr>
      <w:r>
        <w:rPr>
          <w:sz w:val="19"/>
        </w:rPr>
        <w:t>Information</w:t>
      </w:r>
      <w:r>
        <w:rPr>
          <w:spacing w:val="-12"/>
          <w:sz w:val="19"/>
        </w:rPr>
        <w:t xml:space="preserve"> </w:t>
      </w:r>
      <w:r>
        <w:rPr>
          <w:sz w:val="19"/>
        </w:rPr>
        <w:t>Publication</w:t>
      </w:r>
      <w:r>
        <w:rPr>
          <w:spacing w:val="-12"/>
          <w:sz w:val="19"/>
        </w:rPr>
        <w:t xml:space="preserve"> </w:t>
      </w:r>
      <w:r>
        <w:rPr>
          <w:sz w:val="19"/>
        </w:rPr>
        <w:t>Scheme,</w:t>
      </w:r>
      <w:r>
        <w:rPr>
          <w:spacing w:val="-12"/>
          <w:sz w:val="19"/>
        </w:rPr>
        <w:t xml:space="preserve"> </w:t>
      </w:r>
      <w:r>
        <w:rPr>
          <w:sz w:val="19"/>
        </w:rPr>
        <w:t xml:space="preserve"> </w:t>
      </w:r>
    </w:p>
    <w:p w14:paraId="0EFA2FB8" w14:textId="1A2360A4" w:rsidR="009D54AF" w:rsidRDefault="00000000">
      <w:pPr>
        <w:spacing w:before="2" w:line="340" w:lineRule="auto"/>
        <w:ind w:left="142" w:right="6600"/>
        <w:rPr>
          <w:sz w:val="19"/>
        </w:rPr>
      </w:pPr>
      <w:r>
        <w:rPr>
          <w:sz w:val="19"/>
        </w:rPr>
        <w:t>information services</w:t>
      </w:r>
    </w:p>
    <w:p w14:paraId="2F056B62" w14:textId="380FFA29" w:rsidR="009D54AF" w:rsidRDefault="00000000">
      <w:pPr>
        <w:spacing w:before="1"/>
        <w:ind w:left="425"/>
        <w:rPr>
          <w:sz w:val="19"/>
        </w:rPr>
      </w:pPr>
      <w:proofErr w:type="spellStart"/>
      <w:r>
        <w:rPr>
          <w:sz w:val="19"/>
        </w:rPr>
        <w:t>Healthdirect</w:t>
      </w:r>
      <w:proofErr w:type="spellEnd"/>
      <w:r>
        <w:rPr>
          <w:sz w:val="19"/>
        </w:rPr>
        <w:t xml:space="preserve">, </w:t>
      </w:r>
    </w:p>
    <w:p w14:paraId="7DF5484B" w14:textId="19C3A3C1" w:rsidR="009D54AF" w:rsidRDefault="00000000">
      <w:pPr>
        <w:spacing w:before="92"/>
        <w:ind w:left="425"/>
        <w:rPr>
          <w:sz w:val="19"/>
        </w:rPr>
      </w:pPr>
      <w:r>
        <w:rPr>
          <w:sz w:val="19"/>
        </w:rPr>
        <w:t>public</w:t>
      </w:r>
      <w:r>
        <w:rPr>
          <w:spacing w:val="-4"/>
          <w:sz w:val="19"/>
        </w:rPr>
        <w:t xml:space="preserve"> </w:t>
      </w:r>
      <w:r>
        <w:rPr>
          <w:sz w:val="19"/>
        </w:rPr>
        <w:t>reporting</w:t>
      </w:r>
      <w:r>
        <w:rPr>
          <w:spacing w:val="-4"/>
          <w:sz w:val="19"/>
        </w:rPr>
        <w:t xml:space="preserve"> </w:t>
      </w:r>
      <w:r>
        <w:rPr>
          <w:sz w:val="19"/>
        </w:rPr>
        <w:t>of</w:t>
      </w:r>
      <w:r>
        <w:rPr>
          <w:spacing w:val="-4"/>
          <w:sz w:val="19"/>
        </w:rPr>
        <w:t xml:space="preserve"> </w:t>
      </w:r>
      <w:r>
        <w:rPr>
          <w:sz w:val="19"/>
        </w:rPr>
        <w:t>accreditation</w:t>
      </w:r>
      <w:r>
        <w:rPr>
          <w:spacing w:val="-4"/>
          <w:sz w:val="19"/>
        </w:rPr>
        <w:t xml:space="preserve"> </w:t>
      </w:r>
      <w:r>
        <w:rPr>
          <w:sz w:val="19"/>
        </w:rPr>
        <w:t>outcomes,</w:t>
      </w:r>
      <w:r>
        <w:rPr>
          <w:spacing w:val="-4"/>
          <w:sz w:val="19"/>
        </w:rPr>
        <w:t xml:space="preserve"> </w:t>
      </w:r>
    </w:p>
    <w:p w14:paraId="3EEE8794" w14:textId="7B98A150" w:rsidR="009D54AF" w:rsidRDefault="00000000">
      <w:pPr>
        <w:spacing w:before="70"/>
        <w:ind w:left="142"/>
        <w:rPr>
          <w:sz w:val="19"/>
        </w:rPr>
      </w:pPr>
      <w:r>
        <w:rPr>
          <w:sz w:val="19"/>
        </w:rPr>
        <w:t>informed</w:t>
      </w:r>
      <w:r>
        <w:rPr>
          <w:spacing w:val="-4"/>
          <w:sz w:val="19"/>
        </w:rPr>
        <w:t xml:space="preserve"> </w:t>
      </w:r>
      <w:r>
        <w:rPr>
          <w:sz w:val="19"/>
        </w:rPr>
        <w:t>consent,</w:t>
      </w:r>
      <w:r>
        <w:rPr>
          <w:spacing w:val="-2"/>
          <w:sz w:val="19"/>
        </w:rPr>
        <w:t xml:space="preserve"> </w:t>
      </w:r>
    </w:p>
    <w:p w14:paraId="5FD406B0" w14:textId="7DBD7EDE" w:rsidR="009D54AF" w:rsidRDefault="00000000">
      <w:pPr>
        <w:spacing w:before="92"/>
        <w:ind w:left="142"/>
        <w:rPr>
          <w:sz w:val="19"/>
        </w:rPr>
      </w:pPr>
      <w:r>
        <w:rPr>
          <w:sz w:val="19"/>
        </w:rPr>
        <w:t>insulin</w:t>
      </w:r>
      <w:r>
        <w:rPr>
          <w:spacing w:val="-3"/>
          <w:sz w:val="19"/>
        </w:rPr>
        <w:t xml:space="preserve"> </w:t>
      </w:r>
      <w:r>
        <w:rPr>
          <w:sz w:val="19"/>
        </w:rPr>
        <w:t>products,</w:t>
      </w:r>
      <w:r>
        <w:rPr>
          <w:spacing w:val="-3"/>
          <w:sz w:val="19"/>
        </w:rPr>
        <w:t xml:space="preserve"> </w:t>
      </w:r>
    </w:p>
    <w:p w14:paraId="64118A8B" w14:textId="77756675" w:rsidR="009D54AF" w:rsidRDefault="00000000">
      <w:pPr>
        <w:spacing w:before="93"/>
        <w:ind w:left="142"/>
        <w:rPr>
          <w:sz w:val="19"/>
        </w:rPr>
      </w:pPr>
      <w:r>
        <w:rPr>
          <w:sz w:val="19"/>
        </w:rPr>
        <w:lastRenderedPageBreak/>
        <w:t xml:space="preserve">insurance, </w:t>
      </w:r>
    </w:p>
    <w:p w14:paraId="0F11DA7E" w14:textId="4982CD68" w:rsidR="000963BC" w:rsidRDefault="00000000">
      <w:pPr>
        <w:spacing w:before="92" w:line="340" w:lineRule="auto"/>
        <w:ind w:left="142" w:right="3321"/>
        <w:rPr>
          <w:sz w:val="19"/>
        </w:rPr>
      </w:pPr>
      <w:r>
        <w:rPr>
          <w:sz w:val="19"/>
        </w:rPr>
        <w:t>Integrated</w:t>
      </w:r>
      <w:r>
        <w:rPr>
          <w:spacing w:val="-3"/>
          <w:sz w:val="19"/>
        </w:rPr>
        <w:t xml:space="preserve"> </w:t>
      </w:r>
      <w:r>
        <w:rPr>
          <w:sz w:val="19"/>
        </w:rPr>
        <w:t>Health</w:t>
      </w:r>
      <w:r>
        <w:rPr>
          <w:spacing w:val="-3"/>
          <w:sz w:val="19"/>
        </w:rPr>
        <w:t xml:space="preserve"> </w:t>
      </w:r>
      <w:r>
        <w:rPr>
          <w:sz w:val="19"/>
        </w:rPr>
        <w:t>and</w:t>
      </w:r>
      <w:r>
        <w:rPr>
          <w:spacing w:val="-14"/>
          <w:sz w:val="19"/>
        </w:rPr>
        <w:t xml:space="preserve"> </w:t>
      </w:r>
      <w:r>
        <w:rPr>
          <w:sz w:val="19"/>
        </w:rPr>
        <w:t>Aged</w:t>
      </w:r>
      <w:r>
        <w:rPr>
          <w:spacing w:val="-2"/>
          <w:sz w:val="19"/>
        </w:rPr>
        <w:t xml:space="preserve"> </w:t>
      </w:r>
      <w:r>
        <w:rPr>
          <w:sz w:val="19"/>
        </w:rPr>
        <w:t>Care</w:t>
      </w:r>
      <w:r>
        <w:rPr>
          <w:spacing w:val="-3"/>
          <w:sz w:val="19"/>
        </w:rPr>
        <w:t xml:space="preserve"> </w:t>
      </w:r>
      <w:r>
        <w:rPr>
          <w:sz w:val="19"/>
        </w:rPr>
        <w:t>Service</w:t>
      </w:r>
      <w:r>
        <w:rPr>
          <w:spacing w:val="-3"/>
          <w:sz w:val="19"/>
        </w:rPr>
        <w:t xml:space="preserve"> </w:t>
      </w:r>
      <w:r>
        <w:rPr>
          <w:sz w:val="19"/>
        </w:rPr>
        <w:t>Module</w:t>
      </w:r>
      <w:r>
        <w:rPr>
          <w:spacing w:val="-3"/>
          <w:sz w:val="19"/>
        </w:rPr>
        <w:t xml:space="preserve"> </w:t>
      </w:r>
      <w:r>
        <w:rPr>
          <w:sz w:val="19"/>
        </w:rPr>
        <w:t>and</w:t>
      </w:r>
      <w:r>
        <w:rPr>
          <w:spacing w:val="-3"/>
          <w:sz w:val="19"/>
        </w:rPr>
        <w:t xml:space="preserve"> </w:t>
      </w:r>
      <w:r>
        <w:rPr>
          <w:sz w:val="19"/>
        </w:rPr>
        <w:t>User</w:t>
      </w:r>
      <w:r>
        <w:rPr>
          <w:spacing w:val="-3"/>
          <w:sz w:val="19"/>
        </w:rPr>
        <w:t xml:space="preserve"> </w:t>
      </w:r>
      <w:r>
        <w:rPr>
          <w:sz w:val="19"/>
        </w:rPr>
        <w:t>Guide,</w:t>
      </w:r>
      <w:r>
        <w:rPr>
          <w:spacing w:val="-3"/>
          <w:sz w:val="19"/>
        </w:rPr>
        <w:t xml:space="preserve"> </w:t>
      </w:r>
    </w:p>
    <w:p w14:paraId="669D88D9" w14:textId="77777777" w:rsidR="000963BC" w:rsidRDefault="000963BC">
      <w:pPr>
        <w:rPr>
          <w:sz w:val="19"/>
        </w:rPr>
      </w:pPr>
      <w:r>
        <w:rPr>
          <w:sz w:val="19"/>
        </w:rPr>
        <w:br w:type="page"/>
      </w:r>
    </w:p>
    <w:p w14:paraId="0FFCD2F6" w14:textId="3A0ED8BC" w:rsidR="009D54AF" w:rsidRDefault="00000000">
      <w:pPr>
        <w:spacing w:before="92" w:line="340" w:lineRule="auto"/>
        <w:ind w:left="142" w:right="3321"/>
        <w:rPr>
          <w:sz w:val="19"/>
        </w:rPr>
      </w:pPr>
      <w:r>
        <w:rPr>
          <w:sz w:val="19"/>
        </w:rPr>
        <w:lastRenderedPageBreak/>
        <w:t>intellectual disability</w:t>
      </w:r>
    </w:p>
    <w:p w14:paraId="4173B7D0" w14:textId="5C7A9059" w:rsidR="000963BC" w:rsidRDefault="00000000">
      <w:pPr>
        <w:spacing w:before="1" w:line="340" w:lineRule="auto"/>
        <w:ind w:left="142" w:right="5407" w:firstLine="283"/>
        <w:rPr>
          <w:sz w:val="19"/>
        </w:rPr>
      </w:pPr>
      <w:r>
        <w:rPr>
          <w:sz w:val="19"/>
        </w:rPr>
        <w:t>services</w:t>
      </w:r>
      <w:r>
        <w:rPr>
          <w:spacing w:val="-6"/>
          <w:sz w:val="19"/>
        </w:rPr>
        <w:t xml:space="preserve"> </w:t>
      </w:r>
      <w:r>
        <w:rPr>
          <w:sz w:val="19"/>
        </w:rPr>
        <w:t>for</w:t>
      </w:r>
      <w:r>
        <w:rPr>
          <w:spacing w:val="-6"/>
          <w:sz w:val="19"/>
        </w:rPr>
        <w:t xml:space="preserve"> </w:t>
      </w:r>
      <w:r>
        <w:rPr>
          <w:sz w:val="19"/>
        </w:rPr>
        <w:t>people</w:t>
      </w:r>
      <w:r>
        <w:rPr>
          <w:spacing w:val="-6"/>
          <w:sz w:val="19"/>
        </w:rPr>
        <w:t xml:space="preserve"> </w:t>
      </w:r>
      <w:r>
        <w:rPr>
          <w:sz w:val="19"/>
        </w:rPr>
        <w:t>with</w:t>
      </w:r>
      <w:r>
        <w:rPr>
          <w:spacing w:val="-6"/>
          <w:sz w:val="19"/>
        </w:rPr>
        <w:t xml:space="preserve"> </w:t>
      </w:r>
      <w:r>
        <w:rPr>
          <w:sz w:val="19"/>
        </w:rPr>
        <w:t>intellectual</w:t>
      </w:r>
      <w:r>
        <w:rPr>
          <w:spacing w:val="-6"/>
          <w:sz w:val="19"/>
        </w:rPr>
        <w:t xml:space="preserve"> </w:t>
      </w:r>
      <w:r>
        <w:rPr>
          <w:sz w:val="19"/>
        </w:rPr>
        <w:t>disability,</w:t>
      </w:r>
      <w:r>
        <w:rPr>
          <w:spacing w:val="-6"/>
          <w:sz w:val="19"/>
        </w:rPr>
        <w:t xml:space="preserve"> </w:t>
      </w:r>
      <w:r>
        <w:rPr>
          <w:sz w:val="19"/>
        </w:rPr>
        <w:t xml:space="preserve"> </w:t>
      </w:r>
    </w:p>
    <w:p w14:paraId="7135E063" w14:textId="35FB9C95" w:rsidR="009D54AF" w:rsidRDefault="00000000" w:rsidP="000963BC">
      <w:pPr>
        <w:spacing w:before="1" w:line="341" w:lineRule="auto"/>
        <w:ind w:left="142" w:right="5409"/>
        <w:rPr>
          <w:sz w:val="19"/>
        </w:rPr>
      </w:pPr>
      <w:r>
        <w:rPr>
          <w:sz w:val="19"/>
        </w:rPr>
        <w:t xml:space="preserve">Inter-Governmental Policy Reform Group, </w:t>
      </w:r>
    </w:p>
    <w:p w14:paraId="3AEE1892" w14:textId="4DD65788" w:rsidR="009D54AF" w:rsidRDefault="00000000">
      <w:pPr>
        <w:spacing w:before="2"/>
        <w:ind w:left="142"/>
        <w:rPr>
          <w:sz w:val="19"/>
        </w:rPr>
      </w:pPr>
      <w:r>
        <w:rPr>
          <w:sz w:val="19"/>
        </w:rPr>
        <w:t>Inter-Jurisdictional</w:t>
      </w:r>
      <w:r>
        <w:rPr>
          <w:spacing w:val="-5"/>
          <w:sz w:val="19"/>
        </w:rPr>
        <w:t xml:space="preserve"> </w:t>
      </w:r>
      <w:r>
        <w:rPr>
          <w:sz w:val="19"/>
        </w:rPr>
        <w:t>Committee,</w:t>
      </w:r>
      <w:r>
        <w:rPr>
          <w:spacing w:val="-5"/>
          <w:sz w:val="19"/>
        </w:rPr>
        <w:t xml:space="preserve"> </w:t>
      </w:r>
    </w:p>
    <w:p w14:paraId="5B317460" w14:textId="06E605D3" w:rsidR="009D54AF" w:rsidRDefault="00000000">
      <w:pPr>
        <w:spacing w:before="92"/>
        <w:ind w:left="142"/>
        <w:rPr>
          <w:sz w:val="19"/>
        </w:rPr>
      </w:pPr>
      <w:r>
        <w:rPr>
          <w:sz w:val="19"/>
        </w:rPr>
        <w:t>internal</w:t>
      </w:r>
      <w:r>
        <w:rPr>
          <w:spacing w:val="-3"/>
          <w:sz w:val="19"/>
        </w:rPr>
        <w:t xml:space="preserve"> </w:t>
      </w:r>
      <w:r>
        <w:rPr>
          <w:sz w:val="19"/>
        </w:rPr>
        <w:t>audit,</w:t>
      </w:r>
      <w:r>
        <w:rPr>
          <w:spacing w:val="-2"/>
          <w:sz w:val="19"/>
        </w:rPr>
        <w:t xml:space="preserve"> </w:t>
      </w:r>
    </w:p>
    <w:p w14:paraId="302EAE6A" w14:textId="77777777" w:rsidR="000963BC" w:rsidRDefault="00000000" w:rsidP="000963BC">
      <w:pPr>
        <w:spacing w:before="93" w:line="278" w:lineRule="auto"/>
        <w:ind w:left="142" w:right="6611"/>
        <w:rPr>
          <w:spacing w:val="-9"/>
          <w:sz w:val="19"/>
        </w:rPr>
      </w:pPr>
      <w:r>
        <w:rPr>
          <w:sz w:val="19"/>
        </w:rPr>
        <w:t>internal</w:t>
      </w:r>
      <w:r>
        <w:rPr>
          <w:spacing w:val="-9"/>
          <w:sz w:val="19"/>
        </w:rPr>
        <w:t xml:space="preserve"> </w:t>
      </w:r>
      <w:r>
        <w:rPr>
          <w:sz w:val="19"/>
        </w:rPr>
        <w:t>management</w:t>
      </w:r>
      <w:r>
        <w:rPr>
          <w:spacing w:val="-9"/>
          <w:sz w:val="19"/>
        </w:rPr>
        <w:t xml:space="preserve"> </w:t>
      </w:r>
      <w:r>
        <w:rPr>
          <w:sz w:val="19"/>
        </w:rPr>
        <w:t>and</w:t>
      </w:r>
      <w:r>
        <w:rPr>
          <w:spacing w:val="-9"/>
          <w:sz w:val="19"/>
        </w:rPr>
        <w:t xml:space="preserve"> </w:t>
      </w:r>
      <w:r>
        <w:rPr>
          <w:sz w:val="19"/>
        </w:rPr>
        <w:t>governance,</w:t>
      </w:r>
    </w:p>
    <w:p w14:paraId="501F7073" w14:textId="6EFB0D00" w:rsidR="000963BC" w:rsidRDefault="00000000" w:rsidP="000963BC">
      <w:pPr>
        <w:spacing w:before="93" w:line="278" w:lineRule="auto"/>
        <w:ind w:left="142" w:right="6611"/>
        <w:rPr>
          <w:sz w:val="19"/>
        </w:rPr>
      </w:pPr>
      <w:r>
        <w:rPr>
          <w:sz w:val="19"/>
        </w:rPr>
        <w:t xml:space="preserve">international engagement, </w:t>
      </w:r>
    </w:p>
    <w:p w14:paraId="134A70D4" w14:textId="62F4459D" w:rsidR="009D54AF" w:rsidRDefault="00000000">
      <w:pPr>
        <w:spacing w:before="93" w:line="340" w:lineRule="auto"/>
        <w:ind w:left="142" w:right="6611"/>
        <w:rPr>
          <w:sz w:val="19"/>
        </w:rPr>
      </w:pPr>
      <w:r>
        <w:rPr>
          <w:sz w:val="19"/>
        </w:rPr>
        <w:t>intravenous fluids</w:t>
      </w:r>
    </w:p>
    <w:p w14:paraId="29D72259" w14:textId="6D938829" w:rsidR="009D54AF" w:rsidRDefault="00000000">
      <w:pPr>
        <w:spacing w:before="1" w:line="340" w:lineRule="auto"/>
        <w:ind w:left="425" w:right="6889"/>
        <w:rPr>
          <w:sz w:val="19"/>
        </w:rPr>
      </w:pPr>
      <w:r>
        <w:rPr>
          <w:sz w:val="19"/>
        </w:rPr>
        <w:t>safe</w:t>
      </w:r>
      <w:r>
        <w:rPr>
          <w:spacing w:val="-7"/>
          <w:sz w:val="19"/>
        </w:rPr>
        <w:t xml:space="preserve"> </w:t>
      </w:r>
      <w:r>
        <w:rPr>
          <w:sz w:val="19"/>
        </w:rPr>
        <w:t>and</w:t>
      </w:r>
      <w:r>
        <w:rPr>
          <w:spacing w:val="-7"/>
          <w:sz w:val="19"/>
        </w:rPr>
        <w:t xml:space="preserve"> </w:t>
      </w:r>
      <w:r>
        <w:rPr>
          <w:sz w:val="19"/>
        </w:rPr>
        <w:t>sustainable</w:t>
      </w:r>
      <w:r>
        <w:rPr>
          <w:spacing w:val="-7"/>
          <w:sz w:val="19"/>
        </w:rPr>
        <w:t xml:space="preserve"> </w:t>
      </w:r>
      <w:r>
        <w:rPr>
          <w:sz w:val="19"/>
        </w:rPr>
        <w:t>use</w:t>
      </w:r>
      <w:r>
        <w:rPr>
          <w:spacing w:val="-7"/>
          <w:sz w:val="19"/>
        </w:rPr>
        <w:t xml:space="preserve"> </w:t>
      </w:r>
      <w:r>
        <w:rPr>
          <w:sz w:val="19"/>
        </w:rPr>
        <w:t>of,</w:t>
      </w:r>
      <w:r>
        <w:rPr>
          <w:spacing w:val="-7"/>
          <w:sz w:val="19"/>
        </w:rPr>
        <w:t xml:space="preserve"> </w:t>
      </w:r>
      <w:r>
        <w:rPr>
          <w:sz w:val="19"/>
        </w:rPr>
        <w:t xml:space="preserve"> shortages of, </w:t>
      </w:r>
    </w:p>
    <w:p w14:paraId="3D4D860D" w14:textId="6B23AF0E" w:rsidR="009D54AF" w:rsidRDefault="00000000">
      <w:pPr>
        <w:spacing w:before="2"/>
        <w:ind w:left="142"/>
        <w:rPr>
          <w:sz w:val="19"/>
        </w:rPr>
      </w:pPr>
      <w:r>
        <w:rPr>
          <w:sz w:val="19"/>
        </w:rPr>
        <w:t xml:space="preserve">investigations (WHS), </w:t>
      </w:r>
    </w:p>
    <w:p w14:paraId="621C72C4" w14:textId="77777777" w:rsidR="009D54AF" w:rsidRDefault="009D54AF">
      <w:pPr>
        <w:pStyle w:val="BodyText"/>
        <w:spacing w:before="60"/>
        <w:rPr>
          <w:sz w:val="19"/>
        </w:rPr>
      </w:pPr>
    </w:p>
    <w:p w14:paraId="786BC56E" w14:textId="77777777" w:rsidR="009D54AF" w:rsidRDefault="00000000">
      <w:pPr>
        <w:pStyle w:val="Heading4"/>
      </w:pPr>
      <w:r>
        <w:rPr>
          <w:spacing w:val="-10"/>
        </w:rPr>
        <w:t>J</w:t>
      </w:r>
    </w:p>
    <w:p w14:paraId="5982134E" w14:textId="32624895" w:rsidR="009D54AF" w:rsidRDefault="00000000">
      <w:pPr>
        <w:spacing w:before="112"/>
        <w:ind w:left="142"/>
        <w:rPr>
          <w:sz w:val="19"/>
        </w:rPr>
      </w:pPr>
      <w:r>
        <w:rPr>
          <w:sz w:val="19"/>
        </w:rPr>
        <w:t>journal</w:t>
      </w:r>
      <w:r>
        <w:rPr>
          <w:spacing w:val="-3"/>
          <w:sz w:val="19"/>
        </w:rPr>
        <w:t xml:space="preserve"> </w:t>
      </w:r>
      <w:r>
        <w:rPr>
          <w:sz w:val="19"/>
        </w:rPr>
        <w:t>articles,</w:t>
      </w:r>
      <w:r>
        <w:rPr>
          <w:spacing w:val="-3"/>
          <w:sz w:val="19"/>
        </w:rPr>
        <w:t xml:space="preserve"> </w:t>
      </w:r>
    </w:p>
    <w:p w14:paraId="6E2B8B66" w14:textId="062ABA92" w:rsidR="009D54AF" w:rsidRDefault="00000000">
      <w:pPr>
        <w:spacing w:before="92"/>
        <w:ind w:left="142"/>
        <w:rPr>
          <w:sz w:val="19"/>
        </w:rPr>
      </w:pPr>
      <w:r>
        <w:rPr>
          <w:sz w:val="19"/>
        </w:rPr>
        <w:t>judicial</w:t>
      </w:r>
      <w:r>
        <w:rPr>
          <w:spacing w:val="-4"/>
          <w:sz w:val="19"/>
        </w:rPr>
        <w:t xml:space="preserve"> </w:t>
      </w:r>
      <w:r>
        <w:rPr>
          <w:sz w:val="19"/>
        </w:rPr>
        <w:t>decisions,</w:t>
      </w:r>
      <w:r>
        <w:rPr>
          <w:spacing w:val="-3"/>
          <w:sz w:val="19"/>
        </w:rPr>
        <w:t xml:space="preserve"> </w:t>
      </w:r>
    </w:p>
    <w:p w14:paraId="178FAFC2" w14:textId="77777777" w:rsidR="009D54AF" w:rsidRDefault="009D54AF">
      <w:pPr>
        <w:pStyle w:val="BodyText"/>
        <w:spacing w:before="61"/>
        <w:rPr>
          <w:sz w:val="19"/>
        </w:rPr>
      </w:pPr>
    </w:p>
    <w:p w14:paraId="7E5667EF" w14:textId="77777777" w:rsidR="009D54AF" w:rsidRDefault="00000000">
      <w:pPr>
        <w:pStyle w:val="Heading4"/>
      </w:pPr>
      <w:r>
        <w:rPr>
          <w:spacing w:val="-10"/>
        </w:rPr>
        <w:t>K</w:t>
      </w:r>
    </w:p>
    <w:p w14:paraId="53DE4072" w14:textId="77777777" w:rsidR="009D54AF" w:rsidRDefault="00000000">
      <w:pPr>
        <w:spacing w:before="112"/>
        <w:ind w:left="142"/>
        <w:rPr>
          <w:sz w:val="19"/>
        </w:rPr>
      </w:pPr>
      <w:r>
        <w:rPr>
          <w:sz w:val="19"/>
        </w:rPr>
        <w:t>key</w:t>
      </w:r>
      <w:r>
        <w:rPr>
          <w:spacing w:val="-1"/>
          <w:sz w:val="19"/>
        </w:rPr>
        <w:t xml:space="preserve"> </w:t>
      </w:r>
      <w:r>
        <w:rPr>
          <w:sz w:val="19"/>
        </w:rPr>
        <w:t>achievements</w:t>
      </w:r>
      <w:r>
        <w:rPr>
          <w:spacing w:val="-2"/>
          <w:sz w:val="19"/>
        </w:rPr>
        <w:t xml:space="preserve"> </w:t>
      </w:r>
      <w:r>
        <w:rPr>
          <w:i/>
          <w:sz w:val="19"/>
        </w:rPr>
        <w:t xml:space="preserve">see </w:t>
      </w:r>
      <w:r>
        <w:rPr>
          <w:spacing w:val="-2"/>
          <w:sz w:val="19"/>
        </w:rPr>
        <w:t>performance</w:t>
      </w:r>
    </w:p>
    <w:p w14:paraId="105B42BD" w14:textId="1E439F15" w:rsidR="009D54AF" w:rsidRDefault="00000000">
      <w:pPr>
        <w:spacing w:before="92" w:line="340" w:lineRule="auto"/>
        <w:ind w:left="142" w:right="6484"/>
        <w:rPr>
          <w:sz w:val="19"/>
        </w:rPr>
      </w:pPr>
      <w:r>
        <w:rPr>
          <w:sz w:val="19"/>
        </w:rPr>
        <w:t>key</w:t>
      </w:r>
      <w:r>
        <w:rPr>
          <w:spacing w:val="-9"/>
          <w:sz w:val="19"/>
        </w:rPr>
        <w:t xml:space="preserve"> </w:t>
      </w:r>
      <w:r>
        <w:rPr>
          <w:sz w:val="19"/>
        </w:rPr>
        <w:t>management</w:t>
      </w:r>
      <w:r>
        <w:rPr>
          <w:spacing w:val="-9"/>
          <w:sz w:val="19"/>
        </w:rPr>
        <w:t xml:space="preserve"> </w:t>
      </w:r>
      <w:r>
        <w:rPr>
          <w:sz w:val="19"/>
        </w:rPr>
        <w:t>personnel</w:t>
      </w:r>
      <w:r>
        <w:rPr>
          <w:spacing w:val="-9"/>
          <w:sz w:val="19"/>
        </w:rPr>
        <w:t xml:space="preserve"> </w:t>
      </w:r>
      <w:r>
        <w:rPr>
          <w:sz w:val="19"/>
        </w:rPr>
        <w:t>remuneration,</w:t>
      </w:r>
      <w:r>
        <w:rPr>
          <w:spacing w:val="-9"/>
          <w:sz w:val="19"/>
        </w:rPr>
        <w:t xml:space="preserve"> </w:t>
      </w:r>
      <w:r>
        <w:rPr>
          <w:sz w:val="19"/>
        </w:rPr>
        <w:t xml:space="preserve"> Kilpatrick, Professor Christine, </w:t>
      </w:r>
    </w:p>
    <w:p w14:paraId="356338C8" w14:textId="77777777" w:rsidR="000963BC" w:rsidRDefault="00000000">
      <w:pPr>
        <w:spacing w:before="1" w:line="340" w:lineRule="auto"/>
        <w:ind w:left="425" w:right="6600"/>
        <w:rPr>
          <w:sz w:val="19"/>
        </w:rPr>
      </w:pPr>
      <w:r>
        <w:rPr>
          <w:sz w:val="19"/>
        </w:rPr>
        <w:t>accountable</w:t>
      </w:r>
      <w:r>
        <w:rPr>
          <w:spacing w:val="-11"/>
          <w:sz w:val="19"/>
        </w:rPr>
        <w:t xml:space="preserve"> </w:t>
      </w:r>
      <w:r>
        <w:rPr>
          <w:sz w:val="19"/>
        </w:rPr>
        <w:t>authority</w:t>
      </w:r>
      <w:r>
        <w:rPr>
          <w:spacing w:val="-11"/>
          <w:sz w:val="19"/>
        </w:rPr>
        <w:t xml:space="preserve"> </w:t>
      </w:r>
      <w:r>
        <w:rPr>
          <w:sz w:val="19"/>
        </w:rPr>
        <w:t>statement,</w:t>
      </w:r>
      <w:r>
        <w:rPr>
          <w:spacing w:val="-11"/>
          <w:sz w:val="19"/>
        </w:rPr>
        <w:t xml:space="preserve"> </w:t>
      </w:r>
    </w:p>
    <w:p w14:paraId="181C00AA" w14:textId="643561EC" w:rsidR="009D54AF" w:rsidRDefault="00000000">
      <w:pPr>
        <w:spacing w:before="1" w:line="340" w:lineRule="auto"/>
        <w:ind w:left="425" w:right="6600"/>
        <w:rPr>
          <w:sz w:val="19"/>
        </w:rPr>
      </w:pPr>
      <w:r>
        <w:rPr>
          <w:sz w:val="19"/>
        </w:rPr>
        <w:t xml:space="preserve">Chair’s report, </w:t>
      </w:r>
    </w:p>
    <w:p w14:paraId="05522F7C" w14:textId="48308197" w:rsidR="009D54AF" w:rsidRDefault="00000000">
      <w:pPr>
        <w:spacing w:before="2"/>
        <w:ind w:left="425"/>
        <w:rPr>
          <w:sz w:val="19"/>
        </w:rPr>
      </w:pPr>
      <w:r>
        <w:rPr>
          <w:sz w:val="19"/>
        </w:rPr>
        <w:t>statement</w:t>
      </w:r>
      <w:r>
        <w:rPr>
          <w:spacing w:val="-3"/>
          <w:sz w:val="19"/>
        </w:rPr>
        <w:t xml:space="preserve"> </w:t>
      </w:r>
      <w:r>
        <w:rPr>
          <w:sz w:val="19"/>
        </w:rPr>
        <w:t>on</w:t>
      </w:r>
      <w:r>
        <w:rPr>
          <w:spacing w:val="-2"/>
          <w:sz w:val="19"/>
        </w:rPr>
        <w:t xml:space="preserve"> </w:t>
      </w:r>
      <w:r>
        <w:rPr>
          <w:sz w:val="19"/>
        </w:rPr>
        <w:t>financial</w:t>
      </w:r>
      <w:r>
        <w:rPr>
          <w:spacing w:val="-2"/>
          <w:sz w:val="19"/>
        </w:rPr>
        <w:t xml:space="preserve"> </w:t>
      </w:r>
      <w:r>
        <w:rPr>
          <w:sz w:val="19"/>
        </w:rPr>
        <w:t>statements,</w:t>
      </w:r>
      <w:r>
        <w:rPr>
          <w:spacing w:val="-2"/>
          <w:sz w:val="19"/>
        </w:rPr>
        <w:t xml:space="preserve"> </w:t>
      </w:r>
    </w:p>
    <w:p w14:paraId="3CF46497" w14:textId="77777777" w:rsidR="009D54AF" w:rsidRDefault="00000000">
      <w:pPr>
        <w:spacing w:before="92"/>
        <w:ind w:left="425"/>
        <w:rPr>
          <w:sz w:val="19"/>
        </w:rPr>
      </w:pPr>
      <w:r>
        <w:rPr>
          <w:i/>
          <w:sz w:val="19"/>
        </w:rPr>
        <w:t>see</w:t>
      </w:r>
      <w:r>
        <w:rPr>
          <w:i/>
          <w:spacing w:val="-2"/>
          <w:sz w:val="19"/>
        </w:rPr>
        <w:t xml:space="preserve"> </w:t>
      </w:r>
      <w:r>
        <w:rPr>
          <w:i/>
          <w:sz w:val="19"/>
        </w:rPr>
        <w:t>also</w:t>
      </w:r>
      <w:r>
        <w:rPr>
          <w:i/>
          <w:spacing w:val="-1"/>
          <w:sz w:val="19"/>
        </w:rPr>
        <w:t xml:space="preserve"> </w:t>
      </w:r>
      <w:r>
        <w:rPr>
          <w:sz w:val="19"/>
        </w:rPr>
        <w:t>Chair</w:t>
      </w:r>
      <w:r>
        <w:rPr>
          <w:spacing w:val="-2"/>
          <w:sz w:val="19"/>
        </w:rPr>
        <w:t xml:space="preserve"> </w:t>
      </w:r>
      <w:r>
        <w:rPr>
          <w:sz w:val="19"/>
        </w:rPr>
        <w:t>of</w:t>
      </w:r>
      <w:r>
        <w:rPr>
          <w:spacing w:val="-1"/>
          <w:sz w:val="19"/>
        </w:rPr>
        <w:t xml:space="preserve"> </w:t>
      </w:r>
      <w:r>
        <w:rPr>
          <w:sz w:val="19"/>
        </w:rPr>
        <w:t>the</w:t>
      </w:r>
      <w:r>
        <w:rPr>
          <w:spacing w:val="-1"/>
          <w:sz w:val="19"/>
        </w:rPr>
        <w:t xml:space="preserve"> </w:t>
      </w:r>
      <w:r>
        <w:rPr>
          <w:spacing w:val="-2"/>
          <w:sz w:val="19"/>
        </w:rPr>
        <w:t>Board</w:t>
      </w:r>
    </w:p>
    <w:p w14:paraId="06C3C5B5" w14:textId="77777777" w:rsidR="009D54AF" w:rsidRDefault="00000000">
      <w:pPr>
        <w:pStyle w:val="Heading4"/>
        <w:spacing w:before="279"/>
      </w:pPr>
      <w:r>
        <w:rPr>
          <w:spacing w:val="-10"/>
        </w:rPr>
        <w:t>L</w:t>
      </w:r>
    </w:p>
    <w:p w14:paraId="1F8463DB" w14:textId="763447F2" w:rsidR="009D54AF" w:rsidRDefault="00000000">
      <w:pPr>
        <w:spacing w:before="112"/>
        <w:ind w:left="142"/>
        <w:rPr>
          <w:sz w:val="19"/>
        </w:rPr>
      </w:pPr>
      <w:r>
        <w:rPr>
          <w:sz w:val="19"/>
        </w:rPr>
        <w:t xml:space="preserve">laboratories, </w:t>
      </w:r>
    </w:p>
    <w:p w14:paraId="34F79DC1" w14:textId="18E0B2E6" w:rsidR="009D54AF" w:rsidRDefault="00000000">
      <w:pPr>
        <w:spacing w:before="92"/>
        <w:ind w:left="142"/>
        <w:rPr>
          <w:sz w:val="19"/>
        </w:rPr>
      </w:pPr>
      <w:r>
        <w:rPr>
          <w:sz w:val="19"/>
        </w:rPr>
        <w:t>laparotomy,</w:t>
      </w:r>
      <w:r>
        <w:rPr>
          <w:spacing w:val="-3"/>
          <w:sz w:val="19"/>
        </w:rPr>
        <w:t xml:space="preserve"> </w:t>
      </w:r>
    </w:p>
    <w:p w14:paraId="1A6BBCBF" w14:textId="78F6E132" w:rsidR="009D54AF" w:rsidRDefault="00000000">
      <w:pPr>
        <w:spacing w:before="93" w:line="340" w:lineRule="auto"/>
        <w:ind w:left="142" w:right="5464"/>
        <w:rPr>
          <w:sz w:val="19"/>
        </w:rPr>
      </w:pPr>
      <w:r>
        <w:rPr>
          <w:sz w:val="19"/>
        </w:rPr>
        <w:t>Leadership</w:t>
      </w:r>
      <w:r>
        <w:rPr>
          <w:spacing w:val="-10"/>
          <w:sz w:val="19"/>
        </w:rPr>
        <w:t xml:space="preserve"> </w:t>
      </w:r>
      <w:r>
        <w:rPr>
          <w:sz w:val="19"/>
        </w:rPr>
        <w:t>Development</w:t>
      </w:r>
      <w:r>
        <w:rPr>
          <w:spacing w:val="-7"/>
          <w:sz w:val="19"/>
        </w:rPr>
        <w:t xml:space="preserve"> </w:t>
      </w:r>
      <w:r>
        <w:rPr>
          <w:sz w:val="19"/>
        </w:rPr>
        <w:t>and</w:t>
      </w:r>
      <w:r>
        <w:rPr>
          <w:spacing w:val="-14"/>
          <w:sz w:val="19"/>
        </w:rPr>
        <w:t xml:space="preserve"> </w:t>
      </w:r>
      <w:r>
        <w:rPr>
          <w:sz w:val="19"/>
        </w:rPr>
        <w:t>Alignment</w:t>
      </w:r>
      <w:r>
        <w:rPr>
          <w:spacing w:val="-6"/>
          <w:sz w:val="19"/>
        </w:rPr>
        <w:t xml:space="preserve"> </w:t>
      </w:r>
      <w:r>
        <w:rPr>
          <w:sz w:val="19"/>
        </w:rPr>
        <w:t>program,</w:t>
      </w:r>
      <w:r>
        <w:rPr>
          <w:spacing w:val="-7"/>
          <w:sz w:val="19"/>
        </w:rPr>
        <w:t xml:space="preserve"> </w:t>
      </w:r>
      <w:r>
        <w:rPr>
          <w:sz w:val="19"/>
        </w:rPr>
        <w:t xml:space="preserve"> Leadership Team, </w:t>
      </w:r>
    </w:p>
    <w:p w14:paraId="3234B7BD" w14:textId="19AFF169" w:rsidR="009D54AF" w:rsidRDefault="00000000">
      <w:pPr>
        <w:spacing w:before="1"/>
        <w:ind w:left="142"/>
        <w:rPr>
          <w:sz w:val="19"/>
        </w:rPr>
      </w:pPr>
      <w:r>
        <w:rPr>
          <w:sz w:val="19"/>
        </w:rPr>
        <w:t>Leahy,</w:t>
      </w:r>
      <w:r>
        <w:rPr>
          <w:spacing w:val="-13"/>
          <w:sz w:val="19"/>
        </w:rPr>
        <w:t xml:space="preserve"> </w:t>
      </w:r>
      <w:r>
        <w:rPr>
          <w:sz w:val="19"/>
        </w:rPr>
        <w:t>Christopher,</w:t>
      </w:r>
      <w:r>
        <w:rPr>
          <w:spacing w:val="-12"/>
          <w:sz w:val="19"/>
        </w:rPr>
        <w:t xml:space="preserve"> </w:t>
      </w:r>
    </w:p>
    <w:p w14:paraId="2B79AB06" w14:textId="210E65B7" w:rsidR="009D54AF" w:rsidRDefault="00000000">
      <w:pPr>
        <w:spacing w:before="92"/>
        <w:ind w:left="425"/>
        <w:rPr>
          <w:sz w:val="19"/>
        </w:rPr>
      </w:pPr>
      <w:r>
        <w:rPr>
          <w:sz w:val="19"/>
        </w:rPr>
        <w:t>statement</w:t>
      </w:r>
      <w:r>
        <w:rPr>
          <w:spacing w:val="-3"/>
          <w:sz w:val="19"/>
        </w:rPr>
        <w:t xml:space="preserve"> </w:t>
      </w:r>
      <w:r>
        <w:rPr>
          <w:sz w:val="19"/>
        </w:rPr>
        <w:t>on</w:t>
      </w:r>
      <w:r>
        <w:rPr>
          <w:spacing w:val="-2"/>
          <w:sz w:val="19"/>
        </w:rPr>
        <w:t xml:space="preserve"> </w:t>
      </w:r>
      <w:r>
        <w:rPr>
          <w:sz w:val="19"/>
        </w:rPr>
        <w:t>financial</w:t>
      </w:r>
      <w:r>
        <w:rPr>
          <w:spacing w:val="-2"/>
          <w:sz w:val="19"/>
        </w:rPr>
        <w:t xml:space="preserve"> </w:t>
      </w:r>
      <w:r>
        <w:rPr>
          <w:sz w:val="19"/>
        </w:rPr>
        <w:t>statements,</w:t>
      </w:r>
      <w:r>
        <w:rPr>
          <w:spacing w:val="-2"/>
          <w:sz w:val="19"/>
        </w:rPr>
        <w:t xml:space="preserve"> </w:t>
      </w:r>
    </w:p>
    <w:p w14:paraId="75A2C517" w14:textId="77777777" w:rsidR="009D54AF" w:rsidRDefault="00000000">
      <w:pPr>
        <w:spacing w:before="93"/>
        <w:ind w:left="425"/>
        <w:rPr>
          <w:sz w:val="19"/>
        </w:rPr>
      </w:pPr>
      <w:r>
        <w:rPr>
          <w:i/>
          <w:sz w:val="19"/>
        </w:rPr>
        <w:t>see</w:t>
      </w:r>
      <w:r>
        <w:rPr>
          <w:i/>
          <w:spacing w:val="-4"/>
          <w:sz w:val="19"/>
        </w:rPr>
        <w:t xml:space="preserve"> </w:t>
      </w:r>
      <w:r>
        <w:rPr>
          <w:i/>
          <w:sz w:val="19"/>
        </w:rPr>
        <w:t>also</w:t>
      </w:r>
      <w:r>
        <w:rPr>
          <w:i/>
          <w:spacing w:val="-3"/>
          <w:sz w:val="19"/>
        </w:rPr>
        <w:t xml:space="preserve"> </w:t>
      </w:r>
      <w:r>
        <w:rPr>
          <w:sz w:val="19"/>
        </w:rPr>
        <w:t>Chief</w:t>
      </w:r>
      <w:r>
        <w:rPr>
          <w:spacing w:val="-3"/>
          <w:sz w:val="19"/>
        </w:rPr>
        <w:t xml:space="preserve"> </w:t>
      </w:r>
      <w:r>
        <w:rPr>
          <w:sz w:val="19"/>
        </w:rPr>
        <w:t>Operating</w:t>
      </w:r>
      <w:r>
        <w:rPr>
          <w:spacing w:val="-3"/>
          <w:sz w:val="19"/>
        </w:rPr>
        <w:t xml:space="preserve"> </w:t>
      </w:r>
      <w:r>
        <w:rPr>
          <w:spacing w:val="-2"/>
          <w:sz w:val="19"/>
        </w:rPr>
        <w:t>Officer</w:t>
      </w:r>
    </w:p>
    <w:p w14:paraId="0070013D" w14:textId="0E199F8D" w:rsidR="009D54AF" w:rsidRDefault="00000000">
      <w:pPr>
        <w:spacing w:before="92"/>
        <w:ind w:left="142"/>
        <w:rPr>
          <w:sz w:val="19"/>
        </w:rPr>
      </w:pPr>
      <w:r>
        <w:rPr>
          <w:sz w:val="19"/>
        </w:rPr>
        <w:t>learning,</w:t>
      </w:r>
      <w:r>
        <w:rPr>
          <w:spacing w:val="-1"/>
          <w:sz w:val="19"/>
        </w:rPr>
        <w:t xml:space="preserve"> </w:t>
      </w:r>
      <w:r>
        <w:rPr>
          <w:sz w:val="19"/>
        </w:rPr>
        <w:t>development and training,</w:t>
      </w:r>
    </w:p>
    <w:p w14:paraId="63EC3AA1" w14:textId="2BF8504B" w:rsidR="009D54AF" w:rsidRDefault="00000000" w:rsidP="000963BC">
      <w:pPr>
        <w:spacing w:before="92" w:line="278" w:lineRule="auto"/>
        <w:ind w:left="142"/>
        <w:rPr>
          <w:i/>
          <w:sz w:val="19"/>
        </w:rPr>
      </w:pPr>
      <w:r>
        <w:rPr>
          <w:sz w:val="19"/>
        </w:rPr>
        <w:t>legislative</w:t>
      </w:r>
      <w:r>
        <w:rPr>
          <w:spacing w:val="-5"/>
          <w:sz w:val="19"/>
        </w:rPr>
        <w:t xml:space="preserve"> </w:t>
      </w:r>
      <w:r>
        <w:rPr>
          <w:sz w:val="19"/>
        </w:rPr>
        <w:t>framework,</w:t>
      </w:r>
      <w:r>
        <w:rPr>
          <w:spacing w:val="-3"/>
          <w:sz w:val="19"/>
        </w:rPr>
        <w:t xml:space="preserve"> </w:t>
      </w:r>
      <w:r>
        <w:rPr>
          <w:i/>
          <w:sz w:val="19"/>
        </w:rPr>
        <w:t>see</w:t>
      </w:r>
      <w:r>
        <w:rPr>
          <w:i/>
          <w:spacing w:val="-3"/>
          <w:sz w:val="19"/>
        </w:rPr>
        <w:t xml:space="preserve"> </w:t>
      </w:r>
      <w:r>
        <w:rPr>
          <w:i/>
          <w:sz w:val="19"/>
        </w:rPr>
        <w:t>also</w:t>
      </w:r>
      <w:r>
        <w:rPr>
          <w:i/>
          <w:spacing w:val="-3"/>
          <w:sz w:val="19"/>
        </w:rPr>
        <w:t xml:space="preserve"> </w:t>
      </w:r>
      <w:r>
        <w:rPr>
          <w:sz w:val="19"/>
        </w:rPr>
        <w:t>names</w:t>
      </w:r>
      <w:r>
        <w:rPr>
          <w:spacing w:val="-2"/>
          <w:sz w:val="19"/>
        </w:rPr>
        <w:t xml:space="preserve"> </w:t>
      </w:r>
      <w:r>
        <w:rPr>
          <w:sz w:val="19"/>
        </w:rPr>
        <w:t>of</w:t>
      </w:r>
      <w:r>
        <w:rPr>
          <w:spacing w:val="-3"/>
          <w:sz w:val="19"/>
        </w:rPr>
        <w:t xml:space="preserve"> </w:t>
      </w:r>
      <w:r>
        <w:rPr>
          <w:sz w:val="19"/>
        </w:rPr>
        <w:t>specific</w:t>
      </w:r>
      <w:r>
        <w:rPr>
          <w:spacing w:val="-2"/>
          <w:sz w:val="19"/>
        </w:rPr>
        <w:t xml:space="preserve"> </w:t>
      </w:r>
      <w:r>
        <w:rPr>
          <w:sz w:val="19"/>
        </w:rPr>
        <w:t>acts,</w:t>
      </w:r>
      <w:r>
        <w:rPr>
          <w:spacing w:val="-3"/>
          <w:sz w:val="19"/>
        </w:rPr>
        <w:t xml:space="preserve"> </w:t>
      </w:r>
      <w:r>
        <w:rPr>
          <w:sz w:val="19"/>
        </w:rPr>
        <w:t>for</w:t>
      </w:r>
      <w:r>
        <w:rPr>
          <w:spacing w:val="-3"/>
          <w:sz w:val="19"/>
        </w:rPr>
        <w:t xml:space="preserve"> </w:t>
      </w:r>
      <w:r>
        <w:rPr>
          <w:sz w:val="19"/>
        </w:rPr>
        <w:t>example</w:t>
      </w:r>
      <w:r>
        <w:rPr>
          <w:spacing w:val="-3"/>
          <w:sz w:val="19"/>
        </w:rPr>
        <w:t xml:space="preserve"> </w:t>
      </w:r>
      <w:r>
        <w:rPr>
          <w:i/>
          <w:sz w:val="19"/>
        </w:rPr>
        <w:t>National</w:t>
      </w:r>
      <w:r>
        <w:rPr>
          <w:i/>
          <w:spacing w:val="-3"/>
          <w:sz w:val="19"/>
        </w:rPr>
        <w:t xml:space="preserve"> </w:t>
      </w:r>
      <w:r>
        <w:rPr>
          <w:i/>
          <w:sz w:val="19"/>
        </w:rPr>
        <w:t>Health</w:t>
      </w:r>
      <w:r>
        <w:rPr>
          <w:i/>
          <w:spacing w:val="-3"/>
          <w:sz w:val="19"/>
        </w:rPr>
        <w:t xml:space="preserve"> </w:t>
      </w:r>
      <w:r>
        <w:rPr>
          <w:i/>
          <w:sz w:val="19"/>
        </w:rPr>
        <w:t>Reform</w:t>
      </w:r>
      <w:r>
        <w:rPr>
          <w:i/>
          <w:spacing w:val="-9"/>
          <w:sz w:val="19"/>
        </w:rPr>
        <w:t xml:space="preserve"> </w:t>
      </w:r>
      <w:r>
        <w:rPr>
          <w:i/>
          <w:sz w:val="19"/>
        </w:rPr>
        <w:t>Act</w:t>
      </w:r>
      <w:r>
        <w:rPr>
          <w:i/>
          <w:spacing w:val="-2"/>
          <w:sz w:val="19"/>
        </w:rPr>
        <w:t xml:space="preserve"> </w:t>
      </w:r>
      <w:r>
        <w:rPr>
          <w:i/>
          <w:spacing w:val="-4"/>
          <w:sz w:val="19"/>
        </w:rPr>
        <w:t>2011;</w:t>
      </w:r>
    </w:p>
    <w:p w14:paraId="7892188A" w14:textId="77777777" w:rsidR="009D54AF" w:rsidRDefault="00000000" w:rsidP="000963BC">
      <w:pPr>
        <w:spacing w:beforeLines="29" w:before="69" w:line="278" w:lineRule="auto"/>
        <w:ind w:left="142"/>
        <w:rPr>
          <w:i/>
          <w:sz w:val="19"/>
        </w:rPr>
      </w:pPr>
      <w:r>
        <w:rPr>
          <w:i/>
          <w:sz w:val="19"/>
        </w:rPr>
        <w:t>Public</w:t>
      </w:r>
      <w:r>
        <w:rPr>
          <w:i/>
          <w:spacing w:val="-5"/>
          <w:sz w:val="19"/>
        </w:rPr>
        <w:t xml:space="preserve"> </w:t>
      </w:r>
      <w:r>
        <w:rPr>
          <w:i/>
          <w:sz w:val="19"/>
        </w:rPr>
        <w:t>Governance,</w:t>
      </w:r>
      <w:r>
        <w:rPr>
          <w:i/>
          <w:spacing w:val="-2"/>
          <w:sz w:val="19"/>
        </w:rPr>
        <w:t xml:space="preserve"> </w:t>
      </w:r>
      <w:r>
        <w:rPr>
          <w:i/>
          <w:sz w:val="19"/>
        </w:rPr>
        <w:t>Performance</w:t>
      </w:r>
      <w:r>
        <w:rPr>
          <w:i/>
          <w:spacing w:val="-2"/>
          <w:sz w:val="19"/>
        </w:rPr>
        <w:t xml:space="preserve"> </w:t>
      </w:r>
      <w:r>
        <w:rPr>
          <w:i/>
          <w:sz w:val="19"/>
        </w:rPr>
        <w:t>and</w:t>
      </w:r>
      <w:r>
        <w:rPr>
          <w:i/>
          <w:spacing w:val="-9"/>
          <w:sz w:val="19"/>
        </w:rPr>
        <w:t xml:space="preserve"> </w:t>
      </w:r>
      <w:r>
        <w:rPr>
          <w:i/>
          <w:sz w:val="19"/>
        </w:rPr>
        <w:t>Accountability</w:t>
      </w:r>
      <w:r>
        <w:rPr>
          <w:i/>
          <w:spacing w:val="-8"/>
          <w:sz w:val="19"/>
        </w:rPr>
        <w:t xml:space="preserve"> </w:t>
      </w:r>
      <w:r>
        <w:rPr>
          <w:i/>
          <w:sz w:val="19"/>
        </w:rPr>
        <w:t>Act</w:t>
      </w:r>
      <w:r>
        <w:rPr>
          <w:i/>
          <w:spacing w:val="-2"/>
          <w:sz w:val="19"/>
        </w:rPr>
        <w:t xml:space="preserve"> </w:t>
      </w:r>
      <w:r>
        <w:rPr>
          <w:i/>
          <w:spacing w:val="-4"/>
          <w:sz w:val="19"/>
        </w:rPr>
        <w:t>2013</w:t>
      </w:r>
    </w:p>
    <w:p w14:paraId="70879038" w14:textId="1BB49E5F" w:rsidR="000963BC" w:rsidRDefault="00000000" w:rsidP="000963BC">
      <w:pPr>
        <w:spacing w:beforeLines="29" w:before="69" w:line="278" w:lineRule="auto"/>
        <w:ind w:left="142" w:right="8072"/>
        <w:rPr>
          <w:sz w:val="19"/>
        </w:rPr>
      </w:pPr>
      <w:r>
        <w:rPr>
          <w:sz w:val="19"/>
        </w:rPr>
        <w:t>letter</w:t>
      </w:r>
      <w:r>
        <w:rPr>
          <w:spacing w:val="-11"/>
          <w:sz w:val="19"/>
        </w:rPr>
        <w:t xml:space="preserve"> </w:t>
      </w:r>
      <w:r>
        <w:rPr>
          <w:sz w:val="19"/>
        </w:rPr>
        <w:t>of</w:t>
      </w:r>
      <w:r>
        <w:rPr>
          <w:spacing w:val="-11"/>
          <w:sz w:val="19"/>
        </w:rPr>
        <w:t xml:space="preserve"> </w:t>
      </w:r>
      <w:r>
        <w:rPr>
          <w:sz w:val="19"/>
        </w:rPr>
        <w:t>transmittal,</w:t>
      </w:r>
      <w:r>
        <w:rPr>
          <w:spacing w:val="-11"/>
          <w:sz w:val="19"/>
        </w:rPr>
        <w:t xml:space="preserve"> </w:t>
      </w:r>
    </w:p>
    <w:p w14:paraId="17C45A93" w14:textId="6F0E1B07" w:rsidR="009D54AF" w:rsidRDefault="00000000" w:rsidP="000963BC">
      <w:pPr>
        <w:spacing w:beforeLines="29" w:before="69" w:line="278" w:lineRule="auto"/>
        <w:ind w:left="142" w:right="8072"/>
        <w:rPr>
          <w:sz w:val="19"/>
        </w:rPr>
      </w:pPr>
      <w:r>
        <w:rPr>
          <w:sz w:val="19"/>
        </w:rPr>
        <w:t xml:space="preserve">liability insurance, </w:t>
      </w:r>
    </w:p>
    <w:p w14:paraId="62D3775E" w14:textId="135856D4" w:rsidR="009D54AF" w:rsidRDefault="00000000">
      <w:pPr>
        <w:spacing w:before="2"/>
        <w:ind w:left="142"/>
        <w:rPr>
          <w:sz w:val="19"/>
        </w:rPr>
      </w:pPr>
      <w:r>
        <w:rPr>
          <w:sz w:val="19"/>
        </w:rPr>
        <w:t>lived</w:t>
      </w:r>
      <w:r>
        <w:rPr>
          <w:spacing w:val="-4"/>
          <w:sz w:val="19"/>
        </w:rPr>
        <w:t xml:space="preserve"> </w:t>
      </w:r>
      <w:r>
        <w:rPr>
          <w:sz w:val="19"/>
        </w:rPr>
        <w:t>experience,</w:t>
      </w:r>
    </w:p>
    <w:p w14:paraId="6597334D" w14:textId="22A716AA" w:rsidR="009D54AF" w:rsidRDefault="00000000">
      <w:pPr>
        <w:spacing w:before="92"/>
        <w:ind w:left="142"/>
        <w:rPr>
          <w:sz w:val="19"/>
        </w:rPr>
      </w:pPr>
      <w:r>
        <w:rPr>
          <w:sz w:val="19"/>
        </w:rPr>
        <w:t>low-value</w:t>
      </w:r>
      <w:r>
        <w:rPr>
          <w:spacing w:val="-4"/>
          <w:sz w:val="19"/>
        </w:rPr>
        <w:t xml:space="preserve"> </w:t>
      </w:r>
      <w:r>
        <w:rPr>
          <w:sz w:val="19"/>
        </w:rPr>
        <w:t>care,</w:t>
      </w:r>
      <w:r>
        <w:rPr>
          <w:spacing w:val="-2"/>
          <w:sz w:val="19"/>
        </w:rPr>
        <w:t xml:space="preserve"> </w:t>
      </w:r>
    </w:p>
    <w:p w14:paraId="74980F39" w14:textId="77777777" w:rsidR="009D54AF" w:rsidRDefault="009D54AF">
      <w:pPr>
        <w:pStyle w:val="BodyText"/>
        <w:spacing w:before="61"/>
        <w:rPr>
          <w:sz w:val="19"/>
        </w:rPr>
      </w:pPr>
    </w:p>
    <w:p w14:paraId="088D0063" w14:textId="77777777" w:rsidR="009D54AF" w:rsidRDefault="00000000">
      <w:pPr>
        <w:pStyle w:val="Heading4"/>
      </w:pPr>
      <w:r>
        <w:rPr>
          <w:spacing w:val="-10"/>
        </w:rPr>
        <w:t>M</w:t>
      </w:r>
    </w:p>
    <w:p w14:paraId="2454810D" w14:textId="222693E3" w:rsidR="009D54AF" w:rsidRDefault="00000000">
      <w:pPr>
        <w:spacing w:before="111"/>
        <w:ind w:left="142"/>
        <w:rPr>
          <w:sz w:val="19"/>
        </w:rPr>
      </w:pPr>
      <w:r>
        <w:rPr>
          <w:sz w:val="19"/>
        </w:rPr>
        <w:t xml:space="preserve">market research, </w:t>
      </w:r>
    </w:p>
    <w:p w14:paraId="58E79435" w14:textId="2BE70AAC" w:rsidR="009D54AF" w:rsidRDefault="00000000">
      <w:pPr>
        <w:spacing w:before="93"/>
        <w:ind w:left="142"/>
        <w:rPr>
          <w:sz w:val="19"/>
        </w:rPr>
      </w:pPr>
      <w:r>
        <w:rPr>
          <w:sz w:val="19"/>
        </w:rPr>
        <w:t>McClellan,</w:t>
      </w:r>
      <w:r>
        <w:rPr>
          <w:spacing w:val="-3"/>
          <w:sz w:val="19"/>
        </w:rPr>
        <w:t xml:space="preserve"> </w:t>
      </w:r>
      <w:r>
        <w:rPr>
          <w:sz w:val="19"/>
        </w:rPr>
        <w:t>Hon</w:t>
      </w:r>
      <w:r>
        <w:rPr>
          <w:spacing w:val="-3"/>
          <w:sz w:val="19"/>
        </w:rPr>
        <w:t xml:space="preserve"> </w:t>
      </w:r>
      <w:r>
        <w:rPr>
          <w:sz w:val="19"/>
        </w:rPr>
        <w:t>Peter,</w:t>
      </w:r>
      <w:r>
        <w:rPr>
          <w:spacing w:val="-2"/>
          <w:sz w:val="19"/>
        </w:rPr>
        <w:t xml:space="preserve"> </w:t>
      </w:r>
    </w:p>
    <w:p w14:paraId="4424A968" w14:textId="59AB458A" w:rsidR="00950AEE" w:rsidRDefault="00000000" w:rsidP="00950AEE">
      <w:pPr>
        <w:spacing w:beforeLines="29" w:before="69" w:line="278" w:lineRule="auto"/>
        <w:ind w:left="142" w:right="5464"/>
        <w:rPr>
          <w:sz w:val="19"/>
        </w:rPr>
      </w:pPr>
      <w:r>
        <w:rPr>
          <w:sz w:val="19"/>
        </w:rPr>
        <w:t>measures</w:t>
      </w:r>
      <w:r>
        <w:rPr>
          <w:spacing w:val="-5"/>
          <w:sz w:val="19"/>
        </w:rPr>
        <w:t xml:space="preserve"> </w:t>
      </w:r>
      <w:r>
        <w:rPr>
          <w:sz w:val="19"/>
        </w:rPr>
        <w:t>and</w:t>
      </w:r>
      <w:r>
        <w:rPr>
          <w:spacing w:val="-5"/>
          <w:sz w:val="19"/>
        </w:rPr>
        <w:t xml:space="preserve"> </w:t>
      </w:r>
      <w:r>
        <w:rPr>
          <w:sz w:val="19"/>
        </w:rPr>
        <w:t>safety</w:t>
      </w:r>
      <w:r>
        <w:rPr>
          <w:spacing w:val="-5"/>
          <w:sz w:val="19"/>
        </w:rPr>
        <w:t xml:space="preserve"> </w:t>
      </w:r>
      <w:r>
        <w:rPr>
          <w:sz w:val="19"/>
        </w:rPr>
        <w:t>quality</w:t>
      </w:r>
      <w:r>
        <w:rPr>
          <w:spacing w:val="-5"/>
          <w:sz w:val="19"/>
        </w:rPr>
        <w:t xml:space="preserve"> </w:t>
      </w:r>
      <w:r>
        <w:rPr>
          <w:sz w:val="19"/>
        </w:rPr>
        <w:t>indicators,</w:t>
      </w:r>
      <w:r>
        <w:rPr>
          <w:spacing w:val="-5"/>
          <w:sz w:val="19"/>
        </w:rPr>
        <w:t xml:space="preserve"> </w:t>
      </w:r>
    </w:p>
    <w:p w14:paraId="472D8FD8" w14:textId="28A2868B" w:rsidR="009D54AF" w:rsidRDefault="00000000" w:rsidP="00950AEE">
      <w:pPr>
        <w:spacing w:beforeLines="29" w:before="69" w:line="278" w:lineRule="auto"/>
        <w:ind w:left="142" w:right="5464"/>
        <w:rPr>
          <w:sz w:val="19"/>
        </w:rPr>
      </w:pPr>
      <w:r>
        <w:rPr>
          <w:sz w:val="19"/>
        </w:rPr>
        <w:lastRenderedPageBreak/>
        <w:t xml:space="preserve">medical device adverse event reporting, </w:t>
      </w:r>
    </w:p>
    <w:p w14:paraId="53F56973" w14:textId="3EC02C8B" w:rsidR="00950AEE" w:rsidRDefault="00000000" w:rsidP="00950AEE">
      <w:pPr>
        <w:spacing w:beforeLines="29" w:before="69" w:line="278" w:lineRule="auto"/>
        <w:ind w:left="142" w:right="5381"/>
        <w:jc w:val="both"/>
        <w:rPr>
          <w:spacing w:val="40"/>
          <w:sz w:val="19"/>
        </w:rPr>
      </w:pPr>
      <w:r>
        <w:rPr>
          <w:sz w:val="19"/>
        </w:rPr>
        <w:t xml:space="preserve">medical imaging standards and accreditation, </w:t>
      </w:r>
      <w:r>
        <w:rPr>
          <w:spacing w:val="40"/>
          <w:sz w:val="19"/>
        </w:rPr>
        <w:t xml:space="preserve"> </w:t>
      </w:r>
    </w:p>
    <w:p w14:paraId="64E6C19F" w14:textId="3E4892BF" w:rsidR="00950AEE" w:rsidRDefault="00000000" w:rsidP="00950AEE">
      <w:pPr>
        <w:spacing w:beforeLines="29" w:before="69" w:line="278" w:lineRule="auto"/>
        <w:ind w:left="142" w:right="5381"/>
        <w:jc w:val="both"/>
        <w:rPr>
          <w:spacing w:val="-5"/>
          <w:sz w:val="19"/>
        </w:rPr>
      </w:pPr>
      <w:r>
        <w:rPr>
          <w:sz w:val="19"/>
        </w:rPr>
        <w:t>medical</w:t>
      </w:r>
      <w:r>
        <w:rPr>
          <w:spacing w:val="-4"/>
          <w:sz w:val="19"/>
        </w:rPr>
        <w:t xml:space="preserve"> </w:t>
      </w:r>
      <w:r>
        <w:rPr>
          <w:sz w:val="19"/>
        </w:rPr>
        <w:t>records</w:t>
      </w:r>
      <w:r>
        <w:rPr>
          <w:spacing w:val="-2"/>
          <w:sz w:val="19"/>
        </w:rPr>
        <w:t xml:space="preserve"> </w:t>
      </w:r>
      <w:r>
        <w:rPr>
          <w:sz w:val="19"/>
        </w:rPr>
        <w:t>(My</w:t>
      </w:r>
      <w:r>
        <w:rPr>
          <w:spacing w:val="-2"/>
          <w:sz w:val="19"/>
        </w:rPr>
        <w:t xml:space="preserve"> </w:t>
      </w:r>
      <w:r>
        <w:rPr>
          <w:sz w:val="19"/>
        </w:rPr>
        <w:t>Health</w:t>
      </w:r>
      <w:r>
        <w:rPr>
          <w:spacing w:val="-2"/>
          <w:sz w:val="19"/>
        </w:rPr>
        <w:t xml:space="preserve"> </w:t>
      </w:r>
      <w:r>
        <w:rPr>
          <w:sz w:val="19"/>
        </w:rPr>
        <w:t>Record</w:t>
      </w:r>
      <w:r>
        <w:rPr>
          <w:spacing w:val="-1"/>
          <w:sz w:val="19"/>
        </w:rPr>
        <w:t xml:space="preserve"> </w:t>
      </w:r>
      <w:r>
        <w:rPr>
          <w:sz w:val="19"/>
        </w:rPr>
        <w:t>system),</w:t>
      </w:r>
      <w:r>
        <w:rPr>
          <w:spacing w:val="-2"/>
          <w:sz w:val="19"/>
        </w:rPr>
        <w:t xml:space="preserve"> </w:t>
      </w:r>
    </w:p>
    <w:p w14:paraId="189CBB2F" w14:textId="77777777" w:rsidR="00950AEE" w:rsidRDefault="00950AEE">
      <w:pPr>
        <w:rPr>
          <w:spacing w:val="-5"/>
          <w:sz w:val="19"/>
        </w:rPr>
      </w:pPr>
      <w:r>
        <w:rPr>
          <w:spacing w:val="-5"/>
          <w:sz w:val="19"/>
        </w:rPr>
        <w:br w:type="page"/>
      </w:r>
    </w:p>
    <w:p w14:paraId="039EE91A" w14:textId="5CD713A9" w:rsidR="009D54AF" w:rsidRDefault="00000000">
      <w:pPr>
        <w:spacing w:before="1"/>
        <w:ind w:left="142"/>
        <w:jc w:val="both"/>
        <w:rPr>
          <w:sz w:val="19"/>
        </w:rPr>
      </w:pPr>
      <w:r>
        <w:rPr>
          <w:sz w:val="19"/>
        </w:rPr>
        <w:lastRenderedPageBreak/>
        <w:t>medication</w:t>
      </w:r>
      <w:r>
        <w:rPr>
          <w:spacing w:val="-5"/>
          <w:sz w:val="19"/>
        </w:rPr>
        <w:t xml:space="preserve"> </w:t>
      </w:r>
      <w:r>
        <w:rPr>
          <w:sz w:val="19"/>
        </w:rPr>
        <w:t>management,</w:t>
      </w:r>
      <w:r>
        <w:rPr>
          <w:spacing w:val="-4"/>
          <w:sz w:val="19"/>
        </w:rPr>
        <w:t xml:space="preserve"> </w:t>
      </w:r>
    </w:p>
    <w:p w14:paraId="026132FC" w14:textId="51860AC3" w:rsidR="009D54AF" w:rsidRDefault="00000000">
      <w:pPr>
        <w:spacing w:before="93"/>
        <w:ind w:left="425"/>
        <w:jc w:val="both"/>
        <w:rPr>
          <w:sz w:val="19"/>
        </w:rPr>
      </w:pPr>
      <w:r>
        <w:rPr>
          <w:sz w:val="19"/>
        </w:rPr>
        <w:t>electronic</w:t>
      </w:r>
      <w:r>
        <w:rPr>
          <w:spacing w:val="-1"/>
          <w:sz w:val="19"/>
        </w:rPr>
        <w:t xml:space="preserve"> </w:t>
      </w:r>
      <w:r>
        <w:rPr>
          <w:sz w:val="19"/>
        </w:rPr>
        <w:t xml:space="preserve">systems in hospitals, </w:t>
      </w:r>
    </w:p>
    <w:p w14:paraId="69716152" w14:textId="77777777" w:rsidR="00950AEE" w:rsidRDefault="00000000" w:rsidP="00950AEE">
      <w:pPr>
        <w:spacing w:before="92" w:line="278" w:lineRule="auto"/>
        <w:ind w:left="142" w:right="4842" w:firstLine="284"/>
        <w:rPr>
          <w:sz w:val="19"/>
        </w:rPr>
      </w:pPr>
      <w:r>
        <w:rPr>
          <w:sz w:val="19"/>
        </w:rPr>
        <w:t>at</w:t>
      </w:r>
      <w:r>
        <w:rPr>
          <w:spacing w:val="-4"/>
          <w:sz w:val="19"/>
        </w:rPr>
        <w:t xml:space="preserve"> </w:t>
      </w:r>
      <w:r>
        <w:rPr>
          <w:sz w:val="19"/>
        </w:rPr>
        <w:t>transitions</w:t>
      </w:r>
      <w:r>
        <w:rPr>
          <w:spacing w:val="-4"/>
          <w:sz w:val="19"/>
        </w:rPr>
        <w:t xml:space="preserve"> </w:t>
      </w:r>
      <w:r>
        <w:rPr>
          <w:sz w:val="19"/>
        </w:rPr>
        <w:t>of</w:t>
      </w:r>
      <w:r>
        <w:rPr>
          <w:spacing w:val="-4"/>
          <w:sz w:val="19"/>
        </w:rPr>
        <w:t xml:space="preserve"> </w:t>
      </w:r>
      <w:r>
        <w:rPr>
          <w:sz w:val="19"/>
        </w:rPr>
        <w:t>care</w:t>
      </w:r>
      <w:r>
        <w:rPr>
          <w:spacing w:val="-4"/>
          <w:sz w:val="19"/>
        </w:rPr>
        <w:t xml:space="preserve"> </w:t>
      </w:r>
      <w:r>
        <w:rPr>
          <w:sz w:val="19"/>
        </w:rPr>
        <w:t>(stewardship</w:t>
      </w:r>
      <w:r>
        <w:rPr>
          <w:spacing w:val="-4"/>
          <w:sz w:val="19"/>
        </w:rPr>
        <w:t xml:space="preserve"> </w:t>
      </w:r>
      <w:r>
        <w:rPr>
          <w:sz w:val="19"/>
        </w:rPr>
        <w:t>framework),</w:t>
      </w:r>
      <w:r>
        <w:rPr>
          <w:spacing w:val="-4"/>
          <w:sz w:val="19"/>
        </w:rPr>
        <w:t xml:space="preserve"> </w:t>
      </w:r>
      <w:r>
        <w:rPr>
          <w:sz w:val="19"/>
        </w:rPr>
        <w:t xml:space="preserve"> </w:t>
      </w:r>
    </w:p>
    <w:p w14:paraId="65EDAB49" w14:textId="5D92F297" w:rsidR="009D54AF" w:rsidRDefault="00000000" w:rsidP="00950AEE">
      <w:pPr>
        <w:spacing w:before="92" w:line="340" w:lineRule="auto"/>
        <w:ind w:left="142" w:right="4844" w:firstLine="283"/>
        <w:rPr>
          <w:sz w:val="19"/>
        </w:rPr>
      </w:pPr>
      <w:r>
        <w:rPr>
          <w:sz w:val="19"/>
        </w:rPr>
        <w:t>medication safety</w:t>
      </w:r>
    </w:p>
    <w:p w14:paraId="10CDDB2E" w14:textId="099B5A0C" w:rsidR="00950AEE" w:rsidRDefault="00000000" w:rsidP="00950AEE">
      <w:pPr>
        <w:spacing w:before="1" w:line="340" w:lineRule="auto"/>
        <w:ind w:left="425" w:right="6565"/>
        <w:rPr>
          <w:sz w:val="19"/>
        </w:rPr>
      </w:pPr>
      <w:r>
        <w:rPr>
          <w:sz w:val="19"/>
        </w:rPr>
        <w:t>high-risk medicines learning modules,</w:t>
      </w:r>
    </w:p>
    <w:p w14:paraId="7ADE9795" w14:textId="542A59A5" w:rsidR="00950AEE" w:rsidRDefault="00000000">
      <w:pPr>
        <w:spacing w:before="1" w:line="340" w:lineRule="auto"/>
        <w:ind w:left="425" w:right="6565"/>
        <w:jc w:val="both"/>
        <w:rPr>
          <w:sz w:val="19"/>
        </w:rPr>
      </w:pPr>
      <w:r>
        <w:rPr>
          <w:sz w:val="19"/>
        </w:rPr>
        <w:t>National</w:t>
      </w:r>
      <w:r>
        <w:rPr>
          <w:spacing w:val="-7"/>
          <w:sz w:val="19"/>
        </w:rPr>
        <w:t xml:space="preserve"> </w:t>
      </w:r>
      <w:r>
        <w:rPr>
          <w:sz w:val="19"/>
        </w:rPr>
        <w:t>Medicines</w:t>
      </w:r>
      <w:r>
        <w:rPr>
          <w:spacing w:val="-7"/>
          <w:sz w:val="19"/>
        </w:rPr>
        <w:t xml:space="preserve"> </w:t>
      </w:r>
      <w:r>
        <w:rPr>
          <w:sz w:val="19"/>
        </w:rPr>
        <w:t>Symposium,</w:t>
      </w:r>
      <w:r>
        <w:rPr>
          <w:spacing w:val="-7"/>
          <w:sz w:val="19"/>
        </w:rPr>
        <w:t xml:space="preserve"> </w:t>
      </w:r>
    </w:p>
    <w:p w14:paraId="69D10322" w14:textId="6DEA5A1F" w:rsidR="009D54AF" w:rsidRDefault="00000000" w:rsidP="00950AEE">
      <w:pPr>
        <w:spacing w:before="1" w:line="278" w:lineRule="auto"/>
        <w:ind w:left="425" w:right="6565"/>
        <w:jc w:val="both"/>
        <w:rPr>
          <w:sz w:val="19"/>
        </w:rPr>
      </w:pPr>
      <w:r>
        <w:rPr>
          <w:sz w:val="19"/>
        </w:rPr>
        <w:t xml:space="preserve">quality use of medicines initiatives, </w:t>
      </w:r>
    </w:p>
    <w:p w14:paraId="12722A9D" w14:textId="04B2166A" w:rsidR="009D54AF" w:rsidRDefault="00000000" w:rsidP="00950AEE">
      <w:pPr>
        <w:spacing w:beforeLines="29" w:before="69" w:line="278" w:lineRule="auto"/>
        <w:ind w:left="142"/>
        <w:rPr>
          <w:sz w:val="19"/>
        </w:rPr>
      </w:pPr>
      <w:r>
        <w:rPr>
          <w:sz w:val="19"/>
        </w:rPr>
        <w:t>medicinal</w:t>
      </w:r>
      <w:r>
        <w:rPr>
          <w:spacing w:val="-4"/>
          <w:sz w:val="19"/>
        </w:rPr>
        <w:t xml:space="preserve"> </w:t>
      </w:r>
      <w:r>
        <w:rPr>
          <w:sz w:val="19"/>
        </w:rPr>
        <w:t>cannabis,</w:t>
      </w:r>
      <w:r>
        <w:rPr>
          <w:spacing w:val="-4"/>
          <w:sz w:val="19"/>
        </w:rPr>
        <w:t xml:space="preserve"> </w:t>
      </w:r>
    </w:p>
    <w:p w14:paraId="4E9DDE53" w14:textId="77777777" w:rsidR="00950AEE" w:rsidRDefault="00000000" w:rsidP="00950AEE">
      <w:pPr>
        <w:spacing w:beforeLines="29" w:before="69" w:line="278" w:lineRule="auto"/>
        <w:ind w:left="426" w:right="6486" w:hanging="284"/>
        <w:rPr>
          <w:sz w:val="19"/>
        </w:rPr>
      </w:pPr>
      <w:r>
        <w:rPr>
          <w:sz w:val="19"/>
        </w:rPr>
        <w:t>medicine</w:t>
      </w:r>
      <w:r>
        <w:rPr>
          <w:spacing w:val="-8"/>
          <w:sz w:val="19"/>
        </w:rPr>
        <w:t xml:space="preserve"> </w:t>
      </w:r>
      <w:r>
        <w:rPr>
          <w:sz w:val="19"/>
        </w:rPr>
        <w:t>shortages</w:t>
      </w:r>
      <w:r>
        <w:rPr>
          <w:spacing w:val="-8"/>
          <w:sz w:val="19"/>
        </w:rPr>
        <w:t xml:space="preserve"> </w:t>
      </w:r>
      <w:r>
        <w:rPr>
          <w:sz w:val="19"/>
        </w:rPr>
        <w:t>and</w:t>
      </w:r>
      <w:r>
        <w:rPr>
          <w:spacing w:val="-8"/>
          <w:sz w:val="19"/>
        </w:rPr>
        <w:t xml:space="preserve"> </w:t>
      </w:r>
      <w:r>
        <w:rPr>
          <w:sz w:val="19"/>
        </w:rPr>
        <w:t>discontinuations,</w:t>
      </w:r>
      <w:r>
        <w:rPr>
          <w:spacing w:val="-8"/>
          <w:sz w:val="19"/>
        </w:rPr>
        <w:t xml:space="preserve"> </w:t>
      </w:r>
      <w:r>
        <w:rPr>
          <w:sz w:val="19"/>
        </w:rPr>
        <w:t xml:space="preserve"> </w:t>
      </w:r>
    </w:p>
    <w:p w14:paraId="40D974CB" w14:textId="0F9E2391" w:rsidR="009D54AF" w:rsidRDefault="00000000" w:rsidP="00950AEE">
      <w:pPr>
        <w:spacing w:beforeLines="29" w:before="69" w:line="278" w:lineRule="auto"/>
        <w:ind w:left="142" w:right="6486" w:firstLine="284"/>
        <w:rPr>
          <w:sz w:val="19"/>
        </w:rPr>
      </w:pPr>
      <w:r>
        <w:rPr>
          <w:sz w:val="19"/>
        </w:rPr>
        <w:t xml:space="preserve">IV fluid shortages, </w:t>
      </w:r>
    </w:p>
    <w:p w14:paraId="3361E311" w14:textId="3D9B1339" w:rsidR="00950AEE" w:rsidRDefault="00000000">
      <w:pPr>
        <w:spacing w:before="1" w:line="340" w:lineRule="auto"/>
        <w:ind w:left="142" w:right="5464"/>
        <w:rPr>
          <w:sz w:val="19"/>
        </w:rPr>
      </w:pPr>
      <w:proofErr w:type="spellStart"/>
      <w:r>
        <w:rPr>
          <w:sz w:val="19"/>
        </w:rPr>
        <w:t>MedicineInsight</w:t>
      </w:r>
      <w:proofErr w:type="spellEnd"/>
      <w:r>
        <w:rPr>
          <w:spacing w:val="-10"/>
          <w:sz w:val="19"/>
        </w:rPr>
        <w:t xml:space="preserve"> </w:t>
      </w:r>
      <w:r>
        <w:rPr>
          <w:sz w:val="19"/>
        </w:rPr>
        <w:t>General</w:t>
      </w:r>
      <w:r>
        <w:rPr>
          <w:spacing w:val="-7"/>
          <w:sz w:val="19"/>
        </w:rPr>
        <w:t xml:space="preserve"> </w:t>
      </w:r>
      <w:r>
        <w:rPr>
          <w:sz w:val="19"/>
        </w:rPr>
        <w:t>Practice</w:t>
      </w:r>
      <w:r>
        <w:rPr>
          <w:spacing w:val="-14"/>
          <w:sz w:val="19"/>
        </w:rPr>
        <w:t xml:space="preserve"> </w:t>
      </w:r>
      <w:r>
        <w:rPr>
          <w:sz w:val="19"/>
        </w:rPr>
        <w:t>Advisory</w:t>
      </w:r>
      <w:r>
        <w:rPr>
          <w:spacing w:val="-6"/>
          <w:sz w:val="19"/>
        </w:rPr>
        <w:t xml:space="preserve"> </w:t>
      </w:r>
      <w:r>
        <w:rPr>
          <w:sz w:val="19"/>
        </w:rPr>
        <w:t>Group,</w:t>
      </w:r>
      <w:r>
        <w:rPr>
          <w:spacing w:val="-7"/>
          <w:sz w:val="19"/>
        </w:rPr>
        <w:t xml:space="preserve"> </w:t>
      </w:r>
    </w:p>
    <w:p w14:paraId="71626C94" w14:textId="7FAB800A" w:rsidR="009D54AF" w:rsidRDefault="00000000">
      <w:pPr>
        <w:spacing w:before="1" w:line="340" w:lineRule="auto"/>
        <w:ind w:left="142" w:right="5464"/>
        <w:rPr>
          <w:sz w:val="19"/>
        </w:rPr>
      </w:pPr>
      <w:proofErr w:type="spellStart"/>
      <w:r>
        <w:rPr>
          <w:sz w:val="19"/>
        </w:rPr>
        <w:t>MedicineInsight</w:t>
      </w:r>
      <w:proofErr w:type="spellEnd"/>
      <w:r>
        <w:rPr>
          <w:sz w:val="19"/>
        </w:rPr>
        <w:t xml:space="preserve"> program, </w:t>
      </w:r>
    </w:p>
    <w:p w14:paraId="67EC6BFD" w14:textId="702235B1" w:rsidR="009D54AF" w:rsidRDefault="00000000">
      <w:pPr>
        <w:spacing w:before="1"/>
        <w:ind w:left="142"/>
        <w:rPr>
          <w:sz w:val="19"/>
        </w:rPr>
      </w:pPr>
      <w:r>
        <w:rPr>
          <w:sz w:val="19"/>
        </w:rPr>
        <w:t>MedicineWise</w:t>
      </w:r>
      <w:r>
        <w:rPr>
          <w:spacing w:val="-6"/>
          <w:sz w:val="19"/>
        </w:rPr>
        <w:t xml:space="preserve"> </w:t>
      </w:r>
      <w:r>
        <w:rPr>
          <w:sz w:val="19"/>
        </w:rPr>
        <w:t>website,</w:t>
      </w:r>
      <w:r>
        <w:rPr>
          <w:spacing w:val="-5"/>
          <w:sz w:val="19"/>
        </w:rPr>
        <w:t xml:space="preserve"> </w:t>
      </w:r>
    </w:p>
    <w:p w14:paraId="2CE976C9" w14:textId="12A5F1AA" w:rsidR="00950AEE" w:rsidRDefault="00000000" w:rsidP="00950AEE">
      <w:pPr>
        <w:spacing w:before="92" w:line="278" w:lineRule="auto"/>
        <w:ind w:left="142" w:right="6889"/>
        <w:rPr>
          <w:sz w:val="19"/>
        </w:rPr>
      </w:pPr>
      <w:r>
        <w:rPr>
          <w:sz w:val="19"/>
        </w:rPr>
        <w:t>mental</w:t>
      </w:r>
      <w:r>
        <w:rPr>
          <w:spacing w:val="-7"/>
          <w:sz w:val="19"/>
        </w:rPr>
        <w:t xml:space="preserve"> </w:t>
      </w:r>
      <w:r>
        <w:rPr>
          <w:sz w:val="19"/>
        </w:rPr>
        <w:t>health</w:t>
      </w:r>
      <w:r>
        <w:rPr>
          <w:spacing w:val="-7"/>
          <w:sz w:val="19"/>
        </w:rPr>
        <w:t xml:space="preserve"> </w:t>
      </w:r>
      <w:r>
        <w:rPr>
          <w:sz w:val="19"/>
        </w:rPr>
        <w:t>standards,</w:t>
      </w:r>
      <w:r>
        <w:rPr>
          <w:spacing w:val="-7"/>
          <w:sz w:val="19"/>
        </w:rPr>
        <w:t xml:space="preserve"> </w:t>
      </w:r>
    </w:p>
    <w:p w14:paraId="73F7BD6C" w14:textId="61143898" w:rsidR="009D54AF" w:rsidRDefault="00000000">
      <w:pPr>
        <w:spacing w:before="92" w:line="340" w:lineRule="auto"/>
        <w:ind w:left="142" w:right="6889"/>
        <w:rPr>
          <w:sz w:val="19"/>
        </w:rPr>
      </w:pPr>
      <w:r>
        <w:rPr>
          <w:sz w:val="19"/>
        </w:rPr>
        <w:t xml:space="preserve">Minister for Finance, </w:t>
      </w:r>
    </w:p>
    <w:p w14:paraId="022AC363" w14:textId="18160715" w:rsidR="009D54AF" w:rsidRDefault="00000000">
      <w:pPr>
        <w:spacing w:before="2"/>
        <w:ind w:left="142"/>
        <w:rPr>
          <w:sz w:val="19"/>
        </w:rPr>
      </w:pPr>
      <w:r>
        <w:rPr>
          <w:sz w:val="19"/>
        </w:rPr>
        <w:t>Minister</w:t>
      </w:r>
      <w:r>
        <w:rPr>
          <w:spacing w:val="-2"/>
          <w:sz w:val="19"/>
        </w:rPr>
        <w:t xml:space="preserve"> </w:t>
      </w:r>
      <w:r>
        <w:rPr>
          <w:sz w:val="19"/>
        </w:rPr>
        <w:t>for</w:t>
      </w:r>
      <w:r>
        <w:rPr>
          <w:spacing w:val="-2"/>
          <w:sz w:val="19"/>
        </w:rPr>
        <w:t xml:space="preserve"> </w:t>
      </w:r>
      <w:r>
        <w:rPr>
          <w:sz w:val="19"/>
        </w:rPr>
        <w:t>Health,</w:t>
      </w:r>
      <w:r>
        <w:rPr>
          <w:spacing w:val="-1"/>
          <w:sz w:val="19"/>
        </w:rPr>
        <w:t xml:space="preserve"> </w:t>
      </w:r>
      <w:r>
        <w:rPr>
          <w:sz w:val="19"/>
        </w:rPr>
        <w:t>Disability</w:t>
      </w:r>
      <w:r>
        <w:rPr>
          <w:spacing w:val="-2"/>
          <w:sz w:val="19"/>
        </w:rPr>
        <w:t xml:space="preserve"> </w:t>
      </w:r>
      <w:r>
        <w:rPr>
          <w:sz w:val="19"/>
        </w:rPr>
        <w:t>and</w:t>
      </w:r>
      <w:r>
        <w:rPr>
          <w:spacing w:val="-12"/>
          <w:sz w:val="19"/>
        </w:rPr>
        <w:t xml:space="preserve"> </w:t>
      </w:r>
      <w:r>
        <w:rPr>
          <w:sz w:val="19"/>
        </w:rPr>
        <w:t>Ageing,</w:t>
      </w:r>
      <w:r>
        <w:rPr>
          <w:spacing w:val="-2"/>
          <w:sz w:val="19"/>
        </w:rPr>
        <w:t xml:space="preserve"> </w:t>
      </w:r>
    </w:p>
    <w:p w14:paraId="3D9656DA" w14:textId="33EE9E66" w:rsidR="009D54AF" w:rsidRDefault="00000000">
      <w:pPr>
        <w:spacing w:before="92"/>
        <w:ind w:left="142"/>
        <w:rPr>
          <w:sz w:val="19"/>
        </w:rPr>
      </w:pPr>
      <w:r>
        <w:rPr>
          <w:sz w:val="19"/>
        </w:rPr>
        <w:t>ministerial</w:t>
      </w:r>
      <w:r>
        <w:rPr>
          <w:spacing w:val="-5"/>
          <w:sz w:val="19"/>
        </w:rPr>
        <w:t xml:space="preserve"> </w:t>
      </w:r>
      <w:r>
        <w:rPr>
          <w:sz w:val="19"/>
        </w:rPr>
        <w:t>directions,</w:t>
      </w:r>
      <w:r>
        <w:rPr>
          <w:spacing w:val="-5"/>
          <w:sz w:val="19"/>
        </w:rPr>
        <w:t xml:space="preserve"> </w:t>
      </w:r>
    </w:p>
    <w:p w14:paraId="1271B233" w14:textId="77777777" w:rsidR="00950AEE" w:rsidRDefault="00000000" w:rsidP="00950AEE">
      <w:pPr>
        <w:spacing w:before="92" w:line="278" w:lineRule="auto"/>
        <w:ind w:left="142" w:right="6486"/>
        <w:rPr>
          <w:sz w:val="19"/>
        </w:rPr>
      </w:pPr>
      <w:r>
        <w:rPr>
          <w:sz w:val="19"/>
        </w:rPr>
        <w:t>Multi-Purpose</w:t>
      </w:r>
      <w:r>
        <w:rPr>
          <w:spacing w:val="-10"/>
          <w:sz w:val="19"/>
        </w:rPr>
        <w:t xml:space="preserve"> </w:t>
      </w:r>
      <w:r>
        <w:rPr>
          <w:sz w:val="19"/>
        </w:rPr>
        <w:t>Service</w:t>
      </w:r>
      <w:r>
        <w:rPr>
          <w:spacing w:val="-14"/>
          <w:sz w:val="19"/>
        </w:rPr>
        <w:t xml:space="preserve"> </w:t>
      </w:r>
      <w:r>
        <w:rPr>
          <w:sz w:val="19"/>
        </w:rPr>
        <w:t>Aged</w:t>
      </w:r>
      <w:r>
        <w:rPr>
          <w:spacing w:val="-7"/>
          <w:sz w:val="19"/>
        </w:rPr>
        <w:t xml:space="preserve"> </w:t>
      </w:r>
      <w:r>
        <w:rPr>
          <w:sz w:val="19"/>
        </w:rPr>
        <w:t>Care</w:t>
      </w:r>
      <w:r>
        <w:rPr>
          <w:spacing w:val="-7"/>
          <w:sz w:val="19"/>
        </w:rPr>
        <w:t xml:space="preserve"> </w:t>
      </w:r>
      <w:r>
        <w:rPr>
          <w:sz w:val="19"/>
        </w:rPr>
        <w:t>Module,</w:t>
      </w:r>
      <w:r>
        <w:rPr>
          <w:spacing w:val="-7"/>
          <w:sz w:val="19"/>
        </w:rPr>
        <w:t xml:space="preserve"> </w:t>
      </w:r>
      <w:r>
        <w:rPr>
          <w:sz w:val="19"/>
        </w:rPr>
        <w:t xml:space="preserve"> </w:t>
      </w:r>
    </w:p>
    <w:p w14:paraId="4B8EB147" w14:textId="700C11EA" w:rsidR="009D54AF" w:rsidRDefault="00000000">
      <w:pPr>
        <w:spacing w:before="92" w:line="340" w:lineRule="auto"/>
        <w:ind w:left="142" w:right="6484"/>
        <w:rPr>
          <w:sz w:val="19"/>
        </w:rPr>
      </w:pPr>
      <w:r>
        <w:rPr>
          <w:sz w:val="19"/>
        </w:rPr>
        <w:t xml:space="preserve">My Health Record system, </w:t>
      </w:r>
    </w:p>
    <w:p w14:paraId="3C33D798" w14:textId="2E4878AD" w:rsidR="009D54AF" w:rsidRDefault="00000000">
      <w:pPr>
        <w:spacing w:before="2"/>
        <w:ind w:left="142"/>
        <w:rPr>
          <w:sz w:val="19"/>
        </w:rPr>
      </w:pPr>
      <w:r>
        <w:rPr>
          <w:i/>
          <w:sz w:val="19"/>
        </w:rPr>
        <w:t xml:space="preserve">Mycobacterium </w:t>
      </w:r>
      <w:r>
        <w:rPr>
          <w:sz w:val="19"/>
        </w:rPr>
        <w:t xml:space="preserve">infections, </w:t>
      </w:r>
    </w:p>
    <w:p w14:paraId="2BE2C427" w14:textId="77777777" w:rsidR="009D54AF" w:rsidRDefault="009D54AF">
      <w:pPr>
        <w:pStyle w:val="BodyText"/>
        <w:spacing w:before="60"/>
        <w:rPr>
          <w:sz w:val="19"/>
        </w:rPr>
      </w:pPr>
    </w:p>
    <w:p w14:paraId="358BCF28" w14:textId="77777777" w:rsidR="009D54AF" w:rsidRDefault="00000000">
      <w:pPr>
        <w:pStyle w:val="Heading4"/>
        <w:spacing w:before="1"/>
      </w:pPr>
      <w:r>
        <w:rPr>
          <w:spacing w:val="-10"/>
        </w:rPr>
        <w:t>N</w:t>
      </w:r>
    </w:p>
    <w:p w14:paraId="4F96F3D8" w14:textId="77777777" w:rsidR="009D54AF" w:rsidRDefault="00000000">
      <w:pPr>
        <w:spacing w:before="111"/>
        <w:ind w:left="142"/>
        <w:rPr>
          <w:sz w:val="19"/>
        </w:rPr>
      </w:pPr>
      <w:r>
        <w:rPr>
          <w:sz w:val="19"/>
        </w:rPr>
        <w:t>NAIDOC</w:t>
      </w:r>
      <w:r>
        <w:rPr>
          <w:spacing w:val="-3"/>
          <w:sz w:val="19"/>
        </w:rPr>
        <w:t xml:space="preserve"> </w:t>
      </w:r>
      <w:r>
        <w:rPr>
          <w:sz w:val="19"/>
        </w:rPr>
        <w:t>Week</w:t>
      </w:r>
      <w:r>
        <w:rPr>
          <w:spacing w:val="-3"/>
          <w:sz w:val="19"/>
        </w:rPr>
        <w:t xml:space="preserve"> </w:t>
      </w:r>
      <w:r>
        <w:rPr>
          <w:sz w:val="19"/>
        </w:rPr>
        <w:t>2025,</w:t>
      </w:r>
      <w:r>
        <w:rPr>
          <w:spacing w:val="-3"/>
          <w:sz w:val="19"/>
        </w:rPr>
        <w:t xml:space="preserve"> </w:t>
      </w:r>
      <w:r>
        <w:rPr>
          <w:spacing w:val="-5"/>
          <w:sz w:val="19"/>
        </w:rPr>
        <w:t>106</w:t>
      </w:r>
    </w:p>
    <w:p w14:paraId="2A9D3EB9" w14:textId="53DF2834" w:rsidR="00754A92" w:rsidRDefault="00000000" w:rsidP="00754A92">
      <w:pPr>
        <w:spacing w:before="93" w:line="278" w:lineRule="auto"/>
        <w:ind w:left="142" w:right="4768"/>
        <w:rPr>
          <w:sz w:val="19"/>
        </w:rPr>
      </w:pPr>
      <w:r>
        <w:rPr>
          <w:sz w:val="19"/>
        </w:rPr>
        <w:t xml:space="preserve">National Aboriginal and Torres Strait Islander Network, </w:t>
      </w:r>
    </w:p>
    <w:p w14:paraId="6D1575CA" w14:textId="4FFD9725" w:rsidR="009D54AF" w:rsidRDefault="00000000">
      <w:pPr>
        <w:spacing w:before="93" w:line="340" w:lineRule="auto"/>
        <w:ind w:left="142" w:right="4771"/>
        <w:rPr>
          <w:sz w:val="19"/>
        </w:rPr>
      </w:pPr>
      <w:r>
        <w:rPr>
          <w:sz w:val="19"/>
        </w:rPr>
        <w:t>National</w:t>
      </w:r>
      <w:r>
        <w:rPr>
          <w:spacing w:val="-14"/>
          <w:sz w:val="19"/>
        </w:rPr>
        <w:t xml:space="preserve"> </w:t>
      </w:r>
      <w:r>
        <w:rPr>
          <w:sz w:val="19"/>
        </w:rPr>
        <w:t>Aboriginal</w:t>
      </w:r>
      <w:r>
        <w:rPr>
          <w:spacing w:val="-8"/>
          <w:sz w:val="19"/>
        </w:rPr>
        <w:t xml:space="preserve"> </w:t>
      </w:r>
      <w:r>
        <w:rPr>
          <w:sz w:val="19"/>
        </w:rPr>
        <w:t>Community</w:t>
      </w:r>
      <w:r>
        <w:rPr>
          <w:spacing w:val="-6"/>
          <w:sz w:val="19"/>
        </w:rPr>
        <w:t xml:space="preserve"> </w:t>
      </w:r>
      <w:r>
        <w:rPr>
          <w:sz w:val="19"/>
        </w:rPr>
        <w:t>Controlled</w:t>
      </w:r>
      <w:r>
        <w:rPr>
          <w:spacing w:val="-6"/>
          <w:sz w:val="19"/>
        </w:rPr>
        <w:t xml:space="preserve"> </w:t>
      </w:r>
      <w:r>
        <w:rPr>
          <w:sz w:val="19"/>
        </w:rPr>
        <w:t>Health</w:t>
      </w:r>
      <w:r>
        <w:rPr>
          <w:spacing w:val="-6"/>
          <w:sz w:val="19"/>
        </w:rPr>
        <w:t xml:space="preserve"> </w:t>
      </w:r>
      <w:proofErr w:type="spellStart"/>
      <w:r>
        <w:rPr>
          <w:sz w:val="19"/>
        </w:rPr>
        <w:t>Organisation</w:t>
      </w:r>
      <w:proofErr w:type="spellEnd"/>
      <w:r>
        <w:rPr>
          <w:sz w:val="19"/>
        </w:rPr>
        <w:t>,</w:t>
      </w:r>
      <w:r>
        <w:rPr>
          <w:spacing w:val="-6"/>
          <w:sz w:val="19"/>
        </w:rPr>
        <w:t xml:space="preserve"> </w:t>
      </w:r>
    </w:p>
    <w:p w14:paraId="6B54BBCB" w14:textId="7B70BE3A" w:rsidR="009D54AF" w:rsidRDefault="00000000">
      <w:pPr>
        <w:spacing w:before="1" w:line="340" w:lineRule="auto"/>
        <w:ind w:left="142" w:right="3776"/>
        <w:rPr>
          <w:sz w:val="19"/>
        </w:rPr>
      </w:pPr>
      <w:r>
        <w:rPr>
          <w:sz w:val="19"/>
        </w:rPr>
        <w:t>National</w:t>
      </w:r>
      <w:r>
        <w:rPr>
          <w:spacing w:val="-14"/>
          <w:sz w:val="19"/>
        </w:rPr>
        <w:t xml:space="preserve"> </w:t>
      </w:r>
      <w:r>
        <w:rPr>
          <w:sz w:val="19"/>
        </w:rPr>
        <w:t>Alert</w:t>
      </w:r>
      <w:r>
        <w:rPr>
          <w:spacing w:val="-6"/>
          <w:sz w:val="19"/>
        </w:rPr>
        <w:t xml:space="preserve"> </w:t>
      </w:r>
      <w:r>
        <w:rPr>
          <w:sz w:val="19"/>
        </w:rPr>
        <w:t>System</w:t>
      </w:r>
      <w:r>
        <w:rPr>
          <w:spacing w:val="-5"/>
          <w:sz w:val="19"/>
        </w:rPr>
        <w:t xml:space="preserve"> </w:t>
      </w:r>
      <w:r>
        <w:rPr>
          <w:sz w:val="19"/>
        </w:rPr>
        <w:t>for</w:t>
      </w:r>
      <w:r>
        <w:rPr>
          <w:spacing w:val="-5"/>
          <w:sz w:val="19"/>
        </w:rPr>
        <w:t xml:space="preserve"> </w:t>
      </w:r>
      <w:r>
        <w:rPr>
          <w:sz w:val="19"/>
        </w:rPr>
        <w:t>Critical</w:t>
      </w:r>
      <w:r>
        <w:rPr>
          <w:spacing w:val="-14"/>
          <w:sz w:val="19"/>
        </w:rPr>
        <w:t xml:space="preserve"> </w:t>
      </w:r>
      <w:r>
        <w:rPr>
          <w:sz w:val="19"/>
        </w:rPr>
        <w:t>Antimicrobial</w:t>
      </w:r>
      <w:r>
        <w:rPr>
          <w:spacing w:val="-4"/>
          <w:sz w:val="19"/>
        </w:rPr>
        <w:t xml:space="preserve"> </w:t>
      </w:r>
      <w:r>
        <w:rPr>
          <w:sz w:val="19"/>
        </w:rPr>
        <w:t>Resistances</w:t>
      </w:r>
      <w:r>
        <w:rPr>
          <w:spacing w:val="-5"/>
          <w:sz w:val="19"/>
        </w:rPr>
        <w:t xml:space="preserve"> </w:t>
      </w:r>
      <w:r>
        <w:rPr>
          <w:sz w:val="19"/>
        </w:rPr>
        <w:t>(</w:t>
      </w:r>
      <w:proofErr w:type="spellStart"/>
      <w:r>
        <w:rPr>
          <w:sz w:val="19"/>
        </w:rPr>
        <w:t>CARAlert</w:t>
      </w:r>
      <w:proofErr w:type="spellEnd"/>
      <w:r>
        <w:rPr>
          <w:sz w:val="19"/>
        </w:rPr>
        <w:t xml:space="preserve">), National Clinical Quality Registry, </w:t>
      </w:r>
    </w:p>
    <w:p w14:paraId="2CB54CDD" w14:textId="458B5A36" w:rsidR="009D54AF" w:rsidRDefault="00000000">
      <w:pPr>
        <w:spacing w:before="1"/>
        <w:ind w:left="142"/>
        <w:rPr>
          <w:sz w:val="19"/>
        </w:rPr>
      </w:pPr>
      <w:r>
        <w:rPr>
          <w:sz w:val="19"/>
        </w:rPr>
        <w:t>National</w:t>
      </w:r>
      <w:r>
        <w:rPr>
          <w:spacing w:val="-6"/>
          <w:sz w:val="19"/>
        </w:rPr>
        <w:t xml:space="preserve"> </w:t>
      </w:r>
      <w:r>
        <w:rPr>
          <w:sz w:val="19"/>
        </w:rPr>
        <w:t>Clinical</w:t>
      </w:r>
      <w:r>
        <w:rPr>
          <w:spacing w:val="-10"/>
          <w:sz w:val="19"/>
        </w:rPr>
        <w:t xml:space="preserve"> </w:t>
      </w:r>
      <w:r>
        <w:rPr>
          <w:sz w:val="19"/>
        </w:rPr>
        <w:t>Trials</w:t>
      </w:r>
      <w:r>
        <w:rPr>
          <w:spacing w:val="-5"/>
          <w:sz w:val="19"/>
        </w:rPr>
        <w:t xml:space="preserve"> </w:t>
      </w:r>
      <w:r>
        <w:rPr>
          <w:sz w:val="19"/>
        </w:rPr>
        <w:t>Governance</w:t>
      </w:r>
      <w:r>
        <w:rPr>
          <w:spacing w:val="-6"/>
          <w:sz w:val="19"/>
        </w:rPr>
        <w:t xml:space="preserve"> </w:t>
      </w:r>
      <w:r>
        <w:rPr>
          <w:sz w:val="19"/>
        </w:rPr>
        <w:t>Framework</w:t>
      </w:r>
    </w:p>
    <w:p w14:paraId="6360D5B7" w14:textId="3537CA3A" w:rsidR="00754A92" w:rsidRDefault="00000000" w:rsidP="00754A92">
      <w:pPr>
        <w:spacing w:before="92" w:line="278" w:lineRule="auto"/>
        <w:ind w:left="142" w:right="612"/>
        <w:rPr>
          <w:sz w:val="19"/>
        </w:rPr>
      </w:pPr>
      <w:r>
        <w:rPr>
          <w:i/>
          <w:sz w:val="19"/>
        </w:rPr>
        <w:t>National</w:t>
      </w:r>
      <w:r>
        <w:rPr>
          <w:i/>
          <w:spacing w:val="-3"/>
          <w:sz w:val="19"/>
        </w:rPr>
        <w:t xml:space="preserve"> </w:t>
      </w:r>
      <w:r>
        <w:rPr>
          <w:i/>
          <w:sz w:val="19"/>
        </w:rPr>
        <w:t>Consensus</w:t>
      </w:r>
      <w:r>
        <w:rPr>
          <w:i/>
          <w:spacing w:val="-3"/>
          <w:sz w:val="19"/>
        </w:rPr>
        <w:t xml:space="preserve"> </w:t>
      </w:r>
      <w:r>
        <w:rPr>
          <w:i/>
          <w:sz w:val="19"/>
        </w:rPr>
        <w:t>Statement:</w:t>
      </w:r>
      <w:r>
        <w:rPr>
          <w:i/>
          <w:spacing w:val="-3"/>
          <w:sz w:val="19"/>
        </w:rPr>
        <w:t xml:space="preserve"> </w:t>
      </w:r>
      <w:r>
        <w:rPr>
          <w:i/>
          <w:sz w:val="19"/>
        </w:rPr>
        <w:t>Essential</w:t>
      </w:r>
      <w:r>
        <w:rPr>
          <w:i/>
          <w:spacing w:val="-3"/>
          <w:sz w:val="19"/>
        </w:rPr>
        <w:t xml:space="preserve"> </w:t>
      </w:r>
      <w:r>
        <w:rPr>
          <w:i/>
          <w:sz w:val="19"/>
        </w:rPr>
        <w:t>elements</w:t>
      </w:r>
      <w:r>
        <w:rPr>
          <w:i/>
          <w:spacing w:val="-3"/>
          <w:sz w:val="19"/>
        </w:rPr>
        <w:t xml:space="preserve"> </w:t>
      </w:r>
      <w:r>
        <w:rPr>
          <w:i/>
          <w:sz w:val="19"/>
        </w:rPr>
        <w:t>for</w:t>
      </w:r>
      <w:r>
        <w:rPr>
          <w:i/>
          <w:spacing w:val="-3"/>
          <w:sz w:val="19"/>
        </w:rPr>
        <w:t xml:space="preserve"> </w:t>
      </w:r>
      <w:r>
        <w:rPr>
          <w:i/>
          <w:sz w:val="19"/>
        </w:rPr>
        <w:t>safe</w:t>
      </w:r>
      <w:r>
        <w:rPr>
          <w:i/>
          <w:spacing w:val="-3"/>
          <w:sz w:val="19"/>
        </w:rPr>
        <w:t xml:space="preserve"> </w:t>
      </w:r>
      <w:r>
        <w:rPr>
          <w:i/>
          <w:sz w:val="19"/>
        </w:rPr>
        <w:t>and</w:t>
      </w:r>
      <w:r>
        <w:rPr>
          <w:i/>
          <w:spacing w:val="-3"/>
          <w:sz w:val="19"/>
        </w:rPr>
        <w:t xml:space="preserve"> </w:t>
      </w:r>
      <w:r>
        <w:rPr>
          <w:i/>
          <w:sz w:val="19"/>
        </w:rPr>
        <w:t>high-quality</w:t>
      </w:r>
      <w:r>
        <w:rPr>
          <w:i/>
          <w:spacing w:val="-3"/>
          <w:sz w:val="19"/>
        </w:rPr>
        <w:t xml:space="preserve"> </w:t>
      </w:r>
      <w:proofErr w:type="spellStart"/>
      <w:r>
        <w:rPr>
          <w:i/>
          <w:sz w:val="19"/>
        </w:rPr>
        <w:t>paediatric</w:t>
      </w:r>
      <w:proofErr w:type="spellEnd"/>
      <w:r>
        <w:rPr>
          <w:i/>
          <w:spacing w:val="-3"/>
          <w:sz w:val="19"/>
        </w:rPr>
        <w:t xml:space="preserve"> </w:t>
      </w:r>
      <w:r>
        <w:rPr>
          <w:i/>
          <w:sz w:val="19"/>
        </w:rPr>
        <w:t>end-of-life</w:t>
      </w:r>
      <w:r>
        <w:rPr>
          <w:i/>
          <w:spacing w:val="-3"/>
          <w:sz w:val="19"/>
        </w:rPr>
        <w:t xml:space="preserve"> </w:t>
      </w:r>
      <w:r>
        <w:rPr>
          <w:i/>
          <w:sz w:val="19"/>
        </w:rPr>
        <w:t>care</w:t>
      </w:r>
      <w:r>
        <w:rPr>
          <w:sz w:val="19"/>
        </w:rPr>
        <w:t>,</w:t>
      </w:r>
      <w:r>
        <w:rPr>
          <w:spacing w:val="-3"/>
          <w:sz w:val="19"/>
        </w:rPr>
        <w:t xml:space="preserve"> </w:t>
      </w:r>
    </w:p>
    <w:p w14:paraId="42528656" w14:textId="7ECBAFC6" w:rsidR="009D54AF" w:rsidRDefault="00000000">
      <w:pPr>
        <w:spacing w:before="92" w:line="340" w:lineRule="auto"/>
        <w:ind w:left="142" w:right="613"/>
        <w:rPr>
          <w:sz w:val="19"/>
        </w:rPr>
      </w:pPr>
      <w:r>
        <w:rPr>
          <w:sz w:val="19"/>
        </w:rPr>
        <w:t>National Emergency Laparotomy</w:t>
      </w:r>
      <w:r>
        <w:rPr>
          <w:spacing w:val="-1"/>
          <w:sz w:val="19"/>
        </w:rPr>
        <w:t xml:space="preserve"> </w:t>
      </w:r>
      <w:r>
        <w:rPr>
          <w:sz w:val="19"/>
        </w:rPr>
        <w:t xml:space="preserve">Audit (UK), </w:t>
      </w:r>
    </w:p>
    <w:p w14:paraId="72F87917" w14:textId="183BC422" w:rsidR="009D54AF" w:rsidRDefault="00000000">
      <w:pPr>
        <w:spacing w:before="2"/>
        <w:ind w:left="142"/>
        <w:rPr>
          <w:sz w:val="19"/>
        </w:rPr>
      </w:pPr>
      <w:r>
        <w:rPr>
          <w:sz w:val="19"/>
        </w:rPr>
        <w:t>National</w:t>
      </w:r>
      <w:r>
        <w:rPr>
          <w:spacing w:val="-7"/>
          <w:sz w:val="19"/>
        </w:rPr>
        <w:t xml:space="preserve"> </w:t>
      </w:r>
      <w:r>
        <w:rPr>
          <w:sz w:val="19"/>
        </w:rPr>
        <w:t>General</w:t>
      </w:r>
      <w:r>
        <w:rPr>
          <w:spacing w:val="-4"/>
          <w:sz w:val="19"/>
        </w:rPr>
        <w:t xml:space="preserve"> </w:t>
      </w:r>
      <w:r>
        <w:rPr>
          <w:sz w:val="19"/>
        </w:rPr>
        <w:t>Practice</w:t>
      </w:r>
      <w:r>
        <w:rPr>
          <w:spacing w:val="-14"/>
          <w:sz w:val="19"/>
        </w:rPr>
        <w:t xml:space="preserve"> </w:t>
      </w:r>
      <w:r>
        <w:rPr>
          <w:sz w:val="19"/>
        </w:rPr>
        <w:t>Accreditation</w:t>
      </w:r>
      <w:r>
        <w:rPr>
          <w:spacing w:val="-4"/>
          <w:sz w:val="19"/>
        </w:rPr>
        <w:t xml:space="preserve"> </w:t>
      </w:r>
      <w:r>
        <w:rPr>
          <w:sz w:val="19"/>
        </w:rPr>
        <w:t>Scheme,</w:t>
      </w:r>
      <w:r>
        <w:rPr>
          <w:spacing w:val="-5"/>
          <w:sz w:val="19"/>
        </w:rPr>
        <w:t xml:space="preserve"> </w:t>
      </w:r>
    </w:p>
    <w:p w14:paraId="5A86617C" w14:textId="77777777" w:rsidR="00754A92" w:rsidRDefault="00000000" w:rsidP="00754A92">
      <w:pPr>
        <w:spacing w:before="92" w:line="278" w:lineRule="auto"/>
        <w:ind w:left="142" w:right="3323"/>
        <w:rPr>
          <w:sz w:val="19"/>
        </w:rPr>
      </w:pPr>
      <w:r>
        <w:rPr>
          <w:sz w:val="19"/>
        </w:rPr>
        <w:t>National</w:t>
      </w:r>
      <w:r>
        <w:rPr>
          <w:spacing w:val="-4"/>
          <w:sz w:val="19"/>
        </w:rPr>
        <w:t xml:space="preserve"> </w:t>
      </w:r>
      <w:r>
        <w:rPr>
          <w:sz w:val="19"/>
        </w:rPr>
        <w:t>Guidelines</w:t>
      </w:r>
      <w:r>
        <w:rPr>
          <w:spacing w:val="-4"/>
          <w:sz w:val="19"/>
        </w:rPr>
        <w:t xml:space="preserve"> </w:t>
      </w:r>
      <w:r>
        <w:rPr>
          <w:sz w:val="19"/>
        </w:rPr>
        <w:t>for</w:t>
      </w:r>
      <w:r>
        <w:rPr>
          <w:spacing w:val="-4"/>
          <w:sz w:val="19"/>
        </w:rPr>
        <w:t xml:space="preserve"> </w:t>
      </w:r>
      <w:r>
        <w:rPr>
          <w:sz w:val="19"/>
        </w:rPr>
        <w:t>Presentation</w:t>
      </w:r>
      <w:r>
        <w:rPr>
          <w:spacing w:val="-4"/>
          <w:sz w:val="19"/>
        </w:rPr>
        <w:t xml:space="preserve"> </w:t>
      </w:r>
      <w:r>
        <w:rPr>
          <w:sz w:val="19"/>
        </w:rPr>
        <w:t>of</w:t>
      </w:r>
      <w:r>
        <w:rPr>
          <w:spacing w:val="-4"/>
          <w:sz w:val="19"/>
        </w:rPr>
        <w:t xml:space="preserve"> </w:t>
      </w:r>
      <w:r>
        <w:rPr>
          <w:sz w:val="19"/>
        </w:rPr>
        <w:t>Electronic</w:t>
      </w:r>
      <w:r>
        <w:rPr>
          <w:spacing w:val="-4"/>
          <w:sz w:val="19"/>
        </w:rPr>
        <w:t xml:space="preserve"> </w:t>
      </w:r>
      <w:r>
        <w:rPr>
          <w:sz w:val="19"/>
        </w:rPr>
        <w:t>Discharge</w:t>
      </w:r>
      <w:r>
        <w:rPr>
          <w:spacing w:val="-4"/>
          <w:sz w:val="19"/>
        </w:rPr>
        <w:t xml:space="preserve"> </w:t>
      </w:r>
      <w:r>
        <w:rPr>
          <w:sz w:val="19"/>
        </w:rPr>
        <w:t>Summaries,</w:t>
      </w:r>
      <w:r>
        <w:rPr>
          <w:spacing w:val="-4"/>
          <w:sz w:val="19"/>
        </w:rPr>
        <w:t xml:space="preserve"> </w:t>
      </w:r>
      <w:r>
        <w:rPr>
          <w:sz w:val="19"/>
        </w:rPr>
        <w:t xml:space="preserve"> </w:t>
      </w:r>
    </w:p>
    <w:p w14:paraId="414A5E1E" w14:textId="30BFEC65" w:rsidR="009D54AF" w:rsidRDefault="00000000">
      <w:pPr>
        <w:spacing w:before="92" w:line="340" w:lineRule="auto"/>
        <w:ind w:left="142" w:right="3321"/>
        <w:rPr>
          <w:sz w:val="19"/>
        </w:rPr>
      </w:pPr>
      <w:r>
        <w:rPr>
          <w:sz w:val="19"/>
        </w:rPr>
        <w:t xml:space="preserve">National Hand Hygiene Initiative, </w:t>
      </w:r>
    </w:p>
    <w:p w14:paraId="2413B3F2" w14:textId="663BD520" w:rsidR="00754A92" w:rsidRDefault="00000000">
      <w:pPr>
        <w:spacing w:before="1" w:line="340" w:lineRule="auto"/>
        <w:ind w:left="142" w:right="5983"/>
        <w:jc w:val="both"/>
        <w:rPr>
          <w:sz w:val="19"/>
        </w:rPr>
      </w:pPr>
      <w:r>
        <w:rPr>
          <w:sz w:val="19"/>
        </w:rPr>
        <w:t>National</w:t>
      </w:r>
      <w:r>
        <w:rPr>
          <w:spacing w:val="-6"/>
          <w:sz w:val="19"/>
        </w:rPr>
        <w:t xml:space="preserve"> </w:t>
      </w:r>
      <w:r>
        <w:rPr>
          <w:sz w:val="19"/>
        </w:rPr>
        <w:t>Health</w:t>
      </w:r>
      <w:r>
        <w:rPr>
          <w:spacing w:val="-6"/>
          <w:sz w:val="19"/>
        </w:rPr>
        <w:t xml:space="preserve"> </w:t>
      </w:r>
      <w:r>
        <w:rPr>
          <w:sz w:val="19"/>
        </w:rPr>
        <w:t>and</w:t>
      </w:r>
      <w:r>
        <w:rPr>
          <w:spacing w:val="-6"/>
          <w:sz w:val="19"/>
        </w:rPr>
        <w:t xml:space="preserve"> </w:t>
      </w:r>
      <w:r>
        <w:rPr>
          <w:sz w:val="19"/>
        </w:rPr>
        <w:t>Climate</w:t>
      </w:r>
      <w:r>
        <w:rPr>
          <w:spacing w:val="-6"/>
          <w:sz w:val="19"/>
        </w:rPr>
        <w:t xml:space="preserve"> </w:t>
      </w:r>
      <w:r>
        <w:rPr>
          <w:sz w:val="19"/>
        </w:rPr>
        <w:t>Strategy</w:t>
      </w:r>
      <w:r>
        <w:rPr>
          <w:spacing w:val="-6"/>
          <w:sz w:val="19"/>
        </w:rPr>
        <w:t xml:space="preserve"> </w:t>
      </w:r>
      <w:r>
        <w:rPr>
          <w:sz w:val="19"/>
        </w:rPr>
        <w:t>(2024–28),</w:t>
      </w:r>
      <w:r>
        <w:rPr>
          <w:spacing w:val="-6"/>
          <w:sz w:val="19"/>
        </w:rPr>
        <w:t xml:space="preserve"> </w:t>
      </w:r>
    </w:p>
    <w:p w14:paraId="6D5A5CB7" w14:textId="34B234AE" w:rsidR="00754A92" w:rsidRDefault="00000000">
      <w:pPr>
        <w:spacing w:before="1" w:line="340" w:lineRule="auto"/>
        <w:ind w:left="142" w:right="5983"/>
        <w:jc w:val="both"/>
        <w:rPr>
          <w:sz w:val="19"/>
        </w:rPr>
      </w:pPr>
      <w:r>
        <w:rPr>
          <w:i/>
          <w:sz w:val="19"/>
        </w:rPr>
        <w:t>National</w:t>
      </w:r>
      <w:r>
        <w:rPr>
          <w:i/>
          <w:spacing w:val="-6"/>
          <w:sz w:val="19"/>
        </w:rPr>
        <w:t xml:space="preserve"> </w:t>
      </w:r>
      <w:r>
        <w:rPr>
          <w:i/>
          <w:sz w:val="19"/>
        </w:rPr>
        <w:t>Health</w:t>
      </w:r>
      <w:r>
        <w:rPr>
          <w:i/>
          <w:spacing w:val="-6"/>
          <w:sz w:val="19"/>
        </w:rPr>
        <w:t xml:space="preserve"> </w:t>
      </w:r>
      <w:r>
        <w:rPr>
          <w:i/>
          <w:sz w:val="19"/>
        </w:rPr>
        <w:t>and</w:t>
      </w:r>
      <w:r>
        <w:rPr>
          <w:i/>
          <w:spacing w:val="-6"/>
          <w:sz w:val="19"/>
        </w:rPr>
        <w:t xml:space="preserve"> </w:t>
      </w:r>
      <w:r>
        <w:rPr>
          <w:i/>
          <w:sz w:val="19"/>
        </w:rPr>
        <w:t>Hospitals</w:t>
      </w:r>
      <w:r>
        <w:rPr>
          <w:i/>
          <w:spacing w:val="-6"/>
          <w:sz w:val="19"/>
        </w:rPr>
        <w:t xml:space="preserve"> </w:t>
      </w:r>
      <w:r>
        <w:rPr>
          <w:i/>
          <w:sz w:val="19"/>
        </w:rPr>
        <w:t>Network</w:t>
      </w:r>
      <w:r>
        <w:rPr>
          <w:i/>
          <w:spacing w:val="-12"/>
          <w:sz w:val="19"/>
        </w:rPr>
        <w:t xml:space="preserve"> </w:t>
      </w:r>
      <w:r>
        <w:rPr>
          <w:i/>
          <w:sz w:val="19"/>
        </w:rPr>
        <w:t>Act</w:t>
      </w:r>
      <w:r>
        <w:rPr>
          <w:i/>
          <w:spacing w:val="-6"/>
          <w:sz w:val="19"/>
        </w:rPr>
        <w:t xml:space="preserve"> </w:t>
      </w:r>
      <w:r>
        <w:rPr>
          <w:i/>
          <w:sz w:val="19"/>
        </w:rPr>
        <w:t>2011</w:t>
      </w:r>
      <w:r>
        <w:rPr>
          <w:sz w:val="19"/>
        </w:rPr>
        <w:t>,</w:t>
      </w:r>
    </w:p>
    <w:p w14:paraId="5D097AFD" w14:textId="4F4BD005" w:rsidR="009D54AF" w:rsidRDefault="00000000" w:rsidP="00754A92">
      <w:pPr>
        <w:spacing w:beforeLines="29" w:before="69"/>
        <w:ind w:left="142" w:right="5983"/>
        <w:jc w:val="both"/>
        <w:rPr>
          <w:sz w:val="19"/>
        </w:rPr>
      </w:pPr>
      <w:r>
        <w:rPr>
          <w:i/>
          <w:sz w:val="19"/>
        </w:rPr>
        <w:t>National Health Reform Act 2011</w:t>
      </w:r>
      <w:r>
        <w:rPr>
          <w:sz w:val="19"/>
        </w:rPr>
        <w:t xml:space="preserve">, </w:t>
      </w:r>
    </w:p>
    <w:p w14:paraId="4FC030CC" w14:textId="622D1DCF" w:rsidR="009D54AF" w:rsidRDefault="00000000" w:rsidP="00754A92">
      <w:pPr>
        <w:spacing w:beforeLines="29" w:before="69"/>
        <w:ind w:left="425"/>
        <w:rPr>
          <w:sz w:val="19"/>
        </w:rPr>
      </w:pPr>
      <w:r>
        <w:rPr>
          <w:sz w:val="19"/>
        </w:rPr>
        <w:t xml:space="preserve">amendments, </w:t>
      </w:r>
    </w:p>
    <w:p w14:paraId="3444F22A" w14:textId="77777777" w:rsidR="00754A92" w:rsidRDefault="00000000" w:rsidP="00754A92">
      <w:pPr>
        <w:spacing w:beforeLines="29" w:before="69"/>
        <w:ind w:left="425" w:right="7070"/>
        <w:rPr>
          <w:spacing w:val="-13"/>
          <w:sz w:val="19"/>
        </w:rPr>
      </w:pPr>
      <w:r>
        <w:rPr>
          <w:sz w:val="19"/>
        </w:rPr>
        <w:t>codifies</w:t>
      </w:r>
      <w:r>
        <w:rPr>
          <w:spacing w:val="-13"/>
          <w:sz w:val="19"/>
        </w:rPr>
        <w:t xml:space="preserve"> </w:t>
      </w:r>
      <w:r>
        <w:rPr>
          <w:sz w:val="19"/>
        </w:rPr>
        <w:t>Commission’s</w:t>
      </w:r>
      <w:r>
        <w:rPr>
          <w:spacing w:val="-13"/>
          <w:sz w:val="19"/>
        </w:rPr>
        <w:t xml:space="preserve"> </w:t>
      </w:r>
      <w:r>
        <w:rPr>
          <w:sz w:val="19"/>
        </w:rPr>
        <w:t>role,</w:t>
      </w:r>
      <w:r>
        <w:rPr>
          <w:spacing w:val="-13"/>
          <w:sz w:val="19"/>
        </w:rPr>
        <w:t xml:space="preserve"> </w:t>
      </w:r>
    </w:p>
    <w:p w14:paraId="414F4E0A" w14:textId="692E677C" w:rsidR="00754A92" w:rsidRDefault="00000000" w:rsidP="00754A92">
      <w:pPr>
        <w:spacing w:beforeLines="29" w:before="69"/>
        <w:ind w:left="425" w:right="7070"/>
        <w:rPr>
          <w:sz w:val="19"/>
        </w:rPr>
      </w:pPr>
      <w:r>
        <w:rPr>
          <w:sz w:val="19"/>
        </w:rPr>
        <w:t xml:space="preserve">establishment of Board, </w:t>
      </w:r>
    </w:p>
    <w:p w14:paraId="1B1CE9BD" w14:textId="37A5A8D1" w:rsidR="009D54AF" w:rsidRDefault="00000000" w:rsidP="00754A92">
      <w:pPr>
        <w:spacing w:beforeLines="29" w:before="69"/>
        <w:ind w:left="425" w:right="7068"/>
        <w:rPr>
          <w:sz w:val="19"/>
        </w:rPr>
      </w:pPr>
      <w:r>
        <w:rPr>
          <w:sz w:val="19"/>
        </w:rPr>
        <w:t xml:space="preserve">functions of Commission, </w:t>
      </w:r>
    </w:p>
    <w:p w14:paraId="3F3FB327" w14:textId="5D85C553" w:rsidR="009D54AF" w:rsidRDefault="00000000" w:rsidP="00754A92">
      <w:pPr>
        <w:spacing w:beforeLines="29" w:before="69"/>
        <w:ind w:left="425"/>
        <w:rPr>
          <w:sz w:val="19"/>
        </w:rPr>
      </w:pPr>
      <w:r>
        <w:rPr>
          <w:sz w:val="19"/>
        </w:rPr>
        <w:t>Ministerial</w:t>
      </w:r>
      <w:r>
        <w:rPr>
          <w:spacing w:val="-5"/>
          <w:sz w:val="19"/>
        </w:rPr>
        <w:t xml:space="preserve"> </w:t>
      </w:r>
      <w:r>
        <w:rPr>
          <w:sz w:val="19"/>
        </w:rPr>
        <w:t>directions,</w:t>
      </w:r>
      <w:r>
        <w:rPr>
          <w:spacing w:val="-5"/>
          <w:sz w:val="19"/>
        </w:rPr>
        <w:t xml:space="preserve"> </w:t>
      </w:r>
    </w:p>
    <w:p w14:paraId="7DAD8854" w14:textId="5C30024A" w:rsidR="00754A92" w:rsidRDefault="00000000" w:rsidP="00754A92">
      <w:pPr>
        <w:spacing w:before="93" w:line="278" w:lineRule="auto"/>
        <w:ind w:left="426" w:right="5466" w:hanging="284"/>
        <w:rPr>
          <w:sz w:val="19"/>
        </w:rPr>
      </w:pPr>
      <w:r>
        <w:rPr>
          <w:sz w:val="19"/>
        </w:rPr>
        <w:t>National</w:t>
      </w:r>
      <w:r>
        <w:rPr>
          <w:spacing w:val="-12"/>
          <w:sz w:val="19"/>
        </w:rPr>
        <w:t xml:space="preserve"> </w:t>
      </w:r>
      <w:r>
        <w:rPr>
          <w:sz w:val="19"/>
        </w:rPr>
        <w:t>Health</w:t>
      </w:r>
      <w:r>
        <w:rPr>
          <w:spacing w:val="-8"/>
          <w:sz w:val="19"/>
        </w:rPr>
        <w:t xml:space="preserve"> </w:t>
      </w:r>
      <w:r>
        <w:rPr>
          <w:sz w:val="19"/>
        </w:rPr>
        <w:t>Reform</w:t>
      </w:r>
      <w:r>
        <w:rPr>
          <w:spacing w:val="-14"/>
          <w:sz w:val="19"/>
        </w:rPr>
        <w:t xml:space="preserve"> </w:t>
      </w:r>
      <w:r>
        <w:rPr>
          <w:sz w:val="19"/>
        </w:rPr>
        <w:t>Agreement</w:t>
      </w:r>
      <w:r>
        <w:rPr>
          <w:spacing w:val="-7"/>
          <w:sz w:val="19"/>
        </w:rPr>
        <w:t xml:space="preserve"> </w:t>
      </w:r>
      <w:r>
        <w:rPr>
          <w:sz w:val="19"/>
        </w:rPr>
        <w:t>(NHRA)</w:t>
      </w:r>
      <w:r>
        <w:rPr>
          <w:spacing w:val="-8"/>
          <w:sz w:val="19"/>
        </w:rPr>
        <w:t xml:space="preserve"> </w:t>
      </w:r>
      <w:r>
        <w:rPr>
          <w:sz w:val="19"/>
        </w:rPr>
        <w:t>2011,</w:t>
      </w:r>
      <w:r>
        <w:rPr>
          <w:spacing w:val="-8"/>
          <w:sz w:val="19"/>
        </w:rPr>
        <w:t xml:space="preserve"> </w:t>
      </w:r>
      <w:r>
        <w:rPr>
          <w:sz w:val="19"/>
        </w:rPr>
        <w:t xml:space="preserve"> </w:t>
      </w:r>
    </w:p>
    <w:p w14:paraId="09C8C18D" w14:textId="5AB5E2B5" w:rsidR="009D54AF" w:rsidRDefault="00000000" w:rsidP="00754A92">
      <w:pPr>
        <w:spacing w:before="93" w:line="278" w:lineRule="auto"/>
        <w:ind w:left="142" w:right="5466" w:firstLine="284"/>
        <w:rPr>
          <w:sz w:val="19"/>
        </w:rPr>
      </w:pPr>
      <w:r>
        <w:rPr>
          <w:sz w:val="19"/>
        </w:rPr>
        <w:t xml:space="preserve">2026–31 Addendum, </w:t>
      </w:r>
    </w:p>
    <w:p w14:paraId="75B604A7" w14:textId="24BA1C7C" w:rsidR="009D54AF" w:rsidRDefault="00000000">
      <w:pPr>
        <w:spacing w:before="1"/>
        <w:ind w:left="142"/>
        <w:rPr>
          <w:sz w:val="19"/>
        </w:rPr>
      </w:pPr>
      <w:r>
        <w:rPr>
          <w:sz w:val="19"/>
        </w:rPr>
        <w:t>National</w:t>
      </w:r>
      <w:r>
        <w:rPr>
          <w:spacing w:val="-7"/>
          <w:sz w:val="19"/>
        </w:rPr>
        <w:t xml:space="preserve"> </w:t>
      </w:r>
      <w:r>
        <w:rPr>
          <w:sz w:val="19"/>
        </w:rPr>
        <w:t>Medicines</w:t>
      </w:r>
      <w:r>
        <w:rPr>
          <w:spacing w:val="-7"/>
          <w:sz w:val="19"/>
        </w:rPr>
        <w:t xml:space="preserve"> </w:t>
      </w:r>
      <w:r>
        <w:rPr>
          <w:sz w:val="19"/>
        </w:rPr>
        <w:t>Symposium</w:t>
      </w:r>
      <w:r>
        <w:rPr>
          <w:spacing w:val="-7"/>
          <w:sz w:val="19"/>
        </w:rPr>
        <w:t xml:space="preserve"> </w:t>
      </w:r>
      <w:r>
        <w:rPr>
          <w:sz w:val="19"/>
        </w:rPr>
        <w:t>202</w:t>
      </w:r>
      <w:r w:rsidR="00754A92">
        <w:rPr>
          <w:sz w:val="19"/>
        </w:rPr>
        <w:t>5</w:t>
      </w:r>
    </w:p>
    <w:p w14:paraId="3ED11E1F" w14:textId="25C7856A" w:rsidR="00754A92" w:rsidRDefault="00000000" w:rsidP="00754A92">
      <w:pPr>
        <w:spacing w:before="92" w:line="278" w:lineRule="auto"/>
        <w:ind w:left="142" w:right="3776"/>
        <w:rPr>
          <w:sz w:val="19"/>
        </w:rPr>
      </w:pPr>
      <w:r>
        <w:rPr>
          <w:sz w:val="19"/>
        </w:rPr>
        <w:t>National</w:t>
      </w:r>
      <w:r>
        <w:rPr>
          <w:spacing w:val="-3"/>
          <w:sz w:val="19"/>
        </w:rPr>
        <w:t xml:space="preserve"> </w:t>
      </w:r>
      <w:r>
        <w:rPr>
          <w:sz w:val="19"/>
        </w:rPr>
        <w:t>Model</w:t>
      </w:r>
      <w:r>
        <w:rPr>
          <w:spacing w:val="-3"/>
          <w:sz w:val="19"/>
        </w:rPr>
        <w:t xml:space="preserve"> </w:t>
      </w:r>
      <w:r>
        <w:rPr>
          <w:sz w:val="19"/>
        </w:rPr>
        <w:t>for</w:t>
      </w:r>
      <w:r>
        <w:rPr>
          <w:spacing w:val="-3"/>
          <w:sz w:val="19"/>
        </w:rPr>
        <w:t xml:space="preserve"> </w:t>
      </w:r>
      <w:r>
        <w:rPr>
          <w:sz w:val="19"/>
        </w:rPr>
        <w:t>Clinical</w:t>
      </w:r>
      <w:r>
        <w:rPr>
          <w:spacing w:val="-3"/>
          <w:sz w:val="19"/>
        </w:rPr>
        <w:t xml:space="preserve"> </w:t>
      </w:r>
      <w:r>
        <w:rPr>
          <w:sz w:val="19"/>
        </w:rPr>
        <w:t>Governance,</w:t>
      </w:r>
      <w:r>
        <w:rPr>
          <w:spacing w:val="-3"/>
          <w:sz w:val="19"/>
        </w:rPr>
        <w:t xml:space="preserve"> </w:t>
      </w:r>
    </w:p>
    <w:p w14:paraId="62DD70FA" w14:textId="69C6A6F3" w:rsidR="009D54AF" w:rsidRDefault="00000000">
      <w:pPr>
        <w:spacing w:before="92" w:line="340" w:lineRule="auto"/>
        <w:ind w:left="142" w:right="3776"/>
        <w:rPr>
          <w:sz w:val="19"/>
        </w:rPr>
      </w:pPr>
      <w:r>
        <w:rPr>
          <w:sz w:val="19"/>
        </w:rPr>
        <w:lastRenderedPageBreak/>
        <w:t xml:space="preserve">National Pathology Accreditation Advisory Council, </w:t>
      </w:r>
    </w:p>
    <w:p w14:paraId="39CCAA3F" w14:textId="77777777" w:rsidR="00754A92" w:rsidRDefault="00000000">
      <w:pPr>
        <w:spacing w:before="2" w:line="340" w:lineRule="auto"/>
        <w:ind w:left="142" w:right="5920"/>
        <w:rPr>
          <w:sz w:val="19"/>
        </w:rPr>
      </w:pPr>
      <w:r>
        <w:rPr>
          <w:sz w:val="19"/>
        </w:rPr>
        <w:t>National</w:t>
      </w:r>
      <w:r>
        <w:rPr>
          <w:spacing w:val="-10"/>
          <w:sz w:val="19"/>
        </w:rPr>
        <w:t xml:space="preserve"> </w:t>
      </w:r>
      <w:r>
        <w:rPr>
          <w:sz w:val="19"/>
        </w:rPr>
        <w:t>Pathology</w:t>
      </w:r>
      <w:r>
        <w:rPr>
          <w:spacing w:val="-14"/>
          <w:sz w:val="19"/>
        </w:rPr>
        <w:t xml:space="preserve"> </w:t>
      </w:r>
      <w:r>
        <w:rPr>
          <w:sz w:val="19"/>
        </w:rPr>
        <w:t>Accreditation</w:t>
      </w:r>
      <w:r>
        <w:rPr>
          <w:spacing w:val="-6"/>
          <w:sz w:val="19"/>
        </w:rPr>
        <w:t xml:space="preserve"> </w:t>
      </w:r>
      <w:r>
        <w:rPr>
          <w:sz w:val="19"/>
        </w:rPr>
        <w:t>Scheme,</w:t>
      </w:r>
      <w:r>
        <w:rPr>
          <w:spacing w:val="-7"/>
          <w:sz w:val="19"/>
        </w:rPr>
        <w:t xml:space="preserve">  </w:t>
      </w:r>
      <w:r>
        <w:rPr>
          <w:sz w:val="19"/>
        </w:rPr>
        <w:t xml:space="preserve"> </w:t>
      </w:r>
    </w:p>
    <w:p w14:paraId="0F29B302" w14:textId="77777777" w:rsidR="00754A92" w:rsidRDefault="00754A92">
      <w:pPr>
        <w:rPr>
          <w:sz w:val="19"/>
        </w:rPr>
      </w:pPr>
      <w:r>
        <w:rPr>
          <w:sz w:val="19"/>
        </w:rPr>
        <w:br w:type="page"/>
      </w:r>
    </w:p>
    <w:p w14:paraId="64441FD4" w14:textId="0DF52DA8" w:rsidR="009D54AF" w:rsidRDefault="00000000" w:rsidP="00754A92">
      <w:pPr>
        <w:spacing w:before="2" w:line="278" w:lineRule="auto"/>
        <w:ind w:left="142" w:right="5919"/>
        <w:rPr>
          <w:sz w:val="19"/>
        </w:rPr>
      </w:pPr>
      <w:r>
        <w:rPr>
          <w:sz w:val="19"/>
        </w:rPr>
        <w:lastRenderedPageBreak/>
        <w:t xml:space="preserve">National Pathology Standards, </w:t>
      </w:r>
    </w:p>
    <w:p w14:paraId="4138E915" w14:textId="434FD89F" w:rsidR="009D54AF" w:rsidRDefault="00000000">
      <w:pPr>
        <w:spacing w:before="70" w:line="340" w:lineRule="auto"/>
        <w:ind w:left="142" w:right="4771"/>
        <w:rPr>
          <w:sz w:val="19"/>
        </w:rPr>
      </w:pPr>
      <w:r>
        <w:rPr>
          <w:sz w:val="19"/>
        </w:rPr>
        <w:t>National</w:t>
      </w:r>
      <w:r>
        <w:rPr>
          <w:spacing w:val="-6"/>
          <w:sz w:val="19"/>
        </w:rPr>
        <w:t xml:space="preserve"> </w:t>
      </w:r>
      <w:r>
        <w:rPr>
          <w:sz w:val="19"/>
        </w:rPr>
        <w:t>Prescribing</w:t>
      </w:r>
      <w:r>
        <w:rPr>
          <w:spacing w:val="-6"/>
          <w:sz w:val="19"/>
        </w:rPr>
        <w:t xml:space="preserve"> </w:t>
      </w:r>
      <w:r>
        <w:rPr>
          <w:sz w:val="19"/>
        </w:rPr>
        <w:t>Service</w:t>
      </w:r>
      <w:r>
        <w:rPr>
          <w:spacing w:val="-6"/>
          <w:sz w:val="19"/>
        </w:rPr>
        <w:t xml:space="preserve"> </w:t>
      </w:r>
      <w:r>
        <w:rPr>
          <w:sz w:val="19"/>
        </w:rPr>
        <w:t>(NPS)</w:t>
      </w:r>
      <w:r>
        <w:rPr>
          <w:spacing w:val="-6"/>
          <w:sz w:val="19"/>
        </w:rPr>
        <w:t xml:space="preserve"> </w:t>
      </w:r>
      <w:r>
        <w:rPr>
          <w:sz w:val="19"/>
        </w:rPr>
        <w:t>MedicineWise</w:t>
      </w:r>
      <w:r>
        <w:rPr>
          <w:spacing w:val="-6"/>
          <w:sz w:val="19"/>
        </w:rPr>
        <w:t xml:space="preserve"> </w:t>
      </w:r>
      <w:r>
        <w:rPr>
          <w:sz w:val="19"/>
        </w:rPr>
        <w:t>website,</w:t>
      </w:r>
      <w:r>
        <w:rPr>
          <w:spacing w:val="-6"/>
          <w:sz w:val="19"/>
        </w:rPr>
        <w:t xml:space="preserve"> </w:t>
      </w:r>
      <w:r>
        <w:rPr>
          <w:sz w:val="19"/>
        </w:rPr>
        <w:t xml:space="preserve"> National Reconciliation Week 2026, </w:t>
      </w:r>
    </w:p>
    <w:p w14:paraId="3F529B41" w14:textId="5D2DB80A" w:rsidR="009D54AF" w:rsidRDefault="00000000">
      <w:pPr>
        <w:spacing w:before="1"/>
        <w:ind w:left="142"/>
        <w:rPr>
          <w:sz w:val="19"/>
        </w:rPr>
      </w:pPr>
      <w:r>
        <w:rPr>
          <w:sz w:val="19"/>
        </w:rPr>
        <w:t>National</w:t>
      </w:r>
      <w:r>
        <w:rPr>
          <w:spacing w:val="-2"/>
          <w:sz w:val="19"/>
        </w:rPr>
        <w:t xml:space="preserve"> </w:t>
      </w:r>
      <w:r>
        <w:rPr>
          <w:sz w:val="19"/>
        </w:rPr>
        <w:t>Safety</w:t>
      </w:r>
      <w:r>
        <w:rPr>
          <w:spacing w:val="-1"/>
          <w:sz w:val="19"/>
        </w:rPr>
        <w:t xml:space="preserve"> </w:t>
      </w:r>
      <w:r>
        <w:rPr>
          <w:sz w:val="19"/>
        </w:rPr>
        <w:t>and</w:t>
      </w:r>
      <w:r>
        <w:rPr>
          <w:spacing w:val="-1"/>
          <w:sz w:val="19"/>
        </w:rPr>
        <w:t xml:space="preserve"> </w:t>
      </w:r>
      <w:r>
        <w:rPr>
          <w:sz w:val="19"/>
        </w:rPr>
        <w:t>Quality</w:t>
      </w:r>
      <w:r>
        <w:rPr>
          <w:spacing w:val="-2"/>
          <w:sz w:val="19"/>
        </w:rPr>
        <w:t xml:space="preserve"> </w:t>
      </w:r>
      <w:r>
        <w:rPr>
          <w:sz w:val="19"/>
        </w:rPr>
        <w:t>Cosmetic</w:t>
      </w:r>
      <w:r>
        <w:rPr>
          <w:spacing w:val="-1"/>
          <w:sz w:val="19"/>
        </w:rPr>
        <w:t xml:space="preserve"> </w:t>
      </w:r>
      <w:r>
        <w:rPr>
          <w:sz w:val="19"/>
        </w:rPr>
        <w:t>Surgery</w:t>
      </w:r>
      <w:r>
        <w:rPr>
          <w:spacing w:val="-1"/>
          <w:sz w:val="19"/>
        </w:rPr>
        <w:t xml:space="preserve"> </w:t>
      </w:r>
      <w:r>
        <w:rPr>
          <w:sz w:val="19"/>
        </w:rPr>
        <w:t>Standards,</w:t>
      </w:r>
      <w:r>
        <w:rPr>
          <w:spacing w:val="-1"/>
          <w:sz w:val="19"/>
        </w:rPr>
        <w:t xml:space="preserve"> </w:t>
      </w:r>
    </w:p>
    <w:p w14:paraId="5F1AD12C" w14:textId="6E523AC1" w:rsidR="009D54AF" w:rsidRDefault="00000000">
      <w:pPr>
        <w:spacing w:before="93"/>
        <w:ind w:left="142"/>
        <w:rPr>
          <w:sz w:val="19"/>
        </w:rPr>
      </w:pPr>
      <w:r>
        <w:rPr>
          <w:sz w:val="19"/>
        </w:rPr>
        <w:t>National</w:t>
      </w:r>
      <w:r>
        <w:rPr>
          <w:spacing w:val="-3"/>
          <w:sz w:val="19"/>
        </w:rPr>
        <w:t xml:space="preserve"> </w:t>
      </w:r>
      <w:r>
        <w:rPr>
          <w:sz w:val="19"/>
        </w:rPr>
        <w:t>Safety</w:t>
      </w:r>
      <w:r>
        <w:rPr>
          <w:spacing w:val="-2"/>
          <w:sz w:val="19"/>
        </w:rPr>
        <w:t xml:space="preserve"> </w:t>
      </w:r>
      <w:r>
        <w:rPr>
          <w:sz w:val="19"/>
        </w:rPr>
        <w:t>and</w:t>
      </w:r>
      <w:r>
        <w:rPr>
          <w:spacing w:val="-3"/>
          <w:sz w:val="19"/>
        </w:rPr>
        <w:t xml:space="preserve"> </w:t>
      </w:r>
      <w:r>
        <w:rPr>
          <w:sz w:val="19"/>
        </w:rPr>
        <w:t>Quality</w:t>
      </w:r>
      <w:r>
        <w:rPr>
          <w:spacing w:val="-2"/>
          <w:sz w:val="19"/>
        </w:rPr>
        <w:t xml:space="preserve"> </w:t>
      </w:r>
      <w:r>
        <w:rPr>
          <w:sz w:val="19"/>
        </w:rPr>
        <w:t>Digital</w:t>
      </w:r>
      <w:r>
        <w:rPr>
          <w:spacing w:val="-3"/>
          <w:sz w:val="19"/>
        </w:rPr>
        <w:t xml:space="preserve"> </w:t>
      </w:r>
      <w:r>
        <w:rPr>
          <w:sz w:val="19"/>
        </w:rPr>
        <w:t>Mental</w:t>
      </w:r>
      <w:r>
        <w:rPr>
          <w:spacing w:val="-2"/>
          <w:sz w:val="19"/>
        </w:rPr>
        <w:t xml:space="preserve"> </w:t>
      </w:r>
      <w:r>
        <w:rPr>
          <w:sz w:val="19"/>
        </w:rPr>
        <w:t>Health</w:t>
      </w:r>
      <w:r>
        <w:rPr>
          <w:spacing w:val="-3"/>
          <w:sz w:val="19"/>
        </w:rPr>
        <w:t xml:space="preserve"> </w:t>
      </w:r>
      <w:r>
        <w:rPr>
          <w:sz w:val="19"/>
        </w:rPr>
        <w:t>(NSQDMH)</w:t>
      </w:r>
      <w:r>
        <w:rPr>
          <w:spacing w:val="-2"/>
          <w:sz w:val="19"/>
        </w:rPr>
        <w:t xml:space="preserve"> </w:t>
      </w:r>
      <w:r>
        <w:rPr>
          <w:sz w:val="19"/>
        </w:rPr>
        <w:t>Standards,</w:t>
      </w:r>
      <w:r>
        <w:rPr>
          <w:spacing w:val="-3"/>
          <w:sz w:val="19"/>
        </w:rPr>
        <w:t xml:space="preserve"> </w:t>
      </w:r>
    </w:p>
    <w:p w14:paraId="22D7668B" w14:textId="3594F4FF" w:rsidR="009D54AF" w:rsidRDefault="00000000" w:rsidP="00287110">
      <w:pPr>
        <w:spacing w:beforeLines="29" w:before="69" w:line="278" w:lineRule="auto"/>
        <w:ind w:left="142"/>
        <w:rPr>
          <w:sz w:val="19"/>
        </w:rPr>
      </w:pPr>
      <w:r>
        <w:rPr>
          <w:sz w:val="19"/>
        </w:rPr>
        <w:t>National</w:t>
      </w:r>
      <w:r>
        <w:rPr>
          <w:spacing w:val="-5"/>
          <w:sz w:val="19"/>
        </w:rPr>
        <w:t xml:space="preserve"> </w:t>
      </w:r>
      <w:r>
        <w:rPr>
          <w:sz w:val="19"/>
        </w:rPr>
        <w:t>Safety</w:t>
      </w:r>
      <w:r>
        <w:rPr>
          <w:spacing w:val="-5"/>
          <w:sz w:val="19"/>
        </w:rPr>
        <w:t xml:space="preserve"> </w:t>
      </w:r>
      <w:r>
        <w:rPr>
          <w:sz w:val="19"/>
        </w:rPr>
        <w:t>and</w:t>
      </w:r>
      <w:r>
        <w:rPr>
          <w:spacing w:val="-5"/>
          <w:sz w:val="19"/>
        </w:rPr>
        <w:t xml:space="preserve"> </w:t>
      </w:r>
      <w:r>
        <w:rPr>
          <w:sz w:val="19"/>
        </w:rPr>
        <w:t>Quality</w:t>
      </w:r>
      <w:r>
        <w:rPr>
          <w:spacing w:val="-5"/>
          <w:sz w:val="19"/>
        </w:rPr>
        <w:t xml:space="preserve"> </w:t>
      </w:r>
      <w:r>
        <w:rPr>
          <w:sz w:val="19"/>
        </w:rPr>
        <w:t>Health</w:t>
      </w:r>
      <w:r>
        <w:rPr>
          <w:spacing w:val="-4"/>
          <w:sz w:val="19"/>
        </w:rPr>
        <w:t xml:space="preserve"> </w:t>
      </w:r>
      <w:r>
        <w:rPr>
          <w:sz w:val="19"/>
        </w:rPr>
        <w:t>Service</w:t>
      </w:r>
      <w:r>
        <w:rPr>
          <w:spacing w:val="-5"/>
          <w:sz w:val="19"/>
        </w:rPr>
        <w:t xml:space="preserve"> </w:t>
      </w:r>
      <w:r>
        <w:rPr>
          <w:sz w:val="19"/>
        </w:rPr>
        <w:t>(NSQHS)</w:t>
      </w:r>
      <w:r>
        <w:rPr>
          <w:spacing w:val="-9"/>
          <w:sz w:val="19"/>
        </w:rPr>
        <w:t xml:space="preserve"> </w:t>
      </w:r>
      <w:r>
        <w:rPr>
          <w:sz w:val="19"/>
        </w:rPr>
        <w:t>Standards,</w:t>
      </w:r>
      <w:r>
        <w:rPr>
          <w:spacing w:val="-8"/>
          <w:sz w:val="19"/>
        </w:rPr>
        <w:t xml:space="preserve"> </w:t>
      </w:r>
    </w:p>
    <w:p w14:paraId="3C85A901" w14:textId="2EC04ECD" w:rsidR="009D54AF" w:rsidRDefault="00000000" w:rsidP="00287110">
      <w:pPr>
        <w:spacing w:beforeLines="29" w:before="69" w:line="278" w:lineRule="auto"/>
        <w:ind w:left="425"/>
        <w:rPr>
          <w:sz w:val="19"/>
        </w:rPr>
      </w:pPr>
      <w:r>
        <w:rPr>
          <w:sz w:val="19"/>
        </w:rPr>
        <w:t>assessment</w:t>
      </w:r>
      <w:r>
        <w:rPr>
          <w:spacing w:val="-1"/>
          <w:sz w:val="19"/>
        </w:rPr>
        <w:t xml:space="preserve"> </w:t>
      </w:r>
      <w:r>
        <w:rPr>
          <w:sz w:val="19"/>
        </w:rPr>
        <w:t>to,</w:t>
      </w:r>
      <w:r>
        <w:rPr>
          <w:spacing w:val="-1"/>
          <w:sz w:val="19"/>
        </w:rPr>
        <w:t xml:space="preserve"> </w:t>
      </w:r>
    </w:p>
    <w:p w14:paraId="516E5F45" w14:textId="6DB4B5B9" w:rsidR="00754A92" w:rsidRDefault="00000000" w:rsidP="00287110">
      <w:pPr>
        <w:spacing w:beforeLines="29" w:before="69" w:line="278" w:lineRule="auto"/>
        <w:ind w:left="425" w:right="6078"/>
        <w:rPr>
          <w:sz w:val="19"/>
        </w:rPr>
      </w:pPr>
      <w:r>
        <w:rPr>
          <w:sz w:val="19"/>
        </w:rPr>
        <w:t>assessors</w:t>
      </w:r>
      <w:r>
        <w:rPr>
          <w:spacing w:val="-5"/>
          <w:sz w:val="19"/>
        </w:rPr>
        <w:t xml:space="preserve"> </w:t>
      </w:r>
      <w:r>
        <w:rPr>
          <w:sz w:val="19"/>
        </w:rPr>
        <w:t>and</w:t>
      </w:r>
      <w:r>
        <w:rPr>
          <w:spacing w:val="-5"/>
          <w:sz w:val="19"/>
        </w:rPr>
        <w:t xml:space="preserve"> </w:t>
      </w:r>
      <w:r>
        <w:rPr>
          <w:sz w:val="19"/>
        </w:rPr>
        <w:t>assessor</w:t>
      </w:r>
      <w:r>
        <w:rPr>
          <w:spacing w:val="-5"/>
          <w:sz w:val="19"/>
        </w:rPr>
        <w:t xml:space="preserve"> </w:t>
      </w:r>
      <w:r>
        <w:rPr>
          <w:sz w:val="19"/>
        </w:rPr>
        <w:t>training,</w:t>
      </w:r>
      <w:r>
        <w:rPr>
          <w:spacing w:val="-5"/>
          <w:sz w:val="19"/>
        </w:rPr>
        <w:t xml:space="preserve"> </w:t>
      </w:r>
    </w:p>
    <w:p w14:paraId="2C8BA1A7" w14:textId="77777777" w:rsidR="00754A92" w:rsidRDefault="00000000" w:rsidP="00287110">
      <w:pPr>
        <w:spacing w:beforeLines="29" w:before="69" w:line="278" w:lineRule="auto"/>
        <w:ind w:left="425" w:right="6078"/>
        <w:rPr>
          <w:sz w:val="19"/>
        </w:rPr>
      </w:pPr>
      <w:r>
        <w:rPr>
          <w:sz w:val="19"/>
        </w:rPr>
        <w:t xml:space="preserve">clinical governance standard,  </w:t>
      </w:r>
    </w:p>
    <w:p w14:paraId="6EB16247" w14:textId="00082E7D" w:rsidR="009D54AF" w:rsidRDefault="00000000" w:rsidP="00287110">
      <w:pPr>
        <w:spacing w:beforeLines="29" w:before="69" w:line="278" w:lineRule="auto"/>
        <w:ind w:left="425" w:right="6078"/>
        <w:rPr>
          <w:sz w:val="19"/>
        </w:rPr>
      </w:pPr>
      <w:r>
        <w:rPr>
          <w:sz w:val="19"/>
        </w:rPr>
        <w:t xml:space="preserve">comprehensive care, </w:t>
      </w:r>
    </w:p>
    <w:p w14:paraId="2614329C" w14:textId="02AEDCDF" w:rsidR="009D54AF" w:rsidRDefault="00000000" w:rsidP="00287110">
      <w:pPr>
        <w:spacing w:before="29"/>
        <w:ind w:left="425"/>
        <w:rPr>
          <w:sz w:val="19"/>
        </w:rPr>
      </w:pPr>
      <w:r>
        <w:rPr>
          <w:sz w:val="19"/>
        </w:rPr>
        <w:t>cosmetic</w:t>
      </w:r>
      <w:r>
        <w:rPr>
          <w:spacing w:val="-9"/>
          <w:sz w:val="19"/>
        </w:rPr>
        <w:t xml:space="preserve"> </w:t>
      </w:r>
      <w:r>
        <w:rPr>
          <w:sz w:val="19"/>
        </w:rPr>
        <w:t>surgery,</w:t>
      </w:r>
      <w:r>
        <w:rPr>
          <w:spacing w:val="-7"/>
          <w:sz w:val="19"/>
        </w:rPr>
        <w:t xml:space="preserve"> </w:t>
      </w:r>
    </w:p>
    <w:p w14:paraId="6FE6450A" w14:textId="0333DDB0" w:rsidR="009D54AF" w:rsidRDefault="00000000">
      <w:pPr>
        <w:spacing w:before="92" w:line="340" w:lineRule="auto"/>
        <w:ind w:left="425" w:right="5464"/>
        <w:rPr>
          <w:sz w:val="19"/>
        </w:rPr>
      </w:pPr>
      <w:r>
        <w:rPr>
          <w:sz w:val="19"/>
        </w:rPr>
        <w:t>guidance</w:t>
      </w:r>
      <w:r>
        <w:rPr>
          <w:spacing w:val="-5"/>
          <w:sz w:val="19"/>
        </w:rPr>
        <w:t xml:space="preserve"> </w:t>
      </w:r>
      <w:r>
        <w:rPr>
          <w:sz w:val="19"/>
        </w:rPr>
        <w:t>on</w:t>
      </w:r>
      <w:r>
        <w:rPr>
          <w:spacing w:val="-5"/>
          <w:sz w:val="19"/>
        </w:rPr>
        <w:t xml:space="preserve"> </w:t>
      </w:r>
      <w:r>
        <w:rPr>
          <w:sz w:val="19"/>
        </w:rPr>
        <w:t>implementation,</w:t>
      </w:r>
      <w:r>
        <w:rPr>
          <w:spacing w:val="-6"/>
          <w:sz w:val="19"/>
        </w:rPr>
        <w:t xml:space="preserve"> </w:t>
      </w:r>
      <w:r>
        <w:rPr>
          <w:i/>
          <w:sz w:val="19"/>
        </w:rPr>
        <w:t>see</w:t>
      </w:r>
      <w:r>
        <w:rPr>
          <w:i/>
          <w:spacing w:val="-5"/>
          <w:sz w:val="19"/>
        </w:rPr>
        <w:t xml:space="preserve"> </w:t>
      </w:r>
      <w:r>
        <w:rPr>
          <w:i/>
          <w:sz w:val="19"/>
        </w:rPr>
        <w:t>also</w:t>
      </w:r>
      <w:r>
        <w:rPr>
          <w:i/>
          <w:spacing w:val="-5"/>
          <w:sz w:val="19"/>
        </w:rPr>
        <w:t xml:space="preserve"> </w:t>
      </w:r>
      <w:r>
        <w:rPr>
          <w:sz w:val="19"/>
        </w:rPr>
        <w:t>fact</w:t>
      </w:r>
      <w:r>
        <w:rPr>
          <w:spacing w:val="-5"/>
          <w:sz w:val="19"/>
        </w:rPr>
        <w:t xml:space="preserve"> </w:t>
      </w:r>
      <w:r>
        <w:rPr>
          <w:sz w:val="19"/>
        </w:rPr>
        <w:t xml:space="preserve">sheets implementation (performance report), </w:t>
      </w:r>
    </w:p>
    <w:p w14:paraId="13953301" w14:textId="77777777" w:rsidR="00287110" w:rsidRDefault="00000000">
      <w:pPr>
        <w:spacing w:before="1" w:line="340" w:lineRule="auto"/>
        <w:ind w:left="425" w:right="5049"/>
        <w:rPr>
          <w:sz w:val="19"/>
        </w:rPr>
      </w:pPr>
      <w:r>
        <w:rPr>
          <w:sz w:val="19"/>
        </w:rPr>
        <w:t>medical</w:t>
      </w:r>
      <w:r>
        <w:rPr>
          <w:spacing w:val="-7"/>
          <w:sz w:val="19"/>
        </w:rPr>
        <w:t xml:space="preserve"> </w:t>
      </w:r>
      <w:r>
        <w:rPr>
          <w:sz w:val="19"/>
        </w:rPr>
        <w:t>device</w:t>
      </w:r>
      <w:r>
        <w:rPr>
          <w:spacing w:val="-7"/>
          <w:sz w:val="19"/>
        </w:rPr>
        <w:t xml:space="preserve"> </w:t>
      </w:r>
      <w:r>
        <w:rPr>
          <w:sz w:val="19"/>
        </w:rPr>
        <w:t>adverse</w:t>
      </w:r>
      <w:r>
        <w:rPr>
          <w:spacing w:val="-7"/>
          <w:sz w:val="19"/>
        </w:rPr>
        <w:t xml:space="preserve"> </w:t>
      </w:r>
      <w:r>
        <w:rPr>
          <w:sz w:val="19"/>
        </w:rPr>
        <w:t>event</w:t>
      </w:r>
      <w:r>
        <w:rPr>
          <w:spacing w:val="-7"/>
          <w:sz w:val="19"/>
        </w:rPr>
        <w:t xml:space="preserve"> </w:t>
      </w:r>
      <w:r>
        <w:rPr>
          <w:sz w:val="19"/>
        </w:rPr>
        <w:t>reporting</w:t>
      </w:r>
      <w:r>
        <w:rPr>
          <w:spacing w:val="-7"/>
          <w:sz w:val="19"/>
        </w:rPr>
        <w:t xml:space="preserve"> </w:t>
      </w:r>
      <w:r>
        <w:rPr>
          <w:sz w:val="19"/>
        </w:rPr>
        <w:t>advisory,</w:t>
      </w:r>
      <w:r>
        <w:rPr>
          <w:spacing w:val="-7"/>
          <w:sz w:val="19"/>
        </w:rPr>
        <w:t xml:space="preserve">  </w:t>
      </w:r>
      <w:r>
        <w:rPr>
          <w:sz w:val="19"/>
        </w:rPr>
        <w:t xml:space="preserve"> </w:t>
      </w:r>
    </w:p>
    <w:p w14:paraId="6FF37D93" w14:textId="474E2B24" w:rsidR="009D54AF" w:rsidRDefault="00000000">
      <w:pPr>
        <w:spacing w:before="1" w:line="340" w:lineRule="auto"/>
        <w:ind w:left="425" w:right="5049"/>
        <w:rPr>
          <w:sz w:val="19"/>
        </w:rPr>
      </w:pPr>
      <w:r>
        <w:rPr>
          <w:sz w:val="19"/>
        </w:rPr>
        <w:t xml:space="preserve">mental health standards, </w:t>
      </w:r>
    </w:p>
    <w:p w14:paraId="6B2574CC" w14:textId="22B7ADB8" w:rsidR="009D54AF" w:rsidRDefault="00000000">
      <w:pPr>
        <w:spacing w:before="2" w:line="340" w:lineRule="auto"/>
        <w:ind w:left="425" w:right="6600"/>
        <w:rPr>
          <w:sz w:val="19"/>
        </w:rPr>
      </w:pPr>
      <w:r>
        <w:rPr>
          <w:sz w:val="19"/>
        </w:rPr>
        <w:t>primary</w:t>
      </w:r>
      <w:r>
        <w:rPr>
          <w:spacing w:val="-8"/>
          <w:sz w:val="19"/>
        </w:rPr>
        <w:t xml:space="preserve"> </w:t>
      </w:r>
      <w:r>
        <w:rPr>
          <w:sz w:val="19"/>
        </w:rPr>
        <w:t>and</w:t>
      </w:r>
      <w:r>
        <w:rPr>
          <w:spacing w:val="-8"/>
          <w:sz w:val="19"/>
        </w:rPr>
        <w:t xml:space="preserve"> </w:t>
      </w:r>
      <w:r>
        <w:rPr>
          <w:sz w:val="19"/>
        </w:rPr>
        <w:t>community</w:t>
      </w:r>
      <w:r>
        <w:rPr>
          <w:spacing w:val="-8"/>
          <w:sz w:val="19"/>
        </w:rPr>
        <w:t xml:space="preserve"> </w:t>
      </w:r>
      <w:r>
        <w:rPr>
          <w:sz w:val="19"/>
        </w:rPr>
        <w:t>healthcare,</w:t>
      </w:r>
      <w:r>
        <w:rPr>
          <w:spacing w:val="-8"/>
          <w:sz w:val="19"/>
        </w:rPr>
        <w:t xml:space="preserve"> </w:t>
      </w:r>
      <w:r>
        <w:rPr>
          <w:sz w:val="19"/>
        </w:rPr>
        <w:t xml:space="preserve"> public consultation, </w:t>
      </w:r>
    </w:p>
    <w:p w14:paraId="16FEB4D1" w14:textId="682D237C" w:rsidR="009D54AF" w:rsidRDefault="00000000">
      <w:pPr>
        <w:spacing w:before="1"/>
        <w:ind w:left="425"/>
        <w:rPr>
          <w:sz w:val="19"/>
        </w:rPr>
      </w:pPr>
      <w:r>
        <w:rPr>
          <w:sz w:val="19"/>
        </w:rPr>
        <w:t>short</w:t>
      </w:r>
      <w:r>
        <w:rPr>
          <w:spacing w:val="-2"/>
          <w:sz w:val="19"/>
        </w:rPr>
        <w:t xml:space="preserve"> </w:t>
      </w:r>
      <w:r>
        <w:rPr>
          <w:sz w:val="19"/>
        </w:rPr>
        <w:t>notice</w:t>
      </w:r>
      <w:r>
        <w:rPr>
          <w:spacing w:val="-2"/>
          <w:sz w:val="19"/>
        </w:rPr>
        <w:t xml:space="preserve"> </w:t>
      </w:r>
      <w:r>
        <w:rPr>
          <w:sz w:val="19"/>
        </w:rPr>
        <w:t>assessments,</w:t>
      </w:r>
      <w:r>
        <w:rPr>
          <w:spacing w:val="-1"/>
          <w:sz w:val="19"/>
        </w:rPr>
        <w:t xml:space="preserve"> </w:t>
      </w:r>
    </w:p>
    <w:p w14:paraId="446B6F65" w14:textId="692CC674" w:rsidR="009D54AF" w:rsidRDefault="00000000">
      <w:pPr>
        <w:spacing w:before="92"/>
        <w:ind w:left="425"/>
        <w:rPr>
          <w:sz w:val="19"/>
        </w:rPr>
      </w:pPr>
      <w:r>
        <w:rPr>
          <w:sz w:val="19"/>
        </w:rPr>
        <w:t>third</w:t>
      </w:r>
      <w:r>
        <w:rPr>
          <w:spacing w:val="-1"/>
          <w:sz w:val="19"/>
        </w:rPr>
        <w:t xml:space="preserve"> </w:t>
      </w:r>
      <w:r>
        <w:rPr>
          <w:sz w:val="19"/>
        </w:rPr>
        <w:t>edition, development of,</w:t>
      </w:r>
    </w:p>
    <w:p w14:paraId="689D5BBE" w14:textId="77777777" w:rsidR="009D54AF" w:rsidRDefault="00000000">
      <w:pPr>
        <w:spacing w:before="93"/>
        <w:ind w:left="425"/>
        <w:rPr>
          <w:sz w:val="19"/>
        </w:rPr>
      </w:pPr>
      <w:r>
        <w:rPr>
          <w:i/>
          <w:sz w:val="19"/>
        </w:rPr>
        <w:t>see</w:t>
      </w:r>
      <w:r>
        <w:rPr>
          <w:i/>
          <w:spacing w:val="-6"/>
          <w:sz w:val="19"/>
        </w:rPr>
        <w:t xml:space="preserve"> </w:t>
      </w:r>
      <w:r>
        <w:rPr>
          <w:i/>
          <w:sz w:val="19"/>
        </w:rPr>
        <w:t>also</w:t>
      </w:r>
      <w:r>
        <w:rPr>
          <w:i/>
          <w:spacing w:val="-6"/>
          <w:sz w:val="19"/>
        </w:rPr>
        <w:t xml:space="preserve"> </w:t>
      </w:r>
      <w:r>
        <w:rPr>
          <w:sz w:val="19"/>
        </w:rPr>
        <w:t>accreditation</w:t>
      </w:r>
      <w:r>
        <w:rPr>
          <w:spacing w:val="-5"/>
          <w:sz w:val="19"/>
        </w:rPr>
        <w:t xml:space="preserve"> </w:t>
      </w:r>
      <w:r>
        <w:rPr>
          <w:spacing w:val="-2"/>
          <w:sz w:val="19"/>
        </w:rPr>
        <w:t>assessment</w:t>
      </w:r>
    </w:p>
    <w:p w14:paraId="7A914EB6" w14:textId="7D60D6E2" w:rsidR="00287110" w:rsidRDefault="00000000" w:rsidP="00287110">
      <w:pPr>
        <w:spacing w:before="92" w:line="278" w:lineRule="auto"/>
        <w:ind w:left="142" w:right="1372"/>
        <w:rPr>
          <w:sz w:val="19"/>
        </w:rPr>
      </w:pPr>
      <w:r>
        <w:rPr>
          <w:sz w:val="19"/>
        </w:rPr>
        <w:t>National</w:t>
      </w:r>
      <w:r>
        <w:rPr>
          <w:spacing w:val="-3"/>
          <w:sz w:val="19"/>
        </w:rPr>
        <w:t xml:space="preserve"> </w:t>
      </w:r>
      <w:r>
        <w:rPr>
          <w:sz w:val="19"/>
        </w:rPr>
        <w:t>Safety</w:t>
      </w:r>
      <w:r>
        <w:rPr>
          <w:spacing w:val="-3"/>
          <w:sz w:val="19"/>
        </w:rPr>
        <w:t xml:space="preserve"> </w:t>
      </w:r>
      <w:r>
        <w:rPr>
          <w:sz w:val="19"/>
        </w:rPr>
        <w:t>and</w:t>
      </w:r>
      <w:r>
        <w:rPr>
          <w:spacing w:val="-3"/>
          <w:sz w:val="19"/>
        </w:rPr>
        <w:t xml:space="preserve"> </w:t>
      </w:r>
      <w:r>
        <w:rPr>
          <w:sz w:val="19"/>
        </w:rPr>
        <w:t>Quality</w:t>
      </w:r>
      <w:r>
        <w:rPr>
          <w:spacing w:val="-3"/>
          <w:sz w:val="19"/>
        </w:rPr>
        <w:t xml:space="preserve"> </w:t>
      </w:r>
      <w:r>
        <w:rPr>
          <w:sz w:val="19"/>
        </w:rPr>
        <w:t>Mental</w:t>
      </w:r>
      <w:r>
        <w:rPr>
          <w:spacing w:val="-3"/>
          <w:sz w:val="19"/>
        </w:rPr>
        <w:t xml:space="preserve"> </w:t>
      </w:r>
      <w:r>
        <w:rPr>
          <w:sz w:val="19"/>
        </w:rPr>
        <w:t>Health</w:t>
      </w:r>
      <w:r>
        <w:rPr>
          <w:spacing w:val="-3"/>
          <w:sz w:val="19"/>
        </w:rPr>
        <w:t xml:space="preserve"> </w:t>
      </w:r>
      <w:r>
        <w:rPr>
          <w:sz w:val="19"/>
        </w:rPr>
        <w:t>Standards</w:t>
      </w:r>
      <w:r>
        <w:rPr>
          <w:spacing w:val="-3"/>
          <w:sz w:val="19"/>
        </w:rPr>
        <w:t xml:space="preserve"> </w:t>
      </w:r>
      <w:r>
        <w:rPr>
          <w:sz w:val="19"/>
        </w:rPr>
        <w:t>for</w:t>
      </w:r>
      <w:r>
        <w:rPr>
          <w:spacing w:val="-3"/>
          <w:sz w:val="19"/>
        </w:rPr>
        <w:t xml:space="preserve"> </w:t>
      </w:r>
      <w:r>
        <w:rPr>
          <w:sz w:val="19"/>
        </w:rPr>
        <w:t>Community</w:t>
      </w:r>
      <w:r>
        <w:rPr>
          <w:spacing w:val="-3"/>
          <w:sz w:val="19"/>
        </w:rPr>
        <w:t xml:space="preserve"> </w:t>
      </w:r>
      <w:r>
        <w:rPr>
          <w:sz w:val="19"/>
        </w:rPr>
        <w:t>Managed</w:t>
      </w:r>
      <w:r>
        <w:rPr>
          <w:spacing w:val="-3"/>
          <w:sz w:val="19"/>
        </w:rPr>
        <w:t xml:space="preserve"> </w:t>
      </w:r>
      <w:proofErr w:type="spellStart"/>
      <w:r>
        <w:rPr>
          <w:sz w:val="19"/>
        </w:rPr>
        <w:t>Organisations</w:t>
      </w:r>
      <w:proofErr w:type="spellEnd"/>
      <w:r>
        <w:rPr>
          <w:sz w:val="19"/>
        </w:rPr>
        <w:t>,</w:t>
      </w:r>
      <w:r>
        <w:rPr>
          <w:spacing w:val="-3"/>
          <w:sz w:val="19"/>
        </w:rPr>
        <w:t xml:space="preserve"> </w:t>
      </w:r>
    </w:p>
    <w:p w14:paraId="77D570FF" w14:textId="11A4C8DD" w:rsidR="009D54AF" w:rsidRDefault="00000000">
      <w:pPr>
        <w:spacing w:before="92" w:line="340" w:lineRule="auto"/>
        <w:ind w:left="142" w:right="1372"/>
        <w:rPr>
          <w:sz w:val="19"/>
        </w:rPr>
      </w:pPr>
      <w:r>
        <w:rPr>
          <w:sz w:val="19"/>
        </w:rPr>
        <w:t xml:space="preserve">National Safety and Quality Primary and Community Healthcare Standards, </w:t>
      </w:r>
    </w:p>
    <w:p w14:paraId="525CD2D5" w14:textId="0AE3CC76" w:rsidR="009D54AF" w:rsidRDefault="00000000">
      <w:pPr>
        <w:spacing w:before="1" w:line="340" w:lineRule="auto"/>
        <w:ind w:left="142" w:right="5464"/>
        <w:rPr>
          <w:sz w:val="19"/>
        </w:rPr>
      </w:pPr>
      <w:r>
        <w:rPr>
          <w:sz w:val="19"/>
        </w:rPr>
        <w:t>National</w:t>
      </w:r>
      <w:r>
        <w:rPr>
          <w:spacing w:val="-7"/>
          <w:sz w:val="19"/>
        </w:rPr>
        <w:t xml:space="preserve"> </w:t>
      </w:r>
      <w:r>
        <w:rPr>
          <w:sz w:val="19"/>
        </w:rPr>
        <w:t>Sepsis</w:t>
      </w:r>
      <w:r>
        <w:rPr>
          <w:spacing w:val="-7"/>
          <w:sz w:val="19"/>
        </w:rPr>
        <w:t xml:space="preserve"> </w:t>
      </w:r>
      <w:r>
        <w:rPr>
          <w:sz w:val="19"/>
        </w:rPr>
        <w:t>Program</w:t>
      </w:r>
      <w:r>
        <w:rPr>
          <w:spacing w:val="-7"/>
          <w:sz w:val="19"/>
        </w:rPr>
        <w:t xml:space="preserve"> </w:t>
      </w:r>
      <w:r>
        <w:rPr>
          <w:sz w:val="19"/>
        </w:rPr>
        <w:t>Extension</w:t>
      </w:r>
      <w:r>
        <w:rPr>
          <w:spacing w:val="-7"/>
          <w:sz w:val="19"/>
        </w:rPr>
        <w:t xml:space="preserve"> </w:t>
      </w:r>
      <w:r>
        <w:rPr>
          <w:i/>
          <w:sz w:val="19"/>
        </w:rPr>
        <w:t>see</w:t>
      </w:r>
      <w:r>
        <w:rPr>
          <w:i/>
          <w:spacing w:val="-7"/>
          <w:sz w:val="19"/>
        </w:rPr>
        <w:t xml:space="preserve"> </w:t>
      </w:r>
      <w:r>
        <w:rPr>
          <w:sz w:val="19"/>
        </w:rPr>
        <w:t xml:space="preserve">sepsis Neurodiversity Network, </w:t>
      </w:r>
    </w:p>
    <w:p w14:paraId="4E111A4F" w14:textId="5004DAF0" w:rsidR="009D54AF" w:rsidRDefault="00000000">
      <w:pPr>
        <w:spacing w:before="2"/>
        <w:ind w:left="142"/>
        <w:rPr>
          <w:sz w:val="19"/>
        </w:rPr>
      </w:pPr>
      <w:r>
        <w:rPr>
          <w:sz w:val="19"/>
        </w:rPr>
        <w:t xml:space="preserve">Nguyen, Dr Hung, </w:t>
      </w:r>
    </w:p>
    <w:p w14:paraId="012B15E1" w14:textId="0FB34A56" w:rsidR="009D54AF" w:rsidRDefault="00000000">
      <w:pPr>
        <w:spacing w:before="92"/>
        <w:ind w:left="142"/>
        <w:rPr>
          <w:sz w:val="19"/>
        </w:rPr>
      </w:pPr>
      <w:r>
        <w:rPr>
          <w:sz w:val="19"/>
        </w:rPr>
        <w:t>notifiable</w:t>
      </w:r>
      <w:r>
        <w:rPr>
          <w:spacing w:val="-5"/>
          <w:sz w:val="19"/>
        </w:rPr>
        <w:t xml:space="preserve"> </w:t>
      </w:r>
      <w:r>
        <w:rPr>
          <w:sz w:val="19"/>
        </w:rPr>
        <w:t>incidents,</w:t>
      </w:r>
      <w:r>
        <w:rPr>
          <w:spacing w:val="-4"/>
          <w:sz w:val="19"/>
        </w:rPr>
        <w:t xml:space="preserve"> </w:t>
      </w:r>
    </w:p>
    <w:p w14:paraId="6CF30FA9" w14:textId="77777777" w:rsidR="009D54AF" w:rsidRDefault="009D54AF">
      <w:pPr>
        <w:pStyle w:val="BodyText"/>
        <w:spacing w:before="61"/>
        <w:rPr>
          <w:sz w:val="19"/>
        </w:rPr>
      </w:pPr>
    </w:p>
    <w:p w14:paraId="43ACA5B4" w14:textId="77777777" w:rsidR="009D54AF" w:rsidRDefault="00000000">
      <w:pPr>
        <w:pStyle w:val="Heading4"/>
      </w:pPr>
      <w:r>
        <w:rPr>
          <w:spacing w:val="-10"/>
        </w:rPr>
        <w:t>O</w:t>
      </w:r>
    </w:p>
    <w:p w14:paraId="515DD191" w14:textId="0902ABD2" w:rsidR="009D54AF" w:rsidRDefault="00000000">
      <w:pPr>
        <w:spacing w:before="111"/>
        <w:ind w:left="142"/>
        <w:rPr>
          <w:sz w:val="19"/>
        </w:rPr>
      </w:pPr>
      <w:r>
        <w:rPr>
          <w:sz w:val="19"/>
        </w:rPr>
        <w:t>open</w:t>
      </w:r>
      <w:r>
        <w:rPr>
          <w:spacing w:val="-3"/>
          <w:sz w:val="19"/>
        </w:rPr>
        <w:t xml:space="preserve"> </w:t>
      </w:r>
      <w:r>
        <w:rPr>
          <w:sz w:val="19"/>
        </w:rPr>
        <w:t>disclosure,</w:t>
      </w:r>
      <w:r>
        <w:rPr>
          <w:spacing w:val="-1"/>
          <w:sz w:val="19"/>
        </w:rPr>
        <w:t xml:space="preserve"> </w:t>
      </w:r>
    </w:p>
    <w:p w14:paraId="173D8617" w14:textId="05629A29" w:rsidR="009D54AF" w:rsidRDefault="00000000">
      <w:pPr>
        <w:spacing w:before="93"/>
        <w:ind w:left="142"/>
        <w:rPr>
          <w:sz w:val="19"/>
        </w:rPr>
      </w:pPr>
      <w:r>
        <w:rPr>
          <w:sz w:val="19"/>
        </w:rPr>
        <w:t>opioid</w:t>
      </w:r>
      <w:r>
        <w:rPr>
          <w:spacing w:val="-3"/>
          <w:sz w:val="19"/>
        </w:rPr>
        <w:t xml:space="preserve"> </w:t>
      </w:r>
      <w:r>
        <w:rPr>
          <w:sz w:val="19"/>
        </w:rPr>
        <w:t>analgesics,</w:t>
      </w:r>
      <w:r>
        <w:rPr>
          <w:spacing w:val="-2"/>
          <w:sz w:val="19"/>
        </w:rPr>
        <w:t xml:space="preserve"> </w:t>
      </w:r>
    </w:p>
    <w:p w14:paraId="2E4DCEBD" w14:textId="28F831FF" w:rsidR="009D54AF" w:rsidRDefault="00000000" w:rsidP="00287110">
      <w:pPr>
        <w:spacing w:before="92" w:line="340" w:lineRule="auto"/>
        <w:ind w:left="141" w:right="5464"/>
        <w:rPr>
          <w:sz w:val="19"/>
        </w:rPr>
      </w:pPr>
      <w:proofErr w:type="spellStart"/>
      <w:r>
        <w:rPr>
          <w:sz w:val="19"/>
        </w:rPr>
        <w:t>Organisation</w:t>
      </w:r>
      <w:proofErr w:type="spellEnd"/>
      <w:r>
        <w:rPr>
          <w:spacing w:val="-7"/>
          <w:sz w:val="19"/>
        </w:rPr>
        <w:t xml:space="preserve"> </w:t>
      </w:r>
      <w:r>
        <w:rPr>
          <w:sz w:val="19"/>
        </w:rPr>
        <w:t>for</w:t>
      </w:r>
      <w:r>
        <w:rPr>
          <w:spacing w:val="-7"/>
          <w:sz w:val="19"/>
        </w:rPr>
        <w:t xml:space="preserve"> </w:t>
      </w:r>
      <w:r>
        <w:rPr>
          <w:sz w:val="19"/>
        </w:rPr>
        <w:t>Economic</w:t>
      </w:r>
      <w:r>
        <w:rPr>
          <w:spacing w:val="-7"/>
          <w:sz w:val="19"/>
        </w:rPr>
        <w:t xml:space="preserve"> </w:t>
      </w:r>
      <w:r>
        <w:rPr>
          <w:sz w:val="19"/>
        </w:rPr>
        <w:t>Cooperation</w:t>
      </w:r>
      <w:r>
        <w:rPr>
          <w:spacing w:val="-7"/>
          <w:sz w:val="19"/>
        </w:rPr>
        <w:t xml:space="preserve"> </w:t>
      </w:r>
      <w:r>
        <w:rPr>
          <w:sz w:val="19"/>
        </w:rPr>
        <w:t>and</w:t>
      </w:r>
      <w:r>
        <w:rPr>
          <w:spacing w:val="-7"/>
          <w:sz w:val="19"/>
        </w:rPr>
        <w:t xml:space="preserve"> </w:t>
      </w:r>
      <w:r>
        <w:rPr>
          <w:sz w:val="19"/>
        </w:rPr>
        <w:t xml:space="preserve">Development Australia’s contribution of information, </w:t>
      </w:r>
    </w:p>
    <w:p w14:paraId="7A00ECD7" w14:textId="042C049F" w:rsidR="009D54AF" w:rsidRDefault="00000000">
      <w:pPr>
        <w:spacing w:before="1"/>
        <w:ind w:left="425"/>
        <w:rPr>
          <w:sz w:val="19"/>
        </w:rPr>
      </w:pPr>
      <w:r>
        <w:rPr>
          <w:sz w:val="19"/>
        </w:rPr>
        <w:t>Patient-Reported</w:t>
      </w:r>
      <w:r>
        <w:rPr>
          <w:spacing w:val="-5"/>
          <w:sz w:val="19"/>
        </w:rPr>
        <w:t xml:space="preserve"> </w:t>
      </w:r>
      <w:r>
        <w:rPr>
          <w:sz w:val="19"/>
        </w:rPr>
        <w:t>Indicator</w:t>
      </w:r>
      <w:r>
        <w:rPr>
          <w:spacing w:val="-5"/>
          <w:sz w:val="19"/>
        </w:rPr>
        <w:t xml:space="preserve"> </w:t>
      </w:r>
      <w:r>
        <w:rPr>
          <w:sz w:val="19"/>
        </w:rPr>
        <w:t>Surveys,</w:t>
      </w:r>
      <w:r>
        <w:rPr>
          <w:spacing w:val="-5"/>
          <w:sz w:val="19"/>
        </w:rPr>
        <w:t xml:space="preserve"> </w:t>
      </w:r>
    </w:p>
    <w:p w14:paraId="108AFF8D" w14:textId="35977D60" w:rsidR="009D54AF" w:rsidRDefault="00000000">
      <w:pPr>
        <w:spacing w:before="93" w:line="340" w:lineRule="auto"/>
        <w:ind w:left="142" w:right="5464" w:firstLine="283"/>
        <w:rPr>
          <w:sz w:val="19"/>
        </w:rPr>
      </w:pPr>
      <w:r>
        <w:rPr>
          <w:sz w:val="19"/>
        </w:rPr>
        <w:t>Working</w:t>
      </w:r>
      <w:r>
        <w:rPr>
          <w:spacing w:val="-6"/>
          <w:sz w:val="19"/>
        </w:rPr>
        <w:t xml:space="preserve"> </w:t>
      </w:r>
      <w:r>
        <w:rPr>
          <w:sz w:val="19"/>
        </w:rPr>
        <w:t>Party</w:t>
      </w:r>
      <w:r>
        <w:rPr>
          <w:spacing w:val="-6"/>
          <w:sz w:val="19"/>
        </w:rPr>
        <w:t xml:space="preserve"> </w:t>
      </w:r>
      <w:r>
        <w:rPr>
          <w:sz w:val="19"/>
        </w:rPr>
        <w:t>on</w:t>
      </w:r>
      <w:r>
        <w:rPr>
          <w:spacing w:val="-6"/>
          <w:sz w:val="19"/>
        </w:rPr>
        <w:t xml:space="preserve"> </w:t>
      </w:r>
      <w:r>
        <w:rPr>
          <w:sz w:val="19"/>
        </w:rPr>
        <w:t>Health</w:t>
      </w:r>
      <w:r>
        <w:rPr>
          <w:spacing w:val="-6"/>
          <w:sz w:val="19"/>
        </w:rPr>
        <w:t xml:space="preserve"> </w:t>
      </w:r>
      <w:r>
        <w:rPr>
          <w:sz w:val="19"/>
        </w:rPr>
        <w:t>Care</w:t>
      </w:r>
      <w:r>
        <w:rPr>
          <w:spacing w:val="-6"/>
          <w:sz w:val="19"/>
        </w:rPr>
        <w:t xml:space="preserve"> </w:t>
      </w:r>
      <w:r>
        <w:rPr>
          <w:sz w:val="19"/>
        </w:rPr>
        <w:t>Quality</w:t>
      </w:r>
      <w:r>
        <w:rPr>
          <w:spacing w:val="-6"/>
          <w:sz w:val="19"/>
        </w:rPr>
        <w:t xml:space="preserve"> </w:t>
      </w:r>
      <w:r>
        <w:rPr>
          <w:sz w:val="19"/>
        </w:rPr>
        <w:t>Outcomes,</w:t>
      </w:r>
      <w:r>
        <w:rPr>
          <w:spacing w:val="-6"/>
          <w:sz w:val="19"/>
        </w:rPr>
        <w:t xml:space="preserve"> </w:t>
      </w:r>
      <w:r>
        <w:rPr>
          <w:sz w:val="19"/>
        </w:rPr>
        <w:t xml:space="preserve"> </w:t>
      </w:r>
      <w:proofErr w:type="spellStart"/>
      <w:r>
        <w:rPr>
          <w:sz w:val="19"/>
        </w:rPr>
        <w:t>organisational</w:t>
      </w:r>
      <w:proofErr w:type="spellEnd"/>
      <w:r>
        <w:rPr>
          <w:sz w:val="19"/>
        </w:rPr>
        <w:t xml:space="preserve"> culture, </w:t>
      </w:r>
    </w:p>
    <w:p w14:paraId="3F7A790C" w14:textId="2DD5E7A7" w:rsidR="009D54AF" w:rsidRDefault="00000000">
      <w:pPr>
        <w:spacing w:before="1"/>
        <w:ind w:left="142"/>
        <w:rPr>
          <w:sz w:val="19"/>
        </w:rPr>
      </w:pPr>
      <w:proofErr w:type="spellStart"/>
      <w:r>
        <w:rPr>
          <w:sz w:val="19"/>
        </w:rPr>
        <w:t>organisational</w:t>
      </w:r>
      <w:proofErr w:type="spellEnd"/>
      <w:r>
        <w:rPr>
          <w:spacing w:val="-7"/>
          <w:sz w:val="19"/>
        </w:rPr>
        <w:t xml:space="preserve"> </w:t>
      </w:r>
      <w:r>
        <w:rPr>
          <w:sz w:val="19"/>
        </w:rPr>
        <w:t>structure,</w:t>
      </w:r>
      <w:r>
        <w:rPr>
          <w:spacing w:val="-6"/>
          <w:sz w:val="19"/>
        </w:rPr>
        <w:t xml:space="preserve"> </w:t>
      </w:r>
    </w:p>
    <w:p w14:paraId="58829D5F" w14:textId="573B9BEF" w:rsidR="009D54AF" w:rsidRDefault="00000000">
      <w:pPr>
        <w:spacing w:before="92"/>
        <w:ind w:left="142"/>
        <w:rPr>
          <w:sz w:val="19"/>
        </w:rPr>
      </w:pPr>
      <w:r>
        <w:rPr>
          <w:sz w:val="19"/>
        </w:rPr>
        <w:t xml:space="preserve">osteoarthritis, </w:t>
      </w:r>
    </w:p>
    <w:p w14:paraId="25DC2173" w14:textId="0C0C80E4" w:rsidR="009D54AF" w:rsidRDefault="00000000">
      <w:pPr>
        <w:spacing w:before="93"/>
        <w:ind w:left="142"/>
        <w:rPr>
          <w:sz w:val="19"/>
        </w:rPr>
      </w:pPr>
      <w:r>
        <w:rPr>
          <w:sz w:val="19"/>
        </w:rPr>
        <w:t>Osteoporosis</w:t>
      </w:r>
      <w:r>
        <w:rPr>
          <w:spacing w:val="-4"/>
          <w:sz w:val="19"/>
        </w:rPr>
        <w:t xml:space="preserve"> </w:t>
      </w:r>
      <w:r>
        <w:rPr>
          <w:sz w:val="19"/>
        </w:rPr>
        <w:t>Clinical</w:t>
      </w:r>
      <w:r>
        <w:rPr>
          <w:spacing w:val="-2"/>
          <w:sz w:val="19"/>
        </w:rPr>
        <w:t xml:space="preserve"> </w:t>
      </w:r>
      <w:r>
        <w:rPr>
          <w:sz w:val="19"/>
        </w:rPr>
        <w:t>Care</w:t>
      </w:r>
      <w:r>
        <w:rPr>
          <w:spacing w:val="-2"/>
          <w:sz w:val="19"/>
        </w:rPr>
        <w:t xml:space="preserve"> </w:t>
      </w:r>
      <w:r>
        <w:rPr>
          <w:sz w:val="19"/>
        </w:rPr>
        <w:t>Standard,</w:t>
      </w:r>
      <w:r>
        <w:rPr>
          <w:spacing w:val="-2"/>
          <w:sz w:val="19"/>
        </w:rPr>
        <w:t xml:space="preserve"> </w:t>
      </w:r>
    </w:p>
    <w:p w14:paraId="08FC0DC0" w14:textId="77777777" w:rsidR="009D54AF" w:rsidRDefault="009D54AF">
      <w:pPr>
        <w:pStyle w:val="BodyText"/>
        <w:spacing w:before="60"/>
        <w:rPr>
          <w:sz w:val="19"/>
        </w:rPr>
      </w:pPr>
    </w:p>
    <w:p w14:paraId="48A8317A" w14:textId="77777777" w:rsidR="009D54AF" w:rsidRDefault="00000000">
      <w:pPr>
        <w:pStyle w:val="Heading4"/>
        <w:spacing w:before="1"/>
      </w:pPr>
      <w:r>
        <w:rPr>
          <w:spacing w:val="-10"/>
        </w:rPr>
        <w:t>P</w:t>
      </w:r>
    </w:p>
    <w:p w14:paraId="777EEE08" w14:textId="4BE8E2BD" w:rsidR="009D54AF" w:rsidRDefault="00000000">
      <w:pPr>
        <w:spacing w:before="111"/>
        <w:ind w:left="142"/>
        <w:rPr>
          <w:sz w:val="19"/>
        </w:rPr>
      </w:pPr>
      <w:proofErr w:type="spellStart"/>
      <w:r>
        <w:rPr>
          <w:sz w:val="19"/>
        </w:rPr>
        <w:t>paediatric</w:t>
      </w:r>
      <w:proofErr w:type="spellEnd"/>
      <w:r>
        <w:rPr>
          <w:sz w:val="19"/>
        </w:rPr>
        <w:t xml:space="preserve"> care, </w:t>
      </w:r>
    </w:p>
    <w:p w14:paraId="5B7EAB81" w14:textId="394DF66C" w:rsidR="009D54AF" w:rsidRDefault="00000000">
      <w:pPr>
        <w:spacing w:before="92" w:line="340" w:lineRule="auto"/>
        <w:ind w:left="142" w:right="5920"/>
        <w:rPr>
          <w:sz w:val="19"/>
        </w:rPr>
      </w:pPr>
      <w:proofErr w:type="spellStart"/>
      <w:r>
        <w:rPr>
          <w:sz w:val="19"/>
        </w:rPr>
        <w:t>Paediatric</w:t>
      </w:r>
      <w:proofErr w:type="spellEnd"/>
      <w:r>
        <w:rPr>
          <w:spacing w:val="-9"/>
          <w:sz w:val="19"/>
        </w:rPr>
        <w:t xml:space="preserve"> </w:t>
      </w:r>
      <w:r>
        <w:rPr>
          <w:sz w:val="19"/>
        </w:rPr>
        <w:t>Improvement</w:t>
      </w:r>
      <w:r>
        <w:rPr>
          <w:spacing w:val="-9"/>
          <w:sz w:val="19"/>
        </w:rPr>
        <w:t xml:space="preserve"> </w:t>
      </w:r>
      <w:r>
        <w:rPr>
          <w:sz w:val="19"/>
        </w:rPr>
        <w:t>Collaborative</w:t>
      </w:r>
      <w:r>
        <w:rPr>
          <w:spacing w:val="-9"/>
          <w:sz w:val="19"/>
        </w:rPr>
        <w:t xml:space="preserve"> </w:t>
      </w:r>
      <w:r>
        <w:rPr>
          <w:sz w:val="19"/>
        </w:rPr>
        <w:t>(PIC),</w:t>
      </w:r>
      <w:r>
        <w:rPr>
          <w:spacing w:val="-9"/>
          <w:sz w:val="19"/>
        </w:rPr>
        <w:t xml:space="preserve"> </w:t>
      </w:r>
      <w:r>
        <w:rPr>
          <w:sz w:val="19"/>
        </w:rPr>
        <w:t xml:space="preserve"> parliamentary and ministerial oversight,  partnerships, </w:t>
      </w:r>
    </w:p>
    <w:p w14:paraId="258664C8" w14:textId="57819B35" w:rsidR="009D54AF" w:rsidRDefault="00000000">
      <w:pPr>
        <w:spacing w:before="2"/>
        <w:ind w:left="425"/>
        <w:rPr>
          <w:sz w:val="19"/>
        </w:rPr>
      </w:pPr>
      <w:r>
        <w:rPr>
          <w:sz w:val="19"/>
        </w:rPr>
        <w:t>co-design</w:t>
      </w:r>
      <w:r>
        <w:rPr>
          <w:spacing w:val="-5"/>
          <w:sz w:val="19"/>
        </w:rPr>
        <w:t xml:space="preserve"> </w:t>
      </w:r>
      <w:r>
        <w:rPr>
          <w:sz w:val="19"/>
        </w:rPr>
        <w:t>resource</w:t>
      </w:r>
      <w:r>
        <w:rPr>
          <w:spacing w:val="-5"/>
          <w:sz w:val="19"/>
        </w:rPr>
        <w:t xml:space="preserve"> </w:t>
      </w:r>
      <w:r>
        <w:rPr>
          <w:sz w:val="19"/>
        </w:rPr>
        <w:t>hub,</w:t>
      </w:r>
      <w:r>
        <w:rPr>
          <w:spacing w:val="-5"/>
          <w:sz w:val="19"/>
        </w:rPr>
        <w:t xml:space="preserve"> </w:t>
      </w:r>
    </w:p>
    <w:p w14:paraId="2FD51C3B" w14:textId="2440F386" w:rsidR="009D54AF" w:rsidRDefault="00000000">
      <w:pPr>
        <w:spacing w:before="93" w:line="340" w:lineRule="auto"/>
        <w:ind w:left="142" w:right="4242" w:firstLine="283"/>
        <w:rPr>
          <w:sz w:val="19"/>
        </w:rPr>
      </w:pPr>
      <w:r>
        <w:rPr>
          <w:i/>
          <w:sz w:val="19"/>
        </w:rPr>
        <w:lastRenderedPageBreak/>
        <w:t>see</w:t>
      </w:r>
      <w:r>
        <w:rPr>
          <w:i/>
          <w:spacing w:val="-6"/>
          <w:sz w:val="19"/>
        </w:rPr>
        <w:t xml:space="preserve"> </w:t>
      </w:r>
      <w:r>
        <w:rPr>
          <w:i/>
          <w:sz w:val="19"/>
        </w:rPr>
        <w:t>also</w:t>
      </w:r>
      <w:r>
        <w:rPr>
          <w:i/>
          <w:spacing w:val="-6"/>
          <w:sz w:val="19"/>
        </w:rPr>
        <w:t xml:space="preserve"> </w:t>
      </w:r>
      <w:r>
        <w:rPr>
          <w:sz w:val="19"/>
        </w:rPr>
        <w:t>stakeholder</w:t>
      </w:r>
      <w:r>
        <w:rPr>
          <w:spacing w:val="-6"/>
          <w:sz w:val="19"/>
        </w:rPr>
        <w:t xml:space="preserve"> </w:t>
      </w:r>
      <w:r>
        <w:rPr>
          <w:sz w:val="19"/>
        </w:rPr>
        <w:t>consultation</w:t>
      </w:r>
      <w:r>
        <w:rPr>
          <w:spacing w:val="-6"/>
          <w:sz w:val="19"/>
        </w:rPr>
        <w:t xml:space="preserve"> </w:t>
      </w:r>
      <w:r>
        <w:rPr>
          <w:sz w:val="19"/>
        </w:rPr>
        <w:t>and</w:t>
      </w:r>
      <w:r>
        <w:rPr>
          <w:spacing w:val="-6"/>
          <w:sz w:val="19"/>
        </w:rPr>
        <w:t xml:space="preserve"> </w:t>
      </w:r>
      <w:r>
        <w:rPr>
          <w:sz w:val="19"/>
        </w:rPr>
        <w:t>advisory</w:t>
      </w:r>
      <w:r>
        <w:rPr>
          <w:spacing w:val="-6"/>
          <w:sz w:val="19"/>
        </w:rPr>
        <w:t xml:space="preserve"> </w:t>
      </w:r>
      <w:r>
        <w:rPr>
          <w:sz w:val="19"/>
        </w:rPr>
        <w:t xml:space="preserve">mechanisms pathology laboratories, </w:t>
      </w:r>
    </w:p>
    <w:p w14:paraId="1DA8D987" w14:textId="0382D6AB" w:rsidR="009D54AF" w:rsidRDefault="00000000">
      <w:pPr>
        <w:spacing w:before="1"/>
        <w:ind w:left="142"/>
        <w:rPr>
          <w:sz w:val="19"/>
        </w:rPr>
      </w:pPr>
      <w:r>
        <w:rPr>
          <w:sz w:val="19"/>
        </w:rPr>
        <w:t>patient</w:t>
      </w:r>
      <w:r>
        <w:rPr>
          <w:spacing w:val="-3"/>
          <w:sz w:val="19"/>
        </w:rPr>
        <w:t xml:space="preserve"> </w:t>
      </w:r>
      <w:r>
        <w:rPr>
          <w:sz w:val="19"/>
        </w:rPr>
        <w:t>empowerment,</w:t>
      </w:r>
      <w:r>
        <w:rPr>
          <w:spacing w:val="-1"/>
          <w:sz w:val="19"/>
        </w:rPr>
        <w:t xml:space="preserve"> </w:t>
      </w:r>
    </w:p>
    <w:p w14:paraId="71ADDE91" w14:textId="260A22EF" w:rsidR="009D54AF" w:rsidRDefault="00000000">
      <w:pPr>
        <w:spacing w:before="92"/>
        <w:ind w:left="142"/>
        <w:rPr>
          <w:sz w:val="19"/>
        </w:rPr>
      </w:pPr>
      <w:r>
        <w:rPr>
          <w:sz w:val="19"/>
        </w:rPr>
        <w:t>patient</w:t>
      </w:r>
      <w:r>
        <w:rPr>
          <w:spacing w:val="-8"/>
          <w:sz w:val="19"/>
        </w:rPr>
        <w:t xml:space="preserve"> </w:t>
      </w:r>
      <w:r>
        <w:rPr>
          <w:sz w:val="19"/>
        </w:rPr>
        <w:t>safety,</w:t>
      </w:r>
      <w:r>
        <w:rPr>
          <w:spacing w:val="-7"/>
          <w:sz w:val="19"/>
        </w:rPr>
        <w:t xml:space="preserve"> </w:t>
      </w:r>
    </w:p>
    <w:p w14:paraId="3640484D" w14:textId="19C19062" w:rsidR="009D54AF" w:rsidRDefault="00000000">
      <w:pPr>
        <w:spacing w:before="93" w:line="340" w:lineRule="auto"/>
        <w:ind w:left="425" w:right="6600"/>
        <w:rPr>
          <w:sz w:val="19"/>
        </w:rPr>
      </w:pPr>
      <w:r>
        <w:rPr>
          <w:sz w:val="19"/>
        </w:rPr>
        <w:t>adverse</w:t>
      </w:r>
      <w:r>
        <w:rPr>
          <w:spacing w:val="-9"/>
          <w:sz w:val="19"/>
        </w:rPr>
        <w:t xml:space="preserve"> </w:t>
      </w:r>
      <w:r>
        <w:rPr>
          <w:sz w:val="19"/>
        </w:rPr>
        <w:t>patient</w:t>
      </w:r>
      <w:r>
        <w:rPr>
          <w:spacing w:val="-9"/>
          <w:sz w:val="19"/>
        </w:rPr>
        <w:t xml:space="preserve"> </w:t>
      </w:r>
      <w:r>
        <w:rPr>
          <w:sz w:val="19"/>
        </w:rPr>
        <w:t>safety</w:t>
      </w:r>
      <w:r>
        <w:rPr>
          <w:spacing w:val="-9"/>
          <w:sz w:val="19"/>
        </w:rPr>
        <w:t xml:space="preserve"> </w:t>
      </w:r>
      <w:r>
        <w:rPr>
          <w:sz w:val="19"/>
        </w:rPr>
        <w:t>events,</w:t>
      </w:r>
      <w:r>
        <w:rPr>
          <w:spacing w:val="-9"/>
          <w:sz w:val="19"/>
        </w:rPr>
        <w:t xml:space="preserve"> </w:t>
      </w:r>
      <w:r>
        <w:rPr>
          <w:sz w:val="19"/>
        </w:rPr>
        <w:t xml:space="preserve"> antimicrobial resistance (AMR), 33</w:t>
      </w:r>
    </w:p>
    <w:p w14:paraId="5890EE44" w14:textId="31A55C66" w:rsidR="009D54AF" w:rsidRDefault="00000000">
      <w:pPr>
        <w:spacing w:before="70"/>
        <w:ind w:left="425"/>
        <w:rPr>
          <w:sz w:val="19"/>
        </w:rPr>
      </w:pPr>
      <w:bookmarkStart w:id="101" w:name="_bookmark17"/>
      <w:bookmarkEnd w:id="101"/>
      <w:r>
        <w:rPr>
          <w:sz w:val="19"/>
        </w:rPr>
        <w:t>infection</w:t>
      </w:r>
      <w:r>
        <w:rPr>
          <w:spacing w:val="-5"/>
          <w:sz w:val="19"/>
        </w:rPr>
        <w:t xml:space="preserve"> </w:t>
      </w:r>
      <w:r>
        <w:rPr>
          <w:sz w:val="19"/>
        </w:rPr>
        <w:t>prevention</w:t>
      </w:r>
      <w:r>
        <w:rPr>
          <w:spacing w:val="-5"/>
          <w:sz w:val="19"/>
        </w:rPr>
        <w:t xml:space="preserve"> </w:t>
      </w:r>
      <w:r>
        <w:rPr>
          <w:sz w:val="19"/>
        </w:rPr>
        <w:t>and</w:t>
      </w:r>
      <w:r>
        <w:rPr>
          <w:spacing w:val="-5"/>
          <w:sz w:val="19"/>
        </w:rPr>
        <w:t xml:space="preserve"> </w:t>
      </w:r>
      <w:r>
        <w:rPr>
          <w:sz w:val="19"/>
        </w:rPr>
        <w:t>control,</w:t>
      </w:r>
      <w:r>
        <w:rPr>
          <w:spacing w:val="-4"/>
          <w:sz w:val="19"/>
        </w:rPr>
        <w:t xml:space="preserve"> </w:t>
      </w:r>
    </w:p>
    <w:p w14:paraId="4B118F61" w14:textId="77777777" w:rsidR="009D54AF" w:rsidRDefault="00000000">
      <w:pPr>
        <w:spacing w:before="22"/>
        <w:ind w:left="425"/>
        <w:rPr>
          <w:sz w:val="19"/>
        </w:rPr>
      </w:pPr>
      <w:r>
        <w:rPr>
          <w:i/>
          <w:sz w:val="19"/>
        </w:rPr>
        <w:t>see</w:t>
      </w:r>
      <w:r>
        <w:rPr>
          <w:i/>
          <w:spacing w:val="-3"/>
          <w:sz w:val="19"/>
        </w:rPr>
        <w:t xml:space="preserve"> </w:t>
      </w:r>
      <w:r>
        <w:rPr>
          <w:i/>
          <w:sz w:val="19"/>
        </w:rPr>
        <w:t>also</w:t>
      </w:r>
      <w:r>
        <w:rPr>
          <w:i/>
          <w:spacing w:val="-2"/>
          <w:sz w:val="19"/>
        </w:rPr>
        <w:t xml:space="preserve"> </w:t>
      </w:r>
      <w:r>
        <w:rPr>
          <w:spacing w:val="-2"/>
          <w:sz w:val="19"/>
        </w:rPr>
        <w:t>sepsis</w:t>
      </w:r>
    </w:p>
    <w:p w14:paraId="7BB64C8F" w14:textId="395BFEC5" w:rsidR="009D54AF" w:rsidRDefault="00000000">
      <w:pPr>
        <w:spacing w:before="92"/>
        <w:ind w:left="425"/>
        <w:rPr>
          <w:sz w:val="19"/>
        </w:rPr>
      </w:pPr>
      <w:r>
        <w:rPr>
          <w:sz w:val="19"/>
        </w:rPr>
        <w:t xml:space="preserve">at transitions of care, </w:t>
      </w:r>
    </w:p>
    <w:p w14:paraId="1BA3FF5D" w14:textId="77777777" w:rsidR="009D54AF" w:rsidRDefault="00000000">
      <w:pPr>
        <w:spacing w:before="92" w:line="264" w:lineRule="auto"/>
        <w:ind w:left="425" w:right="285"/>
        <w:rPr>
          <w:sz w:val="19"/>
        </w:rPr>
      </w:pPr>
      <w:r>
        <w:rPr>
          <w:i/>
          <w:sz w:val="19"/>
        </w:rPr>
        <w:t>see</w:t>
      </w:r>
      <w:r>
        <w:rPr>
          <w:i/>
          <w:spacing w:val="-3"/>
          <w:sz w:val="19"/>
        </w:rPr>
        <w:t xml:space="preserve"> </w:t>
      </w:r>
      <w:r>
        <w:rPr>
          <w:i/>
          <w:sz w:val="19"/>
        </w:rPr>
        <w:t>also</w:t>
      </w:r>
      <w:r>
        <w:rPr>
          <w:i/>
          <w:spacing w:val="-3"/>
          <w:sz w:val="19"/>
        </w:rPr>
        <w:t xml:space="preserve"> </w:t>
      </w:r>
      <w:r>
        <w:rPr>
          <w:sz w:val="19"/>
        </w:rPr>
        <w:t>Clinical</w:t>
      </w:r>
      <w:r>
        <w:rPr>
          <w:spacing w:val="-3"/>
          <w:sz w:val="19"/>
        </w:rPr>
        <w:t xml:space="preserve"> </w:t>
      </w:r>
      <w:r>
        <w:rPr>
          <w:sz w:val="19"/>
        </w:rPr>
        <w:t>Care</w:t>
      </w:r>
      <w:r>
        <w:rPr>
          <w:spacing w:val="-3"/>
          <w:sz w:val="19"/>
        </w:rPr>
        <w:t xml:space="preserve"> </w:t>
      </w:r>
      <w:r>
        <w:rPr>
          <w:sz w:val="19"/>
        </w:rPr>
        <w:t>Standards;</w:t>
      </w:r>
      <w:r>
        <w:rPr>
          <w:spacing w:val="-3"/>
          <w:sz w:val="19"/>
        </w:rPr>
        <w:t xml:space="preserve"> </w:t>
      </w:r>
      <w:r>
        <w:rPr>
          <w:sz w:val="19"/>
        </w:rPr>
        <w:t>health</w:t>
      </w:r>
      <w:r>
        <w:rPr>
          <w:spacing w:val="-3"/>
          <w:sz w:val="19"/>
        </w:rPr>
        <w:t xml:space="preserve"> </w:t>
      </w:r>
      <w:r>
        <w:rPr>
          <w:sz w:val="19"/>
        </w:rPr>
        <w:t>care;</w:t>
      </w:r>
      <w:r>
        <w:rPr>
          <w:spacing w:val="-3"/>
          <w:sz w:val="19"/>
        </w:rPr>
        <w:t xml:space="preserve"> </w:t>
      </w:r>
      <w:r>
        <w:rPr>
          <w:sz w:val="19"/>
        </w:rPr>
        <w:t>medication</w:t>
      </w:r>
      <w:r>
        <w:rPr>
          <w:spacing w:val="-3"/>
          <w:sz w:val="19"/>
        </w:rPr>
        <w:t xml:space="preserve"> </w:t>
      </w:r>
      <w:r>
        <w:rPr>
          <w:sz w:val="19"/>
        </w:rPr>
        <w:t>safety;</w:t>
      </w:r>
      <w:r>
        <w:rPr>
          <w:spacing w:val="-3"/>
          <w:sz w:val="19"/>
        </w:rPr>
        <w:t xml:space="preserve"> </w:t>
      </w:r>
      <w:r>
        <w:rPr>
          <w:sz w:val="19"/>
        </w:rPr>
        <w:t>National</w:t>
      </w:r>
      <w:r>
        <w:rPr>
          <w:spacing w:val="-3"/>
          <w:sz w:val="19"/>
        </w:rPr>
        <w:t xml:space="preserve"> </w:t>
      </w:r>
      <w:r>
        <w:rPr>
          <w:sz w:val="19"/>
        </w:rPr>
        <w:t>Safety</w:t>
      </w:r>
      <w:r>
        <w:rPr>
          <w:spacing w:val="-3"/>
          <w:sz w:val="19"/>
        </w:rPr>
        <w:t xml:space="preserve"> </w:t>
      </w:r>
      <w:r>
        <w:rPr>
          <w:sz w:val="19"/>
        </w:rPr>
        <w:t>and</w:t>
      </w:r>
      <w:r>
        <w:rPr>
          <w:spacing w:val="-3"/>
          <w:sz w:val="19"/>
        </w:rPr>
        <w:t xml:space="preserve"> </w:t>
      </w:r>
      <w:r>
        <w:rPr>
          <w:sz w:val="19"/>
        </w:rPr>
        <w:t>Quality</w:t>
      </w:r>
      <w:r>
        <w:rPr>
          <w:spacing w:val="-3"/>
          <w:sz w:val="19"/>
        </w:rPr>
        <w:t xml:space="preserve"> </w:t>
      </w:r>
      <w:r>
        <w:rPr>
          <w:sz w:val="19"/>
        </w:rPr>
        <w:t>Health</w:t>
      </w:r>
      <w:r>
        <w:rPr>
          <w:spacing w:val="-3"/>
          <w:sz w:val="19"/>
        </w:rPr>
        <w:t xml:space="preserve"> </w:t>
      </w:r>
      <w:r>
        <w:rPr>
          <w:sz w:val="19"/>
        </w:rPr>
        <w:t>Service (NSQHS) Standards</w:t>
      </w:r>
    </w:p>
    <w:p w14:paraId="7D885E89" w14:textId="03F530C5" w:rsidR="009D54AF" w:rsidRDefault="00000000">
      <w:pPr>
        <w:spacing w:before="71"/>
        <w:ind w:left="142"/>
        <w:rPr>
          <w:sz w:val="19"/>
        </w:rPr>
      </w:pPr>
      <w:r>
        <w:rPr>
          <w:sz w:val="19"/>
        </w:rPr>
        <w:t>patient</w:t>
      </w:r>
      <w:r>
        <w:rPr>
          <w:spacing w:val="-2"/>
          <w:sz w:val="19"/>
        </w:rPr>
        <w:t xml:space="preserve"> </w:t>
      </w:r>
      <w:r>
        <w:rPr>
          <w:sz w:val="19"/>
        </w:rPr>
        <w:t>safety</w:t>
      </w:r>
      <w:r>
        <w:rPr>
          <w:spacing w:val="-1"/>
          <w:sz w:val="19"/>
        </w:rPr>
        <w:t xml:space="preserve"> </w:t>
      </w:r>
      <w:r>
        <w:rPr>
          <w:sz w:val="19"/>
        </w:rPr>
        <w:t>culture</w:t>
      </w:r>
      <w:r>
        <w:rPr>
          <w:spacing w:val="-1"/>
          <w:sz w:val="19"/>
        </w:rPr>
        <w:t xml:space="preserve"> </w:t>
      </w:r>
      <w:r>
        <w:rPr>
          <w:sz w:val="19"/>
        </w:rPr>
        <w:t>measurement,</w:t>
      </w:r>
      <w:r>
        <w:rPr>
          <w:spacing w:val="-1"/>
          <w:sz w:val="19"/>
        </w:rPr>
        <w:t xml:space="preserve"> </w:t>
      </w:r>
    </w:p>
    <w:p w14:paraId="739FA01B" w14:textId="3066F68B" w:rsidR="009D54AF" w:rsidRDefault="00000000">
      <w:pPr>
        <w:spacing w:before="92"/>
        <w:ind w:left="142"/>
        <w:rPr>
          <w:sz w:val="19"/>
        </w:rPr>
      </w:pPr>
      <w:r>
        <w:rPr>
          <w:sz w:val="19"/>
        </w:rPr>
        <w:t>patient-reported</w:t>
      </w:r>
      <w:r>
        <w:rPr>
          <w:spacing w:val="-3"/>
          <w:sz w:val="19"/>
        </w:rPr>
        <w:t xml:space="preserve"> </w:t>
      </w:r>
      <w:r>
        <w:rPr>
          <w:sz w:val="19"/>
        </w:rPr>
        <w:t>experience</w:t>
      </w:r>
      <w:r>
        <w:rPr>
          <w:spacing w:val="-3"/>
          <w:sz w:val="19"/>
        </w:rPr>
        <w:t xml:space="preserve"> </w:t>
      </w:r>
      <w:r>
        <w:rPr>
          <w:sz w:val="19"/>
        </w:rPr>
        <w:t>measures</w:t>
      </w:r>
      <w:r>
        <w:rPr>
          <w:spacing w:val="-3"/>
          <w:sz w:val="19"/>
        </w:rPr>
        <w:t xml:space="preserve"> </w:t>
      </w:r>
      <w:r>
        <w:rPr>
          <w:sz w:val="19"/>
        </w:rPr>
        <w:t>(PREM),</w:t>
      </w:r>
      <w:r>
        <w:rPr>
          <w:spacing w:val="-3"/>
          <w:sz w:val="19"/>
        </w:rPr>
        <w:t xml:space="preserve"> </w:t>
      </w:r>
    </w:p>
    <w:p w14:paraId="4DCE3334" w14:textId="76FB676D" w:rsidR="009D54AF" w:rsidRDefault="00000000">
      <w:pPr>
        <w:spacing w:before="92"/>
        <w:ind w:left="142"/>
        <w:rPr>
          <w:sz w:val="19"/>
        </w:rPr>
      </w:pPr>
      <w:r>
        <w:rPr>
          <w:sz w:val="19"/>
        </w:rPr>
        <w:t>patient-reported</w:t>
      </w:r>
      <w:r>
        <w:rPr>
          <w:spacing w:val="-3"/>
          <w:sz w:val="19"/>
        </w:rPr>
        <w:t xml:space="preserve"> </w:t>
      </w:r>
      <w:r>
        <w:rPr>
          <w:sz w:val="19"/>
        </w:rPr>
        <w:t>outcome</w:t>
      </w:r>
      <w:r>
        <w:rPr>
          <w:spacing w:val="-3"/>
          <w:sz w:val="19"/>
        </w:rPr>
        <w:t xml:space="preserve"> </w:t>
      </w:r>
      <w:r>
        <w:rPr>
          <w:sz w:val="19"/>
        </w:rPr>
        <w:t>measures</w:t>
      </w:r>
      <w:r>
        <w:rPr>
          <w:spacing w:val="-3"/>
          <w:sz w:val="19"/>
        </w:rPr>
        <w:t xml:space="preserve"> </w:t>
      </w:r>
      <w:r>
        <w:rPr>
          <w:sz w:val="19"/>
        </w:rPr>
        <w:t>(PROM),</w:t>
      </w:r>
      <w:r>
        <w:rPr>
          <w:spacing w:val="-3"/>
          <w:sz w:val="19"/>
        </w:rPr>
        <w:t xml:space="preserve"> </w:t>
      </w:r>
    </w:p>
    <w:p w14:paraId="7A8F346B" w14:textId="738A28C2" w:rsidR="009D54AF" w:rsidRDefault="00000000">
      <w:pPr>
        <w:spacing w:before="93"/>
        <w:ind w:left="142"/>
        <w:rPr>
          <w:sz w:val="19"/>
        </w:rPr>
      </w:pPr>
      <w:r>
        <w:rPr>
          <w:sz w:val="19"/>
        </w:rPr>
        <w:t xml:space="preserve">patients (consumers), </w:t>
      </w:r>
    </w:p>
    <w:p w14:paraId="62DAE79A" w14:textId="0D19EF9A" w:rsidR="009D54AF" w:rsidRDefault="00000000">
      <w:pPr>
        <w:spacing w:before="92"/>
        <w:ind w:left="142"/>
        <w:rPr>
          <w:sz w:val="19"/>
        </w:rPr>
      </w:pPr>
      <w:r>
        <w:rPr>
          <w:sz w:val="19"/>
        </w:rPr>
        <w:t>people</w:t>
      </w:r>
      <w:r>
        <w:rPr>
          <w:spacing w:val="-4"/>
          <w:sz w:val="19"/>
        </w:rPr>
        <w:t xml:space="preserve"> </w:t>
      </w:r>
      <w:r>
        <w:rPr>
          <w:sz w:val="19"/>
        </w:rPr>
        <w:t>management,</w:t>
      </w:r>
      <w:r>
        <w:rPr>
          <w:spacing w:val="-2"/>
          <w:sz w:val="19"/>
        </w:rPr>
        <w:t xml:space="preserve"> </w:t>
      </w:r>
      <w:r>
        <w:rPr>
          <w:i/>
          <w:sz w:val="19"/>
        </w:rPr>
        <w:t>see</w:t>
      </w:r>
      <w:r>
        <w:rPr>
          <w:i/>
          <w:spacing w:val="-2"/>
          <w:sz w:val="19"/>
        </w:rPr>
        <w:t xml:space="preserve"> </w:t>
      </w:r>
      <w:r>
        <w:rPr>
          <w:i/>
          <w:sz w:val="19"/>
        </w:rPr>
        <w:t>also</w:t>
      </w:r>
      <w:r>
        <w:rPr>
          <w:i/>
          <w:spacing w:val="-1"/>
          <w:sz w:val="19"/>
        </w:rPr>
        <w:t xml:space="preserve"> </w:t>
      </w:r>
      <w:r>
        <w:rPr>
          <w:spacing w:val="-2"/>
          <w:sz w:val="19"/>
        </w:rPr>
        <w:t>staff</w:t>
      </w:r>
    </w:p>
    <w:p w14:paraId="4C0DCCE2" w14:textId="77777777" w:rsidR="00287110" w:rsidRDefault="00000000" w:rsidP="00287110">
      <w:pPr>
        <w:spacing w:before="93" w:line="278" w:lineRule="auto"/>
        <w:ind w:left="142" w:right="5466"/>
        <w:rPr>
          <w:sz w:val="19"/>
        </w:rPr>
      </w:pPr>
      <w:r>
        <w:rPr>
          <w:sz w:val="19"/>
        </w:rPr>
        <w:t>people</w:t>
      </w:r>
      <w:r>
        <w:rPr>
          <w:spacing w:val="-7"/>
          <w:sz w:val="19"/>
        </w:rPr>
        <w:t xml:space="preserve"> </w:t>
      </w:r>
      <w:r>
        <w:rPr>
          <w:sz w:val="19"/>
        </w:rPr>
        <w:t>with</w:t>
      </w:r>
      <w:r>
        <w:rPr>
          <w:spacing w:val="-7"/>
          <w:sz w:val="19"/>
        </w:rPr>
        <w:t xml:space="preserve"> </w:t>
      </w:r>
      <w:r>
        <w:rPr>
          <w:sz w:val="19"/>
        </w:rPr>
        <w:t>intellectual</w:t>
      </w:r>
      <w:r>
        <w:rPr>
          <w:spacing w:val="-7"/>
          <w:sz w:val="19"/>
        </w:rPr>
        <w:t xml:space="preserve"> </w:t>
      </w:r>
      <w:r>
        <w:rPr>
          <w:sz w:val="19"/>
        </w:rPr>
        <w:t>disability,</w:t>
      </w:r>
      <w:r>
        <w:rPr>
          <w:spacing w:val="-7"/>
          <w:sz w:val="19"/>
        </w:rPr>
        <w:t xml:space="preserve"> </w:t>
      </w:r>
      <w:r>
        <w:rPr>
          <w:sz w:val="19"/>
        </w:rPr>
        <w:t>support</w:t>
      </w:r>
      <w:r>
        <w:rPr>
          <w:spacing w:val="-7"/>
          <w:sz w:val="19"/>
        </w:rPr>
        <w:t xml:space="preserve"> </w:t>
      </w:r>
      <w:r>
        <w:rPr>
          <w:sz w:val="19"/>
        </w:rPr>
        <w:t>of,</w:t>
      </w:r>
      <w:r>
        <w:rPr>
          <w:spacing w:val="-7"/>
          <w:sz w:val="19"/>
        </w:rPr>
        <w:t xml:space="preserve"> </w:t>
      </w:r>
      <w:r>
        <w:rPr>
          <w:sz w:val="19"/>
        </w:rPr>
        <w:t xml:space="preserve"> </w:t>
      </w:r>
    </w:p>
    <w:p w14:paraId="02F3ED2B" w14:textId="0B2CADA2" w:rsidR="009D54AF" w:rsidRDefault="00000000">
      <w:pPr>
        <w:spacing w:before="93" w:line="340" w:lineRule="auto"/>
        <w:ind w:left="142" w:right="5464"/>
        <w:rPr>
          <w:sz w:val="19"/>
        </w:rPr>
      </w:pPr>
      <w:r>
        <w:rPr>
          <w:spacing w:val="-2"/>
          <w:sz w:val="19"/>
        </w:rPr>
        <w:t>performance</w:t>
      </w:r>
    </w:p>
    <w:p w14:paraId="00941A8D" w14:textId="00FAF2C2" w:rsidR="00287110" w:rsidRDefault="00000000">
      <w:pPr>
        <w:spacing w:before="1" w:line="340" w:lineRule="auto"/>
        <w:ind w:left="425" w:right="7042"/>
        <w:rPr>
          <w:sz w:val="19"/>
        </w:rPr>
      </w:pPr>
      <w:r>
        <w:rPr>
          <w:sz w:val="19"/>
        </w:rPr>
        <w:t>accountable</w:t>
      </w:r>
      <w:r>
        <w:rPr>
          <w:spacing w:val="-11"/>
          <w:sz w:val="19"/>
        </w:rPr>
        <w:t xml:space="preserve"> </w:t>
      </w:r>
      <w:r>
        <w:rPr>
          <w:sz w:val="19"/>
        </w:rPr>
        <w:t>authority</w:t>
      </w:r>
      <w:r>
        <w:rPr>
          <w:spacing w:val="-11"/>
          <w:sz w:val="19"/>
        </w:rPr>
        <w:t xml:space="preserve"> </w:t>
      </w:r>
      <w:r>
        <w:rPr>
          <w:sz w:val="19"/>
        </w:rPr>
        <w:t>statement,</w:t>
      </w:r>
      <w:r>
        <w:rPr>
          <w:spacing w:val="-11"/>
          <w:sz w:val="19"/>
        </w:rPr>
        <w:t xml:space="preserve"> </w:t>
      </w:r>
      <w:r>
        <w:rPr>
          <w:sz w:val="19"/>
        </w:rPr>
        <w:t xml:space="preserve"> highlights of year (statistics), </w:t>
      </w:r>
    </w:p>
    <w:p w14:paraId="62DE4583" w14:textId="68085F90" w:rsidR="009D54AF" w:rsidRDefault="00000000">
      <w:pPr>
        <w:spacing w:before="1" w:line="340" w:lineRule="auto"/>
        <w:ind w:left="425" w:right="7042"/>
        <w:rPr>
          <w:sz w:val="19"/>
        </w:rPr>
      </w:pPr>
      <w:r>
        <w:rPr>
          <w:sz w:val="19"/>
        </w:rPr>
        <w:t xml:space="preserve">key achievements, </w:t>
      </w:r>
    </w:p>
    <w:p w14:paraId="041DA9F5" w14:textId="10C1C89A" w:rsidR="009D54AF" w:rsidRDefault="00000000">
      <w:pPr>
        <w:spacing w:before="2" w:line="340" w:lineRule="auto"/>
        <w:ind w:left="425" w:right="1372"/>
        <w:rPr>
          <w:sz w:val="19"/>
        </w:rPr>
      </w:pPr>
      <w:r>
        <w:rPr>
          <w:sz w:val="19"/>
        </w:rPr>
        <w:t>performance</w:t>
      </w:r>
      <w:r>
        <w:rPr>
          <w:spacing w:val="-3"/>
          <w:sz w:val="19"/>
        </w:rPr>
        <w:t xml:space="preserve"> </w:t>
      </w:r>
      <w:r>
        <w:rPr>
          <w:sz w:val="19"/>
        </w:rPr>
        <w:t>against</w:t>
      </w:r>
      <w:r>
        <w:rPr>
          <w:spacing w:val="-3"/>
          <w:sz w:val="19"/>
        </w:rPr>
        <w:t xml:space="preserve"> </w:t>
      </w:r>
      <w:r>
        <w:rPr>
          <w:sz w:val="19"/>
        </w:rPr>
        <w:t>Corporate</w:t>
      </w:r>
      <w:r>
        <w:rPr>
          <w:spacing w:val="-3"/>
          <w:sz w:val="19"/>
        </w:rPr>
        <w:t xml:space="preserve"> </w:t>
      </w:r>
      <w:r>
        <w:rPr>
          <w:sz w:val="19"/>
        </w:rPr>
        <w:t>Plan</w:t>
      </w:r>
      <w:r>
        <w:rPr>
          <w:spacing w:val="-3"/>
          <w:sz w:val="19"/>
        </w:rPr>
        <w:t xml:space="preserve"> </w:t>
      </w:r>
      <w:r>
        <w:rPr>
          <w:sz w:val="19"/>
        </w:rPr>
        <w:t>2025–26</w:t>
      </w:r>
      <w:r>
        <w:rPr>
          <w:spacing w:val="-3"/>
          <w:sz w:val="19"/>
        </w:rPr>
        <w:t xml:space="preserve"> </w:t>
      </w:r>
      <w:r>
        <w:rPr>
          <w:sz w:val="19"/>
        </w:rPr>
        <w:t>and</w:t>
      </w:r>
      <w:r>
        <w:rPr>
          <w:spacing w:val="-3"/>
          <w:sz w:val="19"/>
        </w:rPr>
        <w:t xml:space="preserve"> </w:t>
      </w:r>
      <w:r>
        <w:rPr>
          <w:sz w:val="19"/>
        </w:rPr>
        <w:t>Health</w:t>
      </w:r>
      <w:r>
        <w:rPr>
          <w:spacing w:val="-3"/>
          <w:sz w:val="19"/>
        </w:rPr>
        <w:t xml:space="preserve"> </w:t>
      </w:r>
      <w:r>
        <w:rPr>
          <w:sz w:val="19"/>
        </w:rPr>
        <w:t>Portfolio</w:t>
      </w:r>
      <w:r>
        <w:rPr>
          <w:spacing w:val="-3"/>
          <w:sz w:val="19"/>
        </w:rPr>
        <w:t xml:space="preserve"> </w:t>
      </w:r>
      <w:r>
        <w:rPr>
          <w:sz w:val="19"/>
        </w:rPr>
        <w:t>Budget</w:t>
      </w:r>
      <w:r>
        <w:rPr>
          <w:spacing w:val="-3"/>
          <w:sz w:val="19"/>
        </w:rPr>
        <w:t xml:space="preserve"> </w:t>
      </w:r>
      <w:r>
        <w:rPr>
          <w:sz w:val="19"/>
        </w:rPr>
        <w:t>Statements</w:t>
      </w:r>
      <w:r>
        <w:rPr>
          <w:spacing w:val="-3"/>
          <w:sz w:val="19"/>
        </w:rPr>
        <w:t xml:space="preserve"> </w:t>
      </w:r>
      <w:r>
        <w:rPr>
          <w:sz w:val="19"/>
        </w:rPr>
        <w:t>criteria,</w:t>
      </w:r>
      <w:r>
        <w:rPr>
          <w:spacing w:val="-3"/>
          <w:sz w:val="19"/>
        </w:rPr>
        <w:t xml:space="preserve"> </w:t>
      </w:r>
      <w:r>
        <w:rPr>
          <w:sz w:val="19"/>
        </w:rPr>
        <w:t xml:space="preserve"> Strategic Priority 1: High-quality care in an evolving environment, </w:t>
      </w:r>
    </w:p>
    <w:p w14:paraId="26C04990" w14:textId="77777777" w:rsidR="006B64C0" w:rsidRDefault="00000000">
      <w:pPr>
        <w:spacing w:before="1" w:line="340" w:lineRule="auto"/>
        <w:ind w:left="425" w:right="3661"/>
        <w:jc w:val="both"/>
        <w:rPr>
          <w:sz w:val="19"/>
        </w:rPr>
      </w:pPr>
      <w:r>
        <w:rPr>
          <w:sz w:val="19"/>
        </w:rPr>
        <w:t>Strategic</w:t>
      </w:r>
      <w:r>
        <w:rPr>
          <w:spacing w:val="-5"/>
          <w:sz w:val="19"/>
        </w:rPr>
        <w:t xml:space="preserve"> </w:t>
      </w:r>
      <w:r>
        <w:rPr>
          <w:sz w:val="19"/>
        </w:rPr>
        <w:t>Priority</w:t>
      </w:r>
      <w:r>
        <w:rPr>
          <w:spacing w:val="-5"/>
          <w:sz w:val="19"/>
        </w:rPr>
        <w:t xml:space="preserve"> </w:t>
      </w:r>
      <w:r>
        <w:rPr>
          <w:sz w:val="19"/>
        </w:rPr>
        <w:t>2:</w:t>
      </w:r>
      <w:r>
        <w:rPr>
          <w:spacing w:val="-5"/>
          <w:sz w:val="19"/>
        </w:rPr>
        <w:t xml:space="preserve"> </w:t>
      </w:r>
      <w:r>
        <w:rPr>
          <w:sz w:val="19"/>
        </w:rPr>
        <w:t>Strong,</w:t>
      </w:r>
      <w:r>
        <w:rPr>
          <w:spacing w:val="-5"/>
          <w:sz w:val="19"/>
        </w:rPr>
        <w:t xml:space="preserve"> </w:t>
      </w:r>
      <w:r>
        <w:rPr>
          <w:sz w:val="19"/>
        </w:rPr>
        <w:t>outcome-focused</w:t>
      </w:r>
      <w:r>
        <w:rPr>
          <w:spacing w:val="-5"/>
          <w:sz w:val="19"/>
        </w:rPr>
        <w:t xml:space="preserve"> </w:t>
      </w:r>
      <w:r>
        <w:rPr>
          <w:sz w:val="19"/>
        </w:rPr>
        <w:t>clinical</w:t>
      </w:r>
      <w:r>
        <w:rPr>
          <w:spacing w:val="-5"/>
          <w:sz w:val="19"/>
        </w:rPr>
        <w:t xml:space="preserve"> </w:t>
      </w:r>
      <w:r>
        <w:rPr>
          <w:sz w:val="19"/>
        </w:rPr>
        <w:t>governance,</w:t>
      </w:r>
      <w:r>
        <w:rPr>
          <w:spacing w:val="-5"/>
          <w:sz w:val="19"/>
        </w:rPr>
        <w:t xml:space="preserve"> </w:t>
      </w:r>
      <w:r>
        <w:rPr>
          <w:sz w:val="19"/>
        </w:rPr>
        <w:t xml:space="preserve"> </w:t>
      </w:r>
    </w:p>
    <w:p w14:paraId="53950BFC" w14:textId="77777777" w:rsidR="006B64C0" w:rsidRDefault="00000000">
      <w:pPr>
        <w:spacing w:before="1" w:line="340" w:lineRule="auto"/>
        <w:ind w:left="425" w:right="3661"/>
        <w:jc w:val="both"/>
        <w:rPr>
          <w:sz w:val="19"/>
        </w:rPr>
      </w:pPr>
      <w:r>
        <w:rPr>
          <w:sz w:val="19"/>
        </w:rPr>
        <w:t xml:space="preserve">Strategic Priority 3: Empowered patients, carers and communities, </w:t>
      </w:r>
    </w:p>
    <w:p w14:paraId="010DCDAF" w14:textId="21E23611" w:rsidR="009D54AF" w:rsidRDefault="00000000">
      <w:pPr>
        <w:spacing w:before="1" w:line="340" w:lineRule="auto"/>
        <w:ind w:left="425" w:right="3661"/>
        <w:jc w:val="both"/>
        <w:rPr>
          <w:sz w:val="19"/>
        </w:rPr>
      </w:pPr>
      <w:r>
        <w:rPr>
          <w:sz w:val="19"/>
        </w:rPr>
        <w:t xml:space="preserve">Strategic Priority 4: An improvement-driven workforce culture, </w:t>
      </w:r>
    </w:p>
    <w:p w14:paraId="09987677" w14:textId="3A9C816C" w:rsidR="009D54AF" w:rsidRDefault="00000000">
      <w:pPr>
        <w:spacing w:before="2" w:line="340" w:lineRule="auto"/>
        <w:ind w:left="142" w:right="5464"/>
        <w:rPr>
          <w:sz w:val="19"/>
        </w:rPr>
      </w:pPr>
      <w:r>
        <w:rPr>
          <w:sz w:val="19"/>
        </w:rPr>
        <w:t>performance</w:t>
      </w:r>
      <w:r>
        <w:rPr>
          <w:spacing w:val="-7"/>
          <w:sz w:val="19"/>
        </w:rPr>
        <w:t xml:space="preserve"> </w:t>
      </w:r>
      <w:r>
        <w:rPr>
          <w:sz w:val="19"/>
        </w:rPr>
        <w:t>and</w:t>
      </w:r>
      <w:r>
        <w:rPr>
          <w:spacing w:val="-7"/>
          <w:sz w:val="19"/>
        </w:rPr>
        <w:t xml:space="preserve"> </w:t>
      </w:r>
      <w:r>
        <w:rPr>
          <w:sz w:val="19"/>
        </w:rPr>
        <w:t>development</w:t>
      </w:r>
      <w:r>
        <w:rPr>
          <w:spacing w:val="-7"/>
          <w:sz w:val="19"/>
        </w:rPr>
        <w:t xml:space="preserve"> </w:t>
      </w:r>
      <w:r>
        <w:rPr>
          <w:sz w:val="19"/>
        </w:rPr>
        <w:t>plan</w:t>
      </w:r>
      <w:r>
        <w:rPr>
          <w:spacing w:val="-7"/>
          <w:sz w:val="19"/>
        </w:rPr>
        <w:t xml:space="preserve"> </w:t>
      </w:r>
      <w:r>
        <w:rPr>
          <w:sz w:val="19"/>
        </w:rPr>
        <w:t>(employees),</w:t>
      </w:r>
      <w:r>
        <w:rPr>
          <w:spacing w:val="-7"/>
          <w:sz w:val="19"/>
        </w:rPr>
        <w:t xml:space="preserve"> </w:t>
      </w:r>
      <w:r>
        <w:rPr>
          <w:sz w:val="19"/>
        </w:rPr>
        <w:t xml:space="preserve"> performance</w:t>
      </w:r>
      <w:r>
        <w:rPr>
          <w:spacing w:val="-5"/>
          <w:sz w:val="19"/>
        </w:rPr>
        <w:t xml:space="preserve"> </w:t>
      </w:r>
      <w:r>
        <w:rPr>
          <w:sz w:val="19"/>
        </w:rPr>
        <w:t>assessment</w:t>
      </w:r>
      <w:r>
        <w:rPr>
          <w:spacing w:val="-5"/>
          <w:sz w:val="19"/>
        </w:rPr>
        <w:t xml:space="preserve"> </w:t>
      </w:r>
      <w:r>
        <w:rPr>
          <w:sz w:val="19"/>
        </w:rPr>
        <w:t>(health</w:t>
      </w:r>
      <w:r>
        <w:rPr>
          <w:spacing w:val="-5"/>
          <w:sz w:val="19"/>
        </w:rPr>
        <w:t xml:space="preserve"> </w:t>
      </w:r>
      <w:r>
        <w:rPr>
          <w:sz w:val="19"/>
        </w:rPr>
        <w:t>system),</w:t>
      </w:r>
      <w:r>
        <w:rPr>
          <w:spacing w:val="-5"/>
          <w:sz w:val="19"/>
        </w:rPr>
        <w:t xml:space="preserve"> </w:t>
      </w:r>
    </w:p>
    <w:p w14:paraId="39055613" w14:textId="2D25699E" w:rsidR="009D54AF" w:rsidRDefault="00000000">
      <w:pPr>
        <w:spacing w:before="1"/>
        <w:ind w:left="142"/>
        <w:rPr>
          <w:sz w:val="19"/>
        </w:rPr>
      </w:pPr>
      <w:r>
        <w:rPr>
          <w:sz w:val="19"/>
        </w:rPr>
        <w:t>person-</w:t>
      </w:r>
      <w:proofErr w:type="spellStart"/>
      <w:r>
        <w:rPr>
          <w:sz w:val="19"/>
        </w:rPr>
        <w:t>centred</w:t>
      </w:r>
      <w:proofErr w:type="spellEnd"/>
      <w:r>
        <w:rPr>
          <w:spacing w:val="-5"/>
          <w:sz w:val="19"/>
        </w:rPr>
        <w:t xml:space="preserve"> </w:t>
      </w:r>
      <w:r>
        <w:rPr>
          <w:sz w:val="19"/>
        </w:rPr>
        <w:t>care,</w:t>
      </w:r>
      <w:r>
        <w:rPr>
          <w:spacing w:val="-4"/>
          <w:sz w:val="19"/>
        </w:rPr>
        <w:t xml:space="preserve"> </w:t>
      </w:r>
    </w:p>
    <w:p w14:paraId="1CC3E7A4" w14:textId="4655CADD" w:rsidR="009D54AF" w:rsidRDefault="00000000">
      <w:pPr>
        <w:spacing w:before="92" w:line="340" w:lineRule="auto"/>
        <w:ind w:left="142" w:right="6370"/>
        <w:rPr>
          <w:sz w:val="19"/>
        </w:rPr>
      </w:pPr>
      <w:r>
        <w:rPr>
          <w:spacing w:val="-4"/>
          <w:sz w:val="19"/>
        </w:rPr>
        <w:t>Pharmaceutical</w:t>
      </w:r>
      <w:r>
        <w:rPr>
          <w:spacing w:val="-9"/>
          <w:sz w:val="19"/>
        </w:rPr>
        <w:t xml:space="preserve"> </w:t>
      </w:r>
      <w:r>
        <w:rPr>
          <w:spacing w:val="-4"/>
          <w:sz w:val="19"/>
        </w:rPr>
        <w:t>Benefits</w:t>
      </w:r>
      <w:r>
        <w:rPr>
          <w:spacing w:val="-9"/>
          <w:sz w:val="19"/>
        </w:rPr>
        <w:t xml:space="preserve"> </w:t>
      </w:r>
      <w:r>
        <w:rPr>
          <w:spacing w:val="-4"/>
          <w:sz w:val="19"/>
        </w:rPr>
        <w:t>Scheme</w:t>
      </w:r>
      <w:r>
        <w:rPr>
          <w:spacing w:val="-9"/>
          <w:sz w:val="19"/>
        </w:rPr>
        <w:t xml:space="preserve"> </w:t>
      </w:r>
      <w:r>
        <w:rPr>
          <w:spacing w:val="-4"/>
          <w:sz w:val="19"/>
        </w:rPr>
        <w:t>(PBS)</w:t>
      </w:r>
      <w:r>
        <w:rPr>
          <w:spacing w:val="-9"/>
          <w:sz w:val="19"/>
        </w:rPr>
        <w:t xml:space="preserve"> </w:t>
      </w:r>
      <w:r>
        <w:rPr>
          <w:spacing w:val="-4"/>
          <w:sz w:val="19"/>
        </w:rPr>
        <w:t>data,</w:t>
      </w:r>
      <w:r>
        <w:rPr>
          <w:spacing w:val="-9"/>
          <w:sz w:val="19"/>
        </w:rPr>
        <w:t xml:space="preserve"> </w:t>
      </w:r>
      <w:r>
        <w:rPr>
          <w:spacing w:val="-4"/>
          <w:sz w:val="19"/>
        </w:rPr>
        <w:t xml:space="preserve"> </w:t>
      </w:r>
      <w:r>
        <w:rPr>
          <w:sz w:val="19"/>
        </w:rPr>
        <w:t>plans and planning</w:t>
      </w:r>
    </w:p>
    <w:p w14:paraId="229A3A5F" w14:textId="15261760" w:rsidR="009D54AF" w:rsidRDefault="00000000">
      <w:pPr>
        <w:spacing w:before="2" w:line="340" w:lineRule="auto"/>
        <w:ind w:left="425" w:right="6600"/>
        <w:rPr>
          <w:sz w:val="19"/>
        </w:rPr>
      </w:pPr>
      <w:r>
        <w:rPr>
          <w:sz w:val="19"/>
        </w:rPr>
        <w:t>corporate</w:t>
      </w:r>
      <w:r>
        <w:rPr>
          <w:spacing w:val="-9"/>
          <w:sz w:val="19"/>
        </w:rPr>
        <w:t xml:space="preserve"> </w:t>
      </w:r>
      <w:r>
        <w:rPr>
          <w:i/>
          <w:sz w:val="19"/>
        </w:rPr>
        <w:t>see</w:t>
      </w:r>
      <w:r>
        <w:rPr>
          <w:i/>
          <w:spacing w:val="-9"/>
          <w:sz w:val="19"/>
        </w:rPr>
        <w:t xml:space="preserve"> </w:t>
      </w:r>
      <w:r>
        <w:rPr>
          <w:sz w:val="19"/>
        </w:rPr>
        <w:t>Corporate</w:t>
      </w:r>
      <w:r>
        <w:rPr>
          <w:spacing w:val="-9"/>
          <w:sz w:val="19"/>
        </w:rPr>
        <w:t xml:space="preserve"> </w:t>
      </w:r>
      <w:r>
        <w:rPr>
          <w:sz w:val="19"/>
        </w:rPr>
        <w:t>Plan</w:t>
      </w:r>
      <w:r>
        <w:rPr>
          <w:spacing w:val="-9"/>
          <w:sz w:val="19"/>
        </w:rPr>
        <w:t xml:space="preserve"> </w:t>
      </w:r>
      <w:r>
        <w:rPr>
          <w:sz w:val="19"/>
        </w:rPr>
        <w:t xml:space="preserve">2025–26 Employee Census Action Plan, </w:t>
      </w:r>
    </w:p>
    <w:p w14:paraId="654C1E31" w14:textId="77777777" w:rsidR="006B64C0" w:rsidRDefault="00000000">
      <w:pPr>
        <w:spacing w:before="1" w:line="340" w:lineRule="auto"/>
        <w:ind w:left="425" w:right="5464"/>
        <w:rPr>
          <w:sz w:val="19"/>
        </w:rPr>
      </w:pPr>
      <w:r>
        <w:rPr>
          <w:sz w:val="19"/>
        </w:rPr>
        <w:t>employee</w:t>
      </w:r>
      <w:r>
        <w:rPr>
          <w:spacing w:val="-7"/>
          <w:sz w:val="19"/>
        </w:rPr>
        <w:t xml:space="preserve"> </w:t>
      </w:r>
      <w:r>
        <w:rPr>
          <w:sz w:val="19"/>
        </w:rPr>
        <w:t>performance</w:t>
      </w:r>
      <w:r>
        <w:rPr>
          <w:spacing w:val="-7"/>
          <w:sz w:val="19"/>
        </w:rPr>
        <w:t xml:space="preserve"> </w:t>
      </w:r>
      <w:r>
        <w:rPr>
          <w:sz w:val="19"/>
        </w:rPr>
        <w:t>and</w:t>
      </w:r>
      <w:r>
        <w:rPr>
          <w:spacing w:val="-7"/>
          <w:sz w:val="19"/>
        </w:rPr>
        <w:t xml:space="preserve"> </w:t>
      </w:r>
      <w:r>
        <w:rPr>
          <w:sz w:val="19"/>
        </w:rPr>
        <w:t>development</w:t>
      </w:r>
      <w:r>
        <w:rPr>
          <w:spacing w:val="-7"/>
          <w:sz w:val="19"/>
        </w:rPr>
        <w:t xml:space="preserve"> </w:t>
      </w:r>
      <w:r>
        <w:rPr>
          <w:sz w:val="19"/>
        </w:rPr>
        <w:t>plans,</w:t>
      </w:r>
      <w:r>
        <w:rPr>
          <w:spacing w:val="-7"/>
          <w:sz w:val="19"/>
        </w:rPr>
        <w:t xml:space="preserve"> </w:t>
      </w:r>
      <w:r>
        <w:rPr>
          <w:sz w:val="19"/>
        </w:rPr>
        <w:t xml:space="preserve"> </w:t>
      </w:r>
    </w:p>
    <w:p w14:paraId="11BE2668" w14:textId="0E4BB903" w:rsidR="009D54AF" w:rsidRDefault="00000000">
      <w:pPr>
        <w:spacing w:before="1" w:line="340" w:lineRule="auto"/>
        <w:ind w:left="425" w:right="5464"/>
        <w:rPr>
          <w:sz w:val="19"/>
        </w:rPr>
      </w:pPr>
      <w:r>
        <w:rPr>
          <w:sz w:val="19"/>
        </w:rPr>
        <w:t xml:space="preserve">fraud and corruption control plan, </w:t>
      </w:r>
    </w:p>
    <w:p w14:paraId="359209B0" w14:textId="4CC7E02A" w:rsidR="006B64C0" w:rsidRDefault="00000000">
      <w:pPr>
        <w:spacing w:before="1" w:line="340" w:lineRule="auto"/>
        <w:ind w:left="425" w:right="6600"/>
        <w:rPr>
          <w:sz w:val="19"/>
        </w:rPr>
      </w:pPr>
      <w:r>
        <w:rPr>
          <w:sz w:val="19"/>
        </w:rPr>
        <w:t xml:space="preserve">information publication plan,  Reconciliation Action Plan, </w:t>
      </w:r>
    </w:p>
    <w:p w14:paraId="46D419BB" w14:textId="00F30F55" w:rsidR="009D54AF" w:rsidRDefault="00000000">
      <w:pPr>
        <w:spacing w:before="1" w:line="340" w:lineRule="auto"/>
        <w:ind w:left="425" w:right="6600"/>
        <w:rPr>
          <w:sz w:val="19"/>
        </w:rPr>
      </w:pPr>
      <w:r>
        <w:rPr>
          <w:sz w:val="19"/>
        </w:rPr>
        <w:t>strategic</w:t>
      </w:r>
      <w:r>
        <w:rPr>
          <w:spacing w:val="-9"/>
          <w:sz w:val="19"/>
        </w:rPr>
        <w:t xml:space="preserve"> </w:t>
      </w:r>
      <w:r>
        <w:rPr>
          <w:i/>
          <w:sz w:val="19"/>
        </w:rPr>
        <w:t>see</w:t>
      </w:r>
      <w:r>
        <w:rPr>
          <w:i/>
          <w:spacing w:val="-9"/>
          <w:sz w:val="19"/>
        </w:rPr>
        <w:t xml:space="preserve"> </w:t>
      </w:r>
      <w:r>
        <w:rPr>
          <w:sz w:val="19"/>
        </w:rPr>
        <w:t>Strategic</w:t>
      </w:r>
      <w:r>
        <w:rPr>
          <w:spacing w:val="-9"/>
          <w:sz w:val="19"/>
        </w:rPr>
        <w:t xml:space="preserve"> </w:t>
      </w:r>
      <w:r>
        <w:rPr>
          <w:sz w:val="19"/>
        </w:rPr>
        <w:t>Plan</w:t>
      </w:r>
      <w:r>
        <w:rPr>
          <w:spacing w:val="-9"/>
          <w:sz w:val="19"/>
        </w:rPr>
        <w:t xml:space="preserve"> </w:t>
      </w:r>
      <w:r>
        <w:rPr>
          <w:sz w:val="19"/>
        </w:rPr>
        <w:t xml:space="preserve">2025–2030 work plan, </w:t>
      </w:r>
    </w:p>
    <w:p w14:paraId="4812FE68" w14:textId="0CDF5E1B" w:rsidR="006B64C0" w:rsidRDefault="00000000">
      <w:pPr>
        <w:spacing w:before="3" w:line="340" w:lineRule="auto"/>
        <w:ind w:left="142" w:right="3776"/>
        <w:rPr>
          <w:sz w:val="19"/>
        </w:rPr>
      </w:pPr>
      <w:r>
        <w:rPr>
          <w:sz w:val="19"/>
        </w:rPr>
        <w:t>portfolio</w:t>
      </w:r>
      <w:r>
        <w:rPr>
          <w:spacing w:val="-6"/>
          <w:sz w:val="19"/>
        </w:rPr>
        <w:t xml:space="preserve"> </w:t>
      </w:r>
      <w:r>
        <w:rPr>
          <w:sz w:val="19"/>
        </w:rPr>
        <w:t>membership,</w:t>
      </w:r>
      <w:r>
        <w:rPr>
          <w:spacing w:val="-7"/>
          <w:sz w:val="19"/>
        </w:rPr>
        <w:t xml:space="preserve"> </w:t>
      </w:r>
      <w:r>
        <w:rPr>
          <w:i/>
          <w:sz w:val="19"/>
        </w:rPr>
        <w:t>see</w:t>
      </w:r>
      <w:r>
        <w:rPr>
          <w:i/>
          <w:spacing w:val="-6"/>
          <w:sz w:val="19"/>
        </w:rPr>
        <w:t xml:space="preserve"> </w:t>
      </w:r>
      <w:r>
        <w:rPr>
          <w:i/>
          <w:sz w:val="19"/>
        </w:rPr>
        <w:t>also</w:t>
      </w:r>
      <w:r>
        <w:rPr>
          <w:i/>
          <w:spacing w:val="-6"/>
          <w:sz w:val="19"/>
        </w:rPr>
        <w:t xml:space="preserve"> </w:t>
      </w:r>
      <w:r>
        <w:rPr>
          <w:sz w:val="19"/>
        </w:rPr>
        <w:t>Health</w:t>
      </w:r>
      <w:r>
        <w:rPr>
          <w:spacing w:val="-6"/>
          <w:sz w:val="19"/>
        </w:rPr>
        <w:t xml:space="preserve"> </w:t>
      </w:r>
      <w:r>
        <w:rPr>
          <w:sz w:val="19"/>
        </w:rPr>
        <w:t>Portfolio</w:t>
      </w:r>
      <w:r>
        <w:rPr>
          <w:spacing w:val="-6"/>
          <w:sz w:val="19"/>
        </w:rPr>
        <w:t xml:space="preserve"> </w:t>
      </w:r>
      <w:r>
        <w:rPr>
          <w:sz w:val="19"/>
        </w:rPr>
        <w:t>Budget</w:t>
      </w:r>
      <w:r>
        <w:rPr>
          <w:spacing w:val="-6"/>
          <w:sz w:val="19"/>
        </w:rPr>
        <w:t xml:space="preserve"> </w:t>
      </w:r>
      <w:r>
        <w:rPr>
          <w:sz w:val="19"/>
        </w:rPr>
        <w:t xml:space="preserve">Statements </w:t>
      </w:r>
    </w:p>
    <w:p w14:paraId="51EBEC61" w14:textId="12C0EE05" w:rsidR="009D54AF" w:rsidRDefault="00000000">
      <w:pPr>
        <w:spacing w:before="3" w:line="340" w:lineRule="auto"/>
        <w:ind w:left="142" w:right="3776"/>
        <w:rPr>
          <w:sz w:val="19"/>
        </w:rPr>
      </w:pPr>
      <w:r>
        <w:rPr>
          <w:sz w:val="19"/>
        </w:rPr>
        <w:t xml:space="preserve">Practice Reflections, </w:t>
      </w:r>
    </w:p>
    <w:p w14:paraId="069567F6" w14:textId="77777777" w:rsidR="006B64C0" w:rsidRDefault="00000000">
      <w:pPr>
        <w:spacing w:before="1" w:line="340" w:lineRule="auto"/>
        <w:ind w:left="142" w:right="7238"/>
        <w:rPr>
          <w:sz w:val="19"/>
        </w:rPr>
      </w:pPr>
      <w:r>
        <w:rPr>
          <w:sz w:val="19"/>
        </w:rPr>
        <w:t>Primary</w:t>
      </w:r>
      <w:r>
        <w:rPr>
          <w:spacing w:val="-9"/>
          <w:sz w:val="19"/>
        </w:rPr>
        <w:t xml:space="preserve"> </w:t>
      </w:r>
      <w:r>
        <w:rPr>
          <w:sz w:val="19"/>
        </w:rPr>
        <w:t>Care</w:t>
      </w:r>
      <w:r>
        <w:rPr>
          <w:spacing w:val="-9"/>
          <w:sz w:val="19"/>
        </w:rPr>
        <w:t xml:space="preserve"> </w:t>
      </w:r>
      <w:r>
        <w:rPr>
          <w:sz w:val="19"/>
        </w:rPr>
        <w:t>Committee,</w:t>
      </w:r>
      <w:r>
        <w:rPr>
          <w:spacing w:val="-9"/>
          <w:sz w:val="19"/>
        </w:rPr>
        <w:t xml:space="preserve"> </w:t>
      </w:r>
      <w:r>
        <w:rPr>
          <w:sz w:val="19"/>
        </w:rPr>
        <w:t xml:space="preserve"> </w:t>
      </w:r>
    </w:p>
    <w:p w14:paraId="62D83016" w14:textId="60751437" w:rsidR="009D54AF" w:rsidRDefault="00000000">
      <w:pPr>
        <w:spacing w:before="1" w:line="340" w:lineRule="auto"/>
        <w:ind w:left="142" w:right="7238"/>
        <w:rPr>
          <w:sz w:val="19"/>
        </w:rPr>
      </w:pPr>
      <w:r>
        <w:rPr>
          <w:sz w:val="19"/>
        </w:rPr>
        <w:t>primary health care</w:t>
      </w:r>
    </w:p>
    <w:p w14:paraId="1AB99695" w14:textId="3E5B2C40" w:rsidR="009D54AF" w:rsidRDefault="00000000">
      <w:pPr>
        <w:spacing w:before="1"/>
        <w:ind w:left="425"/>
        <w:rPr>
          <w:sz w:val="19"/>
        </w:rPr>
      </w:pPr>
      <w:r>
        <w:rPr>
          <w:sz w:val="19"/>
        </w:rPr>
        <w:t>data</w:t>
      </w:r>
      <w:r>
        <w:rPr>
          <w:spacing w:val="-2"/>
          <w:sz w:val="19"/>
        </w:rPr>
        <w:t xml:space="preserve"> </w:t>
      </w:r>
      <w:r>
        <w:rPr>
          <w:sz w:val="19"/>
        </w:rPr>
        <w:t>collection,</w:t>
      </w:r>
      <w:r>
        <w:rPr>
          <w:spacing w:val="-1"/>
          <w:sz w:val="19"/>
        </w:rPr>
        <w:t xml:space="preserve"> </w:t>
      </w:r>
    </w:p>
    <w:p w14:paraId="5CD29CC2" w14:textId="1B721CB2" w:rsidR="009D54AF" w:rsidRDefault="00000000">
      <w:pPr>
        <w:spacing w:before="92"/>
        <w:ind w:left="425"/>
        <w:rPr>
          <w:sz w:val="19"/>
        </w:rPr>
      </w:pPr>
      <w:r>
        <w:rPr>
          <w:sz w:val="19"/>
        </w:rPr>
        <w:t xml:space="preserve">standards, </w:t>
      </w:r>
    </w:p>
    <w:p w14:paraId="6B68AC1A" w14:textId="77777777" w:rsidR="006B64C0" w:rsidRDefault="00000000" w:rsidP="006B64C0">
      <w:pPr>
        <w:spacing w:before="93" w:line="278" w:lineRule="auto"/>
        <w:ind w:left="142" w:right="5608"/>
        <w:rPr>
          <w:sz w:val="19"/>
        </w:rPr>
      </w:pPr>
      <w:r>
        <w:rPr>
          <w:sz w:val="19"/>
        </w:rPr>
        <w:lastRenderedPageBreak/>
        <w:t>priorities</w:t>
      </w:r>
      <w:r>
        <w:rPr>
          <w:spacing w:val="-7"/>
          <w:sz w:val="19"/>
        </w:rPr>
        <w:t xml:space="preserve"> </w:t>
      </w:r>
      <w:r>
        <w:rPr>
          <w:sz w:val="19"/>
        </w:rPr>
        <w:t>(Commission)</w:t>
      </w:r>
      <w:r>
        <w:rPr>
          <w:spacing w:val="-8"/>
          <w:sz w:val="19"/>
        </w:rPr>
        <w:t xml:space="preserve"> </w:t>
      </w:r>
      <w:r>
        <w:rPr>
          <w:i/>
          <w:sz w:val="19"/>
        </w:rPr>
        <w:t>see</w:t>
      </w:r>
      <w:r>
        <w:rPr>
          <w:i/>
          <w:spacing w:val="-7"/>
          <w:sz w:val="19"/>
        </w:rPr>
        <w:t xml:space="preserve"> </w:t>
      </w:r>
      <w:r>
        <w:rPr>
          <w:sz w:val="19"/>
        </w:rPr>
        <w:t>Strategic</w:t>
      </w:r>
      <w:r>
        <w:rPr>
          <w:spacing w:val="-7"/>
          <w:sz w:val="19"/>
        </w:rPr>
        <w:t xml:space="preserve"> </w:t>
      </w:r>
      <w:r>
        <w:rPr>
          <w:sz w:val="19"/>
        </w:rPr>
        <w:t>Plan</w:t>
      </w:r>
      <w:r>
        <w:rPr>
          <w:spacing w:val="-7"/>
          <w:sz w:val="19"/>
        </w:rPr>
        <w:t xml:space="preserve"> </w:t>
      </w:r>
      <w:r>
        <w:rPr>
          <w:sz w:val="19"/>
        </w:rPr>
        <w:t xml:space="preserve">2025–2030 </w:t>
      </w:r>
    </w:p>
    <w:p w14:paraId="785280E0" w14:textId="12FF68EB" w:rsidR="006B64C0" w:rsidRDefault="00000000" w:rsidP="006B64C0">
      <w:pPr>
        <w:spacing w:before="93" w:line="278" w:lineRule="auto"/>
        <w:ind w:left="142" w:right="5608"/>
        <w:rPr>
          <w:sz w:val="19"/>
        </w:rPr>
      </w:pPr>
      <w:r>
        <w:rPr>
          <w:i/>
          <w:sz w:val="19"/>
        </w:rPr>
        <w:t>Priorities for high-quality digitally enabled care</w:t>
      </w:r>
      <w:r>
        <w:rPr>
          <w:sz w:val="19"/>
        </w:rPr>
        <w:t xml:space="preserve">,  </w:t>
      </w:r>
    </w:p>
    <w:p w14:paraId="16D49506" w14:textId="305967C0" w:rsidR="009D54AF" w:rsidRDefault="00000000">
      <w:pPr>
        <w:spacing w:before="93" w:line="340" w:lineRule="auto"/>
        <w:ind w:left="142" w:right="5609"/>
        <w:rPr>
          <w:sz w:val="19"/>
        </w:rPr>
      </w:pPr>
      <w:r>
        <w:rPr>
          <w:sz w:val="19"/>
        </w:rPr>
        <w:t xml:space="preserve">priority groups, </w:t>
      </w:r>
    </w:p>
    <w:p w14:paraId="523B9DD8" w14:textId="77777777" w:rsidR="006B64C0" w:rsidRDefault="00000000">
      <w:pPr>
        <w:spacing w:before="2" w:line="340" w:lineRule="auto"/>
        <w:ind w:left="142" w:right="6600"/>
        <w:rPr>
          <w:sz w:val="19"/>
        </w:rPr>
      </w:pPr>
      <w:r>
        <w:rPr>
          <w:sz w:val="19"/>
        </w:rPr>
        <w:t>Private</w:t>
      </w:r>
      <w:r>
        <w:rPr>
          <w:spacing w:val="-7"/>
          <w:sz w:val="19"/>
        </w:rPr>
        <w:t xml:space="preserve"> </w:t>
      </w:r>
      <w:r>
        <w:rPr>
          <w:sz w:val="19"/>
        </w:rPr>
        <w:t>Hospital</w:t>
      </w:r>
      <w:r>
        <w:rPr>
          <w:spacing w:val="-7"/>
          <w:sz w:val="19"/>
        </w:rPr>
        <w:t xml:space="preserve"> </w:t>
      </w:r>
      <w:r>
        <w:rPr>
          <w:sz w:val="19"/>
        </w:rPr>
        <w:t>Sector</w:t>
      </w:r>
      <w:r>
        <w:rPr>
          <w:spacing w:val="-7"/>
          <w:sz w:val="19"/>
        </w:rPr>
        <w:t xml:space="preserve"> </w:t>
      </w:r>
      <w:r>
        <w:rPr>
          <w:sz w:val="19"/>
        </w:rPr>
        <w:t xml:space="preserve">Committee, </w:t>
      </w:r>
    </w:p>
    <w:p w14:paraId="7465B2C9" w14:textId="54235649" w:rsidR="009D54AF" w:rsidRDefault="00000000">
      <w:pPr>
        <w:spacing w:before="2" w:line="340" w:lineRule="auto"/>
        <w:ind w:left="142" w:right="6600"/>
        <w:rPr>
          <w:sz w:val="19"/>
        </w:rPr>
      </w:pPr>
      <w:r>
        <w:rPr>
          <w:sz w:val="19"/>
        </w:rPr>
        <w:t>professional development</w:t>
      </w:r>
    </w:p>
    <w:p w14:paraId="7C88BE47" w14:textId="254E9614" w:rsidR="009D54AF" w:rsidRDefault="00000000">
      <w:pPr>
        <w:spacing w:before="1"/>
        <w:ind w:left="425"/>
        <w:rPr>
          <w:sz w:val="19"/>
        </w:rPr>
      </w:pPr>
      <w:r>
        <w:rPr>
          <w:sz w:val="19"/>
        </w:rPr>
        <w:t xml:space="preserve">Board, </w:t>
      </w:r>
    </w:p>
    <w:p w14:paraId="24F8B456" w14:textId="1AD5227C" w:rsidR="009D54AF" w:rsidRDefault="00000000">
      <w:pPr>
        <w:spacing w:before="92"/>
        <w:ind w:left="425"/>
        <w:rPr>
          <w:sz w:val="19"/>
        </w:rPr>
      </w:pPr>
      <w:r>
        <w:rPr>
          <w:sz w:val="19"/>
        </w:rPr>
        <w:t>staff,</w:t>
      </w:r>
      <w:r>
        <w:rPr>
          <w:spacing w:val="-4"/>
          <w:sz w:val="19"/>
        </w:rPr>
        <w:t xml:space="preserve"> </w:t>
      </w:r>
    </w:p>
    <w:p w14:paraId="742B1B89" w14:textId="662F22DD" w:rsidR="009D54AF" w:rsidRDefault="00000000">
      <w:pPr>
        <w:spacing w:before="93"/>
        <w:ind w:left="142"/>
        <w:rPr>
          <w:sz w:val="19"/>
        </w:rPr>
      </w:pPr>
      <w:r>
        <w:rPr>
          <w:sz w:val="19"/>
        </w:rPr>
        <w:t xml:space="preserve">psychotropic medicines, </w:t>
      </w:r>
    </w:p>
    <w:p w14:paraId="34CC3DDF" w14:textId="77777777" w:rsidR="009D54AF" w:rsidRDefault="00000000">
      <w:pPr>
        <w:spacing w:before="92"/>
        <w:ind w:left="142"/>
        <w:rPr>
          <w:sz w:val="19"/>
        </w:rPr>
      </w:pPr>
      <w:r>
        <w:rPr>
          <w:sz w:val="19"/>
        </w:rPr>
        <w:t>public</w:t>
      </w:r>
      <w:r>
        <w:rPr>
          <w:spacing w:val="-4"/>
          <w:sz w:val="19"/>
        </w:rPr>
        <w:t xml:space="preserve"> </w:t>
      </w:r>
      <w:r>
        <w:rPr>
          <w:sz w:val="19"/>
        </w:rPr>
        <w:t>consultation</w:t>
      </w:r>
      <w:r>
        <w:rPr>
          <w:spacing w:val="-4"/>
          <w:sz w:val="19"/>
        </w:rPr>
        <w:t xml:space="preserve"> </w:t>
      </w:r>
      <w:r>
        <w:rPr>
          <w:i/>
          <w:sz w:val="19"/>
        </w:rPr>
        <w:t>see</w:t>
      </w:r>
      <w:r>
        <w:rPr>
          <w:i/>
          <w:spacing w:val="-4"/>
          <w:sz w:val="19"/>
        </w:rPr>
        <w:t xml:space="preserve"> </w:t>
      </w:r>
      <w:r>
        <w:rPr>
          <w:sz w:val="19"/>
        </w:rPr>
        <w:t>stakeholder</w:t>
      </w:r>
      <w:r>
        <w:rPr>
          <w:spacing w:val="-3"/>
          <w:sz w:val="19"/>
        </w:rPr>
        <w:t xml:space="preserve"> </w:t>
      </w:r>
      <w:r>
        <w:rPr>
          <w:sz w:val="19"/>
        </w:rPr>
        <w:t>consultation</w:t>
      </w:r>
      <w:r>
        <w:rPr>
          <w:spacing w:val="-4"/>
          <w:sz w:val="19"/>
        </w:rPr>
        <w:t xml:space="preserve"> </w:t>
      </w:r>
      <w:r>
        <w:rPr>
          <w:sz w:val="19"/>
        </w:rPr>
        <w:t>and</w:t>
      </w:r>
      <w:r>
        <w:rPr>
          <w:spacing w:val="-4"/>
          <w:sz w:val="19"/>
        </w:rPr>
        <w:t xml:space="preserve"> </w:t>
      </w:r>
      <w:r>
        <w:rPr>
          <w:sz w:val="19"/>
        </w:rPr>
        <w:t>advisory</w:t>
      </w:r>
      <w:r>
        <w:rPr>
          <w:spacing w:val="-3"/>
          <w:sz w:val="19"/>
        </w:rPr>
        <w:t xml:space="preserve"> </w:t>
      </w:r>
      <w:r>
        <w:rPr>
          <w:spacing w:val="-2"/>
          <w:sz w:val="19"/>
        </w:rPr>
        <w:t>mechanisms</w:t>
      </w:r>
    </w:p>
    <w:p w14:paraId="1A6E6B75" w14:textId="74F6BDE2" w:rsidR="009D54AF" w:rsidRDefault="00000000">
      <w:pPr>
        <w:spacing w:before="92"/>
        <w:ind w:left="142"/>
        <w:rPr>
          <w:sz w:val="19"/>
        </w:rPr>
      </w:pPr>
      <w:r>
        <w:rPr>
          <w:i/>
          <w:sz w:val="19"/>
        </w:rPr>
        <w:t>Public</w:t>
      </w:r>
      <w:r>
        <w:rPr>
          <w:i/>
          <w:spacing w:val="-2"/>
          <w:sz w:val="19"/>
        </w:rPr>
        <w:t xml:space="preserve"> </w:t>
      </w:r>
      <w:r>
        <w:rPr>
          <w:i/>
          <w:sz w:val="19"/>
        </w:rPr>
        <w:t>Governance,</w:t>
      </w:r>
      <w:r>
        <w:rPr>
          <w:i/>
          <w:spacing w:val="-1"/>
          <w:sz w:val="19"/>
        </w:rPr>
        <w:t xml:space="preserve"> </w:t>
      </w:r>
      <w:r>
        <w:rPr>
          <w:i/>
          <w:sz w:val="19"/>
        </w:rPr>
        <w:t>Performance</w:t>
      </w:r>
      <w:r>
        <w:rPr>
          <w:i/>
          <w:spacing w:val="-1"/>
          <w:sz w:val="19"/>
        </w:rPr>
        <w:t xml:space="preserve"> </w:t>
      </w:r>
      <w:r>
        <w:rPr>
          <w:i/>
          <w:sz w:val="19"/>
        </w:rPr>
        <w:t>and</w:t>
      </w:r>
      <w:r>
        <w:rPr>
          <w:i/>
          <w:spacing w:val="-7"/>
          <w:sz w:val="19"/>
        </w:rPr>
        <w:t xml:space="preserve"> </w:t>
      </w:r>
      <w:r>
        <w:rPr>
          <w:i/>
          <w:sz w:val="19"/>
        </w:rPr>
        <w:t>Accountability</w:t>
      </w:r>
      <w:r>
        <w:rPr>
          <w:i/>
          <w:spacing w:val="-8"/>
          <w:sz w:val="19"/>
        </w:rPr>
        <w:t xml:space="preserve"> </w:t>
      </w:r>
      <w:r>
        <w:rPr>
          <w:i/>
          <w:sz w:val="19"/>
        </w:rPr>
        <w:t>Act</w:t>
      </w:r>
      <w:r>
        <w:rPr>
          <w:i/>
          <w:spacing w:val="-1"/>
          <w:sz w:val="19"/>
        </w:rPr>
        <w:t xml:space="preserve"> </w:t>
      </w:r>
      <w:r>
        <w:rPr>
          <w:i/>
          <w:sz w:val="19"/>
        </w:rPr>
        <w:t>2013</w:t>
      </w:r>
      <w:r>
        <w:rPr>
          <w:sz w:val="19"/>
        </w:rPr>
        <w:t>,</w:t>
      </w:r>
      <w:r>
        <w:rPr>
          <w:spacing w:val="-1"/>
          <w:sz w:val="19"/>
        </w:rPr>
        <w:t xml:space="preserve"> </w:t>
      </w:r>
    </w:p>
    <w:p w14:paraId="2977F2EB" w14:textId="32752BD7" w:rsidR="009D54AF" w:rsidRDefault="00000000" w:rsidP="006B64C0">
      <w:pPr>
        <w:spacing w:before="93"/>
        <w:ind w:left="142"/>
        <w:rPr>
          <w:sz w:val="19"/>
        </w:rPr>
      </w:pPr>
      <w:r>
        <w:rPr>
          <w:spacing w:val="-2"/>
          <w:sz w:val="19"/>
        </w:rPr>
        <w:t>Public</w:t>
      </w:r>
      <w:r>
        <w:rPr>
          <w:sz w:val="19"/>
        </w:rPr>
        <w:t xml:space="preserve"> </w:t>
      </w:r>
      <w:r>
        <w:rPr>
          <w:spacing w:val="-2"/>
          <w:sz w:val="19"/>
        </w:rPr>
        <w:t>Governance,</w:t>
      </w:r>
      <w:r>
        <w:rPr>
          <w:sz w:val="19"/>
        </w:rPr>
        <w:t xml:space="preserve"> </w:t>
      </w:r>
      <w:r>
        <w:rPr>
          <w:spacing w:val="-2"/>
          <w:sz w:val="19"/>
        </w:rPr>
        <w:t>Performance</w:t>
      </w:r>
      <w:r>
        <w:rPr>
          <w:spacing w:val="-1"/>
          <w:sz w:val="19"/>
        </w:rPr>
        <w:t xml:space="preserve"> </w:t>
      </w:r>
      <w:r>
        <w:rPr>
          <w:spacing w:val="-2"/>
          <w:sz w:val="19"/>
        </w:rPr>
        <w:t>and</w:t>
      </w:r>
      <w:r>
        <w:rPr>
          <w:spacing w:val="-11"/>
          <w:sz w:val="19"/>
        </w:rPr>
        <w:t xml:space="preserve"> </w:t>
      </w:r>
      <w:r>
        <w:rPr>
          <w:spacing w:val="-2"/>
          <w:sz w:val="19"/>
        </w:rPr>
        <w:t>Accountability</w:t>
      </w:r>
      <w:r>
        <w:rPr>
          <w:spacing w:val="-8"/>
          <w:sz w:val="19"/>
        </w:rPr>
        <w:t xml:space="preserve"> </w:t>
      </w:r>
      <w:r>
        <w:rPr>
          <w:spacing w:val="-2"/>
          <w:sz w:val="19"/>
        </w:rPr>
        <w:t>Rule</w:t>
      </w:r>
      <w:r>
        <w:rPr>
          <w:spacing w:val="-8"/>
          <w:sz w:val="19"/>
        </w:rPr>
        <w:t xml:space="preserve"> </w:t>
      </w:r>
      <w:r>
        <w:rPr>
          <w:spacing w:val="-2"/>
          <w:sz w:val="19"/>
        </w:rPr>
        <w:t>(PGPA</w:t>
      </w:r>
      <w:r>
        <w:rPr>
          <w:spacing w:val="-19"/>
          <w:sz w:val="19"/>
        </w:rPr>
        <w:t xml:space="preserve"> </w:t>
      </w:r>
      <w:r>
        <w:rPr>
          <w:spacing w:val="-2"/>
          <w:sz w:val="19"/>
        </w:rPr>
        <w:t>Rule),</w:t>
      </w:r>
      <w:r>
        <w:rPr>
          <w:spacing w:val="-8"/>
          <w:sz w:val="19"/>
        </w:rPr>
        <w:t xml:space="preserve"> </w:t>
      </w:r>
    </w:p>
    <w:p w14:paraId="794BAA5E" w14:textId="30D73891" w:rsidR="009D54AF" w:rsidRDefault="00000000">
      <w:pPr>
        <w:spacing w:before="70" w:line="340" w:lineRule="auto"/>
        <w:ind w:left="425" w:right="6600" w:hanging="284"/>
        <w:rPr>
          <w:sz w:val="19"/>
        </w:rPr>
      </w:pPr>
      <w:r>
        <w:rPr>
          <w:spacing w:val="-2"/>
          <w:sz w:val="19"/>
        </w:rPr>
        <w:t>public</w:t>
      </w:r>
      <w:r>
        <w:rPr>
          <w:spacing w:val="-8"/>
          <w:sz w:val="19"/>
        </w:rPr>
        <w:t xml:space="preserve"> </w:t>
      </w:r>
      <w:r>
        <w:rPr>
          <w:spacing w:val="-2"/>
          <w:sz w:val="19"/>
        </w:rPr>
        <w:t>reporting</w:t>
      </w:r>
      <w:r>
        <w:rPr>
          <w:spacing w:val="-8"/>
          <w:sz w:val="19"/>
        </w:rPr>
        <w:t xml:space="preserve"> </w:t>
      </w:r>
      <w:r>
        <w:rPr>
          <w:spacing w:val="-2"/>
          <w:sz w:val="19"/>
        </w:rPr>
        <w:t>of</w:t>
      </w:r>
      <w:r>
        <w:rPr>
          <w:spacing w:val="-8"/>
          <w:sz w:val="19"/>
        </w:rPr>
        <w:t xml:space="preserve"> </w:t>
      </w:r>
      <w:r>
        <w:rPr>
          <w:spacing w:val="-2"/>
          <w:sz w:val="19"/>
        </w:rPr>
        <w:t>accreditation</w:t>
      </w:r>
      <w:r>
        <w:rPr>
          <w:spacing w:val="-8"/>
          <w:sz w:val="19"/>
        </w:rPr>
        <w:t xml:space="preserve"> </w:t>
      </w:r>
      <w:r>
        <w:rPr>
          <w:spacing w:val="-2"/>
          <w:sz w:val="19"/>
        </w:rPr>
        <w:t>outcomes,</w:t>
      </w:r>
      <w:r>
        <w:rPr>
          <w:spacing w:val="-8"/>
          <w:sz w:val="19"/>
        </w:rPr>
        <w:t xml:space="preserve"> </w:t>
      </w:r>
      <w:r>
        <w:rPr>
          <w:spacing w:val="-2"/>
          <w:sz w:val="19"/>
        </w:rPr>
        <w:t xml:space="preserve"> </w:t>
      </w:r>
      <w:r>
        <w:rPr>
          <w:sz w:val="19"/>
        </w:rPr>
        <w:t xml:space="preserve">publications, </w:t>
      </w:r>
    </w:p>
    <w:p w14:paraId="66D3C7DD" w14:textId="276F308E" w:rsidR="009D54AF" w:rsidRDefault="00000000">
      <w:pPr>
        <w:spacing w:before="1"/>
        <w:ind w:left="425"/>
        <w:rPr>
          <w:sz w:val="19"/>
        </w:rPr>
      </w:pPr>
      <w:r>
        <w:rPr>
          <w:sz w:val="19"/>
        </w:rPr>
        <w:t xml:space="preserve">fact sheets, </w:t>
      </w:r>
    </w:p>
    <w:p w14:paraId="65A762E4" w14:textId="5FA52821" w:rsidR="009D54AF" w:rsidRDefault="00000000">
      <w:pPr>
        <w:spacing w:before="93"/>
        <w:ind w:left="425"/>
        <w:rPr>
          <w:sz w:val="19"/>
        </w:rPr>
      </w:pPr>
      <w:r>
        <w:rPr>
          <w:sz w:val="19"/>
        </w:rPr>
        <w:t>journal</w:t>
      </w:r>
      <w:r>
        <w:rPr>
          <w:spacing w:val="-3"/>
          <w:sz w:val="19"/>
        </w:rPr>
        <w:t xml:space="preserve"> </w:t>
      </w:r>
      <w:r>
        <w:rPr>
          <w:sz w:val="19"/>
        </w:rPr>
        <w:t>articles,</w:t>
      </w:r>
      <w:r>
        <w:rPr>
          <w:spacing w:val="-3"/>
          <w:sz w:val="19"/>
        </w:rPr>
        <w:t xml:space="preserve"> </w:t>
      </w:r>
    </w:p>
    <w:p w14:paraId="6189BD76" w14:textId="5E015660" w:rsidR="009D54AF" w:rsidRDefault="00000000">
      <w:pPr>
        <w:spacing w:before="92"/>
        <w:ind w:left="425"/>
        <w:rPr>
          <w:sz w:val="19"/>
        </w:rPr>
      </w:pPr>
      <w:r>
        <w:rPr>
          <w:sz w:val="19"/>
        </w:rPr>
        <w:t>new</w:t>
      </w:r>
      <w:r>
        <w:rPr>
          <w:spacing w:val="-1"/>
          <w:sz w:val="19"/>
        </w:rPr>
        <w:t xml:space="preserve"> </w:t>
      </w:r>
      <w:r>
        <w:rPr>
          <w:sz w:val="19"/>
        </w:rPr>
        <w:t>releases,</w:t>
      </w:r>
      <w:r>
        <w:rPr>
          <w:spacing w:val="-1"/>
          <w:sz w:val="19"/>
        </w:rPr>
        <w:t xml:space="preserve"> </w:t>
      </w:r>
    </w:p>
    <w:p w14:paraId="7C3642A3" w14:textId="0E038545" w:rsidR="009D54AF" w:rsidRDefault="00000000">
      <w:pPr>
        <w:spacing w:before="92" w:line="340" w:lineRule="auto"/>
        <w:ind w:left="142" w:right="6889" w:firstLine="283"/>
        <w:rPr>
          <w:sz w:val="19"/>
        </w:rPr>
      </w:pPr>
      <w:r>
        <w:rPr>
          <w:i/>
          <w:sz w:val="19"/>
        </w:rPr>
        <w:t>see</w:t>
      </w:r>
      <w:r>
        <w:rPr>
          <w:i/>
          <w:spacing w:val="-9"/>
          <w:sz w:val="19"/>
        </w:rPr>
        <w:t xml:space="preserve"> </w:t>
      </w:r>
      <w:r>
        <w:rPr>
          <w:sz w:val="19"/>
        </w:rPr>
        <w:t>also</w:t>
      </w:r>
      <w:r>
        <w:rPr>
          <w:spacing w:val="-9"/>
          <w:sz w:val="19"/>
        </w:rPr>
        <w:t xml:space="preserve"> </w:t>
      </w:r>
      <w:r>
        <w:rPr>
          <w:sz w:val="19"/>
        </w:rPr>
        <w:t>Clinical</w:t>
      </w:r>
      <w:r>
        <w:rPr>
          <w:spacing w:val="-9"/>
          <w:sz w:val="19"/>
        </w:rPr>
        <w:t xml:space="preserve"> </w:t>
      </w:r>
      <w:r>
        <w:rPr>
          <w:sz w:val="19"/>
        </w:rPr>
        <w:t>Care</w:t>
      </w:r>
      <w:r>
        <w:rPr>
          <w:spacing w:val="-9"/>
          <w:sz w:val="19"/>
        </w:rPr>
        <w:t xml:space="preserve"> </w:t>
      </w:r>
      <w:r>
        <w:rPr>
          <w:sz w:val="19"/>
        </w:rPr>
        <w:t>Standards Purple House,</w:t>
      </w:r>
    </w:p>
    <w:p w14:paraId="48A76133" w14:textId="4FE01184" w:rsidR="009D54AF" w:rsidRDefault="00000000">
      <w:pPr>
        <w:spacing w:before="2"/>
        <w:ind w:left="142"/>
        <w:rPr>
          <w:sz w:val="19"/>
        </w:rPr>
      </w:pPr>
      <w:r>
        <w:rPr>
          <w:sz w:val="19"/>
        </w:rPr>
        <w:t>purpose</w:t>
      </w:r>
      <w:r>
        <w:rPr>
          <w:spacing w:val="-4"/>
          <w:sz w:val="19"/>
        </w:rPr>
        <w:t xml:space="preserve"> </w:t>
      </w:r>
      <w:r>
        <w:rPr>
          <w:sz w:val="19"/>
        </w:rPr>
        <w:t>and</w:t>
      </w:r>
      <w:r>
        <w:rPr>
          <w:spacing w:val="-3"/>
          <w:sz w:val="19"/>
        </w:rPr>
        <w:t xml:space="preserve"> </w:t>
      </w:r>
      <w:r>
        <w:rPr>
          <w:sz w:val="19"/>
        </w:rPr>
        <w:t>functions</w:t>
      </w:r>
      <w:r>
        <w:rPr>
          <w:spacing w:val="-3"/>
          <w:sz w:val="19"/>
        </w:rPr>
        <w:t xml:space="preserve"> </w:t>
      </w:r>
      <w:r>
        <w:rPr>
          <w:sz w:val="19"/>
        </w:rPr>
        <w:t>of</w:t>
      </w:r>
      <w:r>
        <w:rPr>
          <w:spacing w:val="-3"/>
          <w:sz w:val="19"/>
        </w:rPr>
        <w:t xml:space="preserve"> </w:t>
      </w:r>
      <w:r>
        <w:rPr>
          <w:sz w:val="19"/>
        </w:rPr>
        <w:t>Commission,</w:t>
      </w:r>
      <w:r>
        <w:rPr>
          <w:spacing w:val="-3"/>
          <w:sz w:val="19"/>
        </w:rPr>
        <w:t xml:space="preserve"> </w:t>
      </w:r>
    </w:p>
    <w:p w14:paraId="5848B047" w14:textId="6D30B76E" w:rsidR="009D54AF" w:rsidRDefault="00000000">
      <w:pPr>
        <w:spacing w:before="92"/>
        <w:ind w:left="425"/>
        <w:rPr>
          <w:sz w:val="19"/>
        </w:rPr>
      </w:pPr>
      <w:r>
        <w:rPr>
          <w:sz w:val="19"/>
        </w:rPr>
        <w:t>analysis</w:t>
      </w:r>
      <w:r>
        <w:rPr>
          <w:spacing w:val="-2"/>
          <w:sz w:val="19"/>
        </w:rPr>
        <w:t xml:space="preserve"> </w:t>
      </w:r>
      <w:r>
        <w:rPr>
          <w:sz w:val="19"/>
        </w:rPr>
        <w:t>of</w:t>
      </w:r>
      <w:r>
        <w:rPr>
          <w:spacing w:val="-2"/>
          <w:sz w:val="19"/>
        </w:rPr>
        <w:t xml:space="preserve"> </w:t>
      </w:r>
      <w:r>
        <w:rPr>
          <w:sz w:val="19"/>
        </w:rPr>
        <w:t>performance</w:t>
      </w:r>
      <w:r>
        <w:rPr>
          <w:spacing w:val="-2"/>
          <w:sz w:val="19"/>
        </w:rPr>
        <w:t xml:space="preserve"> </w:t>
      </w:r>
      <w:r>
        <w:rPr>
          <w:sz w:val="19"/>
        </w:rPr>
        <w:t>against</w:t>
      </w:r>
      <w:r>
        <w:rPr>
          <w:spacing w:val="-2"/>
          <w:sz w:val="19"/>
        </w:rPr>
        <w:t xml:space="preserve"> </w:t>
      </w:r>
      <w:r>
        <w:rPr>
          <w:sz w:val="19"/>
        </w:rPr>
        <w:t>purpose,</w:t>
      </w:r>
      <w:r>
        <w:rPr>
          <w:spacing w:val="-3"/>
          <w:sz w:val="19"/>
        </w:rPr>
        <w:t xml:space="preserve"> </w:t>
      </w:r>
      <w:r>
        <w:rPr>
          <w:i/>
          <w:sz w:val="19"/>
        </w:rPr>
        <w:t>see</w:t>
      </w:r>
      <w:r>
        <w:rPr>
          <w:i/>
          <w:spacing w:val="-2"/>
          <w:sz w:val="19"/>
        </w:rPr>
        <w:t xml:space="preserve"> </w:t>
      </w:r>
      <w:r>
        <w:rPr>
          <w:i/>
          <w:sz w:val="19"/>
        </w:rPr>
        <w:t>also</w:t>
      </w:r>
      <w:r>
        <w:rPr>
          <w:i/>
          <w:spacing w:val="-1"/>
          <w:sz w:val="19"/>
        </w:rPr>
        <w:t xml:space="preserve"> </w:t>
      </w:r>
      <w:r>
        <w:rPr>
          <w:spacing w:val="-2"/>
          <w:sz w:val="19"/>
        </w:rPr>
        <w:t>performance</w:t>
      </w:r>
    </w:p>
    <w:p w14:paraId="779F69F5" w14:textId="77777777" w:rsidR="009D54AF" w:rsidRDefault="00000000">
      <w:pPr>
        <w:pStyle w:val="Heading4"/>
        <w:spacing w:before="279"/>
      </w:pPr>
      <w:r>
        <w:rPr>
          <w:spacing w:val="-10"/>
        </w:rPr>
        <w:t>Q</w:t>
      </w:r>
    </w:p>
    <w:p w14:paraId="39B0D7DC" w14:textId="31C61B6D" w:rsidR="009D54AF" w:rsidRDefault="00000000" w:rsidP="006B64C0">
      <w:pPr>
        <w:spacing w:before="112" w:line="340" w:lineRule="auto"/>
        <w:ind w:left="142" w:right="7436"/>
        <w:rPr>
          <w:sz w:val="19"/>
        </w:rPr>
      </w:pPr>
      <w:r>
        <w:rPr>
          <w:sz w:val="19"/>
        </w:rPr>
        <w:t>quality assessment framework,  quality improvement, defined,  ‘quality’</w:t>
      </w:r>
      <w:r>
        <w:rPr>
          <w:spacing w:val="-10"/>
          <w:sz w:val="19"/>
        </w:rPr>
        <w:t xml:space="preserve"> </w:t>
      </w:r>
      <w:r>
        <w:rPr>
          <w:sz w:val="19"/>
        </w:rPr>
        <w:t>in</w:t>
      </w:r>
      <w:r>
        <w:rPr>
          <w:spacing w:val="-3"/>
          <w:sz w:val="19"/>
        </w:rPr>
        <w:t xml:space="preserve"> </w:t>
      </w:r>
      <w:r>
        <w:rPr>
          <w:sz w:val="19"/>
        </w:rPr>
        <w:t>health</w:t>
      </w:r>
      <w:r>
        <w:rPr>
          <w:spacing w:val="-3"/>
          <w:sz w:val="19"/>
        </w:rPr>
        <w:t xml:space="preserve"> </w:t>
      </w:r>
      <w:r>
        <w:rPr>
          <w:sz w:val="19"/>
        </w:rPr>
        <w:t>care,</w:t>
      </w:r>
      <w:r>
        <w:rPr>
          <w:spacing w:val="-3"/>
          <w:sz w:val="19"/>
        </w:rPr>
        <w:t xml:space="preserve"> </w:t>
      </w:r>
      <w:r>
        <w:rPr>
          <w:sz w:val="19"/>
        </w:rPr>
        <w:t>defining,</w:t>
      </w:r>
      <w:r>
        <w:rPr>
          <w:spacing w:val="-2"/>
          <w:sz w:val="19"/>
        </w:rPr>
        <w:t xml:space="preserve"> </w:t>
      </w:r>
    </w:p>
    <w:p w14:paraId="5055F680" w14:textId="4343DCF4" w:rsidR="009D54AF" w:rsidRDefault="00000000">
      <w:pPr>
        <w:spacing w:before="2" w:line="340" w:lineRule="auto"/>
        <w:ind w:left="142" w:right="3132"/>
        <w:jc w:val="both"/>
        <w:rPr>
          <w:sz w:val="19"/>
        </w:rPr>
      </w:pPr>
      <w:r>
        <w:rPr>
          <w:sz w:val="19"/>
        </w:rPr>
        <w:t>quality</w:t>
      </w:r>
      <w:r>
        <w:rPr>
          <w:spacing w:val="-4"/>
          <w:sz w:val="19"/>
        </w:rPr>
        <w:t xml:space="preserve"> </w:t>
      </w:r>
      <w:r>
        <w:rPr>
          <w:sz w:val="19"/>
        </w:rPr>
        <w:t>standards</w:t>
      </w:r>
      <w:r>
        <w:rPr>
          <w:spacing w:val="-5"/>
          <w:sz w:val="19"/>
        </w:rPr>
        <w:t xml:space="preserve"> </w:t>
      </w:r>
      <w:r>
        <w:rPr>
          <w:i/>
          <w:sz w:val="19"/>
        </w:rPr>
        <w:t>see</w:t>
      </w:r>
      <w:r>
        <w:rPr>
          <w:i/>
          <w:spacing w:val="-4"/>
          <w:sz w:val="19"/>
        </w:rPr>
        <w:t xml:space="preserve"> </w:t>
      </w:r>
      <w:r>
        <w:rPr>
          <w:sz w:val="19"/>
        </w:rPr>
        <w:t>National</w:t>
      </w:r>
      <w:r>
        <w:rPr>
          <w:spacing w:val="-4"/>
          <w:sz w:val="19"/>
        </w:rPr>
        <w:t xml:space="preserve"> </w:t>
      </w:r>
      <w:r>
        <w:rPr>
          <w:sz w:val="19"/>
        </w:rPr>
        <w:t>Safety</w:t>
      </w:r>
      <w:r>
        <w:rPr>
          <w:spacing w:val="-4"/>
          <w:sz w:val="19"/>
        </w:rPr>
        <w:t xml:space="preserve"> </w:t>
      </w:r>
      <w:r>
        <w:rPr>
          <w:sz w:val="19"/>
        </w:rPr>
        <w:t>and</w:t>
      </w:r>
      <w:r>
        <w:rPr>
          <w:spacing w:val="-4"/>
          <w:sz w:val="19"/>
        </w:rPr>
        <w:t xml:space="preserve"> </w:t>
      </w:r>
      <w:r>
        <w:rPr>
          <w:sz w:val="19"/>
        </w:rPr>
        <w:t>Quality</w:t>
      </w:r>
      <w:r>
        <w:rPr>
          <w:spacing w:val="-4"/>
          <w:sz w:val="19"/>
        </w:rPr>
        <w:t xml:space="preserve"> </w:t>
      </w:r>
      <w:r>
        <w:rPr>
          <w:sz w:val="19"/>
        </w:rPr>
        <w:t>Health</w:t>
      </w:r>
      <w:r>
        <w:rPr>
          <w:spacing w:val="-4"/>
          <w:sz w:val="19"/>
        </w:rPr>
        <w:t xml:space="preserve"> </w:t>
      </w:r>
      <w:r>
        <w:rPr>
          <w:sz w:val="19"/>
        </w:rPr>
        <w:t>Service</w:t>
      </w:r>
      <w:r>
        <w:rPr>
          <w:spacing w:val="-4"/>
          <w:sz w:val="19"/>
        </w:rPr>
        <w:t xml:space="preserve"> </w:t>
      </w:r>
      <w:r>
        <w:rPr>
          <w:sz w:val="19"/>
        </w:rPr>
        <w:t>(NSQHS)</w:t>
      </w:r>
      <w:r>
        <w:rPr>
          <w:spacing w:val="-4"/>
          <w:sz w:val="19"/>
        </w:rPr>
        <w:t xml:space="preserve"> </w:t>
      </w:r>
      <w:r>
        <w:rPr>
          <w:sz w:val="19"/>
        </w:rPr>
        <w:t xml:space="preserve">Standards Quality Use of Diagnostics, Therapeutics and Pathology Program, </w:t>
      </w:r>
    </w:p>
    <w:p w14:paraId="0CDE75B4" w14:textId="417B762C" w:rsidR="009D54AF" w:rsidRDefault="00000000">
      <w:pPr>
        <w:spacing w:before="1"/>
        <w:ind w:left="142"/>
        <w:jc w:val="both"/>
        <w:rPr>
          <w:sz w:val="19"/>
        </w:rPr>
      </w:pPr>
      <w:r>
        <w:rPr>
          <w:sz w:val="19"/>
        </w:rPr>
        <w:t>quality</w:t>
      </w:r>
      <w:r>
        <w:rPr>
          <w:spacing w:val="-1"/>
          <w:sz w:val="19"/>
        </w:rPr>
        <w:t xml:space="preserve"> </w:t>
      </w:r>
      <w:r>
        <w:rPr>
          <w:sz w:val="19"/>
        </w:rPr>
        <w:t>use of</w:t>
      </w:r>
      <w:r>
        <w:rPr>
          <w:spacing w:val="-1"/>
          <w:sz w:val="19"/>
        </w:rPr>
        <w:t xml:space="preserve"> </w:t>
      </w:r>
      <w:r>
        <w:rPr>
          <w:sz w:val="19"/>
        </w:rPr>
        <w:t xml:space="preserve">medicines, </w:t>
      </w:r>
    </w:p>
    <w:p w14:paraId="4D562EC4" w14:textId="7F1A8DCD" w:rsidR="009D54AF" w:rsidRDefault="00000000">
      <w:pPr>
        <w:spacing w:before="92"/>
        <w:ind w:left="425"/>
        <w:jc w:val="both"/>
        <w:rPr>
          <w:sz w:val="19"/>
        </w:rPr>
      </w:pPr>
      <w:r>
        <w:rPr>
          <w:sz w:val="19"/>
        </w:rPr>
        <w:t>National</w:t>
      </w:r>
      <w:r>
        <w:rPr>
          <w:spacing w:val="-2"/>
          <w:sz w:val="19"/>
        </w:rPr>
        <w:t xml:space="preserve"> </w:t>
      </w:r>
      <w:r>
        <w:rPr>
          <w:sz w:val="19"/>
        </w:rPr>
        <w:t>Medicines</w:t>
      </w:r>
      <w:r>
        <w:rPr>
          <w:spacing w:val="-1"/>
          <w:sz w:val="19"/>
        </w:rPr>
        <w:t xml:space="preserve"> </w:t>
      </w:r>
      <w:r>
        <w:rPr>
          <w:sz w:val="19"/>
        </w:rPr>
        <w:t>Symposium,</w:t>
      </w:r>
      <w:r>
        <w:rPr>
          <w:spacing w:val="-2"/>
          <w:sz w:val="19"/>
        </w:rPr>
        <w:t xml:space="preserve"> </w:t>
      </w:r>
    </w:p>
    <w:p w14:paraId="7E4CEDC4" w14:textId="77777777" w:rsidR="009D54AF" w:rsidRDefault="00000000">
      <w:pPr>
        <w:spacing w:before="93"/>
        <w:ind w:left="425"/>
        <w:jc w:val="both"/>
        <w:rPr>
          <w:sz w:val="19"/>
        </w:rPr>
      </w:pPr>
      <w:r>
        <w:rPr>
          <w:i/>
          <w:sz w:val="19"/>
        </w:rPr>
        <w:t>see</w:t>
      </w:r>
      <w:r>
        <w:rPr>
          <w:i/>
          <w:spacing w:val="-5"/>
          <w:sz w:val="19"/>
        </w:rPr>
        <w:t xml:space="preserve"> </w:t>
      </w:r>
      <w:r>
        <w:rPr>
          <w:i/>
          <w:sz w:val="19"/>
        </w:rPr>
        <w:t>also</w:t>
      </w:r>
      <w:r>
        <w:rPr>
          <w:i/>
          <w:spacing w:val="-5"/>
          <w:sz w:val="19"/>
        </w:rPr>
        <w:t xml:space="preserve"> </w:t>
      </w:r>
      <w:r>
        <w:rPr>
          <w:sz w:val="19"/>
        </w:rPr>
        <w:t>medication</w:t>
      </w:r>
      <w:r>
        <w:rPr>
          <w:spacing w:val="-4"/>
          <w:sz w:val="19"/>
        </w:rPr>
        <w:t xml:space="preserve"> </w:t>
      </w:r>
      <w:r>
        <w:rPr>
          <w:spacing w:val="-2"/>
          <w:sz w:val="19"/>
        </w:rPr>
        <w:t>safety</w:t>
      </w:r>
    </w:p>
    <w:p w14:paraId="684A6CDD" w14:textId="77777777" w:rsidR="009D54AF" w:rsidRDefault="00000000">
      <w:pPr>
        <w:pStyle w:val="Heading4"/>
        <w:spacing w:before="279"/>
      </w:pPr>
      <w:r>
        <w:rPr>
          <w:spacing w:val="-10"/>
        </w:rPr>
        <w:t>R</w:t>
      </w:r>
    </w:p>
    <w:p w14:paraId="0A3F5373" w14:textId="10BA66A1" w:rsidR="009D54AF" w:rsidRDefault="00000000">
      <w:pPr>
        <w:spacing w:before="112"/>
        <w:ind w:left="142"/>
        <w:rPr>
          <w:sz w:val="19"/>
        </w:rPr>
      </w:pPr>
      <w:r>
        <w:rPr>
          <w:sz w:val="19"/>
        </w:rPr>
        <w:t xml:space="preserve">reconciliation, </w:t>
      </w:r>
    </w:p>
    <w:p w14:paraId="3A710B3D" w14:textId="14ADA7BC" w:rsidR="009D54AF" w:rsidRDefault="00000000">
      <w:pPr>
        <w:spacing w:before="92"/>
        <w:ind w:left="425"/>
        <w:rPr>
          <w:sz w:val="19"/>
        </w:rPr>
      </w:pPr>
      <w:r>
        <w:rPr>
          <w:sz w:val="19"/>
        </w:rPr>
        <w:t>National</w:t>
      </w:r>
      <w:r>
        <w:rPr>
          <w:spacing w:val="-6"/>
          <w:sz w:val="19"/>
        </w:rPr>
        <w:t xml:space="preserve"> </w:t>
      </w:r>
      <w:r>
        <w:rPr>
          <w:sz w:val="19"/>
        </w:rPr>
        <w:t>Reconciliation</w:t>
      </w:r>
      <w:r>
        <w:rPr>
          <w:spacing w:val="-6"/>
          <w:sz w:val="19"/>
        </w:rPr>
        <w:t xml:space="preserve"> </w:t>
      </w:r>
      <w:r>
        <w:rPr>
          <w:sz w:val="19"/>
        </w:rPr>
        <w:t>Week</w:t>
      </w:r>
      <w:r>
        <w:rPr>
          <w:spacing w:val="-6"/>
          <w:sz w:val="19"/>
        </w:rPr>
        <w:t xml:space="preserve"> </w:t>
      </w:r>
      <w:r>
        <w:rPr>
          <w:sz w:val="19"/>
        </w:rPr>
        <w:t>2026,</w:t>
      </w:r>
      <w:r>
        <w:rPr>
          <w:spacing w:val="-6"/>
          <w:sz w:val="19"/>
        </w:rPr>
        <w:t xml:space="preserve"> </w:t>
      </w:r>
    </w:p>
    <w:p w14:paraId="1DC9004C" w14:textId="09A8B38D" w:rsidR="009D54AF" w:rsidRDefault="00000000">
      <w:pPr>
        <w:spacing w:before="93" w:line="340" w:lineRule="auto"/>
        <w:ind w:left="425" w:right="6600"/>
        <w:rPr>
          <w:sz w:val="19"/>
        </w:rPr>
      </w:pPr>
      <w:r>
        <w:rPr>
          <w:sz w:val="19"/>
        </w:rPr>
        <w:t>Reconciliation</w:t>
      </w:r>
      <w:r>
        <w:rPr>
          <w:spacing w:val="-14"/>
          <w:sz w:val="19"/>
        </w:rPr>
        <w:t xml:space="preserve"> </w:t>
      </w:r>
      <w:r>
        <w:rPr>
          <w:sz w:val="19"/>
        </w:rPr>
        <w:t>Action</w:t>
      </w:r>
      <w:r>
        <w:rPr>
          <w:spacing w:val="-9"/>
          <w:sz w:val="19"/>
        </w:rPr>
        <w:t xml:space="preserve"> </w:t>
      </w:r>
      <w:r>
        <w:rPr>
          <w:sz w:val="19"/>
        </w:rPr>
        <w:t>Plan,</w:t>
      </w:r>
      <w:r>
        <w:rPr>
          <w:spacing w:val="-7"/>
          <w:sz w:val="19"/>
        </w:rPr>
        <w:t xml:space="preserve"> </w:t>
      </w:r>
      <w:r>
        <w:rPr>
          <w:sz w:val="19"/>
        </w:rPr>
        <w:t xml:space="preserve"> Reconciliation</w:t>
      </w:r>
      <w:r>
        <w:rPr>
          <w:spacing w:val="-8"/>
          <w:sz w:val="19"/>
        </w:rPr>
        <w:t xml:space="preserve"> </w:t>
      </w:r>
      <w:r>
        <w:rPr>
          <w:sz w:val="19"/>
        </w:rPr>
        <w:t>Working</w:t>
      </w:r>
      <w:r>
        <w:rPr>
          <w:spacing w:val="-7"/>
          <w:sz w:val="19"/>
        </w:rPr>
        <w:t xml:space="preserve"> </w:t>
      </w:r>
      <w:r>
        <w:rPr>
          <w:sz w:val="19"/>
        </w:rPr>
        <w:t>Group,</w:t>
      </w:r>
      <w:r>
        <w:rPr>
          <w:spacing w:val="-7"/>
          <w:sz w:val="19"/>
        </w:rPr>
        <w:t xml:space="preserve"> </w:t>
      </w:r>
    </w:p>
    <w:p w14:paraId="431D34FB" w14:textId="288E2A55" w:rsidR="009D54AF" w:rsidRDefault="00000000">
      <w:pPr>
        <w:spacing w:before="1"/>
        <w:ind w:left="142"/>
        <w:rPr>
          <w:sz w:val="19"/>
        </w:rPr>
      </w:pPr>
      <w:r>
        <w:rPr>
          <w:sz w:val="19"/>
        </w:rPr>
        <w:t xml:space="preserve">records management, </w:t>
      </w:r>
    </w:p>
    <w:p w14:paraId="52866510" w14:textId="12157757" w:rsidR="009D54AF" w:rsidRDefault="00000000">
      <w:pPr>
        <w:spacing w:before="92"/>
        <w:ind w:left="142"/>
        <w:rPr>
          <w:sz w:val="19"/>
        </w:rPr>
      </w:pPr>
      <w:r>
        <w:rPr>
          <w:sz w:val="19"/>
        </w:rPr>
        <w:t xml:space="preserve">recruitment, </w:t>
      </w:r>
    </w:p>
    <w:p w14:paraId="1CD8CF9A" w14:textId="38D773A3" w:rsidR="006B64C0" w:rsidRDefault="00000000" w:rsidP="006B64C0">
      <w:pPr>
        <w:spacing w:before="93" w:line="278" w:lineRule="auto"/>
        <w:ind w:left="142" w:right="6600"/>
        <w:rPr>
          <w:sz w:val="19"/>
        </w:rPr>
      </w:pPr>
      <w:r>
        <w:rPr>
          <w:sz w:val="19"/>
        </w:rPr>
        <w:t>related-entity</w:t>
      </w:r>
      <w:r>
        <w:rPr>
          <w:spacing w:val="-11"/>
          <w:sz w:val="19"/>
        </w:rPr>
        <w:t xml:space="preserve"> </w:t>
      </w:r>
      <w:r>
        <w:rPr>
          <w:sz w:val="19"/>
        </w:rPr>
        <w:t>transactions,</w:t>
      </w:r>
      <w:r>
        <w:rPr>
          <w:spacing w:val="-11"/>
          <w:sz w:val="19"/>
        </w:rPr>
        <w:t xml:space="preserve"> </w:t>
      </w:r>
    </w:p>
    <w:p w14:paraId="08DFF587" w14:textId="2D9A8B25" w:rsidR="009D54AF" w:rsidRDefault="00000000">
      <w:pPr>
        <w:spacing w:before="93" w:line="340" w:lineRule="auto"/>
        <w:ind w:left="142" w:right="6600"/>
        <w:rPr>
          <w:sz w:val="19"/>
        </w:rPr>
      </w:pPr>
      <w:r>
        <w:rPr>
          <w:spacing w:val="-2"/>
          <w:sz w:val="19"/>
        </w:rPr>
        <w:t>remuneration</w:t>
      </w:r>
    </w:p>
    <w:p w14:paraId="12DADFF0" w14:textId="4F3E841F" w:rsidR="009D54AF" w:rsidRDefault="00000000">
      <w:pPr>
        <w:spacing w:before="1" w:line="340" w:lineRule="auto"/>
        <w:ind w:left="425" w:right="6600"/>
        <w:rPr>
          <w:sz w:val="19"/>
        </w:rPr>
      </w:pPr>
      <w:r>
        <w:rPr>
          <w:sz w:val="19"/>
        </w:rPr>
        <w:t>Audit</w:t>
      </w:r>
      <w:r>
        <w:rPr>
          <w:spacing w:val="-7"/>
          <w:sz w:val="19"/>
        </w:rPr>
        <w:t xml:space="preserve"> </w:t>
      </w:r>
      <w:r>
        <w:rPr>
          <w:sz w:val="19"/>
        </w:rPr>
        <w:t>and</w:t>
      </w:r>
      <w:r>
        <w:rPr>
          <w:spacing w:val="-7"/>
          <w:sz w:val="19"/>
        </w:rPr>
        <w:t xml:space="preserve"> </w:t>
      </w:r>
      <w:r>
        <w:rPr>
          <w:sz w:val="19"/>
        </w:rPr>
        <w:t>Risk</w:t>
      </w:r>
      <w:r>
        <w:rPr>
          <w:spacing w:val="-7"/>
          <w:sz w:val="19"/>
        </w:rPr>
        <w:t xml:space="preserve"> </w:t>
      </w:r>
      <w:r>
        <w:rPr>
          <w:sz w:val="19"/>
        </w:rPr>
        <w:t>Committee</w:t>
      </w:r>
      <w:r>
        <w:rPr>
          <w:spacing w:val="-7"/>
          <w:sz w:val="19"/>
        </w:rPr>
        <w:t xml:space="preserve"> </w:t>
      </w:r>
      <w:r>
        <w:rPr>
          <w:sz w:val="19"/>
        </w:rPr>
        <w:t>members,</w:t>
      </w:r>
      <w:r>
        <w:rPr>
          <w:spacing w:val="-7"/>
          <w:sz w:val="19"/>
        </w:rPr>
        <w:t xml:space="preserve"> </w:t>
      </w:r>
      <w:r>
        <w:rPr>
          <w:sz w:val="19"/>
        </w:rPr>
        <w:t xml:space="preserve"> Board members, </w:t>
      </w:r>
    </w:p>
    <w:p w14:paraId="71CDADE3" w14:textId="639BEBF4" w:rsidR="009D54AF" w:rsidRDefault="00000000">
      <w:pPr>
        <w:spacing w:before="1"/>
        <w:ind w:left="425"/>
        <w:rPr>
          <w:sz w:val="19"/>
        </w:rPr>
      </w:pPr>
      <w:r>
        <w:rPr>
          <w:sz w:val="19"/>
        </w:rPr>
        <w:t xml:space="preserve">employees, </w:t>
      </w:r>
    </w:p>
    <w:p w14:paraId="7A94C40A" w14:textId="645332FA" w:rsidR="006B64C0" w:rsidRDefault="00000000">
      <w:pPr>
        <w:spacing w:before="92"/>
        <w:ind w:left="425"/>
        <w:rPr>
          <w:sz w:val="19"/>
        </w:rPr>
      </w:pPr>
      <w:r>
        <w:rPr>
          <w:sz w:val="19"/>
        </w:rPr>
        <w:t>executives,</w:t>
      </w:r>
      <w:r>
        <w:rPr>
          <w:spacing w:val="-3"/>
          <w:sz w:val="19"/>
        </w:rPr>
        <w:t xml:space="preserve"> </w:t>
      </w:r>
    </w:p>
    <w:p w14:paraId="66D79BC7" w14:textId="77777777" w:rsidR="006B64C0" w:rsidRDefault="006B64C0">
      <w:pPr>
        <w:rPr>
          <w:sz w:val="19"/>
        </w:rPr>
      </w:pPr>
      <w:r>
        <w:rPr>
          <w:sz w:val="19"/>
        </w:rPr>
        <w:br w:type="page"/>
      </w:r>
    </w:p>
    <w:p w14:paraId="3831A719" w14:textId="3BF02AA3" w:rsidR="009D54AF" w:rsidRDefault="00000000">
      <w:pPr>
        <w:spacing w:before="93" w:line="340" w:lineRule="auto"/>
        <w:ind w:left="425" w:right="7238"/>
        <w:rPr>
          <w:sz w:val="19"/>
        </w:rPr>
      </w:pPr>
      <w:r>
        <w:rPr>
          <w:sz w:val="19"/>
        </w:rPr>
        <w:lastRenderedPageBreak/>
        <w:t>key</w:t>
      </w:r>
      <w:r>
        <w:rPr>
          <w:spacing w:val="-11"/>
          <w:sz w:val="19"/>
        </w:rPr>
        <w:t xml:space="preserve"> </w:t>
      </w:r>
      <w:r>
        <w:rPr>
          <w:sz w:val="19"/>
        </w:rPr>
        <w:t>management</w:t>
      </w:r>
      <w:r>
        <w:rPr>
          <w:spacing w:val="-11"/>
          <w:sz w:val="19"/>
        </w:rPr>
        <w:t xml:space="preserve"> </w:t>
      </w:r>
      <w:r>
        <w:rPr>
          <w:sz w:val="19"/>
        </w:rPr>
        <w:t>personnel,</w:t>
      </w:r>
      <w:r>
        <w:rPr>
          <w:spacing w:val="-11"/>
          <w:sz w:val="19"/>
        </w:rPr>
        <w:t xml:space="preserve"> </w:t>
      </w:r>
      <w:r>
        <w:rPr>
          <w:sz w:val="19"/>
        </w:rPr>
        <w:t xml:space="preserve"> other highly paid staff, </w:t>
      </w:r>
    </w:p>
    <w:p w14:paraId="63E44079" w14:textId="35746739" w:rsidR="009D54AF" w:rsidRDefault="00000000">
      <w:pPr>
        <w:spacing w:before="1"/>
        <w:ind w:left="142"/>
        <w:rPr>
          <w:sz w:val="19"/>
        </w:rPr>
      </w:pPr>
      <w:r>
        <w:rPr>
          <w:i/>
          <w:sz w:val="19"/>
        </w:rPr>
        <w:t>Requirements</w:t>
      </w:r>
      <w:r>
        <w:rPr>
          <w:i/>
          <w:spacing w:val="-1"/>
          <w:sz w:val="19"/>
        </w:rPr>
        <w:t xml:space="preserve"> </w:t>
      </w:r>
      <w:r>
        <w:rPr>
          <w:i/>
          <w:sz w:val="19"/>
        </w:rPr>
        <w:t>for</w:t>
      </w:r>
      <w:r>
        <w:rPr>
          <w:i/>
          <w:spacing w:val="-1"/>
          <w:sz w:val="19"/>
        </w:rPr>
        <w:t xml:space="preserve"> </w:t>
      </w:r>
      <w:r>
        <w:rPr>
          <w:i/>
          <w:sz w:val="19"/>
        </w:rPr>
        <w:t>laboratory</w:t>
      </w:r>
      <w:r>
        <w:rPr>
          <w:i/>
          <w:spacing w:val="-1"/>
          <w:sz w:val="19"/>
        </w:rPr>
        <w:t xml:space="preserve"> </w:t>
      </w:r>
      <w:r>
        <w:rPr>
          <w:i/>
          <w:sz w:val="19"/>
        </w:rPr>
        <w:t>testing</w:t>
      </w:r>
      <w:r>
        <w:rPr>
          <w:i/>
          <w:spacing w:val="-1"/>
          <w:sz w:val="19"/>
        </w:rPr>
        <w:t xml:space="preserve"> </w:t>
      </w:r>
      <w:r>
        <w:rPr>
          <w:i/>
          <w:sz w:val="19"/>
        </w:rPr>
        <w:t>of</w:t>
      </w:r>
      <w:r>
        <w:rPr>
          <w:i/>
          <w:spacing w:val="-1"/>
          <w:sz w:val="19"/>
        </w:rPr>
        <w:t xml:space="preserve"> </w:t>
      </w:r>
      <w:r>
        <w:rPr>
          <w:i/>
          <w:sz w:val="19"/>
        </w:rPr>
        <w:t>human</w:t>
      </w:r>
      <w:r>
        <w:rPr>
          <w:i/>
          <w:spacing w:val="-1"/>
          <w:sz w:val="19"/>
        </w:rPr>
        <w:t xml:space="preserve"> </w:t>
      </w:r>
      <w:r>
        <w:rPr>
          <w:i/>
          <w:sz w:val="19"/>
        </w:rPr>
        <w:t>immunodeficiency virus</w:t>
      </w:r>
      <w:r>
        <w:rPr>
          <w:i/>
          <w:spacing w:val="-1"/>
          <w:sz w:val="19"/>
        </w:rPr>
        <w:t xml:space="preserve"> </w:t>
      </w:r>
      <w:r>
        <w:rPr>
          <w:i/>
          <w:sz w:val="19"/>
        </w:rPr>
        <w:t>(HIV)</w:t>
      </w:r>
      <w:r>
        <w:rPr>
          <w:i/>
          <w:spacing w:val="-1"/>
          <w:sz w:val="19"/>
        </w:rPr>
        <w:t xml:space="preserve"> </w:t>
      </w:r>
      <w:r>
        <w:rPr>
          <w:i/>
          <w:sz w:val="19"/>
        </w:rPr>
        <w:t>and</w:t>
      </w:r>
      <w:r>
        <w:rPr>
          <w:i/>
          <w:spacing w:val="-1"/>
          <w:sz w:val="19"/>
        </w:rPr>
        <w:t xml:space="preserve"> </w:t>
      </w:r>
      <w:r>
        <w:rPr>
          <w:i/>
          <w:sz w:val="19"/>
        </w:rPr>
        <w:t>hepatitis</w:t>
      </w:r>
      <w:r>
        <w:rPr>
          <w:i/>
          <w:spacing w:val="-1"/>
          <w:sz w:val="19"/>
        </w:rPr>
        <w:t xml:space="preserve"> </w:t>
      </w:r>
      <w:r>
        <w:rPr>
          <w:i/>
          <w:sz w:val="19"/>
        </w:rPr>
        <w:t>C</w:t>
      </w:r>
      <w:r>
        <w:rPr>
          <w:i/>
          <w:spacing w:val="-1"/>
          <w:sz w:val="19"/>
        </w:rPr>
        <w:t xml:space="preserve"> </w:t>
      </w:r>
      <w:r>
        <w:rPr>
          <w:i/>
          <w:sz w:val="19"/>
        </w:rPr>
        <w:t>virus</w:t>
      </w:r>
      <w:r>
        <w:rPr>
          <w:i/>
          <w:spacing w:val="-1"/>
          <w:sz w:val="19"/>
        </w:rPr>
        <w:t xml:space="preserve"> </w:t>
      </w:r>
      <w:r>
        <w:rPr>
          <w:i/>
          <w:sz w:val="19"/>
        </w:rPr>
        <w:t>(HCV)</w:t>
      </w:r>
      <w:r>
        <w:rPr>
          <w:sz w:val="19"/>
        </w:rPr>
        <w:t xml:space="preserve">, </w:t>
      </w:r>
    </w:p>
    <w:p w14:paraId="468A4C5B" w14:textId="5F998641" w:rsidR="009D54AF" w:rsidRDefault="00000000">
      <w:pPr>
        <w:spacing w:before="92"/>
        <w:ind w:left="142"/>
        <w:rPr>
          <w:sz w:val="19"/>
        </w:rPr>
      </w:pPr>
      <w:r>
        <w:rPr>
          <w:i/>
          <w:sz w:val="19"/>
        </w:rPr>
        <w:t>Requirements</w:t>
      </w:r>
      <w:r>
        <w:rPr>
          <w:i/>
          <w:spacing w:val="-3"/>
          <w:sz w:val="19"/>
        </w:rPr>
        <w:t xml:space="preserve"> </w:t>
      </w:r>
      <w:r>
        <w:rPr>
          <w:i/>
          <w:sz w:val="19"/>
        </w:rPr>
        <w:t>for</w:t>
      </w:r>
      <w:r>
        <w:rPr>
          <w:i/>
          <w:spacing w:val="-3"/>
          <w:sz w:val="19"/>
        </w:rPr>
        <w:t xml:space="preserve"> </w:t>
      </w:r>
      <w:r>
        <w:rPr>
          <w:i/>
          <w:sz w:val="19"/>
        </w:rPr>
        <w:t>medical</w:t>
      </w:r>
      <w:r>
        <w:rPr>
          <w:i/>
          <w:spacing w:val="-3"/>
          <w:sz w:val="19"/>
        </w:rPr>
        <w:t xml:space="preserve"> </w:t>
      </w:r>
      <w:r>
        <w:rPr>
          <w:i/>
          <w:sz w:val="19"/>
        </w:rPr>
        <w:t>testing</w:t>
      </w:r>
      <w:r>
        <w:rPr>
          <w:i/>
          <w:spacing w:val="-3"/>
          <w:sz w:val="19"/>
        </w:rPr>
        <w:t xml:space="preserve"> </w:t>
      </w:r>
      <w:r>
        <w:rPr>
          <w:i/>
          <w:sz w:val="19"/>
        </w:rPr>
        <w:t>for</w:t>
      </w:r>
      <w:r>
        <w:rPr>
          <w:i/>
          <w:spacing w:val="-3"/>
          <w:sz w:val="19"/>
        </w:rPr>
        <w:t xml:space="preserve"> </w:t>
      </w:r>
      <w:r>
        <w:rPr>
          <w:i/>
          <w:sz w:val="19"/>
        </w:rPr>
        <w:t>human</w:t>
      </w:r>
      <w:r>
        <w:rPr>
          <w:i/>
          <w:spacing w:val="-3"/>
          <w:sz w:val="19"/>
        </w:rPr>
        <w:t xml:space="preserve"> </w:t>
      </w:r>
      <w:r>
        <w:rPr>
          <w:i/>
          <w:sz w:val="19"/>
        </w:rPr>
        <w:t>genetic</w:t>
      </w:r>
      <w:r>
        <w:rPr>
          <w:i/>
          <w:spacing w:val="-3"/>
          <w:sz w:val="19"/>
        </w:rPr>
        <w:t xml:space="preserve"> </w:t>
      </w:r>
      <w:r>
        <w:rPr>
          <w:i/>
          <w:sz w:val="19"/>
        </w:rPr>
        <w:t>variation</w:t>
      </w:r>
      <w:r>
        <w:rPr>
          <w:sz w:val="19"/>
        </w:rPr>
        <w:t>,</w:t>
      </w:r>
      <w:r>
        <w:rPr>
          <w:spacing w:val="-3"/>
          <w:sz w:val="19"/>
        </w:rPr>
        <w:t xml:space="preserve"> </w:t>
      </w:r>
    </w:p>
    <w:p w14:paraId="42A01633" w14:textId="31825ECB" w:rsidR="009D54AF" w:rsidRDefault="00000000">
      <w:pPr>
        <w:spacing w:before="93" w:line="264" w:lineRule="auto"/>
        <w:ind w:left="142"/>
        <w:rPr>
          <w:sz w:val="19"/>
        </w:rPr>
      </w:pPr>
      <w:r>
        <w:rPr>
          <w:i/>
          <w:sz w:val="19"/>
        </w:rPr>
        <w:t>Requirements</w:t>
      </w:r>
      <w:r>
        <w:rPr>
          <w:i/>
          <w:spacing w:val="-3"/>
          <w:sz w:val="19"/>
        </w:rPr>
        <w:t xml:space="preserve"> </w:t>
      </w:r>
      <w:r>
        <w:rPr>
          <w:i/>
          <w:sz w:val="19"/>
        </w:rPr>
        <w:t>for</w:t>
      </w:r>
      <w:r>
        <w:rPr>
          <w:i/>
          <w:spacing w:val="-3"/>
          <w:sz w:val="19"/>
        </w:rPr>
        <w:t xml:space="preserve"> </w:t>
      </w:r>
      <w:r>
        <w:rPr>
          <w:i/>
          <w:sz w:val="19"/>
        </w:rPr>
        <w:t>procedures</w:t>
      </w:r>
      <w:r>
        <w:rPr>
          <w:i/>
          <w:spacing w:val="-3"/>
          <w:sz w:val="19"/>
        </w:rPr>
        <w:t xml:space="preserve"> </w:t>
      </w:r>
      <w:r>
        <w:rPr>
          <w:i/>
          <w:sz w:val="19"/>
        </w:rPr>
        <w:t>related</w:t>
      </w:r>
      <w:r>
        <w:rPr>
          <w:i/>
          <w:spacing w:val="-3"/>
          <w:sz w:val="19"/>
        </w:rPr>
        <w:t xml:space="preserve"> </w:t>
      </w:r>
      <w:r>
        <w:rPr>
          <w:i/>
          <w:sz w:val="19"/>
        </w:rPr>
        <w:t>to</w:t>
      </w:r>
      <w:r>
        <w:rPr>
          <w:i/>
          <w:spacing w:val="-3"/>
          <w:sz w:val="19"/>
        </w:rPr>
        <w:t xml:space="preserve"> </w:t>
      </w:r>
      <w:r>
        <w:rPr>
          <w:i/>
          <w:sz w:val="19"/>
        </w:rPr>
        <w:t>the</w:t>
      </w:r>
      <w:r>
        <w:rPr>
          <w:i/>
          <w:spacing w:val="-3"/>
          <w:sz w:val="19"/>
        </w:rPr>
        <w:t xml:space="preserve"> </w:t>
      </w:r>
      <w:r>
        <w:rPr>
          <w:i/>
          <w:sz w:val="19"/>
        </w:rPr>
        <w:t>collection,</w:t>
      </w:r>
      <w:r>
        <w:rPr>
          <w:i/>
          <w:spacing w:val="-3"/>
          <w:sz w:val="19"/>
        </w:rPr>
        <w:t xml:space="preserve"> </w:t>
      </w:r>
      <w:r>
        <w:rPr>
          <w:i/>
          <w:sz w:val="19"/>
        </w:rPr>
        <w:t>processing,</w:t>
      </w:r>
      <w:r>
        <w:rPr>
          <w:i/>
          <w:spacing w:val="-3"/>
          <w:sz w:val="19"/>
        </w:rPr>
        <w:t xml:space="preserve"> </w:t>
      </w:r>
      <w:r>
        <w:rPr>
          <w:i/>
          <w:sz w:val="19"/>
        </w:rPr>
        <w:t>storage</w:t>
      </w:r>
      <w:r>
        <w:rPr>
          <w:i/>
          <w:spacing w:val="-3"/>
          <w:sz w:val="19"/>
        </w:rPr>
        <w:t xml:space="preserve"> </w:t>
      </w:r>
      <w:r>
        <w:rPr>
          <w:i/>
          <w:sz w:val="19"/>
        </w:rPr>
        <w:t>and</w:t>
      </w:r>
      <w:r>
        <w:rPr>
          <w:i/>
          <w:spacing w:val="-3"/>
          <w:sz w:val="19"/>
        </w:rPr>
        <w:t xml:space="preserve"> </w:t>
      </w:r>
      <w:r>
        <w:rPr>
          <w:i/>
          <w:sz w:val="19"/>
        </w:rPr>
        <w:t>issue</w:t>
      </w:r>
      <w:r>
        <w:rPr>
          <w:i/>
          <w:spacing w:val="-3"/>
          <w:sz w:val="19"/>
        </w:rPr>
        <w:t xml:space="preserve"> </w:t>
      </w:r>
      <w:r>
        <w:rPr>
          <w:i/>
          <w:sz w:val="19"/>
        </w:rPr>
        <w:t>of</w:t>
      </w:r>
      <w:r>
        <w:rPr>
          <w:i/>
          <w:spacing w:val="-3"/>
          <w:sz w:val="19"/>
        </w:rPr>
        <w:t xml:space="preserve"> </w:t>
      </w:r>
      <w:r>
        <w:rPr>
          <w:i/>
          <w:sz w:val="19"/>
        </w:rPr>
        <w:t>human</w:t>
      </w:r>
      <w:r>
        <w:rPr>
          <w:i/>
          <w:spacing w:val="-3"/>
          <w:sz w:val="19"/>
        </w:rPr>
        <w:t xml:space="preserve"> </w:t>
      </w:r>
      <w:r>
        <w:rPr>
          <w:i/>
          <w:sz w:val="19"/>
        </w:rPr>
        <w:t>haemopoietic</w:t>
      </w:r>
      <w:r>
        <w:rPr>
          <w:i/>
          <w:spacing w:val="-3"/>
          <w:sz w:val="19"/>
        </w:rPr>
        <w:t xml:space="preserve"> </w:t>
      </w:r>
      <w:r>
        <w:rPr>
          <w:i/>
          <w:sz w:val="19"/>
        </w:rPr>
        <w:t>progenitor cells</w:t>
      </w:r>
      <w:r>
        <w:rPr>
          <w:sz w:val="19"/>
        </w:rPr>
        <w:t xml:space="preserve">, </w:t>
      </w:r>
    </w:p>
    <w:p w14:paraId="128085E3" w14:textId="52BDE3B8" w:rsidR="009D54AF" w:rsidRDefault="00000000">
      <w:pPr>
        <w:spacing w:before="70" w:line="340" w:lineRule="auto"/>
        <w:ind w:left="142" w:right="2542"/>
        <w:rPr>
          <w:sz w:val="19"/>
        </w:rPr>
      </w:pPr>
      <w:r>
        <w:rPr>
          <w:i/>
          <w:sz w:val="19"/>
        </w:rPr>
        <w:t>Requirements</w:t>
      </w:r>
      <w:r>
        <w:rPr>
          <w:i/>
          <w:spacing w:val="-14"/>
          <w:sz w:val="19"/>
        </w:rPr>
        <w:t xml:space="preserve"> </w:t>
      </w:r>
      <w:r>
        <w:rPr>
          <w:i/>
          <w:sz w:val="19"/>
        </w:rPr>
        <w:t>for</w:t>
      </w:r>
      <w:r>
        <w:rPr>
          <w:i/>
          <w:spacing w:val="-13"/>
          <w:sz w:val="19"/>
        </w:rPr>
        <w:t xml:space="preserve"> </w:t>
      </w:r>
      <w:r>
        <w:rPr>
          <w:i/>
          <w:sz w:val="19"/>
        </w:rPr>
        <w:t>the</w:t>
      </w:r>
      <w:r>
        <w:rPr>
          <w:i/>
          <w:spacing w:val="-13"/>
          <w:sz w:val="19"/>
        </w:rPr>
        <w:t xml:space="preserve"> </w:t>
      </w:r>
      <w:r>
        <w:rPr>
          <w:i/>
          <w:sz w:val="19"/>
        </w:rPr>
        <w:t>development</w:t>
      </w:r>
      <w:r>
        <w:rPr>
          <w:i/>
          <w:spacing w:val="-13"/>
          <w:sz w:val="19"/>
        </w:rPr>
        <w:t xml:space="preserve"> </w:t>
      </w:r>
      <w:r>
        <w:rPr>
          <w:i/>
          <w:sz w:val="19"/>
        </w:rPr>
        <w:t>and</w:t>
      </w:r>
      <w:r>
        <w:rPr>
          <w:i/>
          <w:spacing w:val="-13"/>
          <w:sz w:val="19"/>
        </w:rPr>
        <w:t xml:space="preserve"> </w:t>
      </w:r>
      <w:r>
        <w:rPr>
          <w:i/>
          <w:sz w:val="19"/>
        </w:rPr>
        <w:t>use</w:t>
      </w:r>
      <w:r>
        <w:rPr>
          <w:i/>
          <w:spacing w:val="-14"/>
          <w:sz w:val="19"/>
        </w:rPr>
        <w:t xml:space="preserve"> </w:t>
      </w:r>
      <w:r>
        <w:rPr>
          <w:i/>
          <w:sz w:val="19"/>
        </w:rPr>
        <w:t>of</w:t>
      </w:r>
      <w:r>
        <w:rPr>
          <w:i/>
          <w:spacing w:val="-11"/>
          <w:sz w:val="19"/>
        </w:rPr>
        <w:t xml:space="preserve"> </w:t>
      </w:r>
      <w:r>
        <w:rPr>
          <w:i/>
          <w:sz w:val="19"/>
        </w:rPr>
        <w:t>in-house</w:t>
      </w:r>
      <w:r>
        <w:rPr>
          <w:i/>
          <w:spacing w:val="-14"/>
          <w:sz w:val="19"/>
        </w:rPr>
        <w:t xml:space="preserve"> </w:t>
      </w:r>
      <w:r>
        <w:rPr>
          <w:i/>
          <w:sz w:val="19"/>
        </w:rPr>
        <w:t>in</w:t>
      </w:r>
      <w:r>
        <w:rPr>
          <w:i/>
          <w:spacing w:val="-13"/>
          <w:sz w:val="19"/>
        </w:rPr>
        <w:t xml:space="preserve"> </w:t>
      </w:r>
      <w:r>
        <w:rPr>
          <w:i/>
          <w:sz w:val="19"/>
        </w:rPr>
        <w:t>vitro</w:t>
      </w:r>
      <w:r>
        <w:rPr>
          <w:i/>
          <w:spacing w:val="-13"/>
          <w:sz w:val="19"/>
        </w:rPr>
        <w:t xml:space="preserve"> </w:t>
      </w:r>
      <w:r>
        <w:rPr>
          <w:i/>
          <w:sz w:val="19"/>
        </w:rPr>
        <w:t>diagnostic</w:t>
      </w:r>
      <w:r>
        <w:rPr>
          <w:i/>
          <w:spacing w:val="-13"/>
          <w:sz w:val="19"/>
        </w:rPr>
        <w:t xml:space="preserve"> </w:t>
      </w:r>
      <w:r>
        <w:rPr>
          <w:i/>
          <w:sz w:val="19"/>
        </w:rPr>
        <w:t>medical</w:t>
      </w:r>
      <w:r>
        <w:rPr>
          <w:i/>
          <w:spacing w:val="-13"/>
          <w:sz w:val="19"/>
        </w:rPr>
        <w:t xml:space="preserve"> </w:t>
      </w:r>
      <w:r>
        <w:rPr>
          <w:i/>
          <w:sz w:val="19"/>
        </w:rPr>
        <w:t>devices</w:t>
      </w:r>
      <w:r>
        <w:rPr>
          <w:sz w:val="19"/>
        </w:rPr>
        <w:t>,</w:t>
      </w:r>
      <w:r>
        <w:rPr>
          <w:spacing w:val="-14"/>
          <w:sz w:val="19"/>
        </w:rPr>
        <w:t xml:space="preserve"> </w:t>
      </w:r>
      <w:r>
        <w:rPr>
          <w:sz w:val="19"/>
        </w:rPr>
        <w:t xml:space="preserve"> responsible minister, </w:t>
      </w:r>
      <w:r>
        <w:rPr>
          <w:i/>
          <w:sz w:val="19"/>
        </w:rPr>
        <w:t xml:space="preserve">see also </w:t>
      </w:r>
      <w:r>
        <w:rPr>
          <w:sz w:val="19"/>
        </w:rPr>
        <w:t>Minister for Health, Disability and</w:t>
      </w:r>
      <w:r>
        <w:rPr>
          <w:spacing w:val="-3"/>
          <w:sz w:val="19"/>
        </w:rPr>
        <w:t xml:space="preserve"> </w:t>
      </w:r>
      <w:r>
        <w:rPr>
          <w:sz w:val="19"/>
        </w:rPr>
        <w:t>Ageing</w:t>
      </w:r>
    </w:p>
    <w:p w14:paraId="679D0365" w14:textId="7E7277E6" w:rsidR="009D54AF" w:rsidRDefault="00000000">
      <w:pPr>
        <w:spacing w:before="1"/>
        <w:ind w:left="142"/>
        <w:rPr>
          <w:sz w:val="19"/>
        </w:rPr>
      </w:pPr>
      <w:r>
        <w:rPr>
          <w:sz w:val="19"/>
        </w:rPr>
        <w:t>reviews</w:t>
      </w:r>
      <w:r>
        <w:rPr>
          <w:spacing w:val="-2"/>
          <w:sz w:val="19"/>
        </w:rPr>
        <w:t xml:space="preserve"> </w:t>
      </w:r>
      <w:r>
        <w:rPr>
          <w:sz w:val="19"/>
        </w:rPr>
        <w:t>by</w:t>
      </w:r>
      <w:r>
        <w:rPr>
          <w:spacing w:val="-2"/>
          <w:sz w:val="19"/>
        </w:rPr>
        <w:t xml:space="preserve"> </w:t>
      </w:r>
      <w:r>
        <w:rPr>
          <w:sz w:val="19"/>
        </w:rPr>
        <w:t>external</w:t>
      </w:r>
      <w:r>
        <w:rPr>
          <w:spacing w:val="-2"/>
          <w:sz w:val="19"/>
        </w:rPr>
        <w:t xml:space="preserve"> </w:t>
      </w:r>
      <w:r>
        <w:rPr>
          <w:sz w:val="19"/>
        </w:rPr>
        <w:t>bodies,</w:t>
      </w:r>
      <w:r>
        <w:rPr>
          <w:spacing w:val="-1"/>
          <w:sz w:val="19"/>
        </w:rPr>
        <w:t xml:space="preserve"> </w:t>
      </w:r>
    </w:p>
    <w:p w14:paraId="0D9820CC" w14:textId="13C5BCFB" w:rsidR="009D54AF" w:rsidRDefault="00000000">
      <w:pPr>
        <w:spacing w:before="93"/>
        <w:ind w:left="142"/>
        <w:rPr>
          <w:sz w:val="19"/>
        </w:rPr>
      </w:pPr>
      <w:r>
        <w:rPr>
          <w:sz w:val="19"/>
        </w:rPr>
        <w:t xml:space="preserve">risk management (Commission), </w:t>
      </w:r>
    </w:p>
    <w:p w14:paraId="202EE331" w14:textId="27A46807" w:rsidR="009D54AF" w:rsidRDefault="00000000">
      <w:pPr>
        <w:spacing w:before="92" w:line="340" w:lineRule="auto"/>
        <w:ind w:left="142" w:right="5464"/>
        <w:rPr>
          <w:sz w:val="19"/>
        </w:rPr>
      </w:pPr>
      <w:r>
        <w:rPr>
          <w:sz w:val="19"/>
        </w:rPr>
        <w:t>risk</w:t>
      </w:r>
      <w:r>
        <w:rPr>
          <w:spacing w:val="-5"/>
          <w:sz w:val="19"/>
        </w:rPr>
        <w:t xml:space="preserve"> </w:t>
      </w:r>
      <w:r>
        <w:rPr>
          <w:sz w:val="19"/>
        </w:rPr>
        <w:t>screening</w:t>
      </w:r>
      <w:r>
        <w:rPr>
          <w:spacing w:val="-5"/>
          <w:sz w:val="19"/>
        </w:rPr>
        <w:t xml:space="preserve"> </w:t>
      </w:r>
      <w:r>
        <w:rPr>
          <w:sz w:val="19"/>
        </w:rPr>
        <w:t>and</w:t>
      </w:r>
      <w:r>
        <w:rPr>
          <w:spacing w:val="-5"/>
          <w:sz w:val="19"/>
        </w:rPr>
        <w:t xml:space="preserve"> </w:t>
      </w:r>
      <w:r>
        <w:rPr>
          <w:sz w:val="19"/>
        </w:rPr>
        <w:t>assessment</w:t>
      </w:r>
      <w:r>
        <w:rPr>
          <w:spacing w:val="-5"/>
          <w:sz w:val="19"/>
        </w:rPr>
        <w:t xml:space="preserve"> </w:t>
      </w:r>
      <w:r>
        <w:rPr>
          <w:sz w:val="19"/>
        </w:rPr>
        <w:t>in</w:t>
      </w:r>
      <w:r>
        <w:rPr>
          <w:spacing w:val="-5"/>
          <w:sz w:val="19"/>
        </w:rPr>
        <w:t xml:space="preserve"> </w:t>
      </w:r>
      <w:r>
        <w:rPr>
          <w:sz w:val="19"/>
        </w:rPr>
        <w:t>healthcare</w:t>
      </w:r>
      <w:r>
        <w:rPr>
          <w:spacing w:val="-5"/>
          <w:sz w:val="19"/>
        </w:rPr>
        <w:t xml:space="preserve"> </w:t>
      </w:r>
      <w:r>
        <w:rPr>
          <w:sz w:val="19"/>
        </w:rPr>
        <w:t>settings,</w:t>
      </w:r>
      <w:r>
        <w:rPr>
          <w:spacing w:val="-5"/>
          <w:sz w:val="19"/>
        </w:rPr>
        <w:t xml:space="preserve"> </w:t>
      </w:r>
      <w:r>
        <w:rPr>
          <w:sz w:val="19"/>
        </w:rPr>
        <w:t xml:space="preserve"> Royal Australian College of General Practitioners, </w:t>
      </w:r>
    </w:p>
    <w:p w14:paraId="41CE814D" w14:textId="7C13C886" w:rsidR="009D54AF" w:rsidRDefault="00000000">
      <w:pPr>
        <w:spacing w:before="1" w:line="340" w:lineRule="auto"/>
        <w:ind w:left="142" w:right="6889" w:firstLine="283"/>
        <w:rPr>
          <w:sz w:val="19"/>
        </w:rPr>
      </w:pPr>
      <w:r>
        <w:rPr>
          <w:sz w:val="19"/>
        </w:rPr>
        <w:t>Standards for general practices,  Royal</w:t>
      </w:r>
      <w:r>
        <w:rPr>
          <w:spacing w:val="-10"/>
          <w:sz w:val="19"/>
        </w:rPr>
        <w:t xml:space="preserve"> </w:t>
      </w:r>
      <w:r>
        <w:rPr>
          <w:sz w:val="19"/>
        </w:rPr>
        <w:t>Children’s</w:t>
      </w:r>
      <w:r>
        <w:rPr>
          <w:spacing w:val="-10"/>
          <w:sz w:val="19"/>
        </w:rPr>
        <w:t xml:space="preserve"> </w:t>
      </w:r>
      <w:r>
        <w:rPr>
          <w:sz w:val="19"/>
        </w:rPr>
        <w:t>Hospital</w:t>
      </w:r>
      <w:r>
        <w:rPr>
          <w:spacing w:val="-10"/>
          <w:sz w:val="19"/>
        </w:rPr>
        <w:t xml:space="preserve"> </w:t>
      </w:r>
      <w:r>
        <w:rPr>
          <w:sz w:val="19"/>
        </w:rPr>
        <w:t>Melbourne,</w:t>
      </w:r>
      <w:r>
        <w:rPr>
          <w:spacing w:val="-10"/>
          <w:sz w:val="19"/>
        </w:rPr>
        <w:t xml:space="preserve"> </w:t>
      </w:r>
    </w:p>
    <w:p w14:paraId="2A435126" w14:textId="3757CE87" w:rsidR="009D54AF" w:rsidRDefault="00000000">
      <w:pPr>
        <w:spacing w:before="2"/>
        <w:ind w:left="142"/>
        <w:rPr>
          <w:sz w:val="19"/>
        </w:rPr>
      </w:pPr>
      <w:r>
        <w:rPr>
          <w:sz w:val="19"/>
        </w:rPr>
        <w:t>Royal</w:t>
      </w:r>
      <w:r>
        <w:rPr>
          <w:spacing w:val="-6"/>
          <w:sz w:val="19"/>
        </w:rPr>
        <w:t xml:space="preserve"> </w:t>
      </w:r>
      <w:r>
        <w:rPr>
          <w:sz w:val="19"/>
        </w:rPr>
        <w:t>Commission</w:t>
      </w:r>
      <w:r>
        <w:rPr>
          <w:spacing w:val="-4"/>
          <w:sz w:val="19"/>
        </w:rPr>
        <w:t xml:space="preserve"> </w:t>
      </w:r>
      <w:r>
        <w:rPr>
          <w:sz w:val="19"/>
        </w:rPr>
        <w:t>into</w:t>
      </w:r>
      <w:r>
        <w:rPr>
          <w:spacing w:val="-14"/>
          <w:sz w:val="19"/>
        </w:rPr>
        <w:t xml:space="preserve"> </w:t>
      </w:r>
      <w:r>
        <w:rPr>
          <w:sz w:val="19"/>
        </w:rPr>
        <w:t>Aged</w:t>
      </w:r>
      <w:r>
        <w:rPr>
          <w:spacing w:val="-4"/>
          <w:sz w:val="19"/>
        </w:rPr>
        <w:t xml:space="preserve"> </w:t>
      </w:r>
      <w:r>
        <w:rPr>
          <w:sz w:val="19"/>
        </w:rPr>
        <w:t>Care</w:t>
      </w:r>
      <w:r>
        <w:rPr>
          <w:spacing w:val="-4"/>
          <w:sz w:val="19"/>
        </w:rPr>
        <w:t xml:space="preserve"> </w:t>
      </w:r>
      <w:r>
        <w:rPr>
          <w:sz w:val="19"/>
        </w:rPr>
        <w:t>Quality</w:t>
      </w:r>
      <w:r>
        <w:rPr>
          <w:spacing w:val="-5"/>
          <w:sz w:val="19"/>
        </w:rPr>
        <w:t xml:space="preserve"> </w:t>
      </w:r>
      <w:r>
        <w:rPr>
          <w:sz w:val="19"/>
        </w:rPr>
        <w:t>and</w:t>
      </w:r>
      <w:r>
        <w:rPr>
          <w:spacing w:val="-4"/>
          <w:sz w:val="19"/>
        </w:rPr>
        <w:t xml:space="preserve"> </w:t>
      </w:r>
      <w:r>
        <w:rPr>
          <w:sz w:val="19"/>
        </w:rPr>
        <w:t>Safety,</w:t>
      </w:r>
    </w:p>
    <w:p w14:paraId="738CE10A" w14:textId="77777777" w:rsidR="009D54AF" w:rsidRDefault="009D54AF">
      <w:pPr>
        <w:pStyle w:val="BodyText"/>
        <w:spacing w:before="60"/>
        <w:rPr>
          <w:sz w:val="19"/>
        </w:rPr>
      </w:pPr>
    </w:p>
    <w:p w14:paraId="7EA22C59" w14:textId="77777777" w:rsidR="009D54AF" w:rsidRDefault="00000000">
      <w:pPr>
        <w:pStyle w:val="Heading4"/>
      </w:pPr>
      <w:r>
        <w:rPr>
          <w:spacing w:val="-10"/>
        </w:rPr>
        <w:t>S</w:t>
      </w:r>
    </w:p>
    <w:p w14:paraId="574A2EE5" w14:textId="77777777" w:rsidR="009D54AF" w:rsidRDefault="00000000">
      <w:pPr>
        <w:spacing w:before="70" w:line="264" w:lineRule="auto"/>
        <w:ind w:left="142"/>
        <w:rPr>
          <w:sz w:val="19"/>
        </w:rPr>
      </w:pPr>
      <w:bookmarkStart w:id="102" w:name="_bookmark18"/>
      <w:bookmarkEnd w:id="102"/>
      <w:r>
        <w:rPr>
          <w:sz w:val="19"/>
        </w:rPr>
        <w:t>safety</w:t>
      </w:r>
      <w:r>
        <w:rPr>
          <w:spacing w:val="-3"/>
          <w:sz w:val="19"/>
        </w:rPr>
        <w:t xml:space="preserve"> </w:t>
      </w:r>
      <w:r>
        <w:rPr>
          <w:i/>
          <w:sz w:val="19"/>
        </w:rPr>
        <w:t>see</w:t>
      </w:r>
      <w:r>
        <w:rPr>
          <w:i/>
          <w:spacing w:val="-3"/>
          <w:sz w:val="19"/>
        </w:rPr>
        <w:t xml:space="preserve"> </w:t>
      </w:r>
      <w:r>
        <w:rPr>
          <w:sz w:val="19"/>
        </w:rPr>
        <w:t>medication</w:t>
      </w:r>
      <w:r>
        <w:rPr>
          <w:spacing w:val="-3"/>
          <w:sz w:val="19"/>
        </w:rPr>
        <w:t xml:space="preserve"> </w:t>
      </w:r>
      <w:r>
        <w:rPr>
          <w:sz w:val="19"/>
        </w:rPr>
        <w:t>safety;</w:t>
      </w:r>
      <w:r>
        <w:rPr>
          <w:spacing w:val="-3"/>
          <w:sz w:val="19"/>
        </w:rPr>
        <w:t xml:space="preserve"> </w:t>
      </w:r>
      <w:r>
        <w:rPr>
          <w:sz w:val="19"/>
        </w:rPr>
        <w:t>National</w:t>
      </w:r>
      <w:r>
        <w:rPr>
          <w:spacing w:val="-3"/>
          <w:sz w:val="19"/>
        </w:rPr>
        <w:t xml:space="preserve"> </w:t>
      </w:r>
      <w:r>
        <w:rPr>
          <w:sz w:val="19"/>
        </w:rPr>
        <w:t>Safety</w:t>
      </w:r>
      <w:r>
        <w:rPr>
          <w:spacing w:val="-3"/>
          <w:sz w:val="19"/>
        </w:rPr>
        <w:t xml:space="preserve"> </w:t>
      </w:r>
      <w:r>
        <w:rPr>
          <w:sz w:val="19"/>
        </w:rPr>
        <w:t>and</w:t>
      </w:r>
      <w:r>
        <w:rPr>
          <w:spacing w:val="-3"/>
          <w:sz w:val="19"/>
        </w:rPr>
        <w:t xml:space="preserve"> </w:t>
      </w:r>
      <w:r>
        <w:rPr>
          <w:sz w:val="19"/>
        </w:rPr>
        <w:t>Quality</w:t>
      </w:r>
      <w:r>
        <w:rPr>
          <w:spacing w:val="-3"/>
          <w:sz w:val="19"/>
        </w:rPr>
        <w:t xml:space="preserve"> </w:t>
      </w:r>
      <w:r>
        <w:rPr>
          <w:sz w:val="19"/>
        </w:rPr>
        <w:t>Health</w:t>
      </w:r>
      <w:r>
        <w:rPr>
          <w:spacing w:val="-3"/>
          <w:sz w:val="19"/>
        </w:rPr>
        <w:t xml:space="preserve"> </w:t>
      </w:r>
      <w:r>
        <w:rPr>
          <w:sz w:val="19"/>
        </w:rPr>
        <w:t>Service</w:t>
      </w:r>
      <w:r>
        <w:rPr>
          <w:spacing w:val="-3"/>
          <w:sz w:val="19"/>
        </w:rPr>
        <w:t xml:space="preserve"> </w:t>
      </w:r>
      <w:r>
        <w:rPr>
          <w:sz w:val="19"/>
        </w:rPr>
        <w:t>(NSQHS)</w:t>
      </w:r>
      <w:r>
        <w:rPr>
          <w:spacing w:val="-3"/>
          <w:sz w:val="19"/>
        </w:rPr>
        <w:t xml:space="preserve"> </w:t>
      </w:r>
      <w:r>
        <w:rPr>
          <w:sz w:val="19"/>
        </w:rPr>
        <w:t>Standards;</w:t>
      </w:r>
      <w:r>
        <w:rPr>
          <w:spacing w:val="-3"/>
          <w:sz w:val="19"/>
        </w:rPr>
        <w:t xml:space="preserve"> </w:t>
      </w:r>
      <w:r>
        <w:rPr>
          <w:sz w:val="19"/>
        </w:rPr>
        <w:t>patient</w:t>
      </w:r>
      <w:r>
        <w:rPr>
          <w:spacing w:val="-3"/>
          <w:sz w:val="19"/>
        </w:rPr>
        <w:t xml:space="preserve"> </w:t>
      </w:r>
      <w:r>
        <w:rPr>
          <w:sz w:val="19"/>
        </w:rPr>
        <w:t>safety;</w:t>
      </w:r>
      <w:r>
        <w:rPr>
          <w:spacing w:val="-3"/>
          <w:sz w:val="19"/>
        </w:rPr>
        <w:t xml:space="preserve"> </w:t>
      </w:r>
      <w:r>
        <w:rPr>
          <w:sz w:val="19"/>
        </w:rPr>
        <w:t>work</w:t>
      </w:r>
      <w:r>
        <w:rPr>
          <w:spacing w:val="-3"/>
          <w:sz w:val="19"/>
        </w:rPr>
        <w:t xml:space="preserve"> </w:t>
      </w:r>
      <w:r>
        <w:rPr>
          <w:sz w:val="19"/>
        </w:rPr>
        <w:t>health and safety</w:t>
      </w:r>
    </w:p>
    <w:p w14:paraId="53F5F8EF" w14:textId="3AEFFF88" w:rsidR="009D54AF" w:rsidRDefault="00000000">
      <w:pPr>
        <w:spacing w:before="70" w:line="340" w:lineRule="auto"/>
        <w:ind w:left="142" w:right="5464"/>
        <w:rPr>
          <w:sz w:val="19"/>
        </w:rPr>
      </w:pPr>
      <w:r>
        <w:rPr>
          <w:i/>
          <w:sz w:val="19"/>
        </w:rPr>
        <w:t>Safety,</w:t>
      </w:r>
      <w:r>
        <w:rPr>
          <w:i/>
          <w:spacing w:val="-9"/>
          <w:sz w:val="19"/>
        </w:rPr>
        <w:t xml:space="preserve"> </w:t>
      </w:r>
      <w:r>
        <w:rPr>
          <w:i/>
          <w:sz w:val="19"/>
        </w:rPr>
        <w:t>Rehabilitation</w:t>
      </w:r>
      <w:r>
        <w:rPr>
          <w:i/>
          <w:spacing w:val="-8"/>
          <w:sz w:val="19"/>
        </w:rPr>
        <w:t xml:space="preserve"> </w:t>
      </w:r>
      <w:r>
        <w:rPr>
          <w:i/>
          <w:sz w:val="19"/>
        </w:rPr>
        <w:t>and</w:t>
      </w:r>
      <w:r>
        <w:rPr>
          <w:i/>
          <w:spacing w:val="-8"/>
          <w:sz w:val="19"/>
        </w:rPr>
        <w:t xml:space="preserve"> </w:t>
      </w:r>
      <w:r>
        <w:rPr>
          <w:i/>
          <w:sz w:val="19"/>
        </w:rPr>
        <w:t>Compensation</w:t>
      </w:r>
      <w:r>
        <w:rPr>
          <w:i/>
          <w:spacing w:val="-14"/>
          <w:sz w:val="19"/>
        </w:rPr>
        <w:t xml:space="preserve"> </w:t>
      </w:r>
      <w:r>
        <w:rPr>
          <w:i/>
          <w:sz w:val="19"/>
        </w:rPr>
        <w:t>Act</w:t>
      </w:r>
      <w:r>
        <w:rPr>
          <w:i/>
          <w:spacing w:val="-8"/>
          <w:sz w:val="19"/>
        </w:rPr>
        <w:t xml:space="preserve"> </w:t>
      </w:r>
      <w:r>
        <w:rPr>
          <w:i/>
          <w:sz w:val="19"/>
        </w:rPr>
        <w:t>1988</w:t>
      </w:r>
      <w:r>
        <w:rPr>
          <w:sz w:val="19"/>
        </w:rPr>
        <w:t>,</w:t>
      </w:r>
      <w:r>
        <w:rPr>
          <w:spacing w:val="-8"/>
          <w:sz w:val="19"/>
        </w:rPr>
        <w:t xml:space="preserve"> </w:t>
      </w:r>
      <w:r>
        <w:rPr>
          <w:sz w:val="19"/>
        </w:rPr>
        <w:t xml:space="preserve"> Safety and Quality Advice Centre, </w:t>
      </w:r>
    </w:p>
    <w:p w14:paraId="1E5BB853" w14:textId="50B9E4C9" w:rsidR="009D54AF" w:rsidRDefault="00000000">
      <w:pPr>
        <w:spacing w:before="2"/>
        <w:ind w:left="142"/>
        <w:rPr>
          <w:sz w:val="19"/>
        </w:rPr>
      </w:pPr>
      <w:r>
        <w:rPr>
          <w:sz w:val="19"/>
        </w:rPr>
        <w:t>safety</w:t>
      </w:r>
      <w:r>
        <w:rPr>
          <w:spacing w:val="-2"/>
          <w:sz w:val="19"/>
        </w:rPr>
        <w:t xml:space="preserve"> </w:t>
      </w:r>
      <w:r>
        <w:rPr>
          <w:sz w:val="19"/>
        </w:rPr>
        <w:t>and</w:t>
      </w:r>
      <w:r>
        <w:rPr>
          <w:spacing w:val="-1"/>
          <w:sz w:val="19"/>
        </w:rPr>
        <w:t xml:space="preserve"> </w:t>
      </w:r>
      <w:r>
        <w:rPr>
          <w:sz w:val="19"/>
        </w:rPr>
        <w:t>quality</w:t>
      </w:r>
      <w:r>
        <w:rPr>
          <w:spacing w:val="-1"/>
          <w:sz w:val="19"/>
        </w:rPr>
        <w:t xml:space="preserve"> </w:t>
      </w:r>
      <w:r>
        <w:rPr>
          <w:sz w:val="19"/>
        </w:rPr>
        <w:t>data,</w:t>
      </w:r>
      <w:r>
        <w:rPr>
          <w:spacing w:val="-1"/>
          <w:sz w:val="19"/>
        </w:rPr>
        <w:t xml:space="preserve"> </w:t>
      </w:r>
    </w:p>
    <w:p w14:paraId="3FBB1747" w14:textId="15356D5B" w:rsidR="009D54AF" w:rsidRDefault="00000000">
      <w:pPr>
        <w:spacing w:before="92"/>
        <w:ind w:left="142"/>
        <w:rPr>
          <w:sz w:val="19"/>
        </w:rPr>
      </w:pPr>
      <w:r>
        <w:rPr>
          <w:sz w:val="19"/>
        </w:rPr>
        <w:t>Safety</w:t>
      </w:r>
      <w:r>
        <w:rPr>
          <w:spacing w:val="-4"/>
          <w:sz w:val="19"/>
        </w:rPr>
        <w:t xml:space="preserve"> </w:t>
      </w:r>
      <w:r>
        <w:rPr>
          <w:sz w:val="19"/>
        </w:rPr>
        <w:t>and</w:t>
      </w:r>
      <w:r>
        <w:rPr>
          <w:spacing w:val="-3"/>
          <w:sz w:val="19"/>
        </w:rPr>
        <w:t xml:space="preserve"> </w:t>
      </w:r>
      <w:r>
        <w:rPr>
          <w:sz w:val="19"/>
        </w:rPr>
        <w:t>Quality</w:t>
      </w:r>
      <w:r>
        <w:rPr>
          <w:spacing w:val="-3"/>
          <w:sz w:val="19"/>
        </w:rPr>
        <w:t xml:space="preserve"> </w:t>
      </w:r>
      <w:r>
        <w:rPr>
          <w:sz w:val="19"/>
        </w:rPr>
        <w:t>Model</w:t>
      </w:r>
      <w:r>
        <w:rPr>
          <w:spacing w:val="-4"/>
          <w:sz w:val="19"/>
        </w:rPr>
        <w:t xml:space="preserve"> </w:t>
      </w:r>
      <w:r>
        <w:rPr>
          <w:sz w:val="19"/>
        </w:rPr>
        <w:t>for</w:t>
      </w:r>
      <w:r>
        <w:rPr>
          <w:spacing w:val="-3"/>
          <w:sz w:val="19"/>
        </w:rPr>
        <w:t xml:space="preserve"> </w:t>
      </w:r>
      <w:r>
        <w:rPr>
          <w:sz w:val="19"/>
        </w:rPr>
        <w:t>Colonoscopy,</w:t>
      </w:r>
      <w:r>
        <w:rPr>
          <w:spacing w:val="-3"/>
          <w:sz w:val="19"/>
        </w:rPr>
        <w:t xml:space="preserve"> </w:t>
      </w:r>
    </w:p>
    <w:p w14:paraId="28DF10D2" w14:textId="10950A14" w:rsidR="006B64C0" w:rsidRDefault="00000000" w:rsidP="006B64C0">
      <w:pPr>
        <w:spacing w:before="92" w:line="278" w:lineRule="auto"/>
        <w:ind w:left="142" w:right="3776"/>
        <w:rPr>
          <w:sz w:val="19"/>
        </w:rPr>
      </w:pPr>
      <w:r>
        <w:rPr>
          <w:sz w:val="19"/>
        </w:rPr>
        <w:t>safety</w:t>
      </w:r>
      <w:r>
        <w:rPr>
          <w:spacing w:val="-4"/>
          <w:sz w:val="19"/>
        </w:rPr>
        <w:t xml:space="preserve"> </w:t>
      </w:r>
      <w:r>
        <w:rPr>
          <w:sz w:val="19"/>
        </w:rPr>
        <w:t>culture,</w:t>
      </w:r>
      <w:r>
        <w:rPr>
          <w:spacing w:val="-4"/>
          <w:sz w:val="19"/>
        </w:rPr>
        <w:t xml:space="preserve"> </w:t>
      </w:r>
      <w:r>
        <w:rPr>
          <w:sz w:val="19"/>
        </w:rPr>
        <w:t>defined,</w:t>
      </w:r>
      <w:r>
        <w:rPr>
          <w:spacing w:val="-4"/>
          <w:sz w:val="19"/>
        </w:rPr>
        <w:t xml:space="preserve"> </w:t>
      </w:r>
      <w:r>
        <w:rPr>
          <w:i/>
          <w:sz w:val="19"/>
        </w:rPr>
        <w:t>see</w:t>
      </w:r>
      <w:r>
        <w:rPr>
          <w:i/>
          <w:spacing w:val="-4"/>
          <w:sz w:val="19"/>
        </w:rPr>
        <w:t xml:space="preserve"> </w:t>
      </w:r>
      <w:r>
        <w:rPr>
          <w:i/>
          <w:sz w:val="19"/>
        </w:rPr>
        <w:t>also</w:t>
      </w:r>
      <w:r>
        <w:rPr>
          <w:i/>
          <w:spacing w:val="-4"/>
          <w:sz w:val="19"/>
        </w:rPr>
        <w:t xml:space="preserve"> </w:t>
      </w:r>
      <w:r>
        <w:rPr>
          <w:sz w:val="19"/>
        </w:rPr>
        <w:t>patient</w:t>
      </w:r>
      <w:r>
        <w:rPr>
          <w:spacing w:val="-4"/>
          <w:sz w:val="19"/>
        </w:rPr>
        <w:t xml:space="preserve"> </w:t>
      </w:r>
      <w:r>
        <w:rPr>
          <w:sz w:val="19"/>
        </w:rPr>
        <w:t>safety</w:t>
      </w:r>
      <w:r>
        <w:rPr>
          <w:spacing w:val="-4"/>
          <w:sz w:val="19"/>
        </w:rPr>
        <w:t xml:space="preserve"> </w:t>
      </w:r>
      <w:r>
        <w:rPr>
          <w:sz w:val="19"/>
        </w:rPr>
        <w:t>culture</w:t>
      </w:r>
      <w:r>
        <w:rPr>
          <w:spacing w:val="-4"/>
          <w:sz w:val="19"/>
        </w:rPr>
        <w:t xml:space="preserve"> </w:t>
      </w:r>
      <w:r>
        <w:rPr>
          <w:sz w:val="19"/>
        </w:rPr>
        <w:t xml:space="preserve">measurement </w:t>
      </w:r>
    </w:p>
    <w:p w14:paraId="0778D171" w14:textId="52490655" w:rsidR="009D54AF" w:rsidRDefault="00000000">
      <w:pPr>
        <w:spacing w:before="92" w:line="340" w:lineRule="auto"/>
        <w:ind w:left="142" w:right="3776"/>
        <w:rPr>
          <w:sz w:val="19"/>
        </w:rPr>
      </w:pPr>
      <w:r>
        <w:rPr>
          <w:sz w:val="19"/>
        </w:rPr>
        <w:t xml:space="preserve">senior executives, </w:t>
      </w:r>
    </w:p>
    <w:p w14:paraId="41079CF0" w14:textId="3F840C9E" w:rsidR="009D54AF" w:rsidRDefault="00000000">
      <w:pPr>
        <w:spacing w:before="2"/>
        <w:ind w:left="425"/>
        <w:rPr>
          <w:sz w:val="19"/>
        </w:rPr>
      </w:pPr>
      <w:r>
        <w:rPr>
          <w:sz w:val="19"/>
        </w:rPr>
        <w:t xml:space="preserve">remuneration, </w:t>
      </w:r>
    </w:p>
    <w:p w14:paraId="5C1C8890" w14:textId="3389A5D9" w:rsidR="009D54AF" w:rsidRDefault="00000000">
      <w:pPr>
        <w:spacing w:before="92" w:line="340" w:lineRule="auto"/>
        <w:ind w:left="142" w:right="6889" w:firstLine="283"/>
        <w:rPr>
          <w:sz w:val="19"/>
        </w:rPr>
      </w:pPr>
      <w:r>
        <w:rPr>
          <w:i/>
          <w:sz w:val="19"/>
        </w:rPr>
        <w:t>see</w:t>
      </w:r>
      <w:r>
        <w:rPr>
          <w:i/>
          <w:spacing w:val="-9"/>
          <w:sz w:val="19"/>
        </w:rPr>
        <w:t xml:space="preserve"> </w:t>
      </w:r>
      <w:r>
        <w:rPr>
          <w:i/>
          <w:sz w:val="19"/>
        </w:rPr>
        <w:t>also</w:t>
      </w:r>
      <w:r>
        <w:rPr>
          <w:i/>
          <w:spacing w:val="-9"/>
          <w:sz w:val="19"/>
        </w:rPr>
        <w:t xml:space="preserve"> </w:t>
      </w:r>
      <w:r>
        <w:rPr>
          <w:sz w:val="19"/>
        </w:rPr>
        <w:t>Chief</w:t>
      </w:r>
      <w:r>
        <w:rPr>
          <w:spacing w:val="-9"/>
          <w:sz w:val="19"/>
        </w:rPr>
        <w:t xml:space="preserve"> </w:t>
      </w:r>
      <w:r>
        <w:rPr>
          <w:sz w:val="19"/>
        </w:rPr>
        <w:t>Executive</w:t>
      </w:r>
      <w:r>
        <w:rPr>
          <w:spacing w:val="-9"/>
          <w:sz w:val="19"/>
        </w:rPr>
        <w:t xml:space="preserve"> </w:t>
      </w:r>
      <w:r>
        <w:rPr>
          <w:sz w:val="19"/>
        </w:rPr>
        <w:t xml:space="preserve">Officer Senior Medical Advisor, </w:t>
      </w:r>
    </w:p>
    <w:p w14:paraId="392B3D6D" w14:textId="77777777" w:rsidR="006B64C0" w:rsidRDefault="00000000">
      <w:pPr>
        <w:spacing w:before="1" w:line="340" w:lineRule="auto"/>
        <w:ind w:left="142" w:right="5920"/>
        <w:rPr>
          <w:sz w:val="19"/>
        </w:rPr>
      </w:pPr>
      <w:r>
        <w:rPr>
          <w:sz w:val="19"/>
        </w:rPr>
        <w:t>Sentinel</w:t>
      </w:r>
      <w:r>
        <w:rPr>
          <w:spacing w:val="-7"/>
          <w:sz w:val="19"/>
        </w:rPr>
        <w:t xml:space="preserve"> </w:t>
      </w:r>
      <w:r>
        <w:rPr>
          <w:sz w:val="19"/>
        </w:rPr>
        <w:t>Event</w:t>
      </w:r>
      <w:r>
        <w:rPr>
          <w:spacing w:val="-7"/>
          <w:sz w:val="19"/>
        </w:rPr>
        <w:t xml:space="preserve"> </w:t>
      </w:r>
      <w:r>
        <w:rPr>
          <w:sz w:val="19"/>
        </w:rPr>
        <w:t>Internal</w:t>
      </w:r>
      <w:r>
        <w:rPr>
          <w:spacing w:val="-7"/>
          <w:sz w:val="19"/>
        </w:rPr>
        <w:t xml:space="preserve"> </w:t>
      </w:r>
      <w:r>
        <w:rPr>
          <w:sz w:val="19"/>
        </w:rPr>
        <w:t>Steering</w:t>
      </w:r>
      <w:r>
        <w:rPr>
          <w:spacing w:val="-7"/>
          <w:sz w:val="19"/>
        </w:rPr>
        <w:t xml:space="preserve"> </w:t>
      </w:r>
      <w:r>
        <w:rPr>
          <w:sz w:val="19"/>
        </w:rPr>
        <w:t>Committee,</w:t>
      </w:r>
      <w:r>
        <w:rPr>
          <w:spacing w:val="-7"/>
          <w:sz w:val="19"/>
        </w:rPr>
        <w:t xml:space="preserve"> </w:t>
      </w:r>
      <w:r>
        <w:rPr>
          <w:sz w:val="19"/>
        </w:rPr>
        <w:t xml:space="preserve"> </w:t>
      </w:r>
    </w:p>
    <w:p w14:paraId="4DAFF34C" w14:textId="1AA51E43" w:rsidR="009D54AF" w:rsidRDefault="00000000">
      <w:pPr>
        <w:spacing w:before="1" w:line="340" w:lineRule="auto"/>
        <w:ind w:left="142" w:right="5920"/>
        <w:rPr>
          <w:sz w:val="19"/>
        </w:rPr>
      </w:pPr>
      <w:r>
        <w:rPr>
          <w:sz w:val="19"/>
        </w:rPr>
        <w:t xml:space="preserve">sentinel events, </w:t>
      </w:r>
    </w:p>
    <w:p w14:paraId="72159588" w14:textId="0689A323" w:rsidR="009D54AF" w:rsidRDefault="00000000">
      <w:pPr>
        <w:spacing w:before="1"/>
        <w:ind w:left="142"/>
        <w:rPr>
          <w:sz w:val="19"/>
        </w:rPr>
      </w:pPr>
      <w:r>
        <w:rPr>
          <w:sz w:val="19"/>
        </w:rPr>
        <w:t xml:space="preserve">sepsis, </w:t>
      </w:r>
    </w:p>
    <w:p w14:paraId="67FFD9BE" w14:textId="1C142CF0" w:rsidR="006B64C0" w:rsidRDefault="00000000" w:rsidP="006B64C0">
      <w:pPr>
        <w:spacing w:before="93" w:line="278" w:lineRule="auto"/>
        <w:ind w:left="142" w:right="7241"/>
        <w:rPr>
          <w:sz w:val="19"/>
        </w:rPr>
      </w:pPr>
      <w:r>
        <w:rPr>
          <w:sz w:val="19"/>
        </w:rPr>
        <w:t xml:space="preserve">Seymour, Dr Hannah,  </w:t>
      </w:r>
    </w:p>
    <w:p w14:paraId="411663F7" w14:textId="1E5D1F84" w:rsidR="009D54AF" w:rsidRDefault="00000000">
      <w:pPr>
        <w:spacing w:before="93" w:line="340" w:lineRule="auto"/>
        <w:ind w:left="142" w:right="7238"/>
        <w:rPr>
          <w:sz w:val="19"/>
        </w:rPr>
      </w:pPr>
      <w:r>
        <w:rPr>
          <w:sz w:val="19"/>
        </w:rPr>
        <w:t>short notice assessments,  significant</w:t>
      </w:r>
      <w:r>
        <w:rPr>
          <w:spacing w:val="-8"/>
          <w:sz w:val="19"/>
        </w:rPr>
        <w:t xml:space="preserve"> </w:t>
      </w:r>
      <w:r>
        <w:rPr>
          <w:sz w:val="19"/>
        </w:rPr>
        <w:t>decisions</w:t>
      </w:r>
      <w:r>
        <w:rPr>
          <w:spacing w:val="-8"/>
          <w:sz w:val="19"/>
        </w:rPr>
        <w:t xml:space="preserve"> </w:t>
      </w:r>
      <w:r>
        <w:rPr>
          <w:sz w:val="19"/>
        </w:rPr>
        <w:t>or</w:t>
      </w:r>
      <w:r>
        <w:rPr>
          <w:spacing w:val="-8"/>
          <w:sz w:val="19"/>
        </w:rPr>
        <w:t xml:space="preserve"> </w:t>
      </w:r>
      <w:r>
        <w:rPr>
          <w:sz w:val="19"/>
        </w:rPr>
        <w:t>issues,</w:t>
      </w:r>
      <w:r>
        <w:rPr>
          <w:spacing w:val="-8"/>
          <w:sz w:val="19"/>
        </w:rPr>
        <w:t xml:space="preserve"> </w:t>
      </w:r>
      <w:r>
        <w:rPr>
          <w:sz w:val="19"/>
        </w:rPr>
        <w:t xml:space="preserve"> spirometry, </w:t>
      </w:r>
    </w:p>
    <w:p w14:paraId="1305C164" w14:textId="77777777" w:rsidR="009D54AF" w:rsidRDefault="00000000">
      <w:pPr>
        <w:spacing w:before="2"/>
        <w:ind w:left="142"/>
        <w:rPr>
          <w:sz w:val="19"/>
        </w:rPr>
      </w:pPr>
      <w:r>
        <w:rPr>
          <w:spacing w:val="-2"/>
          <w:sz w:val="19"/>
        </w:rPr>
        <w:t>staff</w:t>
      </w:r>
    </w:p>
    <w:p w14:paraId="0BD04F4B" w14:textId="77777777" w:rsidR="006B64C0" w:rsidRDefault="00000000" w:rsidP="006B64C0">
      <w:pPr>
        <w:spacing w:beforeLines="29" w:before="69" w:line="278" w:lineRule="auto"/>
        <w:ind w:left="425" w:right="6889"/>
        <w:rPr>
          <w:sz w:val="19"/>
        </w:rPr>
      </w:pPr>
      <w:r>
        <w:rPr>
          <w:sz w:val="19"/>
        </w:rPr>
        <w:t>APSC</w:t>
      </w:r>
      <w:r>
        <w:rPr>
          <w:spacing w:val="-11"/>
          <w:sz w:val="19"/>
        </w:rPr>
        <w:t xml:space="preserve"> </w:t>
      </w:r>
      <w:r>
        <w:rPr>
          <w:sz w:val="19"/>
        </w:rPr>
        <w:t>employee</w:t>
      </w:r>
      <w:r>
        <w:rPr>
          <w:spacing w:val="-11"/>
          <w:sz w:val="19"/>
        </w:rPr>
        <w:t xml:space="preserve"> </w:t>
      </w:r>
      <w:r>
        <w:rPr>
          <w:sz w:val="19"/>
        </w:rPr>
        <w:t>census,</w:t>
      </w:r>
      <w:r>
        <w:rPr>
          <w:spacing w:val="-11"/>
          <w:sz w:val="19"/>
        </w:rPr>
        <w:t xml:space="preserve"> </w:t>
      </w:r>
      <w:r>
        <w:rPr>
          <w:sz w:val="19"/>
        </w:rPr>
        <w:t xml:space="preserve"> </w:t>
      </w:r>
    </w:p>
    <w:p w14:paraId="5ED8D7D1" w14:textId="0ACBD1DE" w:rsidR="009D54AF" w:rsidRDefault="00000000" w:rsidP="006B64C0">
      <w:pPr>
        <w:spacing w:beforeLines="29" w:before="69" w:line="278" w:lineRule="auto"/>
        <w:ind w:left="425" w:right="6889"/>
        <w:rPr>
          <w:sz w:val="19"/>
        </w:rPr>
      </w:pPr>
      <w:r>
        <w:rPr>
          <w:sz w:val="19"/>
        </w:rPr>
        <w:t xml:space="preserve">consultative processes, </w:t>
      </w:r>
    </w:p>
    <w:p w14:paraId="3FE07600" w14:textId="77777777" w:rsidR="006B64C0" w:rsidRDefault="00000000" w:rsidP="006B64C0">
      <w:pPr>
        <w:spacing w:beforeLines="29" w:before="69" w:line="278" w:lineRule="auto"/>
        <w:ind w:left="425" w:right="6600"/>
        <w:rPr>
          <w:sz w:val="19"/>
        </w:rPr>
      </w:pPr>
      <w:r>
        <w:rPr>
          <w:sz w:val="19"/>
        </w:rPr>
        <w:t>Enterprise</w:t>
      </w:r>
      <w:r>
        <w:rPr>
          <w:spacing w:val="-14"/>
          <w:sz w:val="19"/>
        </w:rPr>
        <w:t xml:space="preserve"> </w:t>
      </w:r>
      <w:r>
        <w:rPr>
          <w:sz w:val="19"/>
        </w:rPr>
        <w:t>Agreement</w:t>
      </w:r>
      <w:r>
        <w:rPr>
          <w:spacing w:val="-13"/>
          <w:sz w:val="19"/>
        </w:rPr>
        <w:t xml:space="preserve"> </w:t>
      </w:r>
      <w:r>
        <w:rPr>
          <w:sz w:val="19"/>
        </w:rPr>
        <w:t>2024–2027,</w:t>
      </w:r>
      <w:r>
        <w:rPr>
          <w:spacing w:val="-13"/>
          <w:sz w:val="19"/>
        </w:rPr>
        <w:t xml:space="preserve"> </w:t>
      </w:r>
      <w:r>
        <w:rPr>
          <w:sz w:val="19"/>
        </w:rPr>
        <w:t xml:space="preserve"> </w:t>
      </w:r>
    </w:p>
    <w:p w14:paraId="3FDC597F" w14:textId="5345D095" w:rsidR="009D54AF" w:rsidRDefault="00000000" w:rsidP="006B64C0">
      <w:pPr>
        <w:spacing w:beforeLines="29" w:before="69" w:line="278" w:lineRule="auto"/>
        <w:ind w:left="425" w:right="6600"/>
        <w:rPr>
          <w:sz w:val="19"/>
        </w:rPr>
      </w:pPr>
      <w:r>
        <w:rPr>
          <w:sz w:val="19"/>
        </w:rPr>
        <w:t xml:space="preserve">First Nations employees, </w:t>
      </w:r>
    </w:p>
    <w:p w14:paraId="03623E8C" w14:textId="63C0DFFD" w:rsidR="009D54AF" w:rsidRDefault="00000000" w:rsidP="006B64C0">
      <w:pPr>
        <w:spacing w:beforeLines="29" w:before="69" w:line="278" w:lineRule="auto"/>
        <w:ind w:left="425"/>
        <w:rPr>
          <w:sz w:val="19"/>
        </w:rPr>
      </w:pPr>
      <w:r>
        <w:rPr>
          <w:sz w:val="19"/>
        </w:rPr>
        <w:t>learning,</w:t>
      </w:r>
      <w:r>
        <w:rPr>
          <w:spacing w:val="-1"/>
          <w:sz w:val="19"/>
        </w:rPr>
        <w:t xml:space="preserve"> </w:t>
      </w:r>
      <w:r>
        <w:rPr>
          <w:sz w:val="19"/>
        </w:rPr>
        <w:t>development and training,</w:t>
      </w:r>
      <w:r>
        <w:rPr>
          <w:spacing w:val="-1"/>
          <w:sz w:val="19"/>
        </w:rPr>
        <w:t xml:space="preserve"> </w:t>
      </w:r>
    </w:p>
    <w:p w14:paraId="6B06396E" w14:textId="4868C451" w:rsidR="009D54AF" w:rsidRDefault="00000000" w:rsidP="006B64C0">
      <w:pPr>
        <w:spacing w:beforeLines="29" w:before="69" w:line="278" w:lineRule="auto"/>
        <w:ind w:left="425"/>
        <w:rPr>
          <w:sz w:val="19"/>
        </w:rPr>
      </w:pPr>
      <w:r>
        <w:rPr>
          <w:sz w:val="19"/>
        </w:rPr>
        <w:t>location,</w:t>
      </w:r>
      <w:r>
        <w:rPr>
          <w:spacing w:val="-2"/>
          <w:sz w:val="19"/>
        </w:rPr>
        <w:t xml:space="preserve"> </w:t>
      </w:r>
    </w:p>
    <w:p w14:paraId="010AE39E" w14:textId="633FE8B0" w:rsidR="006B64C0" w:rsidRDefault="00000000" w:rsidP="006B64C0">
      <w:pPr>
        <w:spacing w:beforeLines="29" w:before="69" w:line="278" w:lineRule="auto"/>
        <w:ind w:left="425" w:right="7238"/>
        <w:rPr>
          <w:sz w:val="19"/>
        </w:rPr>
      </w:pPr>
      <w:r>
        <w:rPr>
          <w:sz w:val="19"/>
        </w:rPr>
        <w:t>people</w:t>
      </w:r>
      <w:r>
        <w:rPr>
          <w:spacing w:val="-11"/>
          <w:sz w:val="19"/>
        </w:rPr>
        <w:t xml:space="preserve"> </w:t>
      </w:r>
      <w:r>
        <w:rPr>
          <w:sz w:val="19"/>
        </w:rPr>
        <w:t>management,</w:t>
      </w:r>
      <w:r>
        <w:rPr>
          <w:spacing w:val="-11"/>
          <w:sz w:val="19"/>
        </w:rPr>
        <w:t xml:space="preserve"> </w:t>
      </w:r>
    </w:p>
    <w:p w14:paraId="02DF58CF" w14:textId="77777777" w:rsidR="006B64C0" w:rsidRDefault="00000000" w:rsidP="006B64C0">
      <w:pPr>
        <w:spacing w:beforeLines="29" w:before="69" w:line="278" w:lineRule="auto"/>
        <w:ind w:left="425" w:right="7238"/>
        <w:rPr>
          <w:sz w:val="19"/>
        </w:rPr>
      </w:pPr>
      <w:r>
        <w:rPr>
          <w:sz w:val="19"/>
        </w:rPr>
        <w:t xml:space="preserve">profile and statistics,  </w:t>
      </w:r>
    </w:p>
    <w:p w14:paraId="2F00C33A" w14:textId="77777777" w:rsidR="006B64C0" w:rsidRDefault="006B64C0">
      <w:pPr>
        <w:rPr>
          <w:sz w:val="19"/>
        </w:rPr>
      </w:pPr>
      <w:r>
        <w:rPr>
          <w:sz w:val="19"/>
        </w:rPr>
        <w:br w:type="page"/>
      </w:r>
    </w:p>
    <w:p w14:paraId="68D6101E" w14:textId="1DF787F4" w:rsidR="009D54AF" w:rsidRDefault="00000000">
      <w:pPr>
        <w:spacing w:before="92" w:line="340" w:lineRule="auto"/>
        <w:ind w:left="425" w:right="7238"/>
        <w:rPr>
          <w:sz w:val="19"/>
        </w:rPr>
      </w:pPr>
      <w:r>
        <w:rPr>
          <w:sz w:val="19"/>
        </w:rPr>
        <w:lastRenderedPageBreak/>
        <w:t xml:space="preserve">recruitment, </w:t>
      </w:r>
    </w:p>
    <w:p w14:paraId="7735431C" w14:textId="621596DA" w:rsidR="009D54AF" w:rsidRDefault="00000000">
      <w:pPr>
        <w:spacing w:before="2"/>
        <w:ind w:left="425"/>
        <w:rPr>
          <w:sz w:val="19"/>
        </w:rPr>
      </w:pPr>
      <w:r>
        <w:rPr>
          <w:sz w:val="19"/>
        </w:rPr>
        <w:t>remuneration,</w:t>
      </w:r>
      <w:r>
        <w:rPr>
          <w:spacing w:val="-3"/>
          <w:sz w:val="19"/>
        </w:rPr>
        <w:t xml:space="preserve"> </w:t>
      </w:r>
    </w:p>
    <w:p w14:paraId="515C7ECF" w14:textId="72338B39" w:rsidR="009D54AF" w:rsidRDefault="00000000">
      <w:pPr>
        <w:spacing w:before="92" w:line="340" w:lineRule="auto"/>
        <w:ind w:left="425" w:right="7238"/>
        <w:rPr>
          <w:sz w:val="19"/>
        </w:rPr>
      </w:pPr>
      <w:r>
        <w:rPr>
          <w:sz w:val="19"/>
        </w:rPr>
        <w:t>work</w:t>
      </w:r>
      <w:r>
        <w:rPr>
          <w:spacing w:val="-12"/>
          <w:sz w:val="19"/>
        </w:rPr>
        <w:t xml:space="preserve"> </w:t>
      </w:r>
      <w:r>
        <w:rPr>
          <w:sz w:val="19"/>
        </w:rPr>
        <w:t>health</w:t>
      </w:r>
      <w:r>
        <w:rPr>
          <w:spacing w:val="-12"/>
          <w:sz w:val="19"/>
        </w:rPr>
        <w:t xml:space="preserve"> </w:t>
      </w:r>
      <w:r>
        <w:rPr>
          <w:sz w:val="19"/>
        </w:rPr>
        <w:t>and</w:t>
      </w:r>
      <w:r>
        <w:rPr>
          <w:spacing w:val="-12"/>
          <w:sz w:val="19"/>
        </w:rPr>
        <w:t xml:space="preserve"> </w:t>
      </w:r>
      <w:r>
        <w:rPr>
          <w:sz w:val="19"/>
        </w:rPr>
        <w:t>safety,</w:t>
      </w:r>
      <w:r>
        <w:rPr>
          <w:spacing w:val="-12"/>
          <w:sz w:val="19"/>
        </w:rPr>
        <w:t xml:space="preserve"> </w:t>
      </w:r>
      <w:r>
        <w:rPr>
          <w:sz w:val="19"/>
        </w:rPr>
        <w:t xml:space="preserve"> workplace diversity, </w:t>
      </w:r>
    </w:p>
    <w:p w14:paraId="0F515B85" w14:textId="10CED5AF" w:rsidR="006B64C0" w:rsidRDefault="00000000">
      <w:pPr>
        <w:spacing w:before="1" w:line="340" w:lineRule="auto"/>
        <w:ind w:left="142" w:right="1372"/>
        <w:rPr>
          <w:sz w:val="19"/>
        </w:rPr>
      </w:pPr>
      <w:r>
        <w:rPr>
          <w:sz w:val="19"/>
        </w:rPr>
        <w:t>stakeholder</w:t>
      </w:r>
      <w:r>
        <w:rPr>
          <w:spacing w:val="-2"/>
          <w:sz w:val="19"/>
        </w:rPr>
        <w:t xml:space="preserve"> </w:t>
      </w:r>
      <w:r>
        <w:rPr>
          <w:sz w:val="19"/>
        </w:rPr>
        <w:t>consultation</w:t>
      </w:r>
      <w:r>
        <w:rPr>
          <w:spacing w:val="-2"/>
          <w:sz w:val="19"/>
        </w:rPr>
        <w:t xml:space="preserve"> </w:t>
      </w:r>
      <w:r>
        <w:rPr>
          <w:sz w:val="19"/>
        </w:rPr>
        <w:t>and</w:t>
      </w:r>
      <w:r>
        <w:rPr>
          <w:spacing w:val="-2"/>
          <w:sz w:val="19"/>
        </w:rPr>
        <w:t xml:space="preserve"> </w:t>
      </w:r>
      <w:r>
        <w:rPr>
          <w:sz w:val="19"/>
        </w:rPr>
        <w:t>advisory</w:t>
      </w:r>
      <w:r>
        <w:rPr>
          <w:spacing w:val="-2"/>
          <w:sz w:val="19"/>
        </w:rPr>
        <w:t xml:space="preserve"> </w:t>
      </w:r>
      <w:r>
        <w:rPr>
          <w:sz w:val="19"/>
        </w:rPr>
        <w:t>mechanisms,</w:t>
      </w:r>
      <w:r>
        <w:rPr>
          <w:spacing w:val="-2"/>
          <w:sz w:val="19"/>
        </w:rPr>
        <w:t xml:space="preserve"> </w:t>
      </w:r>
    </w:p>
    <w:p w14:paraId="6479ABEE" w14:textId="3E70FAC6" w:rsidR="009D54AF" w:rsidRDefault="00000000">
      <w:pPr>
        <w:spacing w:before="1" w:line="340" w:lineRule="auto"/>
        <w:ind w:left="142" w:right="1372"/>
        <w:rPr>
          <w:sz w:val="19"/>
        </w:rPr>
      </w:pPr>
      <w:r>
        <w:rPr>
          <w:spacing w:val="-2"/>
          <w:sz w:val="19"/>
        </w:rPr>
        <w:t>standards</w:t>
      </w:r>
    </w:p>
    <w:p w14:paraId="2AC5B669" w14:textId="133A558A" w:rsidR="009D54AF" w:rsidRDefault="00000000">
      <w:pPr>
        <w:spacing w:before="2" w:line="340" w:lineRule="auto"/>
        <w:ind w:left="425" w:right="6600"/>
        <w:rPr>
          <w:sz w:val="19"/>
        </w:rPr>
      </w:pPr>
      <w:r>
        <w:rPr>
          <w:sz w:val="19"/>
        </w:rPr>
        <w:t>clinical</w:t>
      </w:r>
      <w:r>
        <w:rPr>
          <w:spacing w:val="-7"/>
          <w:sz w:val="19"/>
        </w:rPr>
        <w:t xml:space="preserve"> </w:t>
      </w:r>
      <w:r>
        <w:rPr>
          <w:sz w:val="19"/>
        </w:rPr>
        <w:t>care</w:t>
      </w:r>
      <w:r>
        <w:rPr>
          <w:spacing w:val="-7"/>
          <w:sz w:val="19"/>
        </w:rPr>
        <w:t xml:space="preserve"> </w:t>
      </w:r>
      <w:r>
        <w:rPr>
          <w:i/>
          <w:sz w:val="19"/>
        </w:rPr>
        <w:t>see</w:t>
      </w:r>
      <w:r>
        <w:rPr>
          <w:i/>
          <w:spacing w:val="-7"/>
          <w:sz w:val="19"/>
        </w:rPr>
        <w:t xml:space="preserve"> </w:t>
      </w:r>
      <w:r>
        <w:rPr>
          <w:sz w:val="19"/>
        </w:rPr>
        <w:t>Clinical</w:t>
      </w:r>
      <w:r>
        <w:rPr>
          <w:spacing w:val="-7"/>
          <w:sz w:val="19"/>
        </w:rPr>
        <w:t xml:space="preserve"> </w:t>
      </w:r>
      <w:r>
        <w:rPr>
          <w:sz w:val="19"/>
        </w:rPr>
        <w:t>Care</w:t>
      </w:r>
      <w:r>
        <w:rPr>
          <w:spacing w:val="-7"/>
          <w:sz w:val="19"/>
        </w:rPr>
        <w:t xml:space="preserve"> </w:t>
      </w:r>
      <w:r>
        <w:rPr>
          <w:sz w:val="19"/>
        </w:rPr>
        <w:t xml:space="preserve">Standards cosmetic surgery, </w:t>
      </w:r>
    </w:p>
    <w:p w14:paraId="7DF391AA" w14:textId="015D33A6" w:rsidR="009D54AF" w:rsidRDefault="00000000">
      <w:pPr>
        <w:spacing w:before="1"/>
        <w:ind w:left="425"/>
        <w:rPr>
          <w:sz w:val="19"/>
        </w:rPr>
      </w:pPr>
      <w:r>
        <w:rPr>
          <w:sz w:val="19"/>
        </w:rPr>
        <w:t>general</w:t>
      </w:r>
      <w:r>
        <w:rPr>
          <w:spacing w:val="-3"/>
          <w:sz w:val="19"/>
        </w:rPr>
        <w:t xml:space="preserve"> </w:t>
      </w:r>
      <w:r>
        <w:rPr>
          <w:sz w:val="19"/>
        </w:rPr>
        <w:t>practices,</w:t>
      </w:r>
      <w:r>
        <w:rPr>
          <w:spacing w:val="-3"/>
          <w:sz w:val="19"/>
        </w:rPr>
        <w:t xml:space="preserve"> </w:t>
      </w:r>
    </w:p>
    <w:p w14:paraId="04281774" w14:textId="67C5A696" w:rsidR="009D54AF" w:rsidRDefault="00000000">
      <w:pPr>
        <w:spacing w:before="92"/>
        <w:ind w:left="425"/>
        <w:rPr>
          <w:sz w:val="19"/>
        </w:rPr>
      </w:pPr>
      <w:r>
        <w:rPr>
          <w:sz w:val="19"/>
        </w:rPr>
        <w:t>medical</w:t>
      </w:r>
      <w:r>
        <w:rPr>
          <w:spacing w:val="-5"/>
          <w:sz w:val="19"/>
        </w:rPr>
        <w:t xml:space="preserve"> </w:t>
      </w:r>
      <w:r>
        <w:rPr>
          <w:sz w:val="19"/>
        </w:rPr>
        <w:t>imaging,</w:t>
      </w:r>
      <w:r>
        <w:rPr>
          <w:spacing w:val="-4"/>
          <w:sz w:val="19"/>
        </w:rPr>
        <w:t xml:space="preserve"> </w:t>
      </w:r>
    </w:p>
    <w:p w14:paraId="111877D0" w14:textId="58AC5679" w:rsidR="009D54AF" w:rsidRDefault="00000000">
      <w:pPr>
        <w:spacing w:before="93"/>
        <w:ind w:left="425"/>
        <w:rPr>
          <w:sz w:val="19"/>
        </w:rPr>
      </w:pPr>
      <w:r>
        <w:rPr>
          <w:sz w:val="19"/>
        </w:rPr>
        <w:t>mental</w:t>
      </w:r>
      <w:r>
        <w:rPr>
          <w:spacing w:val="-2"/>
          <w:sz w:val="19"/>
        </w:rPr>
        <w:t xml:space="preserve"> </w:t>
      </w:r>
      <w:r>
        <w:rPr>
          <w:sz w:val="19"/>
        </w:rPr>
        <w:t>health,</w:t>
      </w:r>
      <w:r>
        <w:rPr>
          <w:spacing w:val="-1"/>
          <w:sz w:val="19"/>
        </w:rPr>
        <w:t xml:space="preserve"> </w:t>
      </w:r>
    </w:p>
    <w:p w14:paraId="72B922A7" w14:textId="667E35AC" w:rsidR="009D54AF" w:rsidRDefault="00000000">
      <w:pPr>
        <w:spacing w:before="92"/>
        <w:ind w:left="425"/>
        <w:rPr>
          <w:sz w:val="19"/>
        </w:rPr>
      </w:pPr>
      <w:r>
        <w:rPr>
          <w:sz w:val="19"/>
        </w:rPr>
        <w:t>new</w:t>
      </w:r>
      <w:r>
        <w:rPr>
          <w:spacing w:val="-1"/>
          <w:sz w:val="19"/>
        </w:rPr>
        <w:t xml:space="preserve"> </w:t>
      </w:r>
      <w:r>
        <w:rPr>
          <w:sz w:val="19"/>
        </w:rPr>
        <w:t>releases,</w:t>
      </w:r>
      <w:r>
        <w:rPr>
          <w:spacing w:val="-1"/>
          <w:sz w:val="19"/>
        </w:rPr>
        <w:t xml:space="preserve"> </w:t>
      </w:r>
    </w:p>
    <w:p w14:paraId="4373546F" w14:textId="69AECA0F" w:rsidR="009D54AF" w:rsidRDefault="00000000">
      <w:pPr>
        <w:spacing w:before="92" w:line="340" w:lineRule="auto"/>
        <w:ind w:left="425" w:right="3321"/>
        <w:rPr>
          <w:sz w:val="19"/>
        </w:rPr>
      </w:pPr>
      <w:r>
        <w:rPr>
          <w:sz w:val="19"/>
        </w:rPr>
        <w:t>NSQHS</w:t>
      </w:r>
      <w:r>
        <w:rPr>
          <w:spacing w:val="-4"/>
          <w:sz w:val="19"/>
        </w:rPr>
        <w:t xml:space="preserve"> </w:t>
      </w:r>
      <w:r>
        <w:rPr>
          <w:i/>
          <w:sz w:val="19"/>
        </w:rPr>
        <w:t>see</w:t>
      </w:r>
      <w:r>
        <w:rPr>
          <w:i/>
          <w:spacing w:val="-4"/>
          <w:sz w:val="19"/>
        </w:rPr>
        <w:t xml:space="preserve"> </w:t>
      </w:r>
      <w:r>
        <w:rPr>
          <w:sz w:val="19"/>
        </w:rPr>
        <w:t>National</w:t>
      </w:r>
      <w:r>
        <w:rPr>
          <w:spacing w:val="-4"/>
          <w:sz w:val="19"/>
        </w:rPr>
        <w:t xml:space="preserve"> </w:t>
      </w:r>
      <w:r>
        <w:rPr>
          <w:sz w:val="19"/>
        </w:rPr>
        <w:t>Safety</w:t>
      </w:r>
      <w:r>
        <w:rPr>
          <w:spacing w:val="-4"/>
          <w:sz w:val="19"/>
        </w:rPr>
        <w:t xml:space="preserve"> </w:t>
      </w:r>
      <w:r>
        <w:rPr>
          <w:sz w:val="19"/>
        </w:rPr>
        <w:t>and</w:t>
      </w:r>
      <w:r>
        <w:rPr>
          <w:spacing w:val="-4"/>
          <w:sz w:val="19"/>
        </w:rPr>
        <w:t xml:space="preserve"> </w:t>
      </w:r>
      <w:r>
        <w:rPr>
          <w:sz w:val="19"/>
        </w:rPr>
        <w:t>Quality</w:t>
      </w:r>
      <w:r>
        <w:rPr>
          <w:spacing w:val="-4"/>
          <w:sz w:val="19"/>
        </w:rPr>
        <w:t xml:space="preserve"> </w:t>
      </w:r>
      <w:r>
        <w:rPr>
          <w:sz w:val="19"/>
        </w:rPr>
        <w:t>Health</w:t>
      </w:r>
      <w:r>
        <w:rPr>
          <w:spacing w:val="-4"/>
          <w:sz w:val="19"/>
        </w:rPr>
        <w:t xml:space="preserve"> </w:t>
      </w:r>
      <w:r>
        <w:rPr>
          <w:sz w:val="19"/>
        </w:rPr>
        <w:t>Service</w:t>
      </w:r>
      <w:r>
        <w:rPr>
          <w:spacing w:val="-4"/>
          <w:sz w:val="19"/>
        </w:rPr>
        <w:t xml:space="preserve"> </w:t>
      </w:r>
      <w:r>
        <w:rPr>
          <w:sz w:val="19"/>
        </w:rPr>
        <w:t>(NSQHS)</w:t>
      </w:r>
      <w:r>
        <w:rPr>
          <w:spacing w:val="-4"/>
          <w:sz w:val="19"/>
        </w:rPr>
        <w:t xml:space="preserve"> </w:t>
      </w:r>
      <w:r>
        <w:rPr>
          <w:sz w:val="19"/>
        </w:rPr>
        <w:t xml:space="preserve">Standards virtual care, </w:t>
      </w:r>
    </w:p>
    <w:p w14:paraId="3A7AF23A" w14:textId="77777777" w:rsidR="009D54AF" w:rsidRDefault="00000000">
      <w:pPr>
        <w:spacing w:before="2"/>
        <w:ind w:left="425"/>
        <w:rPr>
          <w:sz w:val="19"/>
        </w:rPr>
      </w:pPr>
      <w:r>
        <w:rPr>
          <w:i/>
          <w:sz w:val="19"/>
        </w:rPr>
        <w:t>see</w:t>
      </w:r>
      <w:r>
        <w:rPr>
          <w:i/>
          <w:spacing w:val="-6"/>
          <w:sz w:val="19"/>
        </w:rPr>
        <w:t xml:space="preserve"> </w:t>
      </w:r>
      <w:r>
        <w:rPr>
          <w:i/>
          <w:sz w:val="19"/>
        </w:rPr>
        <w:t>also</w:t>
      </w:r>
      <w:r>
        <w:rPr>
          <w:i/>
          <w:spacing w:val="-6"/>
          <w:sz w:val="19"/>
        </w:rPr>
        <w:t xml:space="preserve"> </w:t>
      </w:r>
      <w:r>
        <w:rPr>
          <w:sz w:val="19"/>
        </w:rPr>
        <w:t>accreditation</w:t>
      </w:r>
      <w:r>
        <w:rPr>
          <w:spacing w:val="-5"/>
          <w:sz w:val="19"/>
        </w:rPr>
        <w:t xml:space="preserve"> </w:t>
      </w:r>
      <w:r>
        <w:rPr>
          <w:spacing w:val="-2"/>
          <w:sz w:val="19"/>
        </w:rPr>
        <w:t>assessment</w:t>
      </w:r>
    </w:p>
    <w:p w14:paraId="19AB74FD" w14:textId="7F3C3AFB" w:rsidR="009D54AF" w:rsidRDefault="00000000">
      <w:pPr>
        <w:spacing w:before="92"/>
        <w:ind w:left="142"/>
        <w:rPr>
          <w:sz w:val="19"/>
        </w:rPr>
      </w:pPr>
      <w:r>
        <w:rPr>
          <w:sz w:val="19"/>
        </w:rPr>
        <w:t>state</w:t>
      </w:r>
      <w:r>
        <w:rPr>
          <w:spacing w:val="-3"/>
          <w:sz w:val="19"/>
        </w:rPr>
        <w:t xml:space="preserve"> </w:t>
      </w:r>
      <w:r>
        <w:rPr>
          <w:sz w:val="19"/>
        </w:rPr>
        <w:t>and</w:t>
      </w:r>
      <w:r>
        <w:rPr>
          <w:spacing w:val="-3"/>
          <w:sz w:val="19"/>
        </w:rPr>
        <w:t xml:space="preserve"> </w:t>
      </w:r>
      <w:r>
        <w:rPr>
          <w:sz w:val="19"/>
        </w:rPr>
        <w:t>territory</w:t>
      </w:r>
      <w:r>
        <w:rPr>
          <w:spacing w:val="-3"/>
          <w:sz w:val="19"/>
        </w:rPr>
        <w:t xml:space="preserve"> </w:t>
      </w:r>
      <w:r>
        <w:rPr>
          <w:sz w:val="19"/>
        </w:rPr>
        <w:t>governments,</w:t>
      </w:r>
      <w:r>
        <w:rPr>
          <w:spacing w:val="-3"/>
          <w:sz w:val="19"/>
        </w:rPr>
        <w:t xml:space="preserve"> </w:t>
      </w:r>
    </w:p>
    <w:p w14:paraId="7C2FE9DC" w14:textId="1CB1BD12" w:rsidR="003C695B" w:rsidRDefault="00000000" w:rsidP="003C695B">
      <w:pPr>
        <w:spacing w:before="92" w:line="278" w:lineRule="auto"/>
        <w:ind w:left="142" w:right="5919"/>
        <w:rPr>
          <w:sz w:val="19"/>
        </w:rPr>
      </w:pPr>
      <w:r>
        <w:rPr>
          <w:sz w:val="19"/>
        </w:rPr>
        <w:t>state</w:t>
      </w:r>
      <w:r>
        <w:rPr>
          <w:spacing w:val="-5"/>
          <w:sz w:val="19"/>
        </w:rPr>
        <w:t xml:space="preserve"> </w:t>
      </w:r>
      <w:r>
        <w:rPr>
          <w:sz w:val="19"/>
        </w:rPr>
        <w:t>and</w:t>
      </w:r>
      <w:r>
        <w:rPr>
          <w:spacing w:val="-5"/>
          <w:sz w:val="19"/>
        </w:rPr>
        <w:t xml:space="preserve"> </w:t>
      </w:r>
      <w:r>
        <w:rPr>
          <w:sz w:val="19"/>
        </w:rPr>
        <w:t>territory</w:t>
      </w:r>
      <w:r>
        <w:rPr>
          <w:spacing w:val="-5"/>
          <w:sz w:val="19"/>
        </w:rPr>
        <w:t xml:space="preserve"> </w:t>
      </w:r>
      <w:r>
        <w:rPr>
          <w:sz w:val="19"/>
        </w:rPr>
        <w:t>health</w:t>
      </w:r>
      <w:r>
        <w:rPr>
          <w:spacing w:val="-5"/>
          <w:sz w:val="19"/>
        </w:rPr>
        <w:t xml:space="preserve"> </w:t>
      </w:r>
      <w:r>
        <w:rPr>
          <w:sz w:val="19"/>
        </w:rPr>
        <w:t>departments,</w:t>
      </w:r>
      <w:r>
        <w:rPr>
          <w:spacing w:val="-5"/>
          <w:sz w:val="19"/>
        </w:rPr>
        <w:t xml:space="preserve"> </w:t>
      </w:r>
    </w:p>
    <w:p w14:paraId="61B3C02F" w14:textId="6AFC73DA" w:rsidR="009D54AF" w:rsidRDefault="00000000">
      <w:pPr>
        <w:spacing w:before="92" w:line="340" w:lineRule="auto"/>
        <w:ind w:left="142" w:right="5920"/>
        <w:rPr>
          <w:sz w:val="19"/>
        </w:rPr>
      </w:pPr>
      <w:r>
        <w:rPr>
          <w:sz w:val="19"/>
        </w:rPr>
        <w:t xml:space="preserve">state and territory health ministers, </w:t>
      </w:r>
    </w:p>
    <w:p w14:paraId="6D24A7FA" w14:textId="507A4058" w:rsidR="003C695B" w:rsidRDefault="00000000">
      <w:pPr>
        <w:spacing w:before="2" w:line="340" w:lineRule="auto"/>
        <w:ind w:left="142" w:right="6600"/>
        <w:rPr>
          <w:sz w:val="19"/>
        </w:rPr>
      </w:pPr>
      <w:r>
        <w:rPr>
          <w:sz w:val="19"/>
        </w:rPr>
        <w:t>Strategic</w:t>
      </w:r>
      <w:r>
        <w:rPr>
          <w:spacing w:val="-11"/>
          <w:sz w:val="19"/>
        </w:rPr>
        <w:t xml:space="preserve"> </w:t>
      </w:r>
      <w:r>
        <w:rPr>
          <w:sz w:val="19"/>
        </w:rPr>
        <w:t>Commissioning</w:t>
      </w:r>
      <w:r>
        <w:rPr>
          <w:spacing w:val="-11"/>
          <w:sz w:val="19"/>
        </w:rPr>
        <w:t xml:space="preserve"> </w:t>
      </w:r>
      <w:r>
        <w:rPr>
          <w:sz w:val="19"/>
        </w:rPr>
        <w:t>Framework,</w:t>
      </w:r>
      <w:r>
        <w:rPr>
          <w:spacing w:val="-11"/>
          <w:sz w:val="19"/>
        </w:rPr>
        <w:t xml:space="preserve"> </w:t>
      </w:r>
    </w:p>
    <w:p w14:paraId="47E0C6B5" w14:textId="19BF77B4" w:rsidR="009D54AF" w:rsidRDefault="00000000">
      <w:pPr>
        <w:spacing w:before="2" w:line="340" w:lineRule="auto"/>
        <w:ind w:left="142" w:right="6600"/>
        <w:rPr>
          <w:sz w:val="19"/>
        </w:rPr>
      </w:pPr>
      <w:r>
        <w:rPr>
          <w:sz w:val="19"/>
        </w:rPr>
        <w:t>Strategic Plan 2025–2030,</w:t>
      </w:r>
    </w:p>
    <w:p w14:paraId="1533DC5B" w14:textId="2C3A1889" w:rsidR="009D54AF" w:rsidRDefault="00000000">
      <w:pPr>
        <w:spacing w:before="1"/>
        <w:ind w:left="425"/>
        <w:rPr>
          <w:sz w:val="19"/>
        </w:rPr>
      </w:pPr>
      <w:r>
        <w:rPr>
          <w:sz w:val="19"/>
        </w:rPr>
        <w:t xml:space="preserve">priorities, </w:t>
      </w:r>
    </w:p>
    <w:p w14:paraId="6C75D014" w14:textId="05E7047B" w:rsidR="003C695B" w:rsidRDefault="00000000">
      <w:pPr>
        <w:spacing w:before="92" w:line="340" w:lineRule="auto"/>
        <w:ind w:left="425" w:right="3321"/>
        <w:rPr>
          <w:sz w:val="19"/>
        </w:rPr>
      </w:pPr>
      <w:r>
        <w:rPr>
          <w:sz w:val="19"/>
        </w:rPr>
        <w:t xml:space="preserve">Strategic Priority 1: High-quality care in an evolving environment, </w:t>
      </w:r>
    </w:p>
    <w:p w14:paraId="0199574B" w14:textId="7B08EE8C" w:rsidR="009D54AF" w:rsidRDefault="00000000">
      <w:pPr>
        <w:spacing w:before="92" w:line="340" w:lineRule="auto"/>
        <w:ind w:left="425" w:right="3321"/>
        <w:rPr>
          <w:sz w:val="19"/>
        </w:rPr>
      </w:pPr>
      <w:r>
        <w:rPr>
          <w:sz w:val="19"/>
        </w:rPr>
        <w:t>Strategic</w:t>
      </w:r>
      <w:r>
        <w:rPr>
          <w:spacing w:val="-5"/>
          <w:sz w:val="19"/>
        </w:rPr>
        <w:t xml:space="preserve"> </w:t>
      </w:r>
      <w:r>
        <w:rPr>
          <w:sz w:val="19"/>
        </w:rPr>
        <w:t>Priority</w:t>
      </w:r>
      <w:r>
        <w:rPr>
          <w:spacing w:val="-5"/>
          <w:sz w:val="19"/>
        </w:rPr>
        <w:t xml:space="preserve"> </w:t>
      </w:r>
      <w:r>
        <w:rPr>
          <w:sz w:val="19"/>
        </w:rPr>
        <w:t>2:</w:t>
      </w:r>
      <w:r>
        <w:rPr>
          <w:spacing w:val="-5"/>
          <w:sz w:val="19"/>
        </w:rPr>
        <w:t xml:space="preserve"> </w:t>
      </w:r>
      <w:r>
        <w:rPr>
          <w:sz w:val="19"/>
        </w:rPr>
        <w:t>Strong,</w:t>
      </w:r>
      <w:r>
        <w:rPr>
          <w:spacing w:val="-5"/>
          <w:sz w:val="19"/>
        </w:rPr>
        <w:t xml:space="preserve"> </w:t>
      </w:r>
      <w:r>
        <w:rPr>
          <w:sz w:val="19"/>
        </w:rPr>
        <w:t>outcome-focused</w:t>
      </w:r>
      <w:r>
        <w:rPr>
          <w:spacing w:val="-5"/>
          <w:sz w:val="19"/>
        </w:rPr>
        <w:t xml:space="preserve"> </w:t>
      </w:r>
      <w:r>
        <w:rPr>
          <w:sz w:val="19"/>
        </w:rPr>
        <w:t>clinical</w:t>
      </w:r>
      <w:r>
        <w:rPr>
          <w:spacing w:val="-5"/>
          <w:sz w:val="19"/>
        </w:rPr>
        <w:t xml:space="preserve"> </w:t>
      </w:r>
      <w:r>
        <w:rPr>
          <w:sz w:val="19"/>
        </w:rPr>
        <w:t>governance,</w:t>
      </w:r>
      <w:r>
        <w:rPr>
          <w:spacing w:val="-5"/>
          <w:sz w:val="19"/>
        </w:rPr>
        <w:t xml:space="preserve"> </w:t>
      </w:r>
    </w:p>
    <w:p w14:paraId="423A88FA" w14:textId="4E192A84" w:rsidR="003C695B" w:rsidRDefault="00000000">
      <w:pPr>
        <w:spacing w:before="70" w:line="340" w:lineRule="auto"/>
        <w:ind w:left="425" w:right="3321"/>
        <w:rPr>
          <w:sz w:val="19"/>
        </w:rPr>
      </w:pPr>
      <w:r>
        <w:rPr>
          <w:sz w:val="19"/>
        </w:rPr>
        <w:t>Strategic</w:t>
      </w:r>
      <w:r>
        <w:rPr>
          <w:spacing w:val="-4"/>
          <w:sz w:val="19"/>
        </w:rPr>
        <w:t xml:space="preserve"> </w:t>
      </w:r>
      <w:r>
        <w:rPr>
          <w:sz w:val="19"/>
        </w:rPr>
        <w:t>Priority</w:t>
      </w:r>
      <w:r>
        <w:rPr>
          <w:spacing w:val="-4"/>
          <w:sz w:val="19"/>
        </w:rPr>
        <w:t xml:space="preserve"> </w:t>
      </w:r>
      <w:r>
        <w:rPr>
          <w:sz w:val="19"/>
        </w:rPr>
        <w:t>3:</w:t>
      </w:r>
      <w:r>
        <w:rPr>
          <w:spacing w:val="-4"/>
          <w:sz w:val="19"/>
        </w:rPr>
        <w:t xml:space="preserve"> </w:t>
      </w:r>
      <w:r>
        <w:rPr>
          <w:sz w:val="19"/>
        </w:rPr>
        <w:t>Empowered</w:t>
      </w:r>
      <w:r>
        <w:rPr>
          <w:spacing w:val="-4"/>
          <w:sz w:val="19"/>
        </w:rPr>
        <w:t xml:space="preserve"> </w:t>
      </w:r>
      <w:r>
        <w:rPr>
          <w:sz w:val="19"/>
        </w:rPr>
        <w:t>patients,</w:t>
      </w:r>
      <w:r>
        <w:rPr>
          <w:spacing w:val="-4"/>
          <w:sz w:val="19"/>
        </w:rPr>
        <w:t xml:space="preserve"> </w:t>
      </w:r>
      <w:r>
        <w:rPr>
          <w:sz w:val="19"/>
        </w:rPr>
        <w:t>carers</w:t>
      </w:r>
      <w:r>
        <w:rPr>
          <w:spacing w:val="-4"/>
          <w:sz w:val="19"/>
        </w:rPr>
        <w:t xml:space="preserve"> </w:t>
      </w:r>
      <w:r>
        <w:rPr>
          <w:sz w:val="19"/>
        </w:rPr>
        <w:t>and</w:t>
      </w:r>
      <w:r>
        <w:rPr>
          <w:spacing w:val="-4"/>
          <w:sz w:val="19"/>
        </w:rPr>
        <w:t xml:space="preserve"> </w:t>
      </w:r>
      <w:r>
        <w:rPr>
          <w:sz w:val="19"/>
        </w:rPr>
        <w:t>communities,</w:t>
      </w:r>
      <w:r>
        <w:rPr>
          <w:spacing w:val="-4"/>
          <w:sz w:val="19"/>
        </w:rPr>
        <w:t xml:space="preserve"> </w:t>
      </w:r>
    </w:p>
    <w:p w14:paraId="60B08327" w14:textId="04A6C049" w:rsidR="009D54AF" w:rsidRDefault="00000000">
      <w:pPr>
        <w:spacing w:before="70" w:line="340" w:lineRule="auto"/>
        <w:ind w:left="425" w:right="3321"/>
        <w:rPr>
          <w:sz w:val="19"/>
        </w:rPr>
      </w:pPr>
      <w:r>
        <w:rPr>
          <w:sz w:val="19"/>
        </w:rPr>
        <w:t xml:space="preserve">Strategic Priority 4: An improvement-driven workforce culture, </w:t>
      </w:r>
    </w:p>
    <w:p w14:paraId="6EA463FB" w14:textId="6D07F6C2" w:rsidR="009D54AF" w:rsidRDefault="00000000">
      <w:pPr>
        <w:spacing w:before="1"/>
        <w:ind w:left="142"/>
        <w:rPr>
          <w:sz w:val="19"/>
        </w:rPr>
      </w:pPr>
      <w:r>
        <w:rPr>
          <w:spacing w:val="-4"/>
          <w:sz w:val="19"/>
        </w:rPr>
        <w:t>Stroke</w:t>
      </w:r>
      <w:r>
        <w:rPr>
          <w:spacing w:val="-6"/>
          <w:sz w:val="19"/>
        </w:rPr>
        <w:t xml:space="preserve"> </w:t>
      </w:r>
      <w:r>
        <w:rPr>
          <w:spacing w:val="-4"/>
          <w:sz w:val="19"/>
        </w:rPr>
        <w:t xml:space="preserve">Clinical Care Standard, </w:t>
      </w:r>
    </w:p>
    <w:p w14:paraId="339C74D8" w14:textId="50C71D4F" w:rsidR="009D54AF" w:rsidRDefault="00000000">
      <w:pPr>
        <w:spacing w:before="93"/>
        <w:ind w:left="142"/>
        <w:rPr>
          <w:sz w:val="19"/>
        </w:rPr>
      </w:pPr>
      <w:r>
        <w:rPr>
          <w:sz w:val="19"/>
        </w:rPr>
        <w:t xml:space="preserve">study support, </w:t>
      </w:r>
    </w:p>
    <w:p w14:paraId="2C237E60" w14:textId="298C371F" w:rsidR="003C695B" w:rsidRDefault="00000000">
      <w:pPr>
        <w:spacing w:before="92" w:line="340" w:lineRule="auto"/>
        <w:ind w:left="142" w:right="7238"/>
        <w:rPr>
          <w:sz w:val="19"/>
        </w:rPr>
      </w:pPr>
      <w:r>
        <w:rPr>
          <w:sz w:val="19"/>
        </w:rPr>
        <w:t>supplier</w:t>
      </w:r>
      <w:r>
        <w:rPr>
          <w:spacing w:val="-12"/>
          <w:sz w:val="19"/>
        </w:rPr>
        <w:t xml:space="preserve"> </w:t>
      </w:r>
      <w:r>
        <w:rPr>
          <w:sz w:val="19"/>
        </w:rPr>
        <w:t>expenditure</w:t>
      </w:r>
      <w:r>
        <w:rPr>
          <w:spacing w:val="-12"/>
          <w:sz w:val="19"/>
        </w:rPr>
        <w:t xml:space="preserve"> </w:t>
      </w:r>
      <w:r>
        <w:rPr>
          <w:sz w:val="19"/>
        </w:rPr>
        <w:t>reduction,</w:t>
      </w:r>
      <w:r>
        <w:rPr>
          <w:spacing w:val="-12"/>
          <w:sz w:val="19"/>
        </w:rPr>
        <w:t xml:space="preserve"> </w:t>
      </w:r>
    </w:p>
    <w:p w14:paraId="143B423C" w14:textId="724FF561" w:rsidR="009D54AF" w:rsidRDefault="00000000">
      <w:pPr>
        <w:spacing w:before="92" w:line="340" w:lineRule="auto"/>
        <w:ind w:left="142" w:right="7238"/>
        <w:rPr>
          <w:sz w:val="19"/>
        </w:rPr>
      </w:pPr>
      <w:r>
        <w:rPr>
          <w:sz w:val="19"/>
        </w:rPr>
        <w:t xml:space="preserve">Swan, David, </w:t>
      </w:r>
    </w:p>
    <w:p w14:paraId="4068C160" w14:textId="77777777" w:rsidR="009D54AF" w:rsidRDefault="00000000">
      <w:pPr>
        <w:pStyle w:val="Heading4"/>
        <w:spacing w:before="188"/>
      </w:pPr>
      <w:r>
        <w:rPr>
          <w:spacing w:val="-10"/>
        </w:rPr>
        <w:t>T</w:t>
      </w:r>
    </w:p>
    <w:p w14:paraId="0DCF67F4" w14:textId="6A770C16" w:rsidR="009D54AF" w:rsidRDefault="00000000">
      <w:pPr>
        <w:spacing w:before="112"/>
        <w:ind w:left="142"/>
        <w:rPr>
          <w:sz w:val="19"/>
        </w:rPr>
      </w:pPr>
      <w:r>
        <w:rPr>
          <w:sz w:val="19"/>
        </w:rPr>
        <w:t>terminology</w:t>
      </w:r>
      <w:r>
        <w:rPr>
          <w:spacing w:val="-4"/>
          <w:sz w:val="19"/>
        </w:rPr>
        <w:t xml:space="preserve"> </w:t>
      </w:r>
      <w:r>
        <w:rPr>
          <w:sz w:val="19"/>
        </w:rPr>
        <w:t>(glossary),</w:t>
      </w:r>
      <w:r>
        <w:rPr>
          <w:spacing w:val="-2"/>
          <w:sz w:val="19"/>
        </w:rPr>
        <w:t xml:space="preserve"> </w:t>
      </w:r>
    </w:p>
    <w:p w14:paraId="68D3BA94" w14:textId="17E7F53E" w:rsidR="009D54AF" w:rsidRDefault="00000000">
      <w:pPr>
        <w:spacing w:before="92" w:line="340" w:lineRule="auto"/>
        <w:ind w:left="425" w:right="5920" w:hanging="284"/>
        <w:rPr>
          <w:sz w:val="19"/>
        </w:rPr>
      </w:pPr>
      <w:r>
        <w:rPr>
          <w:sz w:val="19"/>
        </w:rPr>
        <w:t>Therapeutic Goods Administration (TGA),  Mandatory</w:t>
      </w:r>
      <w:r>
        <w:rPr>
          <w:spacing w:val="-9"/>
          <w:sz w:val="19"/>
        </w:rPr>
        <w:t xml:space="preserve"> </w:t>
      </w:r>
      <w:r>
        <w:rPr>
          <w:sz w:val="19"/>
        </w:rPr>
        <w:t>Reporting</w:t>
      </w:r>
      <w:r>
        <w:rPr>
          <w:spacing w:val="-9"/>
          <w:sz w:val="19"/>
        </w:rPr>
        <w:t xml:space="preserve"> </w:t>
      </w:r>
      <w:r>
        <w:rPr>
          <w:sz w:val="19"/>
        </w:rPr>
        <w:t>Steering</w:t>
      </w:r>
      <w:r>
        <w:rPr>
          <w:spacing w:val="-9"/>
          <w:sz w:val="19"/>
        </w:rPr>
        <w:t xml:space="preserve"> </w:t>
      </w:r>
      <w:r>
        <w:rPr>
          <w:sz w:val="19"/>
        </w:rPr>
        <w:t>Committee,</w:t>
      </w:r>
      <w:r>
        <w:rPr>
          <w:spacing w:val="-9"/>
          <w:sz w:val="19"/>
        </w:rPr>
        <w:t xml:space="preserve"> </w:t>
      </w:r>
    </w:p>
    <w:p w14:paraId="1DA9AFC9" w14:textId="34DFAA19" w:rsidR="009D54AF" w:rsidRDefault="00000000">
      <w:pPr>
        <w:spacing w:before="1"/>
        <w:ind w:left="142"/>
        <w:rPr>
          <w:sz w:val="19"/>
        </w:rPr>
      </w:pPr>
      <w:r>
        <w:rPr>
          <w:sz w:val="19"/>
        </w:rPr>
        <w:t xml:space="preserve">thromboembolism, </w:t>
      </w:r>
    </w:p>
    <w:p w14:paraId="11C97AB4" w14:textId="636E31F1" w:rsidR="009D54AF" w:rsidRDefault="00000000">
      <w:pPr>
        <w:spacing w:before="93"/>
        <w:ind w:left="142"/>
        <w:rPr>
          <w:sz w:val="19"/>
        </w:rPr>
      </w:pPr>
      <w:r>
        <w:rPr>
          <w:sz w:val="19"/>
        </w:rPr>
        <w:t>training</w:t>
      </w:r>
      <w:r>
        <w:rPr>
          <w:spacing w:val="-4"/>
          <w:sz w:val="19"/>
        </w:rPr>
        <w:t xml:space="preserve"> </w:t>
      </w:r>
      <w:r>
        <w:rPr>
          <w:sz w:val="19"/>
        </w:rPr>
        <w:t>(assessors),</w:t>
      </w:r>
      <w:r>
        <w:rPr>
          <w:spacing w:val="-2"/>
          <w:sz w:val="19"/>
        </w:rPr>
        <w:t xml:space="preserve"> </w:t>
      </w:r>
    </w:p>
    <w:p w14:paraId="5785B6C9" w14:textId="6F7D317C" w:rsidR="003C695B" w:rsidRDefault="00000000">
      <w:pPr>
        <w:spacing w:before="92" w:line="340" w:lineRule="auto"/>
        <w:ind w:left="142" w:right="7238"/>
        <w:rPr>
          <w:sz w:val="19"/>
        </w:rPr>
      </w:pPr>
      <w:r>
        <w:rPr>
          <w:sz w:val="19"/>
        </w:rPr>
        <w:t>training</w:t>
      </w:r>
      <w:r>
        <w:rPr>
          <w:spacing w:val="-9"/>
          <w:sz w:val="19"/>
        </w:rPr>
        <w:t xml:space="preserve"> </w:t>
      </w:r>
      <w:r>
        <w:rPr>
          <w:sz w:val="19"/>
        </w:rPr>
        <w:t>(staff),</w:t>
      </w:r>
      <w:r>
        <w:rPr>
          <w:spacing w:val="-9"/>
          <w:sz w:val="19"/>
        </w:rPr>
        <w:t xml:space="preserve"> </w:t>
      </w:r>
    </w:p>
    <w:p w14:paraId="79750635" w14:textId="4CA86CE7" w:rsidR="009D54AF" w:rsidRDefault="00000000">
      <w:pPr>
        <w:spacing w:before="92" w:line="340" w:lineRule="auto"/>
        <w:ind w:left="142" w:right="7238"/>
        <w:rPr>
          <w:sz w:val="19"/>
        </w:rPr>
      </w:pPr>
      <w:r>
        <w:rPr>
          <w:sz w:val="19"/>
        </w:rPr>
        <w:t xml:space="preserve">transitions of care, </w:t>
      </w:r>
    </w:p>
    <w:p w14:paraId="197C0FA6" w14:textId="30896178" w:rsidR="009D54AF" w:rsidRDefault="00000000">
      <w:pPr>
        <w:spacing w:before="1"/>
        <w:ind w:left="425"/>
        <w:rPr>
          <w:sz w:val="19"/>
        </w:rPr>
      </w:pPr>
      <w:r>
        <w:rPr>
          <w:sz w:val="19"/>
        </w:rPr>
        <w:t>medication</w:t>
      </w:r>
      <w:r>
        <w:rPr>
          <w:spacing w:val="-2"/>
          <w:sz w:val="19"/>
        </w:rPr>
        <w:t xml:space="preserve"> </w:t>
      </w:r>
      <w:r>
        <w:rPr>
          <w:sz w:val="19"/>
        </w:rPr>
        <w:t>management</w:t>
      </w:r>
      <w:r>
        <w:rPr>
          <w:spacing w:val="-1"/>
          <w:sz w:val="19"/>
        </w:rPr>
        <w:t xml:space="preserve"> </w:t>
      </w:r>
      <w:r>
        <w:rPr>
          <w:sz w:val="19"/>
        </w:rPr>
        <w:t>at,</w:t>
      </w:r>
      <w:r>
        <w:rPr>
          <w:spacing w:val="-2"/>
          <w:sz w:val="19"/>
        </w:rPr>
        <w:t xml:space="preserve"> </w:t>
      </w:r>
    </w:p>
    <w:p w14:paraId="47711877" w14:textId="77777777" w:rsidR="009D54AF" w:rsidRDefault="00000000">
      <w:pPr>
        <w:pStyle w:val="Heading4"/>
        <w:spacing w:before="280"/>
      </w:pPr>
      <w:r>
        <w:rPr>
          <w:spacing w:val="-10"/>
        </w:rPr>
        <w:t>U</w:t>
      </w:r>
    </w:p>
    <w:p w14:paraId="58C459CE" w14:textId="13BC1C6F" w:rsidR="009D54AF" w:rsidRDefault="00000000">
      <w:pPr>
        <w:spacing w:before="111"/>
        <w:ind w:left="142"/>
        <w:rPr>
          <w:sz w:val="19"/>
        </w:rPr>
      </w:pPr>
      <w:r>
        <w:rPr>
          <w:i/>
          <w:sz w:val="19"/>
        </w:rPr>
        <w:t>Usability</w:t>
      </w:r>
      <w:r>
        <w:rPr>
          <w:i/>
          <w:spacing w:val="-6"/>
          <w:sz w:val="19"/>
        </w:rPr>
        <w:t xml:space="preserve"> </w:t>
      </w:r>
      <w:r>
        <w:rPr>
          <w:i/>
          <w:sz w:val="19"/>
        </w:rPr>
        <w:t>Guidance</w:t>
      </w:r>
      <w:r>
        <w:rPr>
          <w:i/>
          <w:spacing w:val="-3"/>
          <w:sz w:val="19"/>
        </w:rPr>
        <w:t xml:space="preserve"> </w:t>
      </w:r>
      <w:r>
        <w:rPr>
          <w:i/>
          <w:sz w:val="19"/>
        </w:rPr>
        <w:t>for</w:t>
      </w:r>
      <w:r>
        <w:rPr>
          <w:i/>
          <w:spacing w:val="-3"/>
          <w:sz w:val="19"/>
        </w:rPr>
        <w:t xml:space="preserve"> </w:t>
      </w:r>
      <w:proofErr w:type="spellStart"/>
      <w:r>
        <w:rPr>
          <w:i/>
          <w:sz w:val="19"/>
        </w:rPr>
        <w:t>Optimising</w:t>
      </w:r>
      <w:proofErr w:type="spellEnd"/>
      <w:r>
        <w:rPr>
          <w:i/>
          <w:spacing w:val="-3"/>
          <w:sz w:val="19"/>
        </w:rPr>
        <w:t xml:space="preserve"> </w:t>
      </w:r>
      <w:r>
        <w:rPr>
          <w:i/>
          <w:sz w:val="19"/>
        </w:rPr>
        <w:t>My</w:t>
      </w:r>
      <w:r>
        <w:rPr>
          <w:i/>
          <w:spacing w:val="-3"/>
          <w:sz w:val="19"/>
        </w:rPr>
        <w:t xml:space="preserve"> </w:t>
      </w:r>
      <w:r>
        <w:rPr>
          <w:i/>
          <w:sz w:val="19"/>
        </w:rPr>
        <w:t>Health</w:t>
      </w:r>
      <w:r>
        <w:rPr>
          <w:i/>
          <w:spacing w:val="-3"/>
          <w:sz w:val="19"/>
        </w:rPr>
        <w:t xml:space="preserve"> </w:t>
      </w:r>
      <w:r>
        <w:rPr>
          <w:i/>
          <w:sz w:val="19"/>
        </w:rPr>
        <w:t>Record</w:t>
      </w:r>
      <w:r>
        <w:rPr>
          <w:i/>
          <w:spacing w:val="-3"/>
          <w:sz w:val="19"/>
        </w:rPr>
        <w:t xml:space="preserve"> </w:t>
      </w:r>
      <w:r>
        <w:rPr>
          <w:i/>
          <w:sz w:val="19"/>
        </w:rPr>
        <w:t>Viewing</w:t>
      </w:r>
      <w:r>
        <w:rPr>
          <w:i/>
          <w:spacing w:val="-3"/>
          <w:sz w:val="19"/>
        </w:rPr>
        <w:t xml:space="preserve"> </w:t>
      </w:r>
      <w:r>
        <w:rPr>
          <w:i/>
          <w:sz w:val="19"/>
        </w:rPr>
        <w:t>Platforms</w:t>
      </w:r>
      <w:r>
        <w:rPr>
          <w:i/>
          <w:spacing w:val="-3"/>
          <w:sz w:val="19"/>
        </w:rPr>
        <w:t xml:space="preserve"> </w:t>
      </w:r>
      <w:r>
        <w:rPr>
          <w:i/>
          <w:sz w:val="19"/>
        </w:rPr>
        <w:t>in</w:t>
      </w:r>
      <w:r>
        <w:rPr>
          <w:i/>
          <w:spacing w:val="-9"/>
          <w:sz w:val="19"/>
        </w:rPr>
        <w:t xml:space="preserve"> </w:t>
      </w:r>
      <w:r>
        <w:rPr>
          <w:i/>
          <w:sz w:val="19"/>
        </w:rPr>
        <w:t>Acute</w:t>
      </w:r>
      <w:r>
        <w:rPr>
          <w:i/>
          <w:spacing w:val="-3"/>
          <w:sz w:val="19"/>
        </w:rPr>
        <w:t xml:space="preserve"> </w:t>
      </w:r>
      <w:r>
        <w:rPr>
          <w:i/>
          <w:sz w:val="19"/>
        </w:rPr>
        <w:t>Care</w:t>
      </w:r>
      <w:r>
        <w:rPr>
          <w:sz w:val="19"/>
        </w:rPr>
        <w:t>,</w:t>
      </w:r>
      <w:r>
        <w:rPr>
          <w:spacing w:val="-3"/>
          <w:sz w:val="19"/>
        </w:rPr>
        <w:t xml:space="preserve"> </w:t>
      </w:r>
    </w:p>
    <w:p w14:paraId="7FB62619" w14:textId="2C3BA066" w:rsidR="009D54AF" w:rsidRDefault="00000000">
      <w:pPr>
        <w:spacing w:before="93"/>
        <w:ind w:left="142"/>
        <w:rPr>
          <w:sz w:val="19"/>
        </w:rPr>
      </w:pPr>
      <w:r>
        <w:rPr>
          <w:i/>
          <w:sz w:val="19"/>
        </w:rPr>
        <w:t>User</w:t>
      </w:r>
      <w:r>
        <w:rPr>
          <w:i/>
          <w:spacing w:val="-3"/>
          <w:sz w:val="19"/>
        </w:rPr>
        <w:t xml:space="preserve"> </w:t>
      </w:r>
      <w:r>
        <w:rPr>
          <w:i/>
          <w:sz w:val="19"/>
        </w:rPr>
        <w:t>Guide</w:t>
      </w:r>
      <w:r>
        <w:rPr>
          <w:i/>
          <w:spacing w:val="-3"/>
          <w:sz w:val="19"/>
        </w:rPr>
        <w:t xml:space="preserve"> </w:t>
      </w:r>
      <w:r>
        <w:rPr>
          <w:i/>
          <w:sz w:val="19"/>
        </w:rPr>
        <w:t>for</w:t>
      </w:r>
      <w:r>
        <w:rPr>
          <w:i/>
          <w:spacing w:val="-3"/>
          <w:sz w:val="19"/>
        </w:rPr>
        <w:t xml:space="preserve"> </w:t>
      </w:r>
      <w:r>
        <w:rPr>
          <w:i/>
          <w:sz w:val="19"/>
        </w:rPr>
        <w:t>the</w:t>
      </w:r>
      <w:r>
        <w:rPr>
          <w:i/>
          <w:spacing w:val="-2"/>
          <w:sz w:val="19"/>
        </w:rPr>
        <w:t xml:space="preserve"> </w:t>
      </w:r>
      <w:r>
        <w:rPr>
          <w:i/>
          <w:sz w:val="19"/>
        </w:rPr>
        <w:t>Health</w:t>
      </w:r>
      <w:r>
        <w:rPr>
          <w:i/>
          <w:spacing w:val="-3"/>
          <w:sz w:val="19"/>
        </w:rPr>
        <w:t xml:space="preserve"> </w:t>
      </w:r>
      <w:r>
        <w:rPr>
          <w:i/>
          <w:sz w:val="19"/>
        </w:rPr>
        <w:t>Care</w:t>
      </w:r>
      <w:r>
        <w:rPr>
          <w:i/>
          <w:spacing w:val="-3"/>
          <w:sz w:val="19"/>
        </w:rPr>
        <w:t xml:space="preserve"> </w:t>
      </w:r>
      <w:r>
        <w:rPr>
          <w:i/>
          <w:sz w:val="19"/>
        </w:rPr>
        <w:t>of</w:t>
      </w:r>
      <w:r>
        <w:rPr>
          <w:i/>
          <w:spacing w:val="-3"/>
          <w:sz w:val="19"/>
        </w:rPr>
        <w:t xml:space="preserve"> </w:t>
      </w:r>
      <w:r>
        <w:rPr>
          <w:i/>
          <w:sz w:val="19"/>
        </w:rPr>
        <w:t>People</w:t>
      </w:r>
      <w:r>
        <w:rPr>
          <w:i/>
          <w:spacing w:val="-2"/>
          <w:sz w:val="19"/>
        </w:rPr>
        <w:t xml:space="preserve"> </w:t>
      </w:r>
      <w:r>
        <w:rPr>
          <w:i/>
          <w:sz w:val="19"/>
        </w:rPr>
        <w:t>with</w:t>
      </w:r>
      <w:r>
        <w:rPr>
          <w:i/>
          <w:spacing w:val="-3"/>
          <w:sz w:val="19"/>
        </w:rPr>
        <w:t xml:space="preserve"> </w:t>
      </w:r>
      <w:r>
        <w:rPr>
          <w:i/>
          <w:sz w:val="19"/>
        </w:rPr>
        <w:t>Intellectual</w:t>
      </w:r>
      <w:r>
        <w:rPr>
          <w:i/>
          <w:spacing w:val="-3"/>
          <w:sz w:val="19"/>
        </w:rPr>
        <w:t xml:space="preserve"> </w:t>
      </w:r>
      <w:r>
        <w:rPr>
          <w:i/>
          <w:sz w:val="19"/>
        </w:rPr>
        <w:t>Disability</w:t>
      </w:r>
      <w:r>
        <w:rPr>
          <w:sz w:val="19"/>
        </w:rPr>
        <w:t>,</w:t>
      </w:r>
      <w:r>
        <w:rPr>
          <w:spacing w:val="-3"/>
          <w:sz w:val="19"/>
        </w:rPr>
        <w:t xml:space="preserve"> </w:t>
      </w:r>
    </w:p>
    <w:p w14:paraId="09E08D5D" w14:textId="77777777" w:rsidR="009D54AF" w:rsidRDefault="009D54AF">
      <w:pPr>
        <w:pStyle w:val="BodyText"/>
        <w:spacing w:before="60"/>
        <w:rPr>
          <w:sz w:val="19"/>
        </w:rPr>
      </w:pPr>
    </w:p>
    <w:p w14:paraId="069BDB11" w14:textId="77777777" w:rsidR="009D54AF" w:rsidRDefault="00000000">
      <w:pPr>
        <w:pStyle w:val="Heading4"/>
        <w:spacing w:before="1"/>
      </w:pPr>
      <w:r>
        <w:rPr>
          <w:spacing w:val="-10"/>
        </w:rPr>
        <w:t>V</w:t>
      </w:r>
    </w:p>
    <w:p w14:paraId="242FCA15" w14:textId="322F33B3" w:rsidR="009D54AF" w:rsidRDefault="00000000">
      <w:pPr>
        <w:spacing w:before="111" w:line="340" w:lineRule="auto"/>
        <w:ind w:left="142" w:right="5920"/>
        <w:rPr>
          <w:sz w:val="19"/>
        </w:rPr>
      </w:pPr>
      <w:r>
        <w:rPr>
          <w:sz w:val="19"/>
        </w:rPr>
        <w:t>variation</w:t>
      </w:r>
      <w:r>
        <w:rPr>
          <w:spacing w:val="-6"/>
          <w:sz w:val="19"/>
        </w:rPr>
        <w:t xml:space="preserve"> </w:t>
      </w:r>
      <w:r>
        <w:rPr>
          <w:sz w:val="19"/>
        </w:rPr>
        <w:t>in</w:t>
      </w:r>
      <w:r>
        <w:rPr>
          <w:spacing w:val="-6"/>
          <w:sz w:val="19"/>
        </w:rPr>
        <w:t xml:space="preserve"> </w:t>
      </w:r>
      <w:r>
        <w:rPr>
          <w:sz w:val="19"/>
        </w:rPr>
        <w:t>health</w:t>
      </w:r>
      <w:r>
        <w:rPr>
          <w:spacing w:val="-6"/>
          <w:sz w:val="19"/>
        </w:rPr>
        <w:t xml:space="preserve"> </w:t>
      </w:r>
      <w:r>
        <w:rPr>
          <w:sz w:val="19"/>
        </w:rPr>
        <w:t>care</w:t>
      </w:r>
      <w:r>
        <w:rPr>
          <w:spacing w:val="-6"/>
          <w:sz w:val="19"/>
        </w:rPr>
        <w:t xml:space="preserve"> </w:t>
      </w:r>
      <w:r>
        <w:rPr>
          <w:i/>
          <w:sz w:val="19"/>
        </w:rPr>
        <w:t>see</w:t>
      </w:r>
      <w:r>
        <w:rPr>
          <w:i/>
          <w:spacing w:val="-6"/>
          <w:sz w:val="19"/>
        </w:rPr>
        <w:t xml:space="preserve"> </w:t>
      </w:r>
      <w:r>
        <w:rPr>
          <w:sz w:val="19"/>
        </w:rPr>
        <w:t>healthcare</w:t>
      </w:r>
      <w:r>
        <w:rPr>
          <w:spacing w:val="-6"/>
          <w:sz w:val="19"/>
        </w:rPr>
        <w:t xml:space="preserve"> </w:t>
      </w:r>
      <w:r>
        <w:rPr>
          <w:sz w:val="19"/>
        </w:rPr>
        <w:t xml:space="preserve">variation Veasey, Dr Alicia, </w:t>
      </w:r>
    </w:p>
    <w:p w14:paraId="5868563A" w14:textId="0146EC65" w:rsidR="009D54AF" w:rsidRDefault="00000000">
      <w:pPr>
        <w:spacing w:before="1"/>
        <w:ind w:left="142"/>
        <w:rPr>
          <w:sz w:val="19"/>
        </w:rPr>
      </w:pPr>
      <w:r>
        <w:rPr>
          <w:sz w:val="19"/>
        </w:rPr>
        <w:t>venous</w:t>
      </w:r>
      <w:r>
        <w:rPr>
          <w:spacing w:val="-2"/>
          <w:sz w:val="19"/>
        </w:rPr>
        <w:t xml:space="preserve"> </w:t>
      </w:r>
      <w:r>
        <w:rPr>
          <w:sz w:val="19"/>
        </w:rPr>
        <w:t>thromboembolism</w:t>
      </w:r>
      <w:r>
        <w:rPr>
          <w:spacing w:val="-1"/>
          <w:sz w:val="19"/>
        </w:rPr>
        <w:t xml:space="preserve"> </w:t>
      </w:r>
      <w:r>
        <w:rPr>
          <w:sz w:val="19"/>
        </w:rPr>
        <w:t>prevention</w:t>
      </w:r>
      <w:r>
        <w:rPr>
          <w:spacing w:val="-2"/>
          <w:sz w:val="19"/>
        </w:rPr>
        <w:t xml:space="preserve"> </w:t>
      </w:r>
      <w:r>
        <w:rPr>
          <w:sz w:val="19"/>
        </w:rPr>
        <w:t>standard,</w:t>
      </w:r>
      <w:r>
        <w:rPr>
          <w:spacing w:val="-1"/>
          <w:sz w:val="19"/>
        </w:rPr>
        <w:t xml:space="preserve"> </w:t>
      </w:r>
    </w:p>
    <w:p w14:paraId="35C0DDAA" w14:textId="033364FD" w:rsidR="009D54AF" w:rsidRDefault="00000000">
      <w:pPr>
        <w:spacing w:before="93"/>
        <w:ind w:left="142"/>
        <w:rPr>
          <w:sz w:val="19"/>
        </w:rPr>
      </w:pPr>
      <w:proofErr w:type="spellStart"/>
      <w:r>
        <w:rPr>
          <w:sz w:val="19"/>
        </w:rPr>
        <w:t>Viertmann</w:t>
      </w:r>
      <w:proofErr w:type="spellEnd"/>
      <w:r>
        <w:rPr>
          <w:sz w:val="19"/>
        </w:rPr>
        <w:t>,</w:t>
      </w:r>
      <w:r>
        <w:rPr>
          <w:spacing w:val="-8"/>
          <w:sz w:val="19"/>
        </w:rPr>
        <w:t xml:space="preserve"> </w:t>
      </w:r>
      <w:r>
        <w:rPr>
          <w:sz w:val="19"/>
        </w:rPr>
        <w:t>Lily,</w:t>
      </w:r>
    </w:p>
    <w:p w14:paraId="4304A07E" w14:textId="12F18176" w:rsidR="009D54AF" w:rsidRDefault="00000000">
      <w:pPr>
        <w:spacing w:before="92" w:line="340" w:lineRule="auto"/>
        <w:ind w:left="142" w:right="5464"/>
        <w:rPr>
          <w:sz w:val="19"/>
        </w:rPr>
      </w:pPr>
      <w:r>
        <w:rPr>
          <w:sz w:val="19"/>
        </w:rPr>
        <w:t>virtual</w:t>
      </w:r>
      <w:r>
        <w:rPr>
          <w:spacing w:val="-4"/>
          <w:sz w:val="19"/>
        </w:rPr>
        <w:t xml:space="preserve"> </w:t>
      </w:r>
      <w:r>
        <w:rPr>
          <w:sz w:val="19"/>
        </w:rPr>
        <w:t>care,</w:t>
      </w:r>
      <w:r>
        <w:rPr>
          <w:spacing w:val="-5"/>
          <w:sz w:val="19"/>
        </w:rPr>
        <w:t xml:space="preserve"> </w:t>
      </w:r>
      <w:r>
        <w:rPr>
          <w:i/>
          <w:sz w:val="19"/>
        </w:rPr>
        <w:t>see</w:t>
      </w:r>
      <w:r>
        <w:rPr>
          <w:i/>
          <w:spacing w:val="-4"/>
          <w:sz w:val="19"/>
        </w:rPr>
        <w:t xml:space="preserve"> </w:t>
      </w:r>
      <w:r>
        <w:rPr>
          <w:i/>
          <w:sz w:val="19"/>
        </w:rPr>
        <w:t>also</w:t>
      </w:r>
      <w:r>
        <w:rPr>
          <w:i/>
          <w:spacing w:val="-4"/>
          <w:sz w:val="19"/>
        </w:rPr>
        <w:t xml:space="preserve"> </w:t>
      </w:r>
      <w:r>
        <w:rPr>
          <w:sz w:val="19"/>
        </w:rPr>
        <w:t>digitally</w:t>
      </w:r>
      <w:r>
        <w:rPr>
          <w:spacing w:val="-4"/>
          <w:sz w:val="19"/>
        </w:rPr>
        <w:t xml:space="preserve"> </w:t>
      </w:r>
      <w:r>
        <w:rPr>
          <w:sz w:val="19"/>
        </w:rPr>
        <w:t>enabled</w:t>
      </w:r>
      <w:r>
        <w:rPr>
          <w:spacing w:val="-4"/>
          <w:sz w:val="19"/>
        </w:rPr>
        <w:t xml:space="preserve"> </w:t>
      </w:r>
      <w:r>
        <w:rPr>
          <w:sz w:val="19"/>
        </w:rPr>
        <w:t xml:space="preserve">care Virtual Registry Strategy, </w:t>
      </w:r>
    </w:p>
    <w:p w14:paraId="238DE488" w14:textId="77777777" w:rsidR="009D54AF" w:rsidRDefault="00000000">
      <w:pPr>
        <w:pStyle w:val="Heading4"/>
        <w:spacing w:before="188"/>
      </w:pPr>
      <w:r>
        <w:rPr>
          <w:spacing w:val="-10"/>
        </w:rPr>
        <w:t>W</w:t>
      </w:r>
    </w:p>
    <w:p w14:paraId="1584F852" w14:textId="4A592EA9" w:rsidR="009D54AF" w:rsidRDefault="00000000">
      <w:pPr>
        <w:spacing w:before="112"/>
        <w:ind w:left="142"/>
        <w:rPr>
          <w:sz w:val="19"/>
        </w:rPr>
      </w:pPr>
      <w:r>
        <w:rPr>
          <w:sz w:val="19"/>
        </w:rPr>
        <w:t>Ward,</w:t>
      </w:r>
      <w:r>
        <w:rPr>
          <w:spacing w:val="-13"/>
          <w:sz w:val="19"/>
        </w:rPr>
        <w:t xml:space="preserve"> </w:t>
      </w:r>
      <w:r>
        <w:rPr>
          <w:sz w:val="19"/>
        </w:rPr>
        <w:t>Adjunct</w:t>
      </w:r>
      <w:r>
        <w:rPr>
          <w:spacing w:val="-1"/>
          <w:sz w:val="19"/>
        </w:rPr>
        <w:t xml:space="preserve"> </w:t>
      </w:r>
      <w:r>
        <w:rPr>
          <w:sz w:val="19"/>
        </w:rPr>
        <w:t>Professor</w:t>
      </w:r>
      <w:r>
        <w:rPr>
          <w:spacing w:val="-1"/>
          <w:sz w:val="19"/>
        </w:rPr>
        <w:t xml:space="preserve"> </w:t>
      </w:r>
      <w:r>
        <w:rPr>
          <w:sz w:val="19"/>
        </w:rPr>
        <w:t>Kylie,</w:t>
      </w:r>
      <w:r>
        <w:rPr>
          <w:spacing w:val="-2"/>
          <w:sz w:val="19"/>
        </w:rPr>
        <w:t xml:space="preserve"> </w:t>
      </w:r>
    </w:p>
    <w:p w14:paraId="2CDC581D" w14:textId="0620662C" w:rsidR="003C695B" w:rsidRDefault="00000000" w:rsidP="003C695B">
      <w:pPr>
        <w:spacing w:beforeLines="29" w:before="69" w:line="278" w:lineRule="auto"/>
        <w:ind w:left="142" w:right="8479"/>
        <w:rPr>
          <w:sz w:val="19"/>
        </w:rPr>
      </w:pPr>
      <w:r>
        <w:rPr>
          <w:sz w:val="19"/>
        </w:rPr>
        <w:t>webinars,</w:t>
      </w:r>
      <w:r>
        <w:rPr>
          <w:spacing w:val="-14"/>
          <w:sz w:val="19"/>
        </w:rPr>
        <w:t xml:space="preserve"> </w:t>
      </w:r>
    </w:p>
    <w:p w14:paraId="29371D22" w14:textId="5A5FEB8D" w:rsidR="009D54AF" w:rsidRDefault="00000000" w:rsidP="003C695B">
      <w:pPr>
        <w:spacing w:beforeLines="29" w:before="69" w:line="278" w:lineRule="auto"/>
        <w:ind w:left="142" w:right="8479"/>
        <w:rPr>
          <w:sz w:val="19"/>
        </w:rPr>
      </w:pPr>
      <w:r>
        <w:rPr>
          <w:spacing w:val="-2"/>
          <w:sz w:val="19"/>
        </w:rPr>
        <w:t>websites</w:t>
      </w:r>
    </w:p>
    <w:p w14:paraId="426575CC" w14:textId="20B966CA" w:rsidR="009D54AF" w:rsidRDefault="00000000" w:rsidP="003C695B">
      <w:pPr>
        <w:spacing w:beforeLines="29" w:before="69" w:line="278" w:lineRule="auto"/>
        <w:ind w:left="425"/>
        <w:rPr>
          <w:sz w:val="19"/>
        </w:rPr>
      </w:pPr>
      <w:r>
        <w:rPr>
          <w:sz w:val="19"/>
        </w:rPr>
        <w:t xml:space="preserve">MedicineWise, </w:t>
      </w:r>
    </w:p>
    <w:p w14:paraId="4964E1C9" w14:textId="2466B870" w:rsidR="009D54AF" w:rsidRDefault="00000000" w:rsidP="003C695B">
      <w:pPr>
        <w:spacing w:beforeLines="29" w:before="69" w:line="278" w:lineRule="auto"/>
        <w:ind w:left="142" w:right="6600" w:firstLine="283"/>
        <w:rPr>
          <w:sz w:val="19"/>
        </w:rPr>
      </w:pPr>
      <w:r>
        <w:rPr>
          <w:sz w:val="19"/>
        </w:rPr>
        <w:t>page</w:t>
      </w:r>
      <w:r>
        <w:rPr>
          <w:spacing w:val="-7"/>
          <w:sz w:val="19"/>
        </w:rPr>
        <w:t xml:space="preserve"> </w:t>
      </w:r>
      <w:r>
        <w:rPr>
          <w:sz w:val="19"/>
        </w:rPr>
        <w:t>views</w:t>
      </w:r>
      <w:r>
        <w:rPr>
          <w:spacing w:val="-7"/>
          <w:sz w:val="19"/>
        </w:rPr>
        <w:t xml:space="preserve"> </w:t>
      </w:r>
      <w:r>
        <w:rPr>
          <w:sz w:val="19"/>
        </w:rPr>
        <w:t>and</w:t>
      </w:r>
      <w:r>
        <w:rPr>
          <w:spacing w:val="-7"/>
          <w:sz w:val="19"/>
        </w:rPr>
        <w:t xml:space="preserve"> </w:t>
      </w:r>
      <w:r>
        <w:rPr>
          <w:sz w:val="19"/>
        </w:rPr>
        <w:t>resource</w:t>
      </w:r>
      <w:r>
        <w:rPr>
          <w:spacing w:val="-7"/>
          <w:sz w:val="19"/>
        </w:rPr>
        <w:t xml:space="preserve"> </w:t>
      </w:r>
      <w:r>
        <w:rPr>
          <w:sz w:val="19"/>
        </w:rPr>
        <w:t>downloads,</w:t>
      </w:r>
      <w:r>
        <w:rPr>
          <w:spacing w:val="-7"/>
          <w:sz w:val="19"/>
        </w:rPr>
        <w:t xml:space="preserve"> </w:t>
      </w:r>
      <w:r>
        <w:rPr>
          <w:sz w:val="19"/>
        </w:rPr>
        <w:t xml:space="preserve"> Wells, Leanne, </w:t>
      </w:r>
    </w:p>
    <w:p w14:paraId="5DC1E4A7" w14:textId="76BFCDF9" w:rsidR="003C695B" w:rsidRDefault="00000000" w:rsidP="003C695B">
      <w:pPr>
        <w:spacing w:beforeLines="29" w:before="69" w:line="278" w:lineRule="auto"/>
        <w:ind w:left="142" w:right="7668"/>
        <w:rPr>
          <w:sz w:val="19"/>
        </w:rPr>
      </w:pPr>
      <w:r>
        <w:rPr>
          <w:sz w:val="19"/>
        </w:rPr>
        <w:t>Williams,</w:t>
      </w:r>
      <w:r>
        <w:rPr>
          <w:spacing w:val="-7"/>
          <w:sz w:val="19"/>
        </w:rPr>
        <w:t xml:space="preserve"> </w:t>
      </w:r>
      <w:r>
        <w:rPr>
          <w:sz w:val="19"/>
        </w:rPr>
        <w:t>Dr</w:t>
      </w:r>
      <w:r>
        <w:rPr>
          <w:spacing w:val="-7"/>
          <w:sz w:val="19"/>
        </w:rPr>
        <w:t xml:space="preserve"> </w:t>
      </w:r>
      <w:r>
        <w:rPr>
          <w:sz w:val="19"/>
        </w:rPr>
        <w:t>Helena,</w:t>
      </w:r>
      <w:r>
        <w:rPr>
          <w:spacing w:val="-7"/>
          <w:sz w:val="19"/>
        </w:rPr>
        <w:t xml:space="preserve"> </w:t>
      </w:r>
    </w:p>
    <w:p w14:paraId="7DD4DA4A" w14:textId="77777777" w:rsidR="003C695B" w:rsidRDefault="00000000" w:rsidP="003C695B">
      <w:pPr>
        <w:spacing w:beforeLines="29" w:before="69" w:line="278" w:lineRule="auto"/>
        <w:ind w:left="142" w:right="7668"/>
        <w:rPr>
          <w:sz w:val="19"/>
        </w:rPr>
      </w:pPr>
      <w:r>
        <w:rPr>
          <w:sz w:val="19"/>
        </w:rPr>
        <w:t xml:space="preserve">work brought in-house,  </w:t>
      </w:r>
    </w:p>
    <w:p w14:paraId="3E36AB38" w14:textId="09BD1969" w:rsidR="009D54AF" w:rsidRDefault="00000000" w:rsidP="003C695B">
      <w:pPr>
        <w:spacing w:beforeLines="29" w:before="69" w:line="278" w:lineRule="auto"/>
        <w:ind w:left="142" w:right="7668"/>
        <w:rPr>
          <w:sz w:val="19"/>
        </w:rPr>
      </w:pPr>
      <w:r>
        <w:rPr>
          <w:sz w:val="19"/>
        </w:rPr>
        <w:t xml:space="preserve">work health and safety, </w:t>
      </w:r>
    </w:p>
    <w:p w14:paraId="209D280E" w14:textId="77777777" w:rsidR="003C695B" w:rsidRDefault="00000000" w:rsidP="003C695B">
      <w:pPr>
        <w:spacing w:beforeLines="29" w:before="69" w:line="278" w:lineRule="auto"/>
        <w:ind w:left="142" w:right="6889"/>
        <w:rPr>
          <w:sz w:val="19"/>
        </w:rPr>
      </w:pPr>
      <w:r>
        <w:rPr>
          <w:i/>
          <w:sz w:val="19"/>
        </w:rPr>
        <w:t>Work</w:t>
      </w:r>
      <w:r>
        <w:rPr>
          <w:i/>
          <w:spacing w:val="-9"/>
          <w:sz w:val="19"/>
        </w:rPr>
        <w:t xml:space="preserve"> </w:t>
      </w:r>
      <w:r>
        <w:rPr>
          <w:i/>
          <w:sz w:val="19"/>
        </w:rPr>
        <w:t>Health</w:t>
      </w:r>
      <w:r>
        <w:rPr>
          <w:i/>
          <w:spacing w:val="-9"/>
          <w:sz w:val="19"/>
        </w:rPr>
        <w:t xml:space="preserve"> </w:t>
      </w:r>
      <w:r>
        <w:rPr>
          <w:i/>
          <w:sz w:val="19"/>
        </w:rPr>
        <w:t>and</w:t>
      </w:r>
      <w:r>
        <w:rPr>
          <w:i/>
          <w:spacing w:val="-9"/>
          <w:sz w:val="19"/>
        </w:rPr>
        <w:t xml:space="preserve"> </w:t>
      </w:r>
      <w:r>
        <w:rPr>
          <w:i/>
          <w:sz w:val="19"/>
        </w:rPr>
        <w:t>Safety</w:t>
      </w:r>
      <w:r>
        <w:rPr>
          <w:i/>
          <w:spacing w:val="-14"/>
          <w:sz w:val="19"/>
        </w:rPr>
        <w:t xml:space="preserve"> </w:t>
      </w:r>
      <w:r>
        <w:rPr>
          <w:i/>
          <w:sz w:val="19"/>
        </w:rPr>
        <w:t>Act</w:t>
      </w:r>
      <w:r>
        <w:rPr>
          <w:i/>
          <w:spacing w:val="-8"/>
          <w:sz w:val="19"/>
        </w:rPr>
        <w:t xml:space="preserve"> </w:t>
      </w:r>
      <w:r>
        <w:rPr>
          <w:i/>
          <w:sz w:val="19"/>
        </w:rPr>
        <w:t>2011</w:t>
      </w:r>
      <w:r>
        <w:rPr>
          <w:sz w:val="19"/>
        </w:rPr>
        <w:t>,</w:t>
      </w:r>
      <w:r>
        <w:rPr>
          <w:spacing w:val="-9"/>
          <w:sz w:val="19"/>
        </w:rPr>
        <w:t xml:space="preserve"> </w:t>
      </w:r>
      <w:r>
        <w:rPr>
          <w:sz w:val="19"/>
        </w:rPr>
        <w:t xml:space="preserve"> </w:t>
      </w:r>
    </w:p>
    <w:p w14:paraId="52535CF5" w14:textId="4B525715" w:rsidR="009D54AF" w:rsidRDefault="00000000" w:rsidP="003C695B">
      <w:pPr>
        <w:spacing w:beforeLines="29" w:before="69" w:line="278" w:lineRule="auto"/>
        <w:ind w:left="142" w:right="6889"/>
        <w:rPr>
          <w:sz w:val="19"/>
        </w:rPr>
      </w:pPr>
      <w:r>
        <w:rPr>
          <w:sz w:val="19"/>
        </w:rPr>
        <w:t xml:space="preserve">work plan, </w:t>
      </w:r>
    </w:p>
    <w:p w14:paraId="63220622" w14:textId="77777777" w:rsidR="009D54AF" w:rsidRDefault="00000000" w:rsidP="003C695B">
      <w:pPr>
        <w:spacing w:beforeLines="29" w:before="69" w:line="278" w:lineRule="auto"/>
        <w:ind w:left="142"/>
        <w:rPr>
          <w:sz w:val="19"/>
        </w:rPr>
      </w:pPr>
      <w:r>
        <w:rPr>
          <w:sz w:val="19"/>
        </w:rPr>
        <w:t>workforce</w:t>
      </w:r>
      <w:r>
        <w:rPr>
          <w:spacing w:val="-4"/>
          <w:sz w:val="19"/>
        </w:rPr>
        <w:t xml:space="preserve"> </w:t>
      </w:r>
      <w:r>
        <w:rPr>
          <w:sz w:val="19"/>
        </w:rPr>
        <w:t>(Commission)</w:t>
      </w:r>
      <w:r>
        <w:rPr>
          <w:spacing w:val="-3"/>
          <w:sz w:val="19"/>
        </w:rPr>
        <w:t xml:space="preserve"> </w:t>
      </w:r>
      <w:r>
        <w:rPr>
          <w:i/>
          <w:sz w:val="19"/>
        </w:rPr>
        <w:t>see</w:t>
      </w:r>
      <w:r>
        <w:rPr>
          <w:i/>
          <w:spacing w:val="-3"/>
          <w:sz w:val="19"/>
        </w:rPr>
        <w:t xml:space="preserve"> </w:t>
      </w:r>
      <w:r>
        <w:rPr>
          <w:spacing w:val="-2"/>
          <w:sz w:val="19"/>
        </w:rPr>
        <w:t>staff</w:t>
      </w:r>
    </w:p>
    <w:p w14:paraId="28DA460C" w14:textId="6BCCCCB4" w:rsidR="003C695B" w:rsidRDefault="00000000" w:rsidP="003C695B">
      <w:pPr>
        <w:spacing w:beforeLines="29" w:before="69" w:line="278" w:lineRule="auto"/>
        <w:ind w:left="142" w:right="5464"/>
        <w:rPr>
          <w:sz w:val="19"/>
        </w:rPr>
      </w:pPr>
      <w:r>
        <w:rPr>
          <w:sz w:val="19"/>
        </w:rPr>
        <w:t>workforce</w:t>
      </w:r>
      <w:r>
        <w:rPr>
          <w:spacing w:val="-7"/>
          <w:sz w:val="19"/>
        </w:rPr>
        <w:t xml:space="preserve"> </w:t>
      </w:r>
      <w:r>
        <w:rPr>
          <w:sz w:val="19"/>
        </w:rPr>
        <w:t>culture,</w:t>
      </w:r>
      <w:r>
        <w:rPr>
          <w:spacing w:val="-7"/>
          <w:sz w:val="19"/>
        </w:rPr>
        <w:t xml:space="preserve"> </w:t>
      </w:r>
      <w:r>
        <w:rPr>
          <w:sz w:val="19"/>
        </w:rPr>
        <w:t>improvement-driven,</w:t>
      </w:r>
      <w:r>
        <w:rPr>
          <w:spacing w:val="-7"/>
          <w:sz w:val="19"/>
        </w:rPr>
        <w:t xml:space="preserve"> </w:t>
      </w:r>
    </w:p>
    <w:p w14:paraId="2B522C1B" w14:textId="30E3A915" w:rsidR="009D54AF" w:rsidRDefault="00000000" w:rsidP="003C695B">
      <w:pPr>
        <w:spacing w:beforeLines="29" w:before="69" w:line="278" w:lineRule="auto"/>
        <w:ind w:left="142" w:right="5464"/>
        <w:rPr>
          <w:sz w:val="19"/>
        </w:rPr>
      </w:pPr>
      <w:r>
        <w:rPr>
          <w:sz w:val="19"/>
        </w:rPr>
        <w:t>workplace (Commission)</w:t>
      </w:r>
    </w:p>
    <w:p w14:paraId="0A72D4EA" w14:textId="7268F591" w:rsidR="009D54AF" w:rsidRDefault="00000000" w:rsidP="003C695B">
      <w:pPr>
        <w:spacing w:beforeLines="29" w:before="69" w:line="278" w:lineRule="auto"/>
        <w:ind w:left="425"/>
        <w:rPr>
          <w:sz w:val="19"/>
        </w:rPr>
      </w:pPr>
      <w:r>
        <w:rPr>
          <w:sz w:val="19"/>
        </w:rPr>
        <w:t xml:space="preserve">culture, </w:t>
      </w:r>
    </w:p>
    <w:p w14:paraId="725EC4F6" w14:textId="26EF4CEA" w:rsidR="009D54AF" w:rsidRDefault="00000000" w:rsidP="003C695B">
      <w:pPr>
        <w:spacing w:beforeLines="29" w:before="69" w:line="278" w:lineRule="auto"/>
        <w:ind w:left="425"/>
        <w:rPr>
          <w:sz w:val="19"/>
        </w:rPr>
      </w:pPr>
      <w:r>
        <w:rPr>
          <w:spacing w:val="-2"/>
          <w:sz w:val="19"/>
        </w:rPr>
        <w:t>diversity,</w:t>
      </w:r>
    </w:p>
    <w:p w14:paraId="38B6F4CC" w14:textId="43C324C0" w:rsidR="009D54AF" w:rsidRDefault="00000000" w:rsidP="003C695B">
      <w:pPr>
        <w:spacing w:beforeLines="29" w:before="69" w:line="278" w:lineRule="auto"/>
        <w:ind w:left="142" w:right="6889"/>
        <w:rPr>
          <w:sz w:val="19"/>
        </w:rPr>
      </w:pPr>
      <w:r>
        <w:rPr>
          <w:sz w:val="19"/>
        </w:rPr>
        <w:t>Workplace</w:t>
      </w:r>
      <w:r>
        <w:rPr>
          <w:spacing w:val="-13"/>
          <w:sz w:val="19"/>
        </w:rPr>
        <w:t xml:space="preserve"> </w:t>
      </w:r>
      <w:r>
        <w:rPr>
          <w:sz w:val="19"/>
        </w:rPr>
        <w:t>Consultative</w:t>
      </w:r>
      <w:r>
        <w:rPr>
          <w:spacing w:val="-13"/>
          <w:sz w:val="19"/>
        </w:rPr>
        <w:t xml:space="preserve"> </w:t>
      </w:r>
      <w:r>
        <w:rPr>
          <w:sz w:val="19"/>
        </w:rPr>
        <w:t>Committee,</w:t>
      </w:r>
      <w:r>
        <w:rPr>
          <w:spacing w:val="-13"/>
          <w:sz w:val="19"/>
        </w:rPr>
        <w:t xml:space="preserve"> </w:t>
      </w:r>
      <w:r>
        <w:rPr>
          <w:sz w:val="19"/>
        </w:rPr>
        <w:t xml:space="preserve"> World Health Organization (WHO)</w:t>
      </w:r>
    </w:p>
    <w:p w14:paraId="5DDA1172" w14:textId="5C0D268A" w:rsidR="009D54AF" w:rsidRDefault="00000000" w:rsidP="003C695B">
      <w:pPr>
        <w:spacing w:beforeLines="29" w:before="69" w:line="278" w:lineRule="auto"/>
        <w:ind w:left="425"/>
        <w:rPr>
          <w:sz w:val="19"/>
        </w:rPr>
      </w:pPr>
      <w:r>
        <w:rPr>
          <w:sz w:val="19"/>
        </w:rPr>
        <w:t>Global</w:t>
      </w:r>
      <w:r>
        <w:rPr>
          <w:spacing w:val="-14"/>
          <w:sz w:val="19"/>
        </w:rPr>
        <w:t xml:space="preserve"> </w:t>
      </w:r>
      <w:r>
        <w:rPr>
          <w:sz w:val="19"/>
        </w:rPr>
        <w:t>Antimicrobial</w:t>
      </w:r>
      <w:r>
        <w:rPr>
          <w:spacing w:val="-8"/>
          <w:sz w:val="19"/>
        </w:rPr>
        <w:t xml:space="preserve"> </w:t>
      </w:r>
      <w:r>
        <w:rPr>
          <w:sz w:val="19"/>
        </w:rPr>
        <w:t>Resistance</w:t>
      </w:r>
      <w:r>
        <w:rPr>
          <w:spacing w:val="-6"/>
          <w:sz w:val="19"/>
        </w:rPr>
        <w:t xml:space="preserve"> </w:t>
      </w:r>
      <w:r>
        <w:rPr>
          <w:sz w:val="19"/>
        </w:rPr>
        <w:t>and</w:t>
      </w:r>
      <w:r>
        <w:rPr>
          <w:spacing w:val="-6"/>
          <w:sz w:val="19"/>
        </w:rPr>
        <w:t xml:space="preserve"> </w:t>
      </w:r>
      <w:r>
        <w:rPr>
          <w:sz w:val="19"/>
        </w:rPr>
        <w:t>Use</w:t>
      </w:r>
      <w:r>
        <w:rPr>
          <w:spacing w:val="-6"/>
          <w:sz w:val="19"/>
        </w:rPr>
        <w:t xml:space="preserve"> </w:t>
      </w:r>
      <w:r>
        <w:rPr>
          <w:sz w:val="19"/>
        </w:rPr>
        <w:t>Surveillance</w:t>
      </w:r>
      <w:r>
        <w:rPr>
          <w:spacing w:val="-6"/>
          <w:sz w:val="19"/>
        </w:rPr>
        <w:t xml:space="preserve"> </w:t>
      </w:r>
      <w:r>
        <w:rPr>
          <w:sz w:val="19"/>
        </w:rPr>
        <w:t>System,</w:t>
      </w:r>
    </w:p>
    <w:p w14:paraId="544C596F" w14:textId="68E037B1" w:rsidR="009D54AF" w:rsidRDefault="00000000" w:rsidP="003C695B">
      <w:pPr>
        <w:spacing w:beforeLines="29" w:before="69" w:line="278" w:lineRule="auto"/>
        <w:ind w:left="142" w:right="5920" w:firstLine="283"/>
        <w:rPr>
          <w:sz w:val="19"/>
        </w:rPr>
      </w:pPr>
      <w:r>
        <w:rPr>
          <w:sz w:val="19"/>
        </w:rPr>
        <w:t>Global</w:t>
      </w:r>
      <w:r>
        <w:rPr>
          <w:spacing w:val="-8"/>
          <w:sz w:val="19"/>
        </w:rPr>
        <w:t xml:space="preserve"> </w:t>
      </w:r>
      <w:r>
        <w:rPr>
          <w:sz w:val="19"/>
        </w:rPr>
        <w:t>Ministerial</w:t>
      </w:r>
      <w:r>
        <w:rPr>
          <w:spacing w:val="-8"/>
          <w:sz w:val="19"/>
        </w:rPr>
        <w:t xml:space="preserve"> </w:t>
      </w:r>
      <w:r>
        <w:rPr>
          <w:sz w:val="19"/>
        </w:rPr>
        <w:t>Summit</w:t>
      </w:r>
      <w:r>
        <w:rPr>
          <w:spacing w:val="-8"/>
          <w:sz w:val="19"/>
        </w:rPr>
        <w:t xml:space="preserve"> </w:t>
      </w:r>
      <w:r>
        <w:rPr>
          <w:sz w:val="19"/>
        </w:rPr>
        <w:t>on</w:t>
      </w:r>
      <w:r>
        <w:rPr>
          <w:spacing w:val="-8"/>
          <w:sz w:val="19"/>
        </w:rPr>
        <w:t xml:space="preserve"> </w:t>
      </w:r>
      <w:r>
        <w:rPr>
          <w:sz w:val="19"/>
        </w:rPr>
        <w:t>Patient</w:t>
      </w:r>
      <w:r>
        <w:rPr>
          <w:spacing w:val="-8"/>
          <w:sz w:val="19"/>
        </w:rPr>
        <w:t xml:space="preserve"> </w:t>
      </w:r>
      <w:r>
        <w:rPr>
          <w:sz w:val="19"/>
        </w:rPr>
        <w:t>Safety,</w:t>
      </w:r>
      <w:r>
        <w:rPr>
          <w:spacing w:val="-8"/>
          <w:sz w:val="19"/>
        </w:rPr>
        <w:t xml:space="preserve"> </w:t>
      </w:r>
      <w:r>
        <w:rPr>
          <w:sz w:val="19"/>
        </w:rPr>
        <w:t xml:space="preserve"> World Sepsis Day, </w:t>
      </w:r>
    </w:p>
    <w:p w14:paraId="4CB7E8D2" w14:textId="77777777" w:rsidR="00C30551" w:rsidRDefault="00C30551" w:rsidP="00C30551">
      <w:pPr>
        <w:spacing w:before="70" w:line="340" w:lineRule="auto"/>
        <w:ind w:left="142" w:right="5920" w:firstLine="283"/>
        <w:rPr>
          <w:sz w:val="19"/>
        </w:rPr>
      </w:pPr>
    </w:p>
    <w:sectPr w:rsidR="00C30551">
      <w:pgSz w:w="11910" w:h="16840"/>
      <w:pgMar w:top="1920" w:right="708" w:bottom="280" w:left="70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4CB9859" w14:textId="77777777" w:rsidR="0074449F" w:rsidRDefault="0074449F" w:rsidP="00C30551">
      <w:r>
        <w:separator/>
      </w:r>
    </w:p>
  </w:endnote>
  <w:endnote w:type="continuationSeparator" w:id="0">
    <w:p w14:paraId="5E0EDC97" w14:textId="77777777" w:rsidR="0074449F" w:rsidRDefault="0074449F" w:rsidP="00C305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Instrument Sans">
    <w:altName w:val="Calibri"/>
    <w:panose1 w:val="00000000000000000000"/>
    <w:charset w:val="00"/>
    <w:family w:val="auto"/>
    <w:pitch w:val="variable"/>
    <w:sig w:usb0="A000006F" w:usb1="0000006A" w:usb2="00000000" w:usb3="00000000" w:csb0="00000093" w:csb1="00000000"/>
  </w:font>
  <w:font w:name="Myriad Pro">
    <w:panose1 w:val="020B0503030403020204"/>
    <w:charset w:val="00"/>
    <w:family w:val="swiss"/>
    <w:notTrueType/>
    <w:pitch w:val="variable"/>
    <w:sig w:usb0="20000287"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Instrument Sans SemiBold">
    <w:altName w:val="Calibri"/>
    <w:panose1 w:val="00000000000000000000"/>
    <w:charset w:val="00"/>
    <w:family w:val="auto"/>
    <w:pitch w:val="variable"/>
    <w:sig w:usb0="A000006F" w:usb1="0000006A" w:usb2="00000000" w:usb3="00000000" w:csb0="00000093" w:csb1="00000000"/>
  </w:font>
  <w:font w:name="Calibri (Body)">
    <w:altName w:val="Calibri"/>
    <w:panose1 w:val="020B06040202020202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505180579"/>
      <w:docPartObj>
        <w:docPartGallery w:val="Page Numbers (Bottom of Page)"/>
        <w:docPartUnique/>
      </w:docPartObj>
    </w:sdtPr>
    <w:sdtContent>
      <w:p w14:paraId="4E463F5C" w14:textId="77777777" w:rsidR="00C30551" w:rsidRDefault="00C30551" w:rsidP="00C30551">
        <w:pPr>
          <w:pStyle w:val="Footer"/>
          <w:framePr w:wrap="none" w:vAnchor="text" w:hAnchor="margin" w:xAlign="right" w:y="1"/>
          <w:rPr>
            <w:rStyle w:val="PageNumber"/>
          </w:rPr>
        </w:pPr>
        <w:r w:rsidRPr="00C30551">
          <w:rPr>
            <w:rStyle w:val="PageNumber"/>
            <w:sz w:val="15"/>
          </w:rPr>
          <w:fldChar w:fldCharType="begin"/>
        </w:r>
        <w:r w:rsidRPr="00C30551">
          <w:rPr>
            <w:rStyle w:val="PageNumber"/>
            <w:sz w:val="15"/>
          </w:rPr>
          <w:instrText xml:space="preserve"> PAGE </w:instrText>
        </w:r>
        <w:r w:rsidRPr="00C30551">
          <w:rPr>
            <w:rStyle w:val="PageNumber"/>
            <w:sz w:val="15"/>
          </w:rPr>
          <w:fldChar w:fldCharType="separate"/>
        </w:r>
        <w:r>
          <w:rPr>
            <w:rStyle w:val="PageNumber"/>
            <w:sz w:val="15"/>
          </w:rPr>
          <w:t>1</w:t>
        </w:r>
        <w:r w:rsidRPr="00C30551">
          <w:rPr>
            <w:rStyle w:val="PageNumber"/>
            <w:sz w:val="15"/>
          </w:rPr>
          <w:fldChar w:fldCharType="end"/>
        </w:r>
      </w:p>
    </w:sdtContent>
  </w:sdt>
  <w:p w14:paraId="2BD1A8E6" w14:textId="197B4A6E" w:rsidR="00C30551" w:rsidRPr="007E562B" w:rsidRDefault="00C30551" w:rsidP="00C30551">
    <w:pPr>
      <w:pStyle w:val="Folio-B5Masterpages"/>
      <w:ind w:right="360"/>
      <w:rPr>
        <w:rFonts w:ascii="Instrument Sans SemiBold" w:hAnsi="Instrument Sans SemiBold" w:cs="Instrument Sans SemiBold"/>
        <w:b/>
        <w:bCs/>
        <w:sz w:val="15"/>
        <w:szCs w:val="15"/>
      </w:rPr>
    </w:pPr>
    <w:r w:rsidRPr="007E562B">
      <w:rPr>
        <w:rStyle w:val="Regular"/>
        <w:rFonts w:ascii="Arial" w:hAnsi="Arial" w:cs="Arial"/>
        <w:sz w:val="15"/>
        <w:szCs w:val="15"/>
      </w:rPr>
      <w:t>Australian Commission on Safety and Quality in Health Care</w:t>
    </w:r>
    <w:r w:rsidRPr="007E562B">
      <w:rPr>
        <w:rStyle w:val="Regular"/>
        <w:sz w:val="15"/>
        <w:szCs w:val="15"/>
      </w:rPr>
      <w:t xml:space="preserve">  </w:t>
    </w:r>
    <w:r w:rsidRPr="007E562B">
      <w:rPr>
        <w:rStyle w:val="Regular"/>
        <w:rFonts w:ascii="Arial" w:hAnsi="Arial" w:cs="Arial"/>
        <w:b/>
        <w:bCs/>
        <w:sz w:val="15"/>
        <w:szCs w:val="15"/>
      </w:rPr>
      <w:t>Annual Report 2024–25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1CCE09D" w14:textId="0596B0E7" w:rsidR="00C30551" w:rsidRPr="00C30551" w:rsidRDefault="00C30551" w:rsidP="00C30551">
    <w:pPr>
      <w:pStyle w:val="Folio-B5Masterpages"/>
      <w:ind w:right="360"/>
      <w:rPr>
        <w:rFonts w:ascii="Instrument Sans SemiBold" w:hAnsi="Instrument Sans SemiBold" w:cs="Instrument Sans SemiBold"/>
        <w:b/>
        <w:bCs/>
        <w:sz w:val="15"/>
        <w:szCs w:val="15"/>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1C9A94D" w14:textId="77777777" w:rsidR="0074449F" w:rsidRDefault="0074449F" w:rsidP="00C30551">
      <w:r>
        <w:separator/>
      </w:r>
    </w:p>
  </w:footnote>
  <w:footnote w:type="continuationSeparator" w:id="0">
    <w:p w14:paraId="45699BFB" w14:textId="77777777" w:rsidR="0074449F" w:rsidRDefault="0074449F" w:rsidP="00C305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7F5067D" w14:textId="2B2C094A" w:rsidR="00C30551" w:rsidRDefault="00C30551">
    <w:pPr>
      <w:pStyle w:val="Header"/>
    </w:pPr>
    <w:r>
      <w:rPr>
        <w:noProof/>
        <w14:ligatures w14:val="standardContextual"/>
      </w:rPr>
      <w:drawing>
        <wp:anchor distT="0" distB="0" distL="114300" distR="114300" simplePos="0" relativeHeight="251659264" behindDoc="1" locked="1" layoutInCell="1" allowOverlap="1" wp14:anchorId="536D2277" wp14:editId="1CD0241F">
          <wp:simplePos x="0" y="0"/>
          <wp:positionH relativeFrom="page">
            <wp:posOffset>449580</wp:posOffset>
          </wp:positionH>
          <wp:positionV relativeFrom="page">
            <wp:posOffset>457200</wp:posOffset>
          </wp:positionV>
          <wp:extent cx="2325600" cy="1051200"/>
          <wp:effectExtent l="0" t="0" r="0" b="0"/>
          <wp:wrapNone/>
          <wp:docPr id="1570320945"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133817" name="Picture 3">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325600" cy="10512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6B5A79"/>
    <w:multiLevelType w:val="hybridMultilevel"/>
    <w:tmpl w:val="1E74BB8A"/>
    <w:lvl w:ilvl="0" w:tplc="3AC4C40A">
      <w:numFmt w:val="bullet"/>
      <w:lvlText w:val="●"/>
      <w:lvlJc w:val="left"/>
      <w:pPr>
        <w:ind w:left="425" w:hanging="270"/>
      </w:pPr>
      <w:rPr>
        <w:rFonts w:ascii="Arial" w:eastAsia="Arial" w:hAnsi="Arial" w:cs="Arial" w:hint="default"/>
        <w:b/>
        <w:bCs/>
        <w:i w:val="0"/>
        <w:iCs w:val="0"/>
        <w:spacing w:val="0"/>
        <w:w w:val="97"/>
        <w:sz w:val="12"/>
        <w:szCs w:val="12"/>
        <w:lang w:val="en-US" w:eastAsia="en-US" w:bidi="ar-SA"/>
      </w:rPr>
    </w:lvl>
    <w:lvl w:ilvl="1" w:tplc="32BA79FA">
      <w:numFmt w:val="bullet"/>
      <w:lvlText w:val="•"/>
      <w:lvlJc w:val="left"/>
      <w:pPr>
        <w:ind w:left="1426" w:hanging="270"/>
      </w:pPr>
      <w:rPr>
        <w:rFonts w:hint="default"/>
        <w:lang w:val="en-US" w:eastAsia="en-US" w:bidi="ar-SA"/>
      </w:rPr>
    </w:lvl>
    <w:lvl w:ilvl="2" w:tplc="EAF2F810">
      <w:numFmt w:val="bullet"/>
      <w:lvlText w:val="•"/>
      <w:lvlJc w:val="left"/>
      <w:pPr>
        <w:ind w:left="2433" w:hanging="270"/>
      </w:pPr>
      <w:rPr>
        <w:rFonts w:hint="default"/>
        <w:lang w:val="en-US" w:eastAsia="en-US" w:bidi="ar-SA"/>
      </w:rPr>
    </w:lvl>
    <w:lvl w:ilvl="3" w:tplc="191CA254">
      <w:numFmt w:val="bullet"/>
      <w:lvlText w:val="•"/>
      <w:lvlJc w:val="left"/>
      <w:pPr>
        <w:ind w:left="3440" w:hanging="270"/>
      </w:pPr>
      <w:rPr>
        <w:rFonts w:hint="default"/>
        <w:lang w:val="en-US" w:eastAsia="en-US" w:bidi="ar-SA"/>
      </w:rPr>
    </w:lvl>
    <w:lvl w:ilvl="4" w:tplc="F06E331E">
      <w:numFmt w:val="bullet"/>
      <w:lvlText w:val="•"/>
      <w:lvlJc w:val="left"/>
      <w:pPr>
        <w:ind w:left="4447" w:hanging="270"/>
      </w:pPr>
      <w:rPr>
        <w:rFonts w:hint="default"/>
        <w:lang w:val="en-US" w:eastAsia="en-US" w:bidi="ar-SA"/>
      </w:rPr>
    </w:lvl>
    <w:lvl w:ilvl="5" w:tplc="7284D62A">
      <w:numFmt w:val="bullet"/>
      <w:lvlText w:val="•"/>
      <w:lvlJc w:val="left"/>
      <w:pPr>
        <w:ind w:left="5454" w:hanging="270"/>
      </w:pPr>
      <w:rPr>
        <w:rFonts w:hint="default"/>
        <w:lang w:val="en-US" w:eastAsia="en-US" w:bidi="ar-SA"/>
      </w:rPr>
    </w:lvl>
    <w:lvl w:ilvl="6" w:tplc="83ACF53E">
      <w:numFmt w:val="bullet"/>
      <w:lvlText w:val="•"/>
      <w:lvlJc w:val="left"/>
      <w:pPr>
        <w:ind w:left="6461" w:hanging="270"/>
      </w:pPr>
      <w:rPr>
        <w:rFonts w:hint="default"/>
        <w:lang w:val="en-US" w:eastAsia="en-US" w:bidi="ar-SA"/>
      </w:rPr>
    </w:lvl>
    <w:lvl w:ilvl="7" w:tplc="0CBA9B44">
      <w:numFmt w:val="bullet"/>
      <w:lvlText w:val="•"/>
      <w:lvlJc w:val="left"/>
      <w:pPr>
        <w:ind w:left="7468" w:hanging="270"/>
      </w:pPr>
      <w:rPr>
        <w:rFonts w:hint="default"/>
        <w:lang w:val="en-US" w:eastAsia="en-US" w:bidi="ar-SA"/>
      </w:rPr>
    </w:lvl>
    <w:lvl w:ilvl="8" w:tplc="FF26EBDA">
      <w:numFmt w:val="bullet"/>
      <w:lvlText w:val="•"/>
      <w:lvlJc w:val="left"/>
      <w:pPr>
        <w:ind w:left="8475" w:hanging="270"/>
      </w:pPr>
      <w:rPr>
        <w:rFonts w:hint="default"/>
        <w:lang w:val="en-US" w:eastAsia="en-US" w:bidi="ar-SA"/>
      </w:rPr>
    </w:lvl>
  </w:abstractNum>
  <w:abstractNum w:abstractNumId="1" w15:restartNumberingAfterBreak="0">
    <w:nsid w:val="06B74A7C"/>
    <w:multiLevelType w:val="hybridMultilevel"/>
    <w:tmpl w:val="7818C5AE"/>
    <w:lvl w:ilvl="0" w:tplc="44F6FB86">
      <w:numFmt w:val="bullet"/>
      <w:lvlText w:val="●"/>
      <w:lvlJc w:val="left"/>
      <w:pPr>
        <w:ind w:left="440" w:hanging="270"/>
      </w:pPr>
      <w:rPr>
        <w:rFonts w:ascii="Arial" w:eastAsia="Arial" w:hAnsi="Arial" w:cs="Arial" w:hint="default"/>
        <w:b/>
        <w:bCs/>
        <w:i w:val="0"/>
        <w:iCs w:val="0"/>
        <w:spacing w:val="0"/>
        <w:w w:val="97"/>
        <w:sz w:val="12"/>
        <w:szCs w:val="12"/>
        <w:lang w:val="en-US" w:eastAsia="en-US" w:bidi="ar-SA"/>
      </w:rPr>
    </w:lvl>
    <w:lvl w:ilvl="1" w:tplc="C6DC5B18">
      <w:numFmt w:val="bullet"/>
      <w:lvlText w:val="•"/>
      <w:lvlJc w:val="left"/>
      <w:pPr>
        <w:ind w:left="1444" w:hanging="270"/>
      </w:pPr>
      <w:rPr>
        <w:rFonts w:hint="default"/>
        <w:lang w:val="en-US" w:eastAsia="en-US" w:bidi="ar-SA"/>
      </w:rPr>
    </w:lvl>
    <w:lvl w:ilvl="2" w:tplc="FC702172">
      <w:numFmt w:val="bullet"/>
      <w:lvlText w:val="•"/>
      <w:lvlJc w:val="left"/>
      <w:pPr>
        <w:ind w:left="2449" w:hanging="270"/>
      </w:pPr>
      <w:rPr>
        <w:rFonts w:hint="default"/>
        <w:lang w:val="en-US" w:eastAsia="en-US" w:bidi="ar-SA"/>
      </w:rPr>
    </w:lvl>
    <w:lvl w:ilvl="3" w:tplc="7C2648E6">
      <w:numFmt w:val="bullet"/>
      <w:lvlText w:val="•"/>
      <w:lvlJc w:val="left"/>
      <w:pPr>
        <w:ind w:left="3454" w:hanging="270"/>
      </w:pPr>
      <w:rPr>
        <w:rFonts w:hint="default"/>
        <w:lang w:val="en-US" w:eastAsia="en-US" w:bidi="ar-SA"/>
      </w:rPr>
    </w:lvl>
    <w:lvl w:ilvl="4" w:tplc="16B22778">
      <w:numFmt w:val="bullet"/>
      <w:lvlText w:val="•"/>
      <w:lvlJc w:val="left"/>
      <w:pPr>
        <w:ind w:left="4459" w:hanging="270"/>
      </w:pPr>
      <w:rPr>
        <w:rFonts w:hint="default"/>
        <w:lang w:val="en-US" w:eastAsia="en-US" w:bidi="ar-SA"/>
      </w:rPr>
    </w:lvl>
    <w:lvl w:ilvl="5" w:tplc="B1F21886">
      <w:numFmt w:val="bullet"/>
      <w:lvlText w:val="•"/>
      <w:lvlJc w:val="left"/>
      <w:pPr>
        <w:ind w:left="5464" w:hanging="270"/>
      </w:pPr>
      <w:rPr>
        <w:rFonts w:hint="default"/>
        <w:lang w:val="en-US" w:eastAsia="en-US" w:bidi="ar-SA"/>
      </w:rPr>
    </w:lvl>
    <w:lvl w:ilvl="6" w:tplc="26B68CFE">
      <w:numFmt w:val="bullet"/>
      <w:lvlText w:val="•"/>
      <w:lvlJc w:val="left"/>
      <w:pPr>
        <w:ind w:left="6469" w:hanging="270"/>
      </w:pPr>
      <w:rPr>
        <w:rFonts w:hint="default"/>
        <w:lang w:val="en-US" w:eastAsia="en-US" w:bidi="ar-SA"/>
      </w:rPr>
    </w:lvl>
    <w:lvl w:ilvl="7" w:tplc="5C8AB798">
      <w:numFmt w:val="bullet"/>
      <w:lvlText w:val="•"/>
      <w:lvlJc w:val="left"/>
      <w:pPr>
        <w:ind w:left="7474" w:hanging="270"/>
      </w:pPr>
      <w:rPr>
        <w:rFonts w:hint="default"/>
        <w:lang w:val="en-US" w:eastAsia="en-US" w:bidi="ar-SA"/>
      </w:rPr>
    </w:lvl>
    <w:lvl w:ilvl="8" w:tplc="EB965A88">
      <w:numFmt w:val="bullet"/>
      <w:lvlText w:val="•"/>
      <w:lvlJc w:val="left"/>
      <w:pPr>
        <w:ind w:left="8479" w:hanging="270"/>
      </w:pPr>
      <w:rPr>
        <w:rFonts w:hint="default"/>
        <w:lang w:val="en-US" w:eastAsia="en-US" w:bidi="ar-SA"/>
      </w:rPr>
    </w:lvl>
  </w:abstractNum>
  <w:abstractNum w:abstractNumId="2" w15:restartNumberingAfterBreak="0">
    <w:nsid w:val="102B7F30"/>
    <w:multiLevelType w:val="hybridMultilevel"/>
    <w:tmpl w:val="745A2BCA"/>
    <w:lvl w:ilvl="0" w:tplc="6AAE27D0">
      <w:numFmt w:val="bullet"/>
      <w:lvlText w:val="●"/>
      <w:lvlJc w:val="left"/>
      <w:pPr>
        <w:ind w:left="440" w:hanging="270"/>
      </w:pPr>
      <w:rPr>
        <w:rFonts w:ascii="Arial" w:eastAsia="Arial" w:hAnsi="Arial" w:cs="Arial" w:hint="default"/>
        <w:b/>
        <w:bCs/>
        <w:i w:val="0"/>
        <w:iCs w:val="0"/>
        <w:spacing w:val="0"/>
        <w:w w:val="97"/>
        <w:sz w:val="12"/>
        <w:szCs w:val="12"/>
        <w:lang w:val="en-US" w:eastAsia="en-US" w:bidi="ar-SA"/>
      </w:rPr>
    </w:lvl>
    <w:lvl w:ilvl="1" w:tplc="A4D404DA">
      <w:numFmt w:val="bullet"/>
      <w:lvlText w:val="•"/>
      <w:lvlJc w:val="left"/>
      <w:pPr>
        <w:ind w:left="1444" w:hanging="270"/>
      </w:pPr>
      <w:rPr>
        <w:rFonts w:hint="default"/>
        <w:lang w:val="en-US" w:eastAsia="en-US" w:bidi="ar-SA"/>
      </w:rPr>
    </w:lvl>
    <w:lvl w:ilvl="2" w:tplc="6F0E04B0">
      <w:numFmt w:val="bullet"/>
      <w:lvlText w:val="•"/>
      <w:lvlJc w:val="left"/>
      <w:pPr>
        <w:ind w:left="2449" w:hanging="270"/>
      </w:pPr>
      <w:rPr>
        <w:rFonts w:hint="default"/>
        <w:lang w:val="en-US" w:eastAsia="en-US" w:bidi="ar-SA"/>
      </w:rPr>
    </w:lvl>
    <w:lvl w:ilvl="3" w:tplc="29EA49C6">
      <w:numFmt w:val="bullet"/>
      <w:lvlText w:val="•"/>
      <w:lvlJc w:val="left"/>
      <w:pPr>
        <w:ind w:left="3454" w:hanging="270"/>
      </w:pPr>
      <w:rPr>
        <w:rFonts w:hint="default"/>
        <w:lang w:val="en-US" w:eastAsia="en-US" w:bidi="ar-SA"/>
      </w:rPr>
    </w:lvl>
    <w:lvl w:ilvl="4" w:tplc="AAE47EC0">
      <w:numFmt w:val="bullet"/>
      <w:lvlText w:val="•"/>
      <w:lvlJc w:val="left"/>
      <w:pPr>
        <w:ind w:left="4459" w:hanging="270"/>
      </w:pPr>
      <w:rPr>
        <w:rFonts w:hint="default"/>
        <w:lang w:val="en-US" w:eastAsia="en-US" w:bidi="ar-SA"/>
      </w:rPr>
    </w:lvl>
    <w:lvl w:ilvl="5" w:tplc="08F63FC2">
      <w:numFmt w:val="bullet"/>
      <w:lvlText w:val="•"/>
      <w:lvlJc w:val="left"/>
      <w:pPr>
        <w:ind w:left="5464" w:hanging="270"/>
      </w:pPr>
      <w:rPr>
        <w:rFonts w:hint="default"/>
        <w:lang w:val="en-US" w:eastAsia="en-US" w:bidi="ar-SA"/>
      </w:rPr>
    </w:lvl>
    <w:lvl w:ilvl="6" w:tplc="870A0444">
      <w:numFmt w:val="bullet"/>
      <w:lvlText w:val="•"/>
      <w:lvlJc w:val="left"/>
      <w:pPr>
        <w:ind w:left="6469" w:hanging="270"/>
      </w:pPr>
      <w:rPr>
        <w:rFonts w:hint="default"/>
        <w:lang w:val="en-US" w:eastAsia="en-US" w:bidi="ar-SA"/>
      </w:rPr>
    </w:lvl>
    <w:lvl w:ilvl="7" w:tplc="13B0BCB0">
      <w:numFmt w:val="bullet"/>
      <w:lvlText w:val="•"/>
      <w:lvlJc w:val="left"/>
      <w:pPr>
        <w:ind w:left="7474" w:hanging="270"/>
      </w:pPr>
      <w:rPr>
        <w:rFonts w:hint="default"/>
        <w:lang w:val="en-US" w:eastAsia="en-US" w:bidi="ar-SA"/>
      </w:rPr>
    </w:lvl>
    <w:lvl w:ilvl="8" w:tplc="2208DC44">
      <w:numFmt w:val="bullet"/>
      <w:lvlText w:val="•"/>
      <w:lvlJc w:val="left"/>
      <w:pPr>
        <w:ind w:left="8479" w:hanging="270"/>
      </w:pPr>
      <w:rPr>
        <w:rFonts w:hint="default"/>
        <w:lang w:val="en-US" w:eastAsia="en-US" w:bidi="ar-SA"/>
      </w:rPr>
    </w:lvl>
  </w:abstractNum>
  <w:abstractNum w:abstractNumId="3" w15:restartNumberingAfterBreak="0">
    <w:nsid w:val="140C35BC"/>
    <w:multiLevelType w:val="hybridMultilevel"/>
    <w:tmpl w:val="67CC7DD6"/>
    <w:lvl w:ilvl="0" w:tplc="02561C06">
      <w:numFmt w:val="bullet"/>
      <w:lvlText w:val="●"/>
      <w:lvlJc w:val="left"/>
      <w:pPr>
        <w:ind w:left="251" w:hanging="171"/>
      </w:pPr>
      <w:rPr>
        <w:rFonts w:ascii="Arial" w:eastAsia="Arial" w:hAnsi="Arial" w:cs="Arial" w:hint="default"/>
        <w:b/>
        <w:bCs/>
        <w:i w:val="0"/>
        <w:iCs w:val="0"/>
        <w:spacing w:val="0"/>
        <w:w w:val="97"/>
        <w:sz w:val="12"/>
        <w:szCs w:val="12"/>
        <w:lang w:val="en-US" w:eastAsia="en-US" w:bidi="ar-SA"/>
      </w:rPr>
    </w:lvl>
    <w:lvl w:ilvl="1" w:tplc="518AA53E">
      <w:numFmt w:val="bullet"/>
      <w:lvlText w:val="–"/>
      <w:lvlJc w:val="left"/>
      <w:pPr>
        <w:ind w:left="409" w:hanging="159"/>
      </w:pPr>
      <w:rPr>
        <w:rFonts w:ascii="Arial" w:eastAsia="Arial" w:hAnsi="Arial" w:cs="Arial" w:hint="default"/>
        <w:b w:val="0"/>
        <w:bCs w:val="0"/>
        <w:i w:val="0"/>
        <w:iCs w:val="0"/>
        <w:spacing w:val="0"/>
        <w:w w:val="100"/>
        <w:sz w:val="19"/>
        <w:szCs w:val="19"/>
        <w:lang w:val="en-US" w:eastAsia="en-US" w:bidi="ar-SA"/>
      </w:rPr>
    </w:lvl>
    <w:lvl w:ilvl="2" w:tplc="CEB6CB52">
      <w:numFmt w:val="bullet"/>
      <w:lvlText w:val="•"/>
      <w:lvlJc w:val="left"/>
      <w:pPr>
        <w:ind w:left="909" w:hanging="159"/>
      </w:pPr>
      <w:rPr>
        <w:rFonts w:hint="default"/>
        <w:lang w:val="en-US" w:eastAsia="en-US" w:bidi="ar-SA"/>
      </w:rPr>
    </w:lvl>
    <w:lvl w:ilvl="3" w:tplc="9C40D808">
      <w:numFmt w:val="bullet"/>
      <w:lvlText w:val="•"/>
      <w:lvlJc w:val="left"/>
      <w:pPr>
        <w:ind w:left="1419" w:hanging="159"/>
      </w:pPr>
      <w:rPr>
        <w:rFonts w:hint="default"/>
        <w:lang w:val="en-US" w:eastAsia="en-US" w:bidi="ar-SA"/>
      </w:rPr>
    </w:lvl>
    <w:lvl w:ilvl="4" w:tplc="47B8E790">
      <w:numFmt w:val="bullet"/>
      <w:lvlText w:val="•"/>
      <w:lvlJc w:val="left"/>
      <w:pPr>
        <w:ind w:left="1929" w:hanging="159"/>
      </w:pPr>
      <w:rPr>
        <w:rFonts w:hint="default"/>
        <w:lang w:val="en-US" w:eastAsia="en-US" w:bidi="ar-SA"/>
      </w:rPr>
    </w:lvl>
    <w:lvl w:ilvl="5" w:tplc="1ACEC0C8">
      <w:numFmt w:val="bullet"/>
      <w:lvlText w:val="•"/>
      <w:lvlJc w:val="left"/>
      <w:pPr>
        <w:ind w:left="2438" w:hanging="159"/>
      </w:pPr>
      <w:rPr>
        <w:rFonts w:hint="default"/>
        <w:lang w:val="en-US" w:eastAsia="en-US" w:bidi="ar-SA"/>
      </w:rPr>
    </w:lvl>
    <w:lvl w:ilvl="6" w:tplc="72A8105E">
      <w:numFmt w:val="bullet"/>
      <w:lvlText w:val="•"/>
      <w:lvlJc w:val="left"/>
      <w:pPr>
        <w:ind w:left="2948" w:hanging="159"/>
      </w:pPr>
      <w:rPr>
        <w:rFonts w:hint="default"/>
        <w:lang w:val="en-US" w:eastAsia="en-US" w:bidi="ar-SA"/>
      </w:rPr>
    </w:lvl>
    <w:lvl w:ilvl="7" w:tplc="2F286FAA">
      <w:numFmt w:val="bullet"/>
      <w:lvlText w:val="•"/>
      <w:lvlJc w:val="left"/>
      <w:pPr>
        <w:ind w:left="3458" w:hanging="159"/>
      </w:pPr>
      <w:rPr>
        <w:rFonts w:hint="default"/>
        <w:lang w:val="en-US" w:eastAsia="en-US" w:bidi="ar-SA"/>
      </w:rPr>
    </w:lvl>
    <w:lvl w:ilvl="8" w:tplc="36EC53B8">
      <w:numFmt w:val="bullet"/>
      <w:lvlText w:val="•"/>
      <w:lvlJc w:val="left"/>
      <w:pPr>
        <w:ind w:left="3968" w:hanging="159"/>
      </w:pPr>
      <w:rPr>
        <w:rFonts w:hint="default"/>
        <w:lang w:val="en-US" w:eastAsia="en-US" w:bidi="ar-SA"/>
      </w:rPr>
    </w:lvl>
  </w:abstractNum>
  <w:abstractNum w:abstractNumId="4" w15:restartNumberingAfterBreak="0">
    <w:nsid w:val="15133041"/>
    <w:multiLevelType w:val="hybridMultilevel"/>
    <w:tmpl w:val="F5AC7A30"/>
    <w:lvl w:ilvl="0" w:tplc="0654464A">
      <w:numFmt w:val="bullet"/>
      <w:lvlText w:val="–"/>
      <w:lvlJc w:val="left"/>
      <w:pPr>
        <w:ind w:left="409" w:hanging="159"/>
      </w:pPr>
      <w:rPr>
        <w:rFonts w:ascii="Arial" w:eastAsia="Arial" w:hAnsi="Arial" w:cs="Arial" w:hint="default"/>
        <w:b w:val="0"/>
        <w:bCs w:val="0"/>
        <w:i w:val="0"/>
        <w:iCs w:val="0"/>
        <w:spacing w:val="0"/>
        <w:w w:val="100"/>
        <w:sz w:val="19"/>
        <w:szCs w:val="19"/>
        <w:lang w:val="en-US" w:eastAsia="en-US" w:bidi="ar-SA"/>
      </w:rPr>
    </w:lvl>
    <w:lvl w:ilvl="1" w:tplc="E93428FA">
      <w:numFmt w:val="bullet"/>
      <w:lvlText w:val="•"/>
      <w:lvlJc w:val="left"/>
      <w:pPr>
        <w:ind w:left="858" w:hanging="159"/>
      </w:pPr>
      <w:rPr>
        <w:rFonts w:hint="default"/>
        <w:lang w:val="en-US" w:eastAsia="en-US" w:bidi="ar-SA"/>
      </w:rPr>
    </w:lvl>
    <w:lvl w:ilvl="2" w:tplc="8300324E">
      <w:numFmt w:val="bullet"/>
      <w:lvlText w:val="•"/>
      <w:lvlJc w:val="left"/>
      <w:pPr>
        <w:ind w:left="1317" w:hanging="159"/>
      </w:pPr>
      <w:rPr>
        <w:rFonts w:hint="default"/>
        <w:lang w:val="en-US" w:eastAsia="en-US" w:bidi="ar-SA"/>
      </w:rPr>
    </w:lvl>
    <w:lvl w:ilvl="3" w:tplc="4922F39A">
      <w:numFmt w:val="bullet"/>
      <w:lvlText w:val="•"/>
      <w:lvlJc w:val="left"/>
      <w:pPr>
        <w:ind w:left="1776" w:hanging="159"/>
      </w:pPr>
      <w:rPr>
        <w:rFonts w:hint="default"/>
        <w:lang w:val="en-US" w:eastAsia="en-US" w:bidi="ar-SA"/>
      </w:rPr>
    </w:lvl>
    <w:lvl w:ilvl="4" w:tplc="E4C88010">
      <w:numFmt w:val="bullet"/>
      <w:lvlText w:val="•"/>
      <w:lvlJc w:val="left"/>
      <w:pPr>
        <w:ind w:left="2235" w:hanging="159"/>
      </w:pPr>
      <w:rPr>
        <w:rFonts w:hint="default"/>
        <w:lang w:val="en-US" w:eastAsia="en-US" w:bidi="ar-SA"/>
      </w:rPr>
    </w:lvl>
    <w:lvl w:ilvl="5" w:tplc="6E808238">
      <w:numFmt w:val="bullet"/>
      <w:lvlText w:val="•"/>
      <w:lvlJc w:val="left"/>
      <w:pPr>
        <w:ind w:left="2693" w:hanging="159"/>
      </w:pPr>
      <w:rPr>
        <w:rFonts w:hint="default"/>
        <w:lang w:val="en-US" w:eastAsia="en-US" w:bidi="ar-SA"/>
      </w:rPr>
    </w:lvl>
    <w:lvl w:ilvl="6" w:tplc="0C128E9C">
      <w:numFmt w:val="bullet"/>
      <w:lvlText w:val="•"/>
      <w:lvlJc w:val="left"/>
      <w:pPr>
        <w:ind w:left="3152" w:hanging="159"/>
      </w:pPr>
      <w:rPr>
        <w:rFonts w:hint="default"/>
        <w:lang w:val="en-US" w:eastAsia="en-US" w:bidi="ar-SA"/>
      </w:rPr>
    </w:lvl>
    <w:lvl w:ilvl="7" w:tplc="821849A2">
      <w:numFmt w:val="bullet"/>
      <w:lvlText w:val="•"/>
      <w:lvlJc w:val="left"/>
      <w:pPr>
        <w:ind w:left="3611" w:hanging="159"/>
      </w:pPr>
      <w:rPr>
        <w:rFonts w:hint="default"/>
        <w:lang w:val="en-US" w:eastAsia="en-US" w:bidi="ar-SA"/>
      </w:rPr>
    </w:lvl>
    <w:lvl w:ilvl="8" w:tplc="2CEA62E4">
      <w:numFmt w:val="bullet"/>
      <w:lvlText w:val="•"/>
      <w:lvlJc w:val="left"/>
      <w:pPr>
        <w:ind w:left="4070" w:hanging="159"/>
      </w:pPr>
      <w:rPr>
        <w:rFonts w:hint="default"/>
        <w:lang w:val="en-US" w:eastAsia="en-US" w:bidi="ar-SA"/>
      </w:rPr>
    </w:lvl>
  </w:abstractNum>
  <w:abstractNum w:abstractNumId="5" w15:restartNumberingAfterBreak="0">
    <w:nsid w:val="15CF5A05"/>
    <w:multiLevelType w:val="hybridMultilevel"/>
    <w:tmpl w:val="88C0B6A2"/>
    <w:lvl w:ilvl="0" w:tplc="0CA8F1A8">
      <w:start w:val="1"/>
      <w:numFmt w:val="decimal"/>
      <w:lvlText w:val="%1."/>
      <w:lvlJc w:val="left"/>
      <w:pPr>
        <w:ind w:left="369" w:hanging="227"/>
      </w:pPr>
      <w:rPr>
        <w:rFonts w:ascii="Arial" w:eastAsia="Arial" w:hAnsi="Arial" w:cs="Arial" w:hint="default"/>
        <w:b w:val="0"/>
        <w:bCs w:val="0"/>
        <w:i w:val="0"/>
        <w:iCs w:val="0"/>
        <w:spacing w:val="-7"/>
        <w:w w:val="100"/>
        <w:sz w:val="17"/>
        <w:szCs w:val="17"/>
        <w:lang w:val="en-US" w:eastAsia="en-US" w:bidi="ar-SA"/>
      </w:rPr>
    </w:lvl>
    <w:lvl w:ilvl="1" w:tplc="4D60B89A">
      <w:numFmt w:val="bullet"/>
      <w:lvlText w:val="•"/>
      <w:lvlJc w:val="left"/>
      <w:pPr>
        <w:ind w:left="1372" w:hanging="227"/>
      </w:pPr>
      <w:rPr>
        <w:rFonts w:hint="default"/>
        <w:lang w:val="en-US" w:eastAsia="en-US" w:bidi="ar-SA"/>
      </w:rPr>
    </w:lvl>
    <w:lvl w:ilvl="2" w:tplc="9DF8B63C">
      <w:numFmt w:val="bullet"/>
      <w:lvlText w:val="•"/>
      <w:lvlJc w:val="left"/>
      <w:pPr>
        <w:ind w:left="2385" w:hanging="227"/>
      </w:pPr>
      <w:rPr>
        <w:rFonts w:hint="default"/>
        <w:lang w:val="en-US" w:eastAsia="en-US" w:bidi="ar-SA"/>
      </w:rPr>
    </w:lvl>
    <w:lvl w:ilvl="3" w:tplc="B318535E">
      <w:numFmt w:val="bullet"/>
      <w:lvlText w:val="•"/>
      <w:lvlJc w:val="left"/>
      <w:pPr>
        <w:ind w:left="3398" w:hanging="227"/>
      </w:pPr>
      <w:rPr>
        <w:rFonts w:hint="default"/>
        <w:lang w:val="en-US" w:eastAsia="en-US" w:bidi="ar-SA"/>
      </w:rPr>
    </w:lvl>
    <w:lvl w:ilvl="4" w:tplc="9DE4AFA6">
      <w:numFmt w:val="bullet"/>
      <w:lvlText w:val="•"/>
      <w:lvlJc w:val="left"/>
      <w:pPr>
        <w:ind w:left="4411" w:hanging="227"/>
      </w:pPr>
      <w:rPr>
        <w:rFonts w:hint="default"/>
        <w:lang w:val="en-US" w:eastAsia="en-US" w:bidi="ar-SA"/>
      </w:rPr>
    </w:lvl>
    <w:lvl w:ilvl="5" w:tplc="0478CE84">
      <w:numFmt w:val="bullet"/>
      <w:lvlText w:val="•"/>
      <w:lvlJc w:val="left"/>
      <w:pPr>
        <w:ind w:left="5424" w:hanging="227"/>
      </w:pPr>
      <w:rPr>
        <w:rFonts w:hint="default"/>
        <w:lang w:val="en-US" w:eastAsia="en-US" w:bidi="ar-SA"/>
      </w:rPr>
    </w:lvl>
    <w:lvl w:ilvl="6" w:tplc="16A8774E">
      <w:numFmt w:val="bullet"/>
      <w:lvlText w:val="•"/>
      <w:lvlJc w:val="left"/>
      <w:pPr>
        <w:ind w:left="6437" w:hanging="227"/>
      </w:pPr>
      <w:rPr>
        <w:rFonts w:hint="default"/>
        <w:lang w:val="en-US" w:eastAsia="en-US" w:bidi="ar-SA"/>
      </w:rPr>
    </w:lvl>
    <w:lvl w:ilvl="7" w:tplc="7EF040C0">
      <w:numFmt w:val="bullet"/>
      <w:lvlText w:val="•"/>
      <w:lvlJc w:val="left"/>
      <w:pPr>
        <w:ind w:left="7450" w:hanging="227"/>
      </w:pPr>
      <w:rPr>
        <w:rFonts w:hint="default"/>
        <w:lang w:val="en-US" w:eastAsia="en-US" w:bidi="ar-SA"/>
      </w:rPr>
    </w:lvl>
    <w:lvl w:ilvl="8" w:tplc="94B68C92">
      <w:numFmt w:val="bullet"/>
      <w:lvlText w:val="•"/>
      <w:lvlJc w:val="left"/>
      <w:pPr>
        <w:ind w:left="8463" w:hanging="227"/>
      </w:pPr>
      <w:rPr>
        <w:rFonts w:hint="default"/>
        <w:lang w:val="en-US" w:eastAsia="en-US" w:bidi="ar-SA"/>
      </w:rPr>
    </w:lvl>
  </w:abstractNum>
  <w:abstractNum w:abstractNumId="6" w15:restartNumberingAfterBreak="0">
    <w:nsid w:val="1D6A248F"/>
    <w:multiLevelType w:val="hybridMultilevel"/>
    <w:tmpl w:val="9BC458DE"/>
    <w:lvl w:ilvl="0" w:tplc="D36EAC82">
      <w:numFmt w:val="bullet"/>
      <w:lvlText w:val="●"/>
      <w:lvlJc w:val="left"/>
      <w:pPr>
        <w:ind w:left="440" w:hanging="270"/>
      </w:pPr>
      <w:rPr>
        <w:rFonts w:ascii="Arial" w:eastAsia="Arial" w:hAnsi="Arial" w:cs="Arial" w:hint="default"/>
        <w:b/>
        <w:bCs/>
        <w:i w:val="0"/>
        <w:iCs w:val="0"/>
        <w:spacing w:val="0"/>
        <w:w w:val="97"/>
        <w:sz w:val="12"/>
        <w:szCs w:val="12"/>
        <w:lang w:val="en-US" w:eastAsia="en-US" w:bidi="ar-SA"/>
      </w:rPr>
    </w:lvl>
    <w:lvl w:ilvl="1" w:tplc="AD542276">
      <w:numFmt w:val="bullet"/>
      <w:lvlText w:val="•"/>
      <w:lvlJc w:val="left"/>
      <w:pPr>
        <w:ind w:left="1444" w:hanging="270"/>
      </w:pPr>
      <w:rPr>
        <w:rFonts w:hint="default"/>
        <w:lang w:val="en-US" w:eastAsia="en-US" w:bidi="ar-SA"/>
      </w:rPr>
    </w:lvl>
    <w:lvl w:ilvl="2" w:tplc="898A1E9E">
      <w:numFmt w:val="bullet"/>
      <w:lvlText w:val="•"/>
      <w:lvlJc w:val="left"/>
      <w:pPr>
        <w:ind w:left="2449" w:hanging="270"/>
      </w:pPr>
      <w:rPr>
        <w:rFonts w:hint="default"/>
        <w:lang w:val="en-US" w:eastAsia="en-US" w:bidi="ar-SA"/>
      </w:rPr>
    </w:lvl>
    <w:lvl w:ilvl="3" w:tplc="14100E64">
      <w:numFmt w:val="bullet"/>
      <w:lvlText w:val="•"/>
      <w:lvlJc w:val="left"/>
      <w:pPr>
        <w:ind w:left="3454" w:hanging="270"/>
      </w:pPr>
      <w:rPr>
        <w:rFonts w:hint="default"/>
        <w:lang w:val="en-US" w:eastAsia="en-US" w:bidi="ar-SA"/>
      </w:rPr>
    </w:lvl>
    <w:lvl w:ilvl="4" w:tplc="98709FA4">
      <w:numFmt w:val="bullet"/>
      <w:lvlText w:val="•"/>
      <w:lvlJc w:val="left"/>
      <w:pPr>
        <w:ind w:left="4459" w:hanging="270"/>
      </w:pPr>
      <w:rPr>
        <w:rFonts w:hint="default"/>
        <w:lang w:val="en-US" w:eastAsia="en-US" w:bidi="ar-SA"/>
      </w:rPr>
    </w:lvl>
    <w:lvl w:ilvl="5" w:tplc="FCC25B78">
      <w:numFmt w:val="bullet"/>
      <w:lvlText w:val="•"/>
      <w:lvlJc w:val="left"/>
      <w:pPr>
        <w:ind w:left="5464" w:hanging="270"/>
      </w:pPr>
      <w:rPr>
        <w:rFonts w:hint="default"/>
        <w:lang w:val="en-US" w:eastAsia="en-US" w:bidi="ar-SA"/>
      </w:rPr>
    </w:lvl>
    <w:lvl w:ilvl="6" w:tplc="A64E9790">
      <w:numFmt w:val="bullet"/>
      <w:lvlText w:val="•"/>
      <w:lvlJc w:val="left"/>
      <w:pPr>
        <w:ind w:left="6469" w:hanging="270"/>
      </w:pPr>
      <w:rPr>
        <w:rFonts w:hint="default"/>
        <w:lang w:val="en-US" w:eastAsia="en-US" w:bidi="ar-SA"/>
      </w:rPr>
    </w:lvl>
    <w:lvl w:ilvl="7" w:tplc="1F3A55D2">
      <w:numFmt w:val="bullet"/>
      <w:lvlText w:val="•"/>
      <w:lvlJc w:val="left"/>
      <w:pPr>
        <w:ind w:left="7474" w:hanging="270"/>
      </w:pPr>
      <w:rPr>
        <w:rFonts w:hint="default"/>
        <w:lang w:val="en-US" w:eastAsia="en-US" w:bidi="ar-SA"/>
      </w:rPr>
    </w:lvl>
    <w:lvl w:ilvl="8" w:tplc="E886FA1A">
      <w:numFmt w:val="bullet"/>
      <w:lvlText w:val="•"/>
      <w:lvlJc w:val="left"/>
      <w:pPr>
        <w:ind w:left="8479" w:hanging="270"/>
      </w:pPr>
      <w:rPr>
        <w:rFonts w:hint="default"/>
        <w:lang w:val="en-US" w:eastAsia="en-US" w:bidi="ar-SA"/>
      </w:rPr>
    </w:lvl>
  </w:abstractNum>
  <w:abstractNum w:abstractNumId="7" w15:restartNumberingAfterBreak="0">
    <w:nsid w:val="1E8472E2"/>
    <w:multiLevelType w:val="hybridMultilevel"/>
    <w:tmpl w:val="3B7C8D14"/>
    <w:lvl w:ilvl="0" w:tplc="A1B2ADDA">
      <w:numFmt w:val="bullet"/>
      <w:lvlText w:val="●"/>
      <w:lvlJc w:val="left"/>
      <w:pPr>
        <w:ind w:left="251" w:hanging="171"/>
      </w:pPr>
      <w:rPr>
        <w:rFonts w:ascii="Arial" w:eastAsia="Arial" w:hAnsi="Arial" w:cs="Arial" w:hint="default"/>
        <w:b/>
        <w:bCs/>
        <w:i w:val="0"/>
        <w:iCs w:val="0"/>
        <w:spacing w:val="0"/>
        <w:w w:val="97"/>
        <w:sz w:val="12"/>
        <w:szCs w:val="12"/>
        <w:lang w:val="en-US" w:eastAsia="en-US" w:bidi="ar-SA"/>
      </w:rPr>
    </w:lvl>
    <w:lvl w:ilvl="1" w:tplc="EF60F98E">
      <w:numFmt w:val="bullet"/>
      <w:lvlText w:val="•"/>
      <w:lvlJc w:val="left"/>
      <w:pPr>
        <w:ind w:left="732" w:hanging="171"/>
      </w:pPr>
      <w:rPr>
        <w:rFonts w:hint="default"/>
        <w:lang w:val="en-US" w:eastAsia="en-US" w:bidi="ar-SA"/>
      </w:rPr>
    </w:lvl>
    <w:lvl w:ilvl="2" w:tplc="5D60C006">
      <w:numFmt w:val="bullet"/>
      <w:lvlText w:val="•"/>
      <w:lvlJc w:val="left"/>
      <w:pPr>
        <w:ind w:left="1205" w:hanging="171"/>
      </w:pPr>
      <w:rPr>
        <w:rFonts w:hint="default"/>
        <w:lang w:val="en-US" w:eastAsia="en-US" w:bidi="ar-SA"/>
      </w:rPr>
    </w:lvl>
    <w:lvl w:ilvl="3" w:tplc="406E0B40">
      <w:numFmt w:val="bullet"/>
      <w:lvlText w:val="•"/>
      <w:lvlJc w:val="left"/>
      <w:pPr>
        <w:ind w:left="1678" w:hanging="171"/>
      </w:pPr>
      <w:rPr>
        <w:rFonts w:hint="default"/>
        <w:lang w:val="en-US" w:eastAsia="en-US" w:bidi="ar-SA"/>
      </w:rPr>
    </w:lvl>
    <w:lvl w:ilvl="4" w:tplc="FD3C7572">
      <w:numFmt w:val="bullet"/>
      <w:lvlText w:val="•"/>
      <w:lvlJc w:val="left"/>
      <w:pPr>
        <w:ind w:left="2151" w:hanging="171"/>
      </w:pPr>
      <w:rPr>
        <w:rFonts w:hint="default"/>
        <w:lang w:val="en-US" w:eastAsia="en-US" w:bidi="ar-SA"/>
      </w:rPr>
    </w:lvl>
    <w:lvl w:ilvl="5" w:tplc="14E03602">
      <w:numFmt w:val="bullet"/>
      <w:lvlText w:val="•"/>
      <w:lvlJc w:val="left"/>
      <w:pPr>
        <w:ind w:left="2623" w:hanging="171"/>
      </w:pPr>
      <w:rPr>
        <w:rFonts w:hint="default"/>
        <w:lang w:val="en-US" w:eastAsia="en-US" w:bidi="ar-SA"/>
      </w:rPr>
    </w:lvl>
    <w:lvl w:ilvl="6" w:tplc="6C94D6BC">
      <w:numFmt w:val="bullet"/>
      <w:lvlText w:val="•"/>
      <w:lvlJc w:val="left"/>
      <w:pPr>
        <w:ind w:left="3096" w:hanging="171"/>
      </w:pPr>
      <w:rPr>
        <w:rFonts w:hint="default"/>
        <w:lang w:val="en-US" w:eastAsia="en-US" w:bidi="ar-SA"/>
      </w:rPr>
    </w:lvl>
    <w:lvl w:ilvl="7" w:tplc="8A1AAC62">
      <w:numFmt w:val="bullet"/>
      <w:lvlText w:val="•"/>
      <w:lvlJc w:val="left"/>
      <w:pPr>
        <w:ind w:left="3569" w:hanging="171"/>
      </w:pPr>
      <w:rPr>
        <w:rFonts w:hint="default"/>
        <w:lang w:val="en-US" w:eastAsia="en-US" w:bidi="ar-SA"/>
      </w:rPr>
    </w:lvl>
    <w:lvl w:ilvl="8" w:tplc="CD582B78">
      <w:numFmt w:val="bullet"/>
      <w:lvlText w:val="•"/>
      <w:lvlJc w:val="left"/>
      <w:pPr>
        <w:ind w:left="4042" w:hanging="171"/>
      </w:pPr>
      <w:rPr>
        <w:rFonts w:hint="default"/>
        <w:lang w:val="en-US" w:eastAsia="en-US" w:bidi="ar-SA"/>
      </w:rPr>
    </w:lvl>
  </w:abstractNum>
  <w:abstractNum w:abstractNumId="8" w15:restartNumberingAfterBreak="0">
    <w:nsid w:val="1F6C1965"/>
    <w:multiLevelType w:val="multilevel"/>
    <w:tmpl w:val="C94E5C52"/>
    <w:lvl w:ilvl="0">
      <w:start w:val="2"/>
      <w:numFmt w:val="decimal"/>
      <w:lvlText w:val="%1"/>
      <w:lvlJc w:val="left"/>
      <w:pPr>
        <w:ind w:left="1117" w:hanging="548"/>
      </w:pPr>
      <w:rPr>
        <w:rFonts w:hint="default"/>
        <w:lang w:val="en-US" w:eastAsia="en-US" w:bidi="ar-SA"/>
      </w:rPr>
    </w:lvl>
    <w:lvl w:ilvl="1">
      <w:start w:val="2"/>
      <w:numFmt w:val="decimal"/>
      <w:lvlText w:val="%1.%2"/>
      <w:lvlJc w:val="left"/>
      <w:pPr>
        <w:ind w:left="1117" w:hanging="548"/>
      </w:pPr>
      <w:rPr>
        <w:rFonts w:ascii="Arial" w:eastAsia="Arial" w:hAnsi="Arial" w:cs="Arial" w:hint="default"/>
        <w:b/>
        <w:bCs/>
        <w:i w:val="0"/>
        <w:iCs w:val="0"/>
        <w:spacing w:val="0"/>
        <w:w w:val="99"/>
        <w:sz w:val="28"/>
        <w:szCs w:val="28"/>
        <w:lang w:val="en-US" w:eastAsia="en-US" w:bidi="ar-SA"/>
      </w:rPr>
    </w:lvl>
    <w:lvl w:ilvl="2">
      <w:numFmt w:val="bullet"/>
      <w:lvlText w:val="•"/>
      <w:lvlJc w:val="left"/>
      <w:pPr>
        <w:ind w:left="2993" w:hanging="548"/>
      </w:pPr>
      <w:rPr>
        <w:rFonts w:hint="default"/>
        <w:lang w:val="en-US" w:eastAsia="en-US" w:bidi="ar-SA"/>
      </w:rPr>
    </w:lvl>
    <w:lvl w:ilvl="3">
      <w:numFmt w:val="bullet"/>
      <w:lvlText w:val="•"/>
      <w:lvlJc w:val="left"/>
      <w:pPr>
        <w:ind w:left="3930" w:hanging="548"/>
      </w:pPr>
      <w:rPr>
        <w:rFonts w:hint="default"/>
        <w:lang w:val="en-US" w:eastAsia="en-US" w:bidi="ar-SA"/>
      </w:rPr>
    </w:lvl>
    <w:lvl w:ilvl="4">
      <w:numFmt w:val="bullet"/>
      <w:lvlText w:val="•"/>
      <w:lvlJc w:val="left"/>
      <w:pPr>
        <w:ind w:left="4867" w:hanging="548"/>
      </w:pPr>
      <w:rPr>
        <w:rFonts w:hint="default"/>
        <w:lang w:val="en-US" w:eastAsia="en-US" w:bidi="ar-SA"/>
      </w:rPr>
    </w:lvl>
    <w:lvl w:ilvl="5">
      <w:numFmt w:val="bullet"/>
      <w:lvlText w:val="•"/>
      <w:lvlJc w:val="left"/>
      <w:pPr>
        <w:ind w:left="5804" w:hanging="548"/>
      </w:pPr>
      <w:rPr>
        <w:rFonts w:hint="default"/>
        <w:lang w:val="en-US" w:eastAsia="en-US" w:bidi="ar-SA"/>
      </w:rPr>
    </w:lvl>
    <w:lvl w:ilvl="6">
      <w:numFmt w:val="bullet"/>
      <w:lvlText w:val="•"/>
      <w:lvlJc w:val="left"/>
      <w:pPr>
        <w:ind w:left="6741" w:hanging="548"/>
      </w:pPr>
      <w:rPr>
        <w:rFonts w:hint="default"/>
        <w:lang w:val="en-US" w:eastAsia="en-US" w:bidi="ar-SA"/>
      </w:rPr>
    </w:lvl>
    <w:lvl w:ilvl="7">
      <w:numFmt w:val="bullet"/>
      <w:lvlText w:val="•"/>
      <w:lvlJc w:val="left"/>
      <w:pPr>
        <w:ind w:left="7678" w:hanging="548"/>
      </w:pPr>
      <w:rPr>
        <w:rFonts w:hint="default"/>
        <w:lang w:val="en-US" w:eastAsia="en-US" w:bidi="ar-SA"/>
      </w:rPr>
    </w:lvl>
    <w:lvl w:ilvl="8">
      <w:numFmt w:val="bullet"/>
      <w:lvlText w:val="•"/>
      <w:lvlJc w:val="left"/>
      <w:pPr>
        <w:ind w:left="8615" w:hanging="548"/>
      </w:pPr>
      <w:rPr>
        <w:rFonts w:hint="default"/>
        <w:lang w:val="en-US" w:eastAsia="en-US" w:bidi="ar-SA"/>
      </w:rPr>
    </w:lvl>
  </w:abstractNum>
  <w:abstractNum w:abstractNumId="9" w15:restartNumberingAfterBreak="0">
    <w:nsid w:val="21073D50"/>
    <w:multiLevelType w:val="hybridMultilevel"/>
    <w:tmpl w:val="AA0C2D76"/>
    <w:lvl w:ilvl="0" w:tplc="4F70CC16">
      <w:numFmt w:val="bullet"/>
      <w:lvlText w:val="●"/>
      <w:lvlJc w:val="left"/>
      <w:pPr>
        <w:ind w:left="251" w:hanging="171"/>
      </w:pPr>
      <w:rPr>
        <w:rFonts w:ascii="Arial" w:eastAsia="Arial" w:hAnsi="Arial" w:cs="Arial" w:hint="default"/>
        <w:b/>
        <w:bCs/>
        <w:i w:val="0"/>
        <w:iCs w:val="0"/>
        <w:spacing w:val="0"/>
        <w:w w:val="97"/>
        <w:sz w:val="12"/>
        <w:szCs w:val="12"/>
        <w:lang w:val="en-US" w:eastAsia="en-US" w:bidi="ar-SA"/>
      </w:rPr>
    </w:lvl>
    <w:lvl w:ilvl="1" w:tplc="DD0CD16E">
      <w:numFmt w:val="bullet"/>
      <w:lvlText w:val="•"/>
      <w:lvlJc w:val="left"/>
      <w:pPr>
        <w:ind w:left="732" w:hanging="171"/>
      </w:pPr>
      <w:rPr>
        <w:rFonts w:hint="default"/>
        <w:lang w:val="en-US" w:eastAsia="en-US" w:bidi="ar-SA"/>
      </w:rPr>
    </w:lvl>
    <w:lvl w:ilvl="2" w:tplc="0AC229B2">
      <w:numFmt w:val="bullet"/>
      <w:lvlText w:val="•"/>
      <w:lvlJc w:val="left"/>
      <w:pPr>
        <w:ind w:left="1205" w:hanging="171"/>
      </w:pPr>
      <w:rPr>
        <w:rFonts w:hint="default"/>
        <w:lang w:val="en-US" w:eastAsia="en-US" w:bidi="ar-SA"/>
      </w:rPr>
    </w:lvl>
    <w:lvl w:ilvl="3" w:tplc="08C86056">
      <w:numFmt w:val="bullet"/>
      <w:lvlText w:val="•"/>
      <w:lvlJc w:val="left"/>
      <w:pPr>
        <w:ind w:left="1678" w:hanging="171"/>
      </w:pPr>
      <w:rPr>
        <w:rFonts w:hint="default"/>
        <w:lang w:val="en-US" w:eastAsia="en-US" w:bidi="ar-SA"/>
      </w:rPr>
    </w:lvl>
    <w:lvl w:ilvl="4" w:tplc="1DC2E45A">
      <w:numFmt w:val="bullet"/>
      <w:lvlText w:val="•"/>
      <w:lvlJc w:val="left"/>
      <w:pPr>
        <w:ind w:left="2151" w:hanging="171"/>
      </w:pPr>
      <w:rPr>
        <w:rFonts w:hint="default"/>
        <w:lang w:val="en-US" w:eastAsia="en-US" w:bidi="ar-SA"/>
      </w:rPr>
    </w:lvl>
    <w:lvl w:ilvl="5" w:tplc="EC8A0A48">
      <w:numFmt w:val="bullet"/>
      <w:lvlText w:val="•"/>
      <w:lvlJc w:val="left"/>
      <w:pPr>
        <w:ind w:left="2623" w:hanging="171"/>
      </w:pPr>
      <w:rPr>
        <w:rFonts w:hint="default"/>
        <w:lang w:val="en-US" w:eastAsia="en-US" w:bidi="ar-SA"/>
      </w:rPr>
    </w:lvl>
    <w:lvl w:ilvl="6" w:tplc="BC6060E2">
      <w:numFmt w:val="bullet"/>
      <w:lvlText w:val="•"/>
      <w:lvlJc w:val="left"/>
      <w:pPr>
        <w:ind w:left="3096" w:hanging="171"/>
      </w:pPr>
      <w:rPr>
        <w:rFonts w:hint="default"/>
        <w:lang w:val="en-US" w:eastAsia="en-US" w:bidi="ar-SA"/>
      </w:rPr>
    </w:lvl>
    <w:lvl w:ilvl="7" w:tplc="202CA4C8">
      <w:numFmt w:val="bullet"/>
      <w:lvlText w:val="•"/>
      <w:lvlJc w:val="left"/>
      <w:pPr>
        <w:ind w:left="3569" w:hanging="171"/>
      </w:pPr>
      <w:rPr>
        <w:rFonts w:hint="default"/>
        <w:lang w:val="en-US" w:eastAsia="en-US" w:bidi="ar-SA"/>
      </w:rPr>
    </w:lvl>
    <w:lvl w:ilvl="8" w:tplc="0E00671A">
      <w:numFmt w:val="bullet"/>
      <w:lvlText w:val="•"/>
      <w:lvlJc w:val="left"/>
      <w:pPr>
        <w:ind w:left="4042" w:hanging="171"/>
      </w:pPr>
      <w:rPr>
        <w:rFonts w:hint="default"/>
        <w:lang w:val="en-US" w:eastAsia="en-US" w:bidi="ar-SA"/>
      </w:rPr>
    </w:lvl>
  </w:abstractNum>
  <w:abstractNum w:abstractNumId="10" w15:restartNumberingAfterBreak="0">
    <w:nsid w:val="21C427B7"/>
    <w:multiLevelType w:val="hybridMultilevel"/>
    <w:tmpl w:val="9612CB52"/>
    <w:lvl w:ilvl="0" w:tplc="A2F4D738">
      <w:start w:val="1"/>
      <w:numFmt w:val="decimal"/>
      <w:lvlText w:val="%1."/>
      <w:lvlJc w:val="left"/>
      <w:pPr>
        <w:ind w:left="369" w:hanging="227"/>
      </w:pPr>
      <w:rPr>
        <w:rFonts w:ascii="Arial" w:eastAsia="Arial" w:hAnsi="Arial" w:cs="Arial" w:hint="default"/>
        <w:b w:val="0"/>
        <w:bCs w:val="0"/>
        <w:i w:val="0"/>
        <w:iCs w:val="0"/>
        <w:spacing w:val="-7"/>
        <w:w w:val="100"/>
        <w:sz w:val="17"/>
        <w:szCs w:val="17"/>
        <w:lang w:val="en-US" w:eastAsia="en-US" w:bidi="ar-SA"/>
      </w:rPr>
    </w:lvl>
    <w:lvl w:ilvl="1" w:tplc="38F681A2">
      <w:numFmt w:val="bullet"/>
      <w:lvlText w:val="•"/>
      <w:lvlJc w:val="left"/>
      <w:pPr>
        <w:ind w:left="1372" w:hanging="227"/>
      </w:pPr>
      <w:rPr>
        <w:rFonts w:hint="default"/>
        <w:lang w:val="en-US" w:eastAsia="en-US" w:bidi="ar-SA"/>
      </w:rPr>
    </w:lvl>
    <w:lvl w:ilvl="2" w:tplc="C0563268">
      <w:numFmt w:val="bullet"/>
      <w:lvlText w:val="•"/>
      <w:lvlJc w:val="left"/>
      <w:pPr>
        <w:ind w:left="2385" w:hanging="227"/>
      </w:pPr>
      <w:rPr>
        <w:rFonts w:hint="default"/>
        <w:lang w:val="en-US" w:eastAsia="en-US" w:bidi="ar-SA"/>
      </w:rPr>
    </w:lvl>
    <w:lvl w:ilvl="3" w:tplc="214826AE">
      <w:numFmt w:val="bullet"/>
      <w:lvlText w:val="•"/>
      <w:lvlJc w:val="left"/>
      <w:pPr>
        <w:ind w:left="3398" w:hanging="227"/>
      </w:pPr>
      <w:rPr>
        <w:rFonts w:hint="default"/>
        <w:lang w:val="en-US" w:eastAsia="en-US" w:bidi="ar-SA"/>
      </w:rPr>
    </w:lvl>
    <w:lvl w:ilvl="4" w:tplc="4954B250">
      <w:numFmt w:val="bullet"/>
      <w:lvlText w:val="•"/>
      <w:lvlJc w:val="left"/>
      <w:pPr>
        <w:ind w:left="4411" w:hanging="227"/>
      </w:pPr>
      <w:rPr>
        <w:rFonts w:hint="default"/>
        <w:lang w:val="en-US" w:eastAsia="en-US" w:bidi="ar-SA"/>
      </w:rPr>
    </w:lvl>
    <w:lvl w:ilvl="5" w:tplc="3C5611AC">
      <w:numFmt w:val="bullet"/>
      <w:lvlText w:val="•"/>
      <w:lvlJc w:val="left"/>
      <w:pPr>
        <w:ind w:left="5424" w:hanging="227"/>
      </w:pPr>
      <w:rPr>
        <w:rFonts w:hint="default"/>
        <w:lang w:val="en-US" w:eastAsia="en-US" w:bidi="ar-SA"/>
      </w:rPr>
    </w:lvl>
    <w:lvl w:ilvl="6" w:tplc="6FD4ACE0">
      <w:numFmt w:val="bullet"/>
      <w:lvlText w:val="•"/>
      <w:lvlJc w:val="left"/>
      <w:pPr>
        <w:ind w:left="6437" w:hanging="227"/>
      </w:pPr>
      <w:rPr>
        <w:rFonts w:hint="default"/>
        <w:lang w:val="en-US" w:eastAsia="en-US" w:bidi="ar-SA"/>
      </w:rPr>
    </w:lvl>
    <w:lvl w:ilvl="7" w:tplc="9E2C9216">
      <w:numFmt w:val="bullet"/>
      <w:lvlText w:val="•"/>
      <w:lvlJc w:val="left"/>
      <w:pPr>
        <w:ind w:left="7450" w:hanging="227"/>
      </w:pPr>
      <w:rPr>
        <w:rFonts w:hint="default"/>
        <w:lang w:val="en-US" w:eastAsia="en-US" w:bidi="ar-SA"/>
      </w:rPr>
    </w:lvl>
    <w:lvl w:ilvl="8" w:tplc="EF54FC0A">
      <w:numFmt w:val="bullet"/>
      <w:lvlText w:val="•"/>
      <w:lvlJc w:val="left"/>
      <w:pPr>
        <w:ind w:left="8463" w:hanging="227"/>
      </w:pPr>
      <w:rPr>
        <w:rFonts w:hint="default"/>
        <w:lang w:val="en-US" w:eastAsia="en-US" w:bidi="ar-SA"/>
      </w:rPr>
    </w:lvl>
  </w:abstractNum>
  <w:abstractNum w:abstractNumId="11" w15:restartNumberingAfterBreak="0">
    <w:nsid w:val="25586421"/>
    <w:multiLevelType w:val="hybridMultilevel"/>
    <w:tmpl w:val="43A8EE24"/>
    <w:lvl w:ilvl="0" w:tplc="6DF83876">
      <w:numFmt w:val="bullet"/>
      <w:lvlText w:val="●"/>
      <w:lvlJc w:val="left"/>
      <w:pPr>
        <w:ind w:left="251" w:hanging="171"/>
      </w:pPr>
      <w:rPr>
        <w:rFonts w:ascii="Arial" w:eastAsia="Arial" w:hAnsi="Arial" w:cs="Arial" w:hint="default"/>
        <w:b/>
        <w:bCs/>
        <w:i w:val="0"/>
        <w:iCs w:val="0"/>
        <w:spacing w:val="0"/>
        <w:w w:val="97"/>
        <w:sz w:val="12"/>
        <w:szCs w:val="12"/>
        <w:lang w:val="en-US" w:eastAsia="en-US" w:bidi="ar-SA"/>
      </w:rPr>
    </w:lvl>
    <w:lvl w:ilvl="1" w:tplc="5D0E5418">
      <w:numFmt w:val="bullet"/>
      <w:lvlText w:val="•"/>
      <w:lvlJc w:val="left"/>
      <w:pPr>
        <w:ind w:left="732" w:hanging="171"/>
      </w:pPr>
      <w:rPr>
        <w:rFonts w:hint="default"/>
        <w:lang w:val="en-US" w:eastAsia="en-US" w:bidi="ar-SA"/>
      </w:rPr>
    </w:lvl>
    <w:lvl w:ilvl="2" w:tplc="B0FA01A0">
      <w:numFmt w:val="bullet"/>
      <w:lvlText w:val="•"/>
      <w:lvlJc w:val="left"/>
      <w:pPr>
        <w:ind w:left="1205" w:hanging="171"/>
      </w:pPr>
      <w:rPr>
        <w:rFonts w:hint="default"/>
        <w:lang w:val="en-US" w:eastAsia="en-US" w:bidi="ar-SA"/>
      </w:rPr>
    </w:lvl>
    <w:lvl w:ilvl="3" w:tplc="8F4A8BAE">
      <w:numFmt w:val="bullet"/>
      <w:lvlText w:val="•"/>
      <w:lvlJc w:val="left"/>
      <w:pPr>
        <w:ind w:left="1678" w:hanging="171"/>
      </w:pPr>
      <w:rPr>
        <w:rFonts w:hint="default"/>
        <w:lang w:val="en-US" w:eastAsia="en-US" w:bidi="ar-SA"/>
      </w:rPr>
    </w:lvl>
    <w:lvl w:ilvl="4" w:tplc="31969A0A">
      <w:numFmt w:val="bullet"/>
      <w:lvlText w:val="•"/>
      <w:lvlJc w:val="left"/>
      <w:pPr>
        <w:ind w:left="2151" w:hanging="171"/>
      </w:pPr>
      <w:rPr>
        <w:rFonts w:hint="default"/>
        <w:lang w:val="en-US" w:eastAsia="en-US" w:bidi="ar-SA"/>
      </w:rPr>
    </w:lvl>
    <w:lvl w:ilvl="5" w:tplc="EF8A05C2">
      <w:numFmt w:val="bullet"/>
      <w:lvlText w:val="•"/>
      <w:lvlJc w:val="left"/>
      <w:pPr>
        <w:ind w:left="2623" w:hanging="171"/>
      </w:pPr>
      <w:rPr>
        <w:rFonts w:hint="default"/>
        <w:lang w:val="en-US" w:eastAsia="en-US" w:bidi="ar-SA"/>
      </w:rPr>
    </w:lvl>
    <w:lvl w:ilvl="6" w:tplc="5114C990">
      <w:numFmt w:val="bullet"/>
      <w:lvlText w:val="•"/>
      <w:lvlJc w:val="left"/>
      <w:pPr>
        <w:ind w:left="3096" w:hanging="171"/>
      </w:pPr>
      <w:rPr>
        <w:rFonts w:hint="default"/>
        <w:lang w:val="en-US" w:eastAsia="en-US" w:bidi="ar-SA"/>
      </w:rPr>
    </w:lvl>
    <w:lvl w:ilvl="7" w:tplc="301ACB88">
      <w:numFmt w:val="bullet"/>
      <w:lvlText w:val="•"/>
      <w:lvlJc w:val="left"/>
      <w:pPr>
        <w:ind w:left="3569" w:hanging="171"/>
      </w:pPr>
      <w:rPr>
        <w:rFonts w:hint="default"/>
        <w:lang w:val="en-US" w:eastAsia="en-US" w:bidi="ar-SA"/>
      </w:rPr>
    </w:lvl>
    <w:lvl w:ilvl="8" w:tplc="D3947616">
      <w:numFmt w:val="bullet"/>
      <w:lvlText w:val="•"/>
      <w:lvlJc w:val="left"/>
      <w:pPr>
        <w:ind w:left="4042" w:hanging="171"/>
      </w:pPr>
      <w:rPr>
        <w:rFonts w:hint="default"/>
        <w:lang w:val="en-US" w:eastAsia="en-US" w:bidi="ar-SA"/>
      </w:rPr>
    </w:lvl>
  </w:abstractNum>
  <w:abstractNum w:abstractNumId="12" w15:restartNumberingAfterBreak="0">
    <w:nsid w:val="2F2277C9"/>
    <w:multiLevelType w:val="hybridMultilevel"/>
    <w:tmpl w:val="7C9A88B4"/>
    <w:lvl w:ilvl="0" w:tplc="D0362926">
      <w:numFmt w:val="bullet"/>
      <w:lvlText w:val="●"/>
      <w:lvlJc w:val="left"/>
      <w:pPr>
        <w:ind w:left="425" w:hanging="270"/>
      </w:pPr>
      <w:rPr>
        <w:rFonts w:ascii="Arial" w:eastAsia="Arial" w:hAnsi="Arial" w:cs="Arial" w:hint="default"/>
        <w:b/>
        <w:bCs/>
        <w:i w:val="0"/>
        <w:iCs w:val="0"/>
        <w:spacing w:val="0"/>
        <w:w w:val="97"/>
        <w:sz w:val="12"/>
        <w:szCs w:val="12"/>
        <w:lang w:val="en-US" w:eastAsia="en-US" w:bidi="ar-SA"/>
      </w:rPr>
    </w:lvl>
    <w:lvl w:ilvl="1" w:tplc="0B6ED53C">
      <w:numFmt w:val="bullet"/>
      <w:lvlText w:val="•"/>
      <w:lvlJc w:val="left"/>
      <w:pPr>
        <w:ind w:left="1426" w:hanging="270"/>
      </w:pPr>
      <w:rPr>
        <w:rFonts w:hint="default"/>
        <w:lang w:val="en-US" w:eastAsia="en-US" w:bidi="ar-SA"/>
      </w:rPr>
    </w:lvl>
    <w:lvl w:ilvl="2" w:tplc="E4308604">
      <w:numFmt w:val="bullet"/>
      <w:lvlText w:val="•"/>
      <w:lvlJc w:val="left"/>
      <w:pPr>
        <w:ind w:left="2433" w:hanging="270"/>
      </w:pPr>
      <w:rPr>
        <w:rFonts w:hint="default"/>
        <w:lang w:val="en-US" w:eastAsia="en-US" w:bidi="ar-SA"/>
      </w:rPr>
    </w:lvl>
    <w:lvl w:ilvl="3" w:tplc="C55AAA2E">
      <w:numFmt w:val="bullet"/>
      <w:lvlText w:val="•"/>
      <w:lvlJc w:val="left"/>
      <w:pPr>
        <w:ind w:left="3440" w:hanging="270"/>
      </w:pPr>
      <w:rPr>
        <w:rFonts w:hint="default"/>
        <w:lang w:val="en-US" w:eastAsia="en-US" w:bidi="ar-SA"/>
      </w:rPr>
    </w:lvl>
    <w:lvl w:ilvl="4" w:tplc="36025F2C">
      <w:numFmt w:val="bullet"/>
      <w:lvlText w:val="•"/>
      <w:lvlJc w:val="left"/>
      <w:pPr>
        <w:ind w:left="4447" w:hanging="270"/>
      </w:pPr>
      <w:rPr>
        <w:rFonts w:hint="default"/>
        <w:lang w:val="en-US" w:eastAsia="en-US" w:bidi="ar-SA"/>
      </w:rPr>
    </w:lvl>
    <w:lvl w:ilvl="5" w:tplc="9F786A36">
      <w:numFmt w:val="bullet"/>
      <w:lvlText w:val="•"/>
      <w:lvlJc w:val="left"/>
      <w:pPr>
        <w:ind w:left="5454" w:hanging="270"/>
      </w:pPr>
      <w:rPr>
        <w:rFonts w:hint="default"/>
        <w:lang w:val="en-US" w:eastAsia="en-US" w:bidi="ar-SA"/>
      </w:rPr>
    </w:lvl>
    <w:lvl w:ilvl="6" w:tplc="34145766">
      <w:numFmt w:val="bullet"/>
      <w:lvlText w:val="•"/>
      <w:lvlJc w:val="left"/>
      <w:pPr>
        <w:ind w:left="6461" w:hanging="270"/>
      </w:pPr>
      <w:rPr>
        <w:rFonts w:hint="default"/>
        <w:lang w:val="en-US" w:eastAsia="en-US" w:bidi="ar-SA"/>
      </w:rPr>
    </w:lvl>
    <w:lvl w:ilvl="7" w:tplc="6D20E506">
      <w:numFmt w:val="bullet"/>
      <w:lvlText w:val="•"/>
      <w:lvlJc w:val="left"/>
      <w:pPr>
        <w:ind w:left="7468" w:hanging="270"/>
      </w:pPr>
      <w:rPr>
        <w:rFonts w:hint="default"/>
        <w:lang w:val="en-US" w:eastAsia="en-US" w:bidi="ar-SA"/>
      </w:rPr>
    </w:lvl>
    <w:lvl w:ilvl="8" w:tplc="C9A6662C">
      <w:numFmt w:val="bullet"/>
      <w:lvlText w:val="•"/>
      <w:lvlJc w:val="left"/>
      <w:pPr>
        <w:ind w:left="8475" w:hanging="270"/>
      </w:pPr>
      <w:rPr>
        <w:rFonts w:hint="default"/>
        <w:lang w:val="en-US" w:eastAsia="en-US" w:bidi="ar-SA"/>
      </w:rPr>
    </w:lvl>
  </w:abstractNum>
  <w:abstractNum w:abstractNumId="13" w15:restartNumberingAfterBreak="0">
    <w:nsid w:val="2FB034B2"/>
    <w:multiLevelType w:val="hybridMultilevel"/>
    <w:tmpl w:val="7F7C1A32"/>
    <w:lvl w:ilvl="0" w:tplc="6518A914">
      <w:numFmt w:val="bullet"/>
      <w:lvlText w:val="•"/>
      <w:lvlJc w:val="left"/>
      <w:pPr>
        <w:ind w:left="451" w:hanging="171"/>
      </w:pPr>
      <w:rPr>
        <w:rFonts w:ascii="Arial" w:eastAsia="Arial" w:hAnsi="Arial" w:cs="Arial" w:hint="default"/>
        <w:b w:val="0"/>
        <w:bCs w:val="0"/>
        <w:i w:val="0"/>
        <w:iCs w:val="0"/>
        <w:spacing w:val="0"/>
        <w:w w:val="100"/>
        <w:sz w:val="21"/>
        <w:szCs w:val="21"/>
        <w:lang w:val="en-US" w:eastAsia="en-US" w:bidi="ar-SA"/>
      </w:rPr>
    </w:lvl>
    <w:lvl w:ilvl="1" w:tplc="025849B0">
      <w:numFmt w:val="bullet"/>
      <w:lvlText w:val="•"/>
      <w:lvlJc w:val="left"/>
      <w:pPr>
        <w:ind w:left="1430" w:hanging="171"/>
      </w:pPr>
      <w:rPr>
        <w:rFonts w:hint="default"/>
        <w:lang w:val="en-US" w:eastAsia="en-US" w:bidi="ar-SA"/>
      </w:rPr>
    </w:lvl>
    <w:lvl w:ilvl="2" w:tplc="7D3A9EF4">
      <w:numFmt w:val="bullet"/>
      <w:lvlText w:val="•"/>
      <w:lvlJc w:val="left"/>
      <w:pPr>
        <w:ind w:left="2400" w:hanging="171"/>
      </w:pPr>
      <w:rPr>
        <w:rFonts w:hint="default"/>
        <w:lang w:val="en-US" w:eastAsia="en-US" w:bidi="ar-SA"/>
      </w:rPr>
    </w:lvl>
    <w:lvl w:ilvl="3" w:tplc="88E8956E">
      <w:numFmt w:val="bullet"/>
      <w:lvlText w:val="•"/>
      <w:lvlJc w:val="left"/>
      <w:pPr>
        <w:ind w:left="3370" w:hanging="171"/>
      </w:pPr>
      <w:rPr>
        <w:rFonts w:hint="default"/>
        <w:lang w:val="en-US" w:eastAsia="en-US" w:bidi="ar-SA"/>
      </w:rPr>
    </w:lvl>
    <w:lvl w:ilvl="4" w:tplc="0E58AC14">
      <w:numFmt w:val="bullet"/>
      <w:lvlText w:val="•"/>
      <w:lvlJc w:val="left"/>
      <w:pPr>
        <w:ind w:left="4340" w:hanging="171"/>
      </w:pPr>
      <w:rPr>
        <w:rFonts w:hint="default"/>
        <w:lang w:val="en-US" w:eastAsia="en-US" w:bidi="ar-SA"/>
      </w:rPr>
    </w:lvl>
    <w:lvl w:ilvl="5" w:tplc="158294FC">
      <w:numFmt w:val="bullet"/>
      <w:lvlText w:val="•"/>
      <w:lvlJc w:val="left"/>
      <w:pPr>
        <w:ind w:left="5310" w:hanging="171"/>
      </w:pPr>
      <w:rPr>
        <w:rFonts w:hint="default"/>
        <w:lang w:val="en-US" w:eastAsia="en-US" w:bidi="ar-SA"/>
      </w:rPr>
    </w:lvl>
    <w:lvl w:ilvl="6" w:tplc="F1D65AD8">
      <w:numFmt w:val="bullet"/>
      <w:lvlText w:val="•"/>
      <w:lvlJc w:val="left"/>
      <w:pPr>
        <w:ind w:left="6280" w:hanging="171"/>
      </w:pPr>
      <w:rPr>
        <w:rFonts w:hint="default"/>
        <w:lang w:val="en-US" w:eastAsia="en-US" w:bidi="ar-SA"/>
      </w:rPr>
    </w:lvl>
    <w:lvl w:ilvl="7" w:tplc="99049D14">
      <w:numFmt w:val="bullet"/>
      <w:lvlText w:val="•"/>
      <w:lvlJc w:val="left"/>
      <w:pPr>
        <w:ind w:left="7250" w:hanging="171"/>
      </w:pPr>
      <w:rPr>
        <w:rFonts w:hint="default"/>
        <w:lang w:val="en-US" w:eastAsia="en-US" w:bidi="ar-SA"/>
      </w:rPr>
    </w:lvl>
    <w:lvl w:ilvl="8" w:tplc="71346F46">
      <w:numFmt w:val="bullet"/>
      <w:lvlText w:val="•"/>
      <w:lvlJc w:val="left"/>
      <w:pPr>
        <w:ind w:left="8220" w:hanging="171"/>
      </w:pPr>
      <w:rPr>
        <w:rFonts w:hint="default"/>
        <w:lang w:val="en-US" w:eastAsia="en-US" w:bidi="ar-SA"/>
      </w:rPr>
    </w:lvl>
  </w:abstractNum>
  <w:abstractNum w:abstractNumId="14" w15:restartNumberingAfterBreak="0">
    <w:nsid w:val="30F84B6C"/>
    <w:multiLevelType w:val="hybridMultilevel"/>
    <w:tmpl w:val="64C0B2A4"/>
    <w:lvl w:ilvl="0" w:tplc="F1EEC89E">
      <w:numFmt w:val="bullet"/>
      <w:lvlText w:val="●"/>
      <w:lvlJc w:val="left"/>
      <w:pPr>
        <w:ind w:left="251" w:hanging="171"/>
      </w:pPr>
      <w:rPr>
        <w:rFonts w:ascii="Arial" w:eastAsia="Arial" w:hAnsi="Arial" w:cs="Arial" w:hint="default"/>
        <w:b/>
        <w:bCs/>
        <w:i w:val="0"/>
        <w:iCs w:val="0"/>
        <w:spacing w:val="0"/>
        <w:w w:val="97"/>
        <w:sz w:val="12"/>
        <w:szCs w:val="12"/>
        <w:lang w:val="en-US" w:eastAsia="en-US" w:bidi="ar-SA"/>
      </w:rPr>
    </w:lvl>
    <w:lvl w:ilvl="1" w:tplc="E9DE8A58">
      <w:numFmt w:val="bullet"/>
      <w:lvlText w:val="•"/>
      <w:lvlJc w:val="left"/>
      <w:pPr>
        <w:ind w:left="732" w:hanging="171"/>
      </w:pPr>
      <w:rPr>
        <w:rFonts w:hint="default"/>
        <w:lang w:val="en-US" w:eastAsia="en-US" w:bidi="ar-SA"/>
      </w:rPr>
    </w:lvl>
    <w:lvl w:ilvl="2" w:tplc="F4CE43F6">
      <w:numFmt w:val="bullet"/>
      <w:lvlText w:val="•"/>
      <w:lvlJc w:val="left"/>
      <w:pPr>
        <w:ind w:left="1205" w:hanging="171"/>
      </w:pPr>
      <w:rPr>
        <w:rFonts w:hint="default"/>
        <w:lang w:val="en-US" w:eastAsia="en-US" w:bidi="ar-SA"/>
      </w:rPr>
    </w:lvl>
    <w:lvl w:ilvl="3" w:tplc="BD840986">
      <w:numFmt w:val="bullet"/>
      <w:lvlText w:val="•"/>
      <w:lvlJc w:val="left"/>
      <w:pPr>
        <w:ind w:left="1678" w:hanging="171"/>
      </w:pPr>
      <w:rPr>
        <w:rFonts w:hint="default"/>
        <w:lang w:val="en-US" w:eastAsia="en-US" w:bidi="ar-SA"/>
      </w:rPr>
    </w:lvl>
    <w:lvl w:ilvl="4" w:tplc="BB5086EE">
      <w:numFmt w:val="bullet"/>
      <w:lvlText w:val="•"/>
      <w:lvlJc w:val="left"/>
      <w:pPr>
        <w:ind w:left="2151" w:hanging="171"/>
      </w:pPr>
      <w:rPr>
        <w:rFonts w:hint="default"/>
        <w:lang w:val="en-US" w:eastAsia="en-US" w:bidi="ar-SA"/>
      </w:rPr>
    </w:lvl>
    <w:lvl w:ilvl="5" w:tplc="F6220DE8">
      <w:numFmt w:val="bullet"/>
      <w:lvlText w:val="•"/>
      <w:lvlJc w:val="left"/>
      <w:pPr>
        <w:ind w:left="2623" w:hanging="171"/>
      </w:pPr>
      <w:rPr>
        <w:rFonts w:hint="default"/>
        <w:lang w:val="en-US" w:eastAsia="en-US" w:bidi="ar-SA"/>
      </w:rPr>
    </w:lvl>
    <w:lvl w:ilvl="6" w:tplc="F878C5DE">
      <w:numFmt w:val="bullet"/>
      <w:lvlText w:val="•"/>
      <w:lvlJc w:val="left"/>
      <w:pPr>
        <w:ind w:left="3096" w:hanging="171"/>
      </w:pPr>
      <w:rPr>
        <w:rFonts w:hint="default"/>
        <w:lang w:val="en-US" w:eastAsia="en-US" w:bidi="ar-SA"/>
      </w:rPr>
    </w:lvl>
    <w:lvl w:ilvl="7" w:tplc="72C66EA6">
      <w:numFmt w:val="bullet"/>
      <w:lvlText w:val="•"/>
      <w:lvlJc w:val="left"/>
      <w:pPr>
        <w:ind w:left="3569" w:hanging="171"/>
      </w:pPr>
      <w:rPr>
        <w:rFonts w:hint="default"/>
        <w:lang w:val="en-US" w:eastAsia="en-US" w:bidi="ar-SA"/>
      </w:rPr>
    </w:lvl>
    <w:lvl w:ilvl="8" w:tplc="636447CC">
      <w:numFmt w:val="bullet"/>
      <w:lvlText w:val="•"/>
      <w:lvlJc w:val="left"/>
      <w:pPr>
        <w:ind w:left="4042" w:hanging="171"/>
      </w:pPr>
      <w:rPr>
        <w:rFonts w:hint="default"/>
        <w:lang w:val="en-US" w:eastAsia="en-US" w:bidi="ar-SA"/>
      </w:rPr>
    </w:lvl>
  </w:abstractNum>
  <w:abstractNum w:abstractNumId="15" w15:restartNumberingAfterBreak="0">
    <w:nsid w:val="349F010F"/>
    <w:multiLevelType w:val="hybridMultilevel"/>
    <w:tmpl w:val="A56EFF7C"/>
    <w:lvl w:ilvl="0" w:tplc="E3164F96">
      <w:numFmt w:val="bullet"/>
      <w:lvlText w:val="●"/>
      <w:lvlJc w:val="left"/>
      <w:pPr>
        <w:ind w:left="440" w:hanging="270"/>
      </w:pPr>
      <w:rPr>
        <w:rFonts w:ascii="Arial" w:eastAsia="Arial" w:hAnsi="Arial" w:cs="Arial" w:hint="default"/>
        <w:b/>
        <w:bCs/>
        <w:i w:val="0"/>
        <w:iCs w:val="0"/>
        <w:spacing w:val="0"/>
        <w:w w:val="97"/>
        <w:sz w:val="12"/>
        <w:szCs w:val="12"/>
        <w:lang w:val="en-US" w:eastAsia="en-US" w:bidi="ar-SA"/>
      </w:rPr>
    </w:lvl>
    <w:lvl w:ilvl="1" w:tplc="913AC19E">
      <w:numFmt w:val="bullet"/>
      <w:lvlText w:val="•"/>
      <w:lvlJc w:val="left"/>
      <w:pPr>
        <w:ind w:left="1444" w:hanging="270"/>
      </w:pPr>
      <w:rPr>
        <w:rFonts w:hint="default"/>
        <w:lang w:val="en-US" w:eastAsia="en-US" w:bidi="ar-SA"/>
      </w:rPr>
    </w:lvl>
    <w:lvl w:ilvl="2" w:tplc="513038E0">
      <w:numFmt w:val="bullet"/>
      <w:lvlText w:val="•"/>
      <w:lvlJc w:val="left"/>
      <w:pPr>
        <w:ind w:left="2449" w:hanging="270"/>
      </w:pPr>
      <w:rPr>
        <w:rFonts w:hint="default"/>
        <w:lang w:val="en-US" w:eastAsia="en-US" w:bidi="ar-SA"/>
      </w:rPr>
    </w:lvl>
    <w:lvl w:ilvl="3" w:tplc="6E30BE24">
      <w:numFmt w:val="bullet"/>
      <w:lvlText w:val="•"/>
      <w:lvlJc w:val="left"/>
      <w:pPr>
        <w:ind w:left="3454" w:hanging="270"/>
      </w:pPr>
      <w:rPr>
        <w:rFonts w:hint="default"/>
        <w:lang w:val="en-US" w:eastAsia="en-US" w:bidi="ar-SA"/>
      </w:rPr>
    </w:lvl>
    <w:lvl w:ilvl="4" w:tplc="1716E8DA">
      <w:numFmt w:val="bullet"/>
      <w:lvlText w:val="•"/>
      <w:lvlJc w:val="left"/>
      <w:pPr>
        <w:ind w:left="4459" w:hanging="270"/>
      </w:pPr>
      <w:rPr>
        <w:rFonts w:hint="default"/>
        <w:lang w:val="en-US" w:eastAsia="en-US" w:bidi="ar-SA"/>
      </w:rPr>
    </w:lvl>
    <w:lvl w:ilvl="5" w:tplc="B948B1FC">
      <w:numFmt w:val="bullet"/>
      <w:lvlText w:val="•"/>
      <w:lvlJc w:val="left"/>
      <w:pPr>
        <w:ind w:left="5464" w:hanging="270"/>
      </w:pPr>
      <w:rPr>
        <w:rFonts w:hint="default"/>
        <w:lang w:val="en-US" w:eastAsia="en-US" w:bidi="ar-SA"/>
      </w:rPr>
    </w:lvl>
    <w:lvl w:ilvl="6" w:tplc="7D64043C">
      <w:numFmt w:val="bullet"/>
      <w:lvlText w:val="•"/>
      <w:lvlJc w:val="left"/>
      <w:pPr>
        <w:ind w:left="6469" w:hanging="270"/>
      </w:pPr>
      <w:rPr>
        <w:rFonts w:hint="default"/>
        <w:lang w:val="en-US" w:eastAsia="en-US" w:bidi="ar-SA"/>
      </w:rPr>
    </w:lvl>
    <w:lvl w:ilvl="7" w:tplc="C14ABBA4">
      <w:numFmt w:val="bullet"/>
      <w:lvlText w:val="•"/>
      <w:lvlJc w:val="left"/>
      <w:pPr>
        <w:ind w:left="7474" w:hanging="270"/>
      </w:pPr>
      <w:rPr>
        <w:rFonts w:hint="default"/>
        <w:lang w:val="en-US" w:eastAsia="en-US" w:bidi="ar-SA"/>
      </w:rPr>
    </w:lvl>
    <w:lvl w:ilvl="8" w:tplc="1224523A">
      <w:numFmt w:val="bullet"/>
      <w:lvlText w:val="•"/>
      <w:lvlJc w:val="left"/>
      <w:pPr>
        <w:ind w:left="8479" w:hanging="270"/>
      </w:pPr>
      <w:rPr>
        <w:rFonts w:hint="default"/>
        <w:lang w:val="en-US" w:eastAsia="en-US" w:bidi="ar-SA"/>
      </w:rPr>
    </w:lvl>
  </w:abstractNum>
  <w:abstractNum w:abstractNumId="16" w15:restartNumberingAfterBreak="0">
    <w:nsid w:val="3A3A71D2"/>
    <w:multiLevelType w:val="hybridMultilevel"/>
    <w:tmpl w:val="CC0A3DC8"/>
    <w:lvl w:ilvl="0" w:tplc="AE4C14D2">
      <w:numFmt w:val="bullet"/>
      <w:lvlText w:val="●"/>
      <w:lvlJc w:val="left"/>
      <w:pPr>
        <w:ind w:left="252" w:hanging="171"/>
      </w:pPr>
      <w:rPr>
        <w:rFonts w:ascii="Arial" w:eastAsia="Arial" w:hAnsi="Arial" w:cs="Arial" w:hint="default"/>
        <w:b/>
        <w:bCs/>
        <w:i w:val="0"/>
        <w:iCs w:val="0"/>
        <w:spacing w:val="0"/>
        <w:w w:val="97"/>
        <w:sz w:val="12"/>
        <w:szCs w:val="12"/>
        <w:lang w:val="en-US" w:eastAsia="en-US" w:bidi="ar-SA"/>
      </w:rPr>
    </w:lvl>
    <w:lvl w:ilvl="1" w:tplc="1F1E410A">
      <w:numFmt w:val="bullet"/>
      <w:lvlText w:val="•"/>
      <w:lvlJc w:val="left"/>
      <w:pPr>
        <w:ind w:left="488" w:hanging="171"/>
      </w:pPr>
      <w:rPr>
        <w:rFonts w:hint="default"/>
        <w:lang w:val="en-US" w:eastAsia="en-US" w:bidi="ar-SA"/>
      </w:rPr>
    </w:lvl>
    <w:lvl w:ilvl="2" w:tplc="8DEC28FC">
      <w:numFmt w:val="bullet"/>
      <w:lvlText w:val="•"/>
      <w:lvlJc w:val="left"/>
      <w:pPr>
        <w:ind w:left="717" w:hanging="171"/>
      </w:pPr>
      <w:rPr>
        <w:rFonts w:hint="default"/>
        <w:lang w:val="en-US" w:eastAsia="en-US" w:bidi="ar-SA"/>
      </w:rPr>
    </w:lvl>
    <w:lvl w:ilvl="3" w:tplc="96B2AF5C">
      <w:numFmt w:val="bullet"/>
      <w:lvlText w:val="•"/>
      <w:lvlJc w:val="left"/>
      <w:pPr>
        <w:ind w:left="946" w:hanging="171"/>
      </w:pPr>
      <w:rPr>
        <w:rFonts w:hint="default"/>
        <w:lang w:val="en-US" w:eastAsia="en-US" w:bidi="ar-SA"/>
      </w:rPr>
    </w:lvl>
    <w:lvl w:ilvl="4" w:tplc="10366C28">
      <w:numFmt w:val="bullet"/>
      <w:lvlText w:val="•"/>
      <w:lvlJc w:val="left"/>
      <w:pPr>
        <w:ind w:left="1174" w:hanging="171"/>
      </w:pPr>
      <w:rPr>
        <w:rFonts w:hint="default"/>
        <w:lang w:val="en-US" w:eastAsia="en-US" w:bidi="ar-SA"/>
      </w:rPr>
    </w:lvl>
    <w:lvl w:ilvl="5" w:tplc="DCD801E2">
      <w:numFmt w:val="bullet"/>
      <w:lvlText w:val="•"/>
      <w:lvlJc w:val="left"/>
      <w:pPr>
        <w:ind w:left="1403" w:hanging="171"/>
      </w:pPr>
      <w:rPr>
        <w:rFonts w:hint="default"/>
        <w:lang w:val="en-US" w:eastAsia="en-US" w:bidi="ar-SA"/>
      </w:rPr>
    </w:lvl>
    <w:lvl w:ilvl="6" w:tplc="7666AF60">
      <w:numFmt w:val="bullet"/>
      <w:lvlText w:val="•"/>
      <w:lvlJc w:val="left"/>
      <w:pPr>
        <w:ind w:left="1632" w:hanging="171"/>
      </w:pPr>
      <w:rPr>
        <w:rFonts w:hint="default"/>
        <w:lang w:val="en-US" w:eastAsia="en-US" w:bidi="ar-SA"/>
      </w:rPr>
    </w:lvl>
    <w:lvl w:ilvl="7" w:tplc="63B44582">
      <w:numFmt w:val="bullet"/>
      <w:lvlText w:val="•"/>
      <w:lvlJc w:val="left"/>
      <w:pPr>
        <w:ind w:left="1860" w:hanging="171"/>
      </w:pPr>
      <w:rPr>
        <w:rFonts w:hint="default"/>
        <w:lang w:val="en-US" w:eastAsia="en-US" w:bidi="ar-SA"/>
      </w:rPr>
    </w:lvl>
    <w:lvl w:ilvl="8" w:tplc="FD0C657A">
      <w:numFmt w:val="bullet"/>
      <w:lvlText w:val="•"/>
      <w:lvlJc w:val="left"/>
      <w:pPr>
        <w:ind w:left="2089" w:hanging="171"/>
      </w:pPr>
      <w:rPr>
        <w:rFonts w:hint="default"/>
        <w:lang w:val="en-US" w:eastAsia="en-US" w:bidi="ar-SA"/>
      </w:rPr>
    </w:lvl>
  </w:abstractNum>
  <w:abstractNum w:abstractNumId="17" w15:restartNumberingAfterBreak="0">
    <w:nsid w:val="3C6C4918"/>
    <w:multiLevelType w:val="hybridMultilevel"/>
    <w:tmpl w:val="CBBCA2DE"/>
    <w:lvl w:ilvl="0" w:tplc="BB1EEFFE">
      <w:numFmt w:val="bullet"/>
      <w:lvlText w:val="●"/>
      <w:lvlJc w:val="left"/>
      <w:pPr>
        <w:ind w:left="251" w:hanging="171"/>
      </w:pPr>
      <w:rPr>
        <w:rFonts w:ascii="Arial" w:eastAsia="Arial" w:hAnsi="Arial" w:cs="Arial" w:hint="default"/>
        <w:b/>
        <w:bCs/>
        <w:i w:val="0"/>
        <w:iCs w:val="0"/>
        <w:spacing w:val="0"/>
        <w:w w:val="97"/>
        <w:sz w:val="12"/>
        <w:szCs w:val="12"/>
        <w:lang w:val="en-US" w:eastAsia="en-US" w:bidi="ar-SA"/>
      </w:rPr>
    </w:lvl>
    <w:lvl w:ilvl="1" w:tplc="74685DDC">
      <w:numFmt w:val="bullet"/>
      <w:lvlText w:val="•"/>
      <w:lvlJc w:val="left"/>
      <w:pPr>
        <w:ind w:left="732" w:hanging="171"/>
      </w:pPr>
      <w:rPr>
        <w:rFonts w:hint="default"/>
        <w:lang w:val="en-US" w:eastAsia="en-US" w:bidi="ar-SA"/>
      </w:rPr>
    </w:lvl>
    <w:lvl w:ilvl="2" w:tplc="246A79C2">
      <w:numFmt w:val="bullet"/>
      <w:lvlText w:val="•"/>
      <w:lvlJc w:val="left"/>
      <w:pPr>
        <w:ind w:left="1205" w:hanging="171"/>
      </w:pPr>
      <w:rPr>
        <w:rFonts w:hint="default"/>
        <w:lang w:val="en-US" w:eastAsia="en-US" w:bidi="ar-SA"/>
      </w:rPr>
    </w:lvl>
    <w:lvl w:ilvl="3" w:tplc="74C65F96">
      <w:numFmt w:val="bullet"/>
      <w:lvlText w:val="•"/>
      <w:lvlJc w:val="left"/>
      <w:pPr>
        <w:ind w:left="1678" w:hanging="171"/>
      </w:pPr>
      <w:rPr>
        <w:rFonts w:hint="default"/>
        <w:lang w:val="en-US" w:eastAsia="en-US" w:bidi="ar-SA"/>
      </w:rPr>
    </w:lvl>
    <w:lvl w:ilvl="4" w:tplc="8564F1C6">
      <w:numFmt w:val="bullet"/>
      <w:lvlText w:val="•"/>
      <w:lvlJc w:val="left"/>
      <w:pPr>
        <w:ind w:left="2151" w:hanging="171"/>
      </w:pPr>
      <w:rPr>
        <w:rFonts w:hint="default"/>
        <w:lang w:val="en-US" w:eastAsia="en-US" w:bidi="ar-SA"/>
      </w:rPr>
    </w:lvl>
    <w:lvl w:ilvl="5" w:tplc="D56ABAF4">
      <w:numFmt w:val="bullet"/>
      <w:lvlText w:val="•"/>
      <w:lvlJc w:val="left"/>
      <w:pPr>
        <w:ind w:left="2623" w:hanging="171"/>
      </w:pPr>
      <w:rPr>
        <w:rFonts w:hint="default"/>
        <w:lang w:val="en-US" w:eastAsia="en-US" w:bidi="ar-SA"/>
      </w:rPr>
    </w:lvl>
    <w:lvl w:ilvl="6" w:tplc="AD1CB394">
      <w:numFmt w:val="bullet"/>
      <w:lvlText w:val="•"/>
      <w:lvlJc w:val="left"/>
      <w:pPr>
        <w:ind w:left="3096" w:hanging="171"/>
      </w:pPr>
      <w:rPr>
        <w:rFonts w:hint="default"/>
        <w:lang w:val="en-US" w:eastAsia="en-US" w:bidi="ar-SA"/>
      </w:rPr>
    </w:lvl>
    <w:lvl w:ilvl="7" w:tplc="E8E8B4B0">
      <w:numFmt w:val="bullet"/>
      <w:lvlText w:val="•"/>
      <w:lvlJc w:val="left"/>
      <w:pPr>
        <w:ind w:left="3569" w:hanging="171"/>
      </w:pPr>
      <w:rPr>
        <w:rFonts w:hint="default"/>
        <w:lang w:val="en-US" w:eastAsia="en-US" w:bidi="ar-SA"/>
      </w:rPr>
    </w:lvl>
    <w:lvl w:ilvl="8" w:tplc="41B2A356">
      <w:numFmt w:val="bullet"/>
      <w:lvlText w:val="•"/>
      <w:lvlJc w:val="left"/>
      <w:pPr>
        <w:ind w:left="4042" w:hanging="171"/>
      </w:pPr>
      <w:rPr>
        <w:rFonts w:hint="default"/>
        <w:lang w:val="en-US" w:eastAsia="en-US" w:bidi="ar-SA"/>
      </w:rPr>
    </w:lvl>
  </w:abstractNum>
  <w:abstractNum w:abstractNumId="18" w15:restartNumberingAfterBreak="0">
    <w:nsid w:val="3D994C0F"/>
    <w:multiLevelType w:val="hybridMultilevel"/>
    <w:tmpl w:val="310620D8"/>
    <w:lvl w:ilvl="0" w:tplc="6DDAB752">
      <w:numFmt w:val="bullet"/>
      <w:lvlText w:val="●"/>
      <w:lvlJc w:val="left"/>
      <w:pPr>
        <w:ind w:left="564" w:hanging="270"/>
      </w:pPr>
      <w:rPr>
        <w:rFonts w:ascii="Arial" w:eastAsia="Arial" w:hAnsi="Arial" w:cs="Arial" w:hint="default"/>
        <w:b/>
        <w:bCs/>
        <w:i w:val="0"/>
        <w:iCs w:val="0"/>
        <w:spacing w:val="0"/>
        <w:w w:val="100"/>
        <w:sz w:val="21"/>
        <w:szCs w:val="21"/>
        <w:lang w:val="en-US" w:eastAsia="en-US" w:bidi="ar-SA"/>
      </w:rPr>
    </w:lvl>
    <w:lvl w:ilvl="1" w:tplc="76F86A18">
      <w:numFmt w:val="bullet"/>
      <w:lvlText w:val="•"/>
      <w:lvlJc w:val="left"/>
      <w:pPr>
        <w:ind w:left="1520" w:hanging="270"/>
      </w:pPr>
      <w:rPr>
        <w:rFonts w:hint="default"/>
        <w:lang w:val="en-US" w:eastAsia="en-US" w:bidi="ar-SA"/>
      </w:rPr>
    </w:lvl>
    <w:lvl w:ilvl="2" w:tplc="769EF2F8">
      <w:numFmt w:val="bullet"/>
      <w:lvlText w:val="•"/>
      <w:lvlJc w:val="left"/>
      <w:pPr>
        <w:ind w:left="2480" w:hanging="270"/>
      </w:pPr>
      <w:rPr>
        <w:rFonts w:hint="default"/>
        <w:lang w:val="en-US" w:eastAsia="en-US" w:bidi="ar-SA"/>
      </w:rPr>
    </w:lvl>
    <w:lvl w:ilvl="3" w:tplc="97A63402">
      <w:numFmt w:val="bullet"/>
      <w:lvlText w:val="•"/>
      <w:lvlJc w:val="left"/>
      <w:pPr>
        <w:ind w:left="3440" w:hanging="270"/>
      </w:pPr>
      <w:rPr>
        <w:rFonts w:hint="default"/>
        <w:lang w:val="en-US" w:eastAsia="en-US" w:bidi="ar-SA"/>
      </w:rPr>
    </w:lvl>
    <w:lvl w:ilvl="4" w:tplc="77E864D6">
      <w:numFmt w:val="bullet"/>
      <w:lvlText w:val="•"/>
      <w:lvlJc w:val="left"/>
      <w:pPr>
        <w:ind w:left="4400" w:hanging="270"/>
      </w:pPr>
      <w:rPr>
        <w:rFonts w:hint="default"/>
        <w:lang w:val="en-US" w:eastAsia="en-US" w:bidi="ar-SA"/>
      </w:rPr>
    </w:lvl>
    <w:lvl w:ilvl="5" w:tplc="CD4A16EA">
      <w:numFmt w:val="bullet"/>
      <w:lvlText w:val="•"/>
      <w:lvlJc w:val="left"/>
      <w:pPr>
        <w:ind w:left="5360" w:hanging="270"/>
      </w:pPr>
      <w:rPr>
        <w:rFonts w:hint="default"/>
        <w:lang w:val="en-US" w:eastAsia="en-US" w:bidi="ar-SA"/>
      </w:rPr>
    </w:lvl>
    <w:lvl w:ilvl="6" w:tplc="85C65EF6">
      <w:numFmt w:val="bullet"/>
      <w:lvlText w:val="•"/>
      <w:lvlJc w:val="left"/>
      <w:pPr>
        <w:ind w:left="6320" w:hanging="270"/>
      </w:pPr>
      <w:rPr>
        <w:rFonts w:hint="default"/>
        <w:lang w:val="en-US" w:eastAsia="en-US" w:bidi="ar-SA"/>
      </w:rPr>
    </w:lvl>
    <w:lvl w:ilvl="7" w:tplc="947A9280">
      <w:numFmt w:val="bullet"/>
      <w:lvlText w:val="•"/>
      <w:lvlJc w:val="left"/>
      <w:pPr>
        <w:ind w:left="7280" w:hanging="270"/>
      </w:pPr>
      <w:rPr>
        <w:rFonts w:hint="default"/>
        <w:lang w:val="en-US" w:eastAsia="en-US" w:bidi="ar-SA"/>
      </w:rPr>
    </w:lvl>
    <w:lvl w:ilvl="8" w:tplc="C074971C">
      <w:numFmt w:val="bullet"/>
      <w:lvlText w:val="•"/>
      <w:lvlJc w:val="left"/>
      <w:pPr>
        <w:ind w:left="8240" w:hanging="270"/>
      </w:pPr>
      <w:rPr>
        <w:rFonts w:hint="default"/>
        <w:lang w:val="en-US" w:eastAsia="en-US" w:bidi="ar-SA"/>
      </w:rPr>
    </w:lvl>
  </w:abstractNum>
  <w:abstractNum w:abstractNumId="19" w15:restartNumberingAfterBreak="0">
    <w:nsid w:val="3E8A6DD6"/>
    <w:multiLevelType w:val="hybridMultilevel"/>
    <w:tmpl w:val="F7F887B4"/>
    <w:lvl w:ilvl="0" w:tplc="6F5C91CE">
      <w:numFmt w:val="bullet"/>
      <w:lvlText w:val="•"/>
      <w:lvlJc w:val="left"/>
      <w:pPr>
        <w:ind w:left="3306" w:hanging="357"/>
      </w:pPr>
      <w:rPr>
        <w:rFonts w:ascii="Arial" w:eastAsia="Arial" w:hAnsi="Arial" w:cs="Arial" w:hint="default"/>
        <w:b w:val="0"/>
        <w:bCs w:val="0"/>
        <w:i w:val="0"/>
        <w:iCs w:val="0"/>
        <w:spacing w:val="0"/>
        <w:w w:val="131"/>
        <w:sz w:val="18"/>
        <w:szCs w:val="18"/>
        <w:lang w:val="en-US" w:eastAsia="en-US" w:bidi="ar-SA"/>
      </w:rPr>
    </w:lvl>
    <w:lvl w:ilvl="1" w:tplc="F22E9200">
      <w:numFmt w:val="bullet"/>
      <w:lvlText w:val="•"/>
      <w:lvlJc w:val="left"/>
      <w:pPr>
        <w:ind w:left="4018" w:hanging="357"/>
      </w:pPr>
      <w:rPr>
        <w:rFonts w:hint="default"/>
        <w:lang w:val="en-US" w:eastAsia="en-US" w:bidi="ar-SA"/>
      </w:rPr>
    </w:lvl>
    <w:lvl w:ilvl="2" w:tplc="ACB2DA22">
      <w:numFmt w:val="bullet"/>
      <w:lvlText w:val="•"/>
      <w:lvlJc w:val="left"/>
      <w:pPr>
        <w:ind w:left="4737" w:hanging="357"/>
      </w:pPr>
      <w:rPr>
        <w:rFonts w:hint="default"/>
        <w:lang w:val="en-US" w:eastAsia="en-US" w:bidi="ar-SA"/>
      </w:rPr>
    </w:lvl>
    <w:lvl w:ilvl="3" w:tplc="CD605086">
      <w:numFmt w:val="bullet"/>
      <w:lvlText w:val="•"/>
      <w:lvlJc w:val="left"/>
      <w:pPr>
        <w:ind w:left="5456" w:hanging="357"/>
      </w:pPr>
      <w:rPr>
        <w:rFonts w:hint="default"/>
        <w:lang w:val="en-US" w:eastAsia="en-US" w:bidi="ar-SA"/>
      </w:rPr>
    </w:lvl>
    <w:lvl w:ilvl="4" w:tplc="BEFC3C44">
      <w:numFmt w:val="bullet"/>
      <w:lvlText w:val="•"/>
      <w:lvlJc w:val="left"/>
      <w:pPr>
        <w:ind w:left="6175" w:hanging="357"/>
      </w:pPr>
      <w:rPr>
        <w:rFonts w:hint="default"/>
        <w:lang w:val="en-US" w:eastAsia="en-US" w:bidi="ar-SA"/>
      </w:rPr>
    </w:lvl>
    <w:lvl w:ilvl="5" w:tplc="8026D168">
      <w:numFmt w:val="bullet"/>
      <w:lvlText w:val="•"/>
      <w:lvlJc w:val="left"/>
      <w:pPr>
        <w:ind w:left="6894" w:hanging="357"/>
      </w:pPr>
      <w:rPr>
        <w:rFonts w:hint="default"/>
        <w:lang w:val="en-US" w:eastAsia="en-US" w:bidi="ar-SA"/>
      </w:rPr>
    </w:lvl>
    <w:lvl w:ilvl="6" w:tplc="06704212">
      <w:numFmt w:val="bullet"/>
      <w:lvlText w:val="•"/>
      <w:lvlJc w:val="left"/>
      <w:pPr>
        <w:ind w:left="7613" w:hanging="357"/>
      </w:pPr>
      <w:rPr>
        <w:rFonts w:hint="default"/>
        <w:lang w:val="en-US" w:eastAsia="en-US" w:bidi="ar-SA"/>
      </w:rPr>
    </w:lvl>
    <w:lvl w:ilvl="7" w:tplc="3376C6C2">
      <w:numFmt w:val="bullet"/>
      <w:lvlText w:val="•"/>
      <w:lvlJc w:val="left"/>
      <w:pPr>
        <w:ind w:left="8332" w:hanging="357"/>
      </w:pPr>
      <w:rPr>
        <w:rFonts w:hint="default"/>
        <w:lang w:val="en-US" w:eastAsia="en-US" w:bidi="ar-SA"/>
      </w:rPr>
    </w:lvl>
    <w:lvl w:ilvl="8" w:tplc="78D862B2">
      <w:numFmt w:val="bullet"/>
      <w:lvlText w:val="•"/>
      <w:lvlJc w:val="left"/>
      <w:pPr>
        <w:ind w:left="9051" w:hanging="357"/>
      </w:pPr>
      <w:rPr>
        <w:rFonts w:hint="default"/>
        <w:lang w:val="en-US" w:eastAsia="en-US" w:bidi="ar-SA"/>
      </w:rPr>
    </w:lvl>
  </w:abstractNum>
  <w:abstractNum w:abstractNumId="20" w15:restartNumberingAfterBreak="0">
    <w:nsid w:val="421F5672"/>
    <w:multiLevelType w:val="hybridMultilevel"/>
    <w:tmpl w:val="3FCE0CAE"/>
    <w:lvl w:ilvl="0" w:tplc="AB0698A0">
      <w:numFmt w:val="bullet"/>
      <w:lvlText w:val="–"/>
      <w:lvlJc w:val="left"/>
      <w:pPr>
        <w:ind w:left="652" w:hanging="227"/>
      </w:pPr>
      <w:rPr>
        <w:rFonts w:ascii="Arial" w:eastAsia="Arial" w:hAnsi="Arial" w:cs="Arial" w:hint="default"/>
        <w:b w:val="0"/>
        <w:bCs w:val="0"/>
        <w:i w:val="0"/>
        <w:iCs w:val="0"/>
        <w:spacing w:val="0"/>
        <w:w w:val="100"/>
        <w:sz w:val="21"/>
        <w:szCs w:val="21"/>
        <w:lang w:val="en-US" w:eastAsia="en-US" w:bidi="ar-SA"/>
      </w:rPr>
    </w:lvl>
    <w:lvl w:ilvl="1" w:tplc="9CCE1FEA">
      <w:numFmt w:val="bullet"/>
      <w:lvlText w:val="•"/>
      <w:lvlJc w:val="left"/>
      <w:pPr>
        <w:ind w:left="1642" w:hanging="227"/>
      </w:pPr>
      <w:rPr>
        <w:rFonts w:hint="default"/>
        <w:lang w:val="en-US" w:eastAsia="en-US" w:bidi="ar-SA"/>
      </w:rPr>
    </w:lvl>
    <w:lvl w:ilvl="2" w:tplc="95D47630">
      <w:numFmt w:val="bullet"/>
      <w:lvlText w:val="•"/>
      <w:lvlJc w:val="left"/>
      <w:pPr>
        <w:ind w:left="2625" w:hanging="227"/>
      </w:pPr>
      <w:rPr>
        <w:rFonts w:hint="default"/>
        <w:lang w:val="en-US" w:eastAsia="en-US" w:bidi="ar-SA"/>
      </w:rPr>
    </w:lvl>
    <w:lvl w:ilvl="3" w:tplc="8FD8F622">
      <w:numFmt w:val="bullet"/>
      <w:lvlText w:val="•"/>
      <w:lvlJc w:val="left"/>
      <w:pPr>
        <w:ind w:left="3608" w:hanging="227"/>
      </w:pPr>
      <w:rPr>
        <w:rFonts w:hint="default"/>
        <w:lang w:val="en-US" w:eastAsia="en-US" w:bidi="ar-SA"/>
      </w:rPr>
    </w:lvl>
    <w:lvl w:ilvl="4" w:tplc="10E4494E">
      <w:numFmt w:val="bullet"/>
      <w:lvlText w:val="•"/>
      <w:lvlJc w:val="left"/>
      <w:pPr>
        <w:ind w:left="4591" w:hanging="227"/>
      </w:pPr>
      <w:rPr>
        <w:rFonts w:hint="default"/>
        <w:lang w:val="en-US" w:eastAsia="en-US" w:bidi="ar-SA"/>
      </w:rPr>
    </w:lvl>
    <w:lvl w:ilvl="5" w:tplc="95243490">
      <w:numFmt w:val="bullet"/>
      <w:lvlText w:val="•"/>
      <w:lvlJc w:val="left"/>
      <w:pPr>
        <w:ind w:left="5574" w:hanging="227"/>
      </w:pPr>
      <w:rPr>
        <w:rFonts w:hint="default"/>
        <w:lang w:val="en-US" w:eastAsia="en-US" w:bidi="ar-SA"/>
      </w:rPr>
    </w:lvl>
    <w:lvl w:ilvl="6" w:tplc="07EC443C">
      <w:numFmt w:val="bullet"/>
      <w:lvlText w:val="•"/>
      <w:lvlJc w:val="left"/>
      <w:pPr>
        <w:ind w:left="6557" w:hanging="227"/>
      </w:pPr>
      <w:rPr>
        <w:rFonts w:hint="default"/>
        <w:lang w:val="en-US" w:eastAsia="en-US" w:bidi="ar-SA"/>
      </w:rPr>
    </w:lvl>
    <w:lvl w:ilvl="7" w:tplc="07FC8898">
      <w:numFmt w:val="bullet"/>
      <w:lvlText w:val="•"/>
      <w:lvlJc w:val="left"/>
      <w:pPr>
        <w:ind w:left="7540" w:hanging="227"/>
      </w:pPr>
      <w:rPr>
        <w:rFonts w:hint="default"/>
        <w:lang w:val="en-US" w:eastAsia="en-US" w:bidi="ar-SA"/>
      </w:rPr>
    </w:lvl>
    <w:lvl w:ilvl="8" w:tplc="B0FA128C">
      <w:numFmt w:val="bullet"/>
      <w:lvlText w:val="•"/>
      <w:lvlJc w:val="left"/>
      <w:pPr>
        <w:ind w:left="8523" w:hanging="227"/>
      </w:pPr>
      <w:rPr>
        <w:rFonts w:hint="default"/>
        <w:lang w:val="en-US" w:eastAsia="en-US" w:bidi="ar-SA"/>
      </w:rPr>
    </w:lvl>
  </w:abstractNum>
  <w:abstractNum w:abstractNumId="21" w15:restartNumberingAfterBreak="0">
    <w:nsid w:val="43A01517"/>
    <w:multiLevelType w:val="hybridMultilevel"/>
    <w:tmpl w:val="7DE65D20"/>
    <w:lvl w:ilvl="0" w:tplc="FF74C728">
      <w:numFmt w:val="bullet"/>
      <w:lvlText w:val="●"/>
      <w:lvlJc w:val="left"/>
      <w:pPr>
        <w:ind w:left="440" w:hanging="270"/>
      </w:pPr>
      <w:rPr>
        <w:rFonts w:ascii="Arial" w:eastAsia="Arial" w:hAnsi="Arial" w:cs="Arial" w:hint="default"/>
        <w:b/>
        <w:bCs/>
        <w:i w:val="0"/>
        <w:iCs w:val="0"/>
        <w:spacing w:val="0"/>
        <w:w w:val="97"/>
        <w:sz w:val="12"/>
        <w:szCs w:val="12"/>
        <w:lang w:val="en-US" w:eastAsia="en-US" w:bidi="ar-SA"/>
      </w:rPr>
    </w:lvl>
    <w:lvl w:ilvl="1" w:tplc="03D0987C">
      <w:numFmt w:val="bullet"/>
      <w:lvlText w:val="•"/>
      <w:lvlJc w:val="left"/>
      <w:pPr>
        <w:ind w:left="1444" w:hanging="270"/>
      </w:pPr>
      <w:rPr>
        <w:rFonts w:hint="default"/>
        <w:lang w:val="en-US" w:eastAsia="en-US" w:bidi="ar-SA"/>
      </w:rPr>
    </w:lvl>
    <w:lvl w:ilvl="2" w:tplc="6584D8F2">
      <w:numFmt w:val="bullet"/>
      <w:lvlText w:val="•"/>
      <w:lvlJc w:val="left"/>
      <w:pPr>
        <w:ind w:left="2449" w:hanging="270"/>
      </w:pPr>
      <w:rPr>
        <w:rFonts w:hint="default"/>
        <w:lang w:val="en-US" w:eastAsia="en-US" w:bidi="ar-SA"/>
      </w:rPr>
    </w:lvl>
    <w:lvl w:ilvl="3" w:tplc="3EFCAD40">
      <w:numFmt w:val="bullet"/>
      <w:lvlText w:val="•"/>
      <w:lvlJc w:val="left"/>
      <w:pPr>
        <w:ind w:left="3454" w:hanging="270"/>
      </w:pPr>
      <w:rPr>
        <w:rFonts w:hint="default"/>
        <w:lang w:val="en-US" w:eastAsia="en-US" w:bidi="ar-SA"/>
      </w:rPr>
    </w:lvl>
    <w:lvl w:ilvl="4" w:tplc="02EC928C">
      <w:numFmt w:val="bullet"/>
      <w:lvlText w:val="•"/>
      <w:lvlJc w:val="left"/>
      <w:pPr>
        <w:ind w:left="4459" w:hanging="270"/>
      </w:pPr>
      <w:rPr>
        <w:rFonts w:hint="default"/>
        <w:lang w:val="en-US" w:eastAsia="en-US" w:bidi="ar-SA"/>
      </w:rPr>
    </w:lvl>
    <w:lvl w:ilvl="5" w:tplc="A456EF96">
      <w:numFmt w:val="bullet"/>
      <w:lvlText w:val="•"/>
      <w:lvlJc w:val="left"/>
      <w:pPr>
        <w:ind w:left="5464" w:hanging="270"/>
      </w:pPr>
      <w:rPr>
        <w:rFonts w:hint="default"/>
        <w:lang w:val="en-US" w:eastAsia="en-US" w:bidi="ar-SA"/>
      </w:rPr>
    </w:lvl>
    <w:lvl w:ilvl="6" w:tplc="E8AC9146">
      <w:numFmt w:val="bullet"/>
      <w:lvlText w:val="•"/>
      <w:lvlJc w:val="left"/>
      <w:pPr>
        <w:ind w:left="6469" w:hanging="270"/>
      </w:pPr>
      <w:rPr>
        <w:rFonts w:hint="default"/>
        <w:lang w:val="en-US" w:eastAsia="en-US" w:bidi="ar-SA"/>
      </w:rPr>
    </w:lvl>
    <w:lvl w:ilvl="7" w:tplc="D0922B4C">
      <w:numFmt w:val="bullet"/>
      <w:lvlText w:val="•"/>
      <w:lvlJc w:val="left"/>
      <w:pPr>
        <w:ind w:left="7474" w:hanging="270"/>
      </w:pPr>
      <w:rPr>
        <w:rFonts w:hint="default"/>
        <w:lang w:val="en-US" w:eastAsia="en-US" w:bidi="ar-SA"/>
      </w:rPr>
    </w:lvl>
    <w:lvl w:ilvl="8" w:tplc="69E4BB38">
      <w:numFmt w:val="bullet"/>
      <w:lvlText w:val="•"/>
      <w:lvlJc w:val="left"/>
      <w:pPr>
        <w:ind w:left="8479" w:hanging="270"/>
      </w:pPr>
      <w:rPr>
        <w:rFonts w:hint="default"/>
        <w:lang w:val="en-US" w:eastAsia="en-US" w:bidi="ar-SA"/>
      </w:rPr>
    </w:lvl>
  </w:abstractNum>
  <w:abstractNum w:abstractNumId="22" w15:restartNumberingAfterBreak="0">
    <w:nsid w:val="4AE56B19"/>
    <w:multiLevelType w:val="hybridMultilevel"/>
    <w:tmpl w:val="E65013A0"/>
    <w:lvl w:ilvl="0" w:tplc="39ACD4B2">
      <w:start w:val="1"/>
      <w:numFmt w:val="decimal"/>
      <w:lvlText w:val="%1."/>
      <w:lvlJc w:val="left"/>
      <w:pPr>
        <w:ind w:left="369" w:hanging="227"/>
      </w:pPr>
      <w:rPr>
        <w:rFonts w:ascii="Arial" w:eastAsia="Arial" w:hAnsi="Arial" w:cs="Arial" w:hint="default"/>
        <w:b w:val="0"/>
        <w:bCs w:val="0"/>
        <w:i w:val="0"/>
        <w:iCs w:val="0"/>
        <w:spacing w:val="-7"/>
        <w:w w:val="100"/>
        <w:sz w:val="17"/>
        <w:szCs w:val="17"/>
        <w:lang w:val="en-US" w:eastAsia="en-US" w:bidi="ar-SA"/>
      </w:rPr>
    </w:lvl>
    <w:lvl w:ilvl="1" w:tplc="2C8C7D22">
      <w:numFmt w:val="bullet"/>
      <w:lvlText w:val="•"/>
      <w:lvlJc w:val="left"/>
      <w:pPr>
        <w:ind w:left="1372" w:hanging="227"/>
      </w:pPr>
      <w:rPr>
        <w:rFonts w:hint="default"/>
        <w:lang w:val="en-US" w:eastAsia="en-US" w:bidi="ar-SA"/>
      </w:rPr>
    </w:lvl>
    <w:lvl w:ilvl="2" w:tplc="01CE7D8C">
      <w:numFmt w:val="bullet"/>
      <w:lvlText w:val="•"/>
      <w:lvlJc w:val="left"/>
      <w:pPr>
        <w:ind w:left="2385" w:hanging="227"/>
      </w:pPr>
      <w:rPr>
        <w:rFonts w:hint="default"/>
        <w:lang w:val="en-US" w:eastAsia="en-US" w:bidi="ar-SA"/>
      </w:rPr>
    </w:lvl>
    <w:lvl w:ilvl="3" w:tplc="C47AFB7A">
      <w:numFmt w:val="bullet"/>
      <w:lvlText w:val="•"/>
      <w:lvlJc w:val="left"/>
      <w:pPr>
        <w:ind w:left="3398" w:hanging="227"/>
      </w:pPr>
      <w:rPr>
        <w:rFonts w:hint="default"/>
        <w:lang w:val="en-US" w:eastAsia="en-US" w:bidi="ar-SA"/>
      </w:rPr>
    </w:lvl>
    <w:lvl w:ilvl="4" w:tplc="18A6DB54">
      <w:numFmt w:val="bullet"/>
      <w:lvlText w:val="•"/>
      <w:lvlJc w:val="left"/>
      <w:pPr>
        <w:ind w:left="4411" w:hanging="227"/>
      </w:pPr>
      <w:rPr>
        <w:rFonts w:hint="default"/>
        <w:lang w:val="en-US" w:eastAsia="en-US" w:bidi="ar-SA"/>
      </w:rPr>
    </w:lvl>
    <w:lvl w:ilvl="5" w:tplc="C7E4EF80">
      <w:numFmt w:val="bullet"/>
      <w:lvlText w:val="•"/>
      <w:lvlJc w:val="left"/>
      <w:pPr>
        <w:ind w:left="5424" w:hanging="227"/>
      </w:pPr>
      <w:rPr>
        <w:rFonts w:hint="default"/>
        <w:lang w:val="en-US" w:eastAsia="en-US" w:bidi="ar-SA"/>
      </w:rPr>
    </w:lvl>
    <w:lvl w:ilvl="6" w:tplc="B61E504C">
      <w:numFmt w:val="bullet"/>
      <w:lvlText w:val="•"/>
      <w:lvlJc w:val="left"/>
      <w:pPr>
        <w:ind w:left="6437" w:hanging="227"/>
      </w:pPr>
      <w:rPr>
        <w:rFonts w:hint="default"/>
        <w:lang w:val="en-US" w:eastAsia="en-US" w:bidi="ar-SA"/>
      </w:rPr>
    </w:lvl>
    <w:lvl w:ilvl="7" w:tplc="DBB2E2F4">
      <w:numFmt w:val="bullet"/>
      <w:lvlText w:val="•"/>
      <w:lvlJc w:val="left"/>
      <w:pPr>
        <w:ind w:left="7450" w:hanging="227"/>
      </w:pPr>
      <w:rPr>
        <w:rFonts w:hint="default"/>
        <w:lang w:val="en-US" w:eastAsia="en-US" w:bidi="ar-SA"/>
      </w:rPr>
    </w:lvl>
    <w:lvl w:ilvl="8" w:tplc="427267A8">
      <w:numFmt w:val="bullet"/>
      <w:lvlText w:val="•"/>
      <w:lvlJc w:val="left"/>
      <w:pPr>
        <w:ind w:left="8463" w:hanging="227"/>
      </w:pPr>
      <w:rPr>
        <w:rFonts w:hint="default"/>
        <w:lang w:val="en-US" w:eastAsia="en-US" w:bidi="ar-SA"/>
      </w:rPr>
    </w:lvl>
  </w:abstractNum>
  <w:abstractNum w:abstractNumId="23" w15:restartNumberingAfterBreak="0">
    <w:nsid w:val="4E1B2481"/>
    <w:multiLevelType w:val="hybridMultilevel"/>
    <w:tmpl w:val="3E0CE00A"/>
    <w:lvl w:ilvl="0" w:tplc="747E717A">
      <w:numFmt w:val="bullet"/>
      <w:lvlText w:val="•"/>
      <w:lvlJc w:val="left"/>
      <w:pPr>
        <w:ind w:left="780" w:hanging="300"/>
      </w:pPr>
      <w:rPr>
        <w:rFonts w:ascii="Arial" w:eastAsia="Arial" w:hAnsi="Arial" w:cs="Arial" w:hint="default"/>
        <w:b w:val="0"/>
        <w:bCs w:val="0"/>
        <w:i w:val="0"/>
        <w:iCs w:val="0"/>
        <w:spacing w:val="0"/>
        <w:w w:val="137"/>
        <w:sz w:val="16"/>
        <w:szCs w:val="16"/>
        <w:lang w:val="en-US" w:eastAsia="en-US" w:bidi="ar-SA"/>
      </w:rPr>
    </w:lvl>
    <w:lvl w:ilvl="1" w:tplc="B664910C">
      <w:numFmt w:val="bullet"/>
      <w:lvlText w:val="•"/>
      <w:lvlJc w:val="left"/>
      <w:pPr>
        <w:ind w:left="2646" w:hanging="238"/>
      </w:pPr>
      <w:rPr>
        <w:rFonts w:ascii="Arial" w:eastAsia="Arial" w:hAnsi="Arial" w:cs="Arial" w:hint="default"/>
        <w:b w:val="0"/>
        <w:bCs w:val="0"/>
        <w:i w:val="0"/>
        <w:iCs w:val="0"/>
        <w:spacing w:val="0"/>
        <w:w w:val="137"/>
        <w:sz w:val="16"/>
        <w:szCs w:val="16"/>
        <w:lang w:val="en-US" w:eastAsia="en-US" w:bidi="ar-SA"/>
      </w:rPr>
    </w:lvl>
    <w:lvl w:ilvl="2" w:tplc="00C8349C">
      <w:numFmt w:val="bullet"/>
      <w:lvlText w:val="•"/>
      <w:lvlJc w:val="left"/>
      <w:pPr>
        <w:ind w:left="3512" w:hanging="238"/>
      </w:pPr>
      <w:rPr>
        <w:rFonts w:hint="default"/>
        <w:lang w:val="en-US" w:eastAsia="en-US" w:bidi="ar-SA"/>
      </w:rPr>
    </w:lvl>
    <w:lvl w:ilvl="3" w:tplc="8BB8A4DA">
      <w:numFmt w:val="bullet"/>
      <w:lvlText w:val="•"/>
      <w:lvlJc w:val="left"/>
      <w:pPr>
        <w:ind w:left="4384" w:hanging="238"/>
      </w:pPr>
      <w:rPr>
        <w:rFonts w:hint="default"/>
        <w:lang w:val="en-US" w:eastAsia="en-US" w:bidi="ar-SA"/>
      </w:rPr>
    </w:lvl>
    <w:lvl w:ilvl="4" w:tplc="D6BA537C">
      <w:numFmt w:val="bullet"/>
      <w:lvlText w:val="•"/>
      <w:lvlJc w:val="left"/>
      <w:pPr>
        <w:ind w:left="5256" w:hanging="238"/>
      </w:pPr>
      <w:rPr>
        <w:rFonts w:hint="default"/>
        <w:lang w:val="en-US" w:eastAsia="en-US" w:bidi="ar-SA"/>
      </w:rPr>
    </w:lvl>
    <w:lvl w:ilvl="5" w:tplc="335CABF6">
      <w:numFmt w:val="bullet"/>
      <w:lvlText w:val="•"/>
      <w:lvlJc w:val="left"/>
      <w:pPr>
        <w:ind w:left="6128" w:hanging="238"/>
      </w:pPr>
      <w:rPr>
        <w:rFonts w:hint="default"/>
        <w:lang w:val="en-US" w:eastAsia="en-US" w:bidi="ar-SA"/>
      </w:rPr>
    </w:lvl>
    <w:lvl w:ilvl="6" w:tplc="9CECA934">
      <w:numFmt w:val="bullet"/>
      <w:lvlText w:val="•"/>
      <w:lvlJc w:val="left"/>
      <w:pPr>
        <w:ind w:left="7000" w:hanging="238"/>
      </w:pPr>
      <w:rPr>
        <w:rFonts w:hint="default"/>
        <w:lang w:val="en-US" w:eastAsia="en-US" w:bidi="ar-SA"/>
      </w:rPr>
    </w:lvl>
    <w:lvl w:ilvl="7" w:tplc="B8DEA906">
      <w:numFmt w:val="bullet"/>
      <w:lvlText w:val="•"/>
      <w:lvlJc w:val="left"/>
      <w:pPr>
        <w:ind w:left="7873" w:hanging="238"/>
      </w:pPr>
      <w:rPr>
        <w:rFonts w:hint="default"/>
        <w:lang w:val="en-US" w:eastAsia="en-US" w:bidi="ar-SA"/>
      </w:rPr>
    </w:lvl>
    <w:lvl w:ilvl="8" w:tplc="E60E67A0">
      <w:numFmt w:val="bullet"/>
      <w:lvlText w:val="•"/>
      <w:lvlJc w:val="left"/>
      <w:pPr>
        <w:ind w:left="8745" w:hanging="238"/>
      </w:pPr>
      <w:rPr>
        <w:rFonts w:hint="default"/>
        <w:lang w:val="en-US" w:eastAsia="en-US" w:bidi="ar-SA"/>
      </w:rPr>
    </w:lvl>
  </w:abstractNum>
  <w:abstractNum w:abstractNumId="24" w15:restartNumberingAfterBreak="0">
    <w:nsid w:val="4F250590"/>
    <w:multiLevelType w:val="multilevel"/>
    <w:tmpl w:val="47E6B886"/>
    <w:lvl w:ilvl="0">
      <w:start w:val="2"/>
      <w:numFmt w:val="decimal"/>
      <w:lvlText w:val="%1"/>
      <w:lvlJc w:val="left"/>
      <w:pPr>
        <w:ind w:left="569" w:hanging="394"/>
      </w:pPr>
      <w:rPr>
        <w:rFonts w:hint="default"/>
        <w:lang w:val="en-US" w:eastAsia="en-US" w:bidi="ar-SA"/>
      </w:rPr>
    </w:lvl>
    <w:lvl w:ilvl="1">
      <w:start w:val="2"/>
      <w:numFmt w:val="decimal"/>
      <w:lvlText w:val="%1.%2"/>
      <w:lvlJc w:val="left"/>
      <w:pPr>
        <w:ind w:left="569" w:hanging="394"/>
        <w:jc w:val="right"/>
      </w:pPr>
      <w:rPr>
        <w:rFonts w:ascii="Arial" w:eastAsia="Arial" w:hAnsi="Arial" w:cs="Arial" w:hint="default"/>
        <w:b/>
        <w:bCs/>
        <w:i w:val="0"/>
        <w:iCs w:val="0"/>
        <w:spacing w:val="19"/>
        <w:w w:val="94"/>
        <w:sz w:val="24"/>
        <w:szCs w:val="24"/>
        <w:lang w:val="en-US" w:eastAsia="en-US" w:bidi="ar-SA"/>
      </w:rPr>
    </w:lvl>
    <w:lvl w:ilvl="2">
      <w:numFmt w:val="bullet"/>
      <w:lvlText w:val="•"/>
      <w:lvlJc w:val="left"/>
      <w:pPr>
        <w:ind w:left="2545" w:hanging="394"/>
      </w:pPr>
      <w:rPr>
        <w:rFonts w:hint="default"/>
        <w:lang w:val="en-US" w:eastAsia="en-US" w:bidi="ar-SA"/>
      </w:rPr>
    </w:lvl>
    <w:lvl w:ilvl="3">
      <w:numFmt w:val="bullet"/>
      <w:lvlText w:val="•"/>
      <w:lvlJc w:val="left"/>
      <w:pPr>
        <w:ind w:left="3538" w:hanging="394"/>
      </w:pPr>
      <w:rPr>
        <w:rFonts w:hint="default"/>
        <w:lang w:val="en-US" w:eastAsia="en-US" w:bidi="ar-SA"/>
      </w:rPr>
    </w:lvl>
    <w:lvl w:ilvl="4">
      <w:numFmt w:val="bullet"/>
      <w:lvlText w:val="•"/>
      <w:lvlJc w:val="left"/>
      <w:pPr>
        <w:ind w:left="4531" w:hanging="394"/>
      </w:pPr>
      <w:rPr>
        <w:rFonts w:hint="default"/>
        <w:lang w:val="en-US" w:eastAsia="en-US" w:bidi="ar-SA"/>
      </w:rPr>
    </w:lvl>
    <w:lvl w:ilvl="5">
      <w:numFmt w:val="bullet"/>
      <w:lvlText w:val="•"/>
      <w:lvlJc w:val="left"/>
      <w:pPr>
        <w:ind w:left="5524" w:hanging="394"/>
      </w:pPr>
      <w:rPr>
        <w:rFonts w:hint="default"/>
        <w:lang w:val="en-US" w:eastAsia="en-US" w:bidi="ar-SA"/>
      </w:rPr>
    </w:lvl>
    <w:lvl w:ilvl="6">
      <w:numFmt w:val="bullet"/>
      <w:lvlText w:val="•"/>
      <w:lvlJc w:val="left"/>
      <w:pPr>
        <w:ind w:left="6517" w:hanging="394"/>
      </w:pPr>
      <w:rPr>
        <w:rFonts w:hint="default"/>
        <w:lang w:val="en-US" w:eastAsia="en-US" w:bidi="ar-SA"/>
      </w:rPr>
    </w:lvl>
    <w:lvl w:ilvl="7">
      <w:numFmt w:val="bullet"/>
      <w:lvlText w:val="•"/>
      <w:lvlJc w:val="left"/>
      <w:pPr>
        <w:ind w:left="7510" w:hanging="394"/>
      </w:pPr>
      <w:rPr>
        <w:rFonts w:hint="default"/>
        <w:lang w:val="en-US" w:eastAsia="en-US" w:bidi="ar-SA"/>
      </w:rPr>
    </w:lvl>
    <w:lvl w:ilvl="8">
      <w:numFmt w:val="bullet"/>
      <w:lvlText w:val="•"/>
      <w:lvlJc w:val="left"/>
      <w:pPr>
        <w:ind w:left="8503" w:hanging="394"/>
      </w:pPr>
      <w:rPr>
        <w:rFonts w:hint="default"/>
        <w:lang w:val="en-US" w:eastAsia="en-US" w:bidi="ar-SA"/>
      </w:rPr>
    </w:lvl>
  </w:abstractNum>
  <w:abstractNum w:abstractNumId="25" w15:restartNumberingAfterBreak="0">
    <w:nsid w:val="51BF5EA9"/>
    <w:multiLevelType w:val="hybridMultilevel"/>
    <w:tmpl w:val="69541950"/>
    <w:lvl w:ilvl="0" w:tplc="9B6E70E0">
      <w:numFmt w:val="bullet"/>
      <w:lvlText w:val="●"/>
      <w:lvlJc w:val="left"/>
      <w:pPr>
        <w:ind w:left="440" w:hanging="270"/>
      </w:pPr>
      <w:rPr>
        <w:rFonts w:ascii="Arial" w:eastAsia="Arial" w:hAnsi="Arial" w:cs="Arial" w:hint="default"/>
        <w:b/>
        <w:bCs/>
        <w:i w:val="0"/>
        <w:iCs w:val="0"/>
        <w:spacing w:val="0"/>
        <w:w w:val="97"/>
        <w:sz w:val="12"/>
        <w:szCs w:val="12"/>
        <w:lang w:val="en-US" w:eastAsia="en-US" w:bidi="ar-SA"/>
      </w:rPr>
    </w:lvl>
    <w:lvl w:ilvl="1" w:tplc="A2C62ACC">
      <w:numFmt w:val="bullet"/>
      <w:lvlText w:val="•"/>
      <w:lvlJc w:val="left"/>
      <w:pPr>
        <w:ind w:left="1444" w:hanging="270"/>
      </w:pPr>
      <w:rPr>
        <w:rFonts w:hint="default"/>
        <w:lang w:val="en-US" w:eastAsia="en-US" w:bidi="ar-SA"/>
      </w:rPr>
    </w:lvl>
    <w:lvl w:ilvl="2" w:tplc="32E01AA2">
      <w:numFmt w:val="bullet"/>
      <w:lvlText w:val="•"/>
      <w:lvlJc w:val="left"/>
      <w:pPr>
        <w:ind w:left="2449" w:hanging="270"/>
      </w:pPr>
      <w:rPr>
        <w:rFonts w:hint="default"/>
        <w:lang w:val="en-US" w:eastAsia="en-US" w:bidi="ar-SA"/>
      </w:rPr>
    </w:lvl>
    <w:lvl w:ilvl="3" w:tplc="15CCB1C2">
      <w:numFmt w:val="bullet"/>
      <w:lvlText w:val="•"/>
      <w:lvlJc w:val="left"/>
      <w:pPr>
        <w:ind w:left="3454" w:hanging="270"/>
      </w:pPr>
      <w:rPr>
        <w:rFonts w:hint="default"/>
        <w:lang w:val="en-US" w:eastAsia="en-US" w:bidi="ar-SA"/>
      </w:rPr>
    </w:lvl>
    <w:lvl w:ilvl="4" w:tplc="CBD2D120">
      <w:numFmt w:val="bullet"/>
      <w:lvlText w:val="•"/>
      <w:lvlJc w:val="left"/>
      <w:pPr>
        <w:ind w:left="4459" w:hanging="270"/>
      </w:pPr>
      <w:rPr>
        <w:rFonts w:hint="default"/>
        <w:lang w:val="en-US" w:eastAsia="en-US" w:bidi="ar-SA"/>
      </w:rPr>
    </w:lvl>
    <w:lvl w:ilvl="5" w:tplc="347241CC">
      <w:numFmt w:val="bullet"/>
      <w:lvlText w:val="•"/>
      <w:lvlJc w:val="left"/>
      <w:pPr>
        <w:ind w:left="5464" w:hanging="270"/>
      </w:pPr>
      <w:rPr>
        <w:rFonts w:hint="default"/>
        <w:lang w:val="en-US" w:eastAsia="en-US" w:bidi="ar-SA"/>
      </w:rPr>
    </w:lvl>
    <w:lvl w:ilvl="6" w:tplc="7BCA8C5C">
      <w:numFmt w:val="bullet"/>
      <w:lvlText w:val="•"/>
      <w:lvlJc w:val="left"/>
      <w:pPr>
        <w:ind w:left="6469" w:hanging="270"/>
      </w:pPr>
      <w:rPr>
        <w:rFonts w:hint="default"/>
        <w:lang w:val="en-US" w:eastAsia="en-US" w:bidi="ar-SA"/>
      </w:rPr>
    </w:lvl>
    <w:lvl w:ilvl="7" w:tplc="214E0B9E">
      <w:numFmt w:val="bullet"/>
      <w:lvlText w:val="•"/>
      <w:lvlJc w:val="left"/>
      <w:pPr>
        <w:ind w:left="7474" w:hanging="270"/>
      </w:pPr>
      <w:rPr>
        <w:rFonts w:hint="default"/>
        <w:lang w:val="en-US" w:eastAsia="en-US" w:bidi="ar-SA"/>
      </w:rPr>
    </w:lvl>
    <w:lvl w:ilvl="8" w:tplc="0862F180">
      <w:numFmt w:val="bullet"/>
      <w:lvlText w:val="•"/>
      <w:lvlJc w:val="left"/>
      <w:pPr>
        <w:ind w:left="8479" w:hanging="270"/>
      </w:pPr>
      <w:rPr>
        <w:rFonts w:hint="default"/>
        <w:lang w:val="en-US" w:eastAsia="en-US" w:bidi="ar-SA"/>
      </w:rPr>
    </w:lvl>
  </w:abstractNum>
  <w:abstractNum w:abstractNumId="26" w15:restartNumberingAfterBreak="0">
    <w:nsid w:val="53605524"/>
    <w:multiLevelType w:val="hybridMultilevel"/>
    <w:tmpl w:val="0AD884CC"/>
    <w:lvl w:ilvl="0" w:tplc="1C880142">
      <w:numFmt w:val="bullet"/>
      <w:lvlText w:val="●"/>
      <w:lvlJc w:val="left"/>
      <w:pPr>
        <w:ind w:left="251" w:hanging="171"/>
      </w:pPr>
      <w:rPr>
        <w:rFonts w:ascii="Arial" w:eastAsia="Arial" w:hAnsi="Arial" w:cs="Arial" w:hint="default"/>
        <w:b/>
        <w:bCs/>
        <w:i w:val="0"/>
        <w:iCs w:val="0"/>
        <w:spacing w:val="0"/>
        <w:w w:val="97"/>
        <w:sz w:val="12"/>
        <w:szCs w:val="12"/>
        <w:lang w:val="en-US" w:eastAsia="en-US" w:bidi="ar-SA"/>
      </w:rPr>
    </w:lvl>
    <w:lvl w:ilvl="1" w:tplc="B4A2510A">
      <w:numFmt w:val="bullet"/>
      <w:lvlText w:val="•"/>
      <w:lvlJc w:val="left"/>
      <w:pPr>
        <w:ind w:left="732" w:hanging="171"/>
      </w:pPr>
      <w:rPr>
        <w:rFonts w:hint="default"/>
        <w:lang w:val="en-US" w:eastAsia="en-US" w:bidi="ar-SA"/>
      </w:rPr>
    </w:lvl>
    <w:lvl w:ilvl="2" w:tplc="77102F94">
      <w:numFmt w:val="bullet"/>
      <w:lvlText w:val="•"/>
      <w:lvlJc w:val="left"/>
      <w:pPr>
        <w:ind w:left="1205" w:hanging="171"/>
      </w:pPr>
      <w:rPr>
        <w:rFonts w:hint="default"/>
        <w:lang w:val="en-US" w:eastAsia="en-US" w:bidi="ar-SA"/>
      </w:rPr>
    </w:lvl>
    <w:lvl w:ilvl="3" w:tplc="C1A67EF2">
      <w:numFmt w:val="bullet"/>
      <w:lvlText w:val="•"/>
      <w:lvlJc w:val="left"/>
      <w:pPr>
        <w:ind w:left="1678" w:hanging="171"/>
      </w:pPr>
      <w:rPr>
        <w:rFonts w:hint="default"/>
        <w:lang w:val="en-US" w:eastAsia="en-US" w:bidi="ar-SA"/>
      </w:rPr>
    </w:lvl>
    <w:lvl w:ilvl="4" w:tplc="9B06BB34">
      <w:numFmt w:val="bullet"/>
      <w:lvlText w:val="•"/>
      <w:lvlJc w:val="left"/>
      <w:pPr>
        <w:ind w:left="2151" w:hanging="171"/>
      </w:pPr>
      <w:rPr>
        <w:rFonts w:hint="default"/>
        <w:lang w:val="en-US" w:eastAsia="en-US" w:bidi="ar-SA"/>
      </w:rPr>
    </w:lvl>
    <w:lvl w:ilvl="5" w:tplc="3886E9AA">
      <w:numFmt w:val="bullet"/>
      <w:lvlText w:val="•"/>
      <w:lvlJc w:val="left"/>
      <w:pPr>
        <w:ind w:left="2623" w:hanging="171"/>
      </w:pPr>
      <w:rPr>
        <w:rFonts w:hint="default"/>
        <w:lang w:val="en-US" w:eastAsia="en-US" w:bidi="ar-SA"/>
      </w:rPr>
    </w:lvl>
    <w:lvl w:ilvl="6" w:tplc="E4E81E50">
      <w:numFmt w:val="bullet"/>
      <w:lvlText w:val="•"/>
      <w:lvlJc w:val="left"/>
      <w:pPr>
        <w:ind w:left="3096" w:hanging="171"/>
      </w:pPr>
      <w:rPr>
        <w:rFonts w:hint="default"/>
        <w:lang w:val="en-US" w:eastAsia="en-US" w:bidi="ar-SA"/>
      </w:rPr>
    </w:lvl>
    <w:lvl w:ilvl="7" w:tplc="4C0E3C86">
      <w:numFmt w:val="bullet"/>
      <w:lvlText w:val="•"/>
      <w:lvlJc w:val="left"/>
      <w:pPr>
        <w:ind w:left="3569" w:hanging="171"/>
      </w:pPr>
      <w:rPr>
        <w:rFonts w:hint="default"/>
        <w:lang w:val="en-US" w:eastAsia="en-US" w:bidi="ar-SA"/>
      </w:rPr>
    </w:lvl>
    <w:lvl w:ilvl="8" w:tplc="35708982">
      <w:numFmt w:val="bullet"/>
      <w:lvlText w:val="•"/>
      <w:lvlJc w:val="left"/>
      <w:pPr>
        <w:ind w:left="4042" w:hanging="171"/>
      </w:pPr>
      <w:rPr>
        <w:rFonts w:hint="default"/>
        <w:lang w:val="en-US" w:eastAsia="en-US" w:bidi="ar-SA"/>
      </w:rPr>
    </w:lvl>
  </w:abstractNum>
  <w:abstractNum w:abstractNumId="27" w15:restartNumberingAfterBreak="0">
    <w:nsid w:val="555559A3"/>
    <w:multiLevelType w:val="hybridMultilevel"/>
    <w:tmpl w:val="1C540E06"/>
    <w:lvl w:ilvl="0" w:tplc="752A62B8">
      <w:start w:val="1"/>
      <w:numFmt w:val="lowerLetter"/>
      <w:lvlText w:val="%1)"/>
      <w:lvlJc w:val="left"/>
      <w:pPr>
        <w:ind w:left="1572" w:hanging="358"/>
      </w:pPr>
      <w:rPr>
        <w:rFonts w:ascii="Arial" w:eastAsia="Arial" w:hAnsi="Arial" w:cs="Arial" w:hint="default"/>
        <w:b w:val="0"/>
        <w:bCs w:val="0"/>
        <w:i w:val="0"/>
        <w:iCs w:val="0"/>
        <w:spacing w:val="-1"/>
        <w:w w:val="100"/>
        <w:sz w:val="18"/>
        <w:szCs w:val="18"/>
        <w:lang w:val="en-US" w:eastAsia="en-US" w:bidi="ar-SA"/>
      </w:rPr>
    </w:lvl>
    <w:lvl w:ilvl="1" w:tplc="98963D5C">
      <w:numFmt w:val="bullet"/>
      <w:lvlText w:val="•"/>
      <w:lvlJc w:val="left"/>
      <w:pPr>
        <w:ind w:left="2470" w:hanging="358"/>
      </w:pPr>
      <w:rPr>
        <w:rFonts w:hint="default"/>
        <w:lang w:val="en-US" w:eastAsia="en-US" w:bidi="ar-SA"/>
      </w:rPr>
    </w:lvl>
    <w:lvl w:ilvl="2" w:tplc="3D66F27E">
      <w:numFmt w:val="bullet"/>
      <w:lvlText w:val="•"/>
      <w:lvlJc w:val="left"/>
      <w:pPr>
        <w:ind w:left="3361" w:hanging="358"/>
      </w:pPr>
      <w:rPr>
        <w:rFonts w:hint="default"/>
        <w:lang w:val="en-US" w:eastAsia="en-US" w:bidi="ar-SA"/>
      </w:rPr>
    </w:lvl>
    <w:lvl w:ilvl="3" w:tplc="54D00E12">
      <w:numFmt w:val="bullet"/>
      <w:lvlText w:val="•"/>
      <w:lvlJc w:val="left"/>
      <w:pPr>
        <w:ind w:left="4252" w:hanging="358"/>
      </w:pPr>
      <w:rPr>
        <w:rFonts w:hint="default"/>
        <w:lang w:val="en-US" w:eastAsia="en-US" w:bidi="ar-SA"/>
      </w:rPr>
    </w:lvl>
    <w:lvl w:ilvl="4" w:tplc="14BA816C">
      <w:numFmt w:val="bullet"/>
      <w:lvlText w:val="•"/>
      <w:lvlJc w:val="left"/>
      <w:pPr>
        <w:ind w:left="5143" w:hanging="358"/>
      </w:pPr>
      <w:rPr>
        <w:rFonts w:hint="default"/>
        <w:lang w:val="en-US" w:eastAsia="en-US" w:bidi="ar-SA"/>
      </w:rPr>
    </w:lvl>
    <w:lvl w:ilvl="5" w:tplc="9EC42EA8">
      <w:numFmt w:val="bullet"/>
      <w:lvlText w:val="•"/>
      <w:lvlJc w:val="left"/>
      <w:pPr>
        <w:ind w:left="6034" w:hanging="358"/>
      </w:pPr>
      <w:rPr>
        <w:rFonts w:hint="default"/>
        <w:lang w:val="en-US" w:eastAsia="en-US" w:bidi="ar-SA"/>
      </w:rPr>
    </w:lvl>
    <w:lvl w:ilvl="6" w:tplc="58F65518">
      <w:numFmt w:val="bullet"/>
      <w:lvlText w:val="•"/>
      <w:lvlJc w:val="left"/>
      <w:pPr>
        <w:ind w:left="6925" w:hanging="358"/>
      </w:pPr>
      <w:rPr>
        <w:rFonts w:hint="default"/>
        <w:lang w:val="en-US" w:eastAsia="en-US" w:bidi="ar-SA"/>
      </w:rPr>
    </w:lvl>
    <w:lvl w:ilvl="7" w:tplc="F8AEE342">
      <w:numFmt w:val="bullet"/>
      <w:lvlText w:val="•"/>
      <w:lvlJc w:val="left"/>
      <w:pPr>
        <w:ind w:left="7816" w:hanging="358"/>
      </w:pPr>
      <w:rPr>
        <w:rFonts w:hint="default"/>
        <w:lang w:val="en-US" w:eastAsia="en-US" w:bidi="ar-SA"/>
      </w:rPr>
    </w:lvl>
    <w:lvl w:ilvl="8" w:tplc="EBC6A80A">
      <w:numFmt w:val="bullet"/>
      <w:lvlText w:val="•"/>
      <w:lvlJc w:val="left"/>
      <w:pPr>
        <w:ind w:left="8707" w:hanging="358"/>
      </w:pPr>
      <w:rPr>
        <w:rFonts w:hint="default"/>
        <w:lang w:val="en-US" w:eastAsia="en-US" w:bidi="ar-SA"/>
      </w:rPr>
    </w:lvl>
  </w:abstractNum>
  <w:abstractNum w:abstractNumId="28" w15:restartNumberingAfterBreak="0">
    <w:nsid w:val="58D23A0C"/>
    <w:multiLevelType w:val="multilevel"/>
    <w:tmpl w:val="38266608"/>
    <w:lvl w:ilvl="0">
      <w:start w:val="1"/>
      <w:numFmt w:val="decimal"/>
      <w:lvlText w:val="%1."/>
      <w:lvlJc w:val="left"/>
      <w:pPr>
        <w:ind w:left="4338" w:hanging="361"/>
      </w:pPr>
      <w:rPr>
        <w:rFonts w:ascii="Arial" w:eastAsia="Arial" w:hAnsi="Arial" w:cs="Arial" w:hint="default"/>
        <w:b w:val="0"/>
        <w:bCs w:val="0"/>
        <w:i w:val="0"/>
        <w:iCs w:val="0"/>
        <w:spacing w:val="0"/>
        <w:w w:val="100"/>
        <w:sz w:val="20"/>
        <w:szCs w:val="20"/>
        <w:lang w:val="en-US" w:eastAsia="en-US" w:bidi="ar-SA"/>
      </w:rPr>
    </w:lvl>
    <w:lvl w:ilvl="1">
      <w:start w:val="1"/>
      <w:numFmt w:val="decimal"/>
      <w:lvlText w:val="%1.%2."/>
      <w:lvlJc w:val="left"/>
      <w:pPr>
        <w:ind w:left="4906" w:hanging="433"/>
      </w:pPr>
      <w:rPr>
        <w:rFonts w:ascii="Arial" w:eastAsia="Arial" w:hAnsi="Arial" w:cs="Arial" w:hint="default"/>
        <w:b w:val="0"/>
        <w:bCs w:val="0"/>
        <w:i w:val="0"/>
        <w:iCs w:val="0"/>
        <w:spacing w:val="0"/>
        <w:w w:val="100"/>
        <w:sz w:val="20"/>
        <w:szCs w:val="20"/>
        <w:lang w:val="en-US" w:eastAsia="en-US" w:bidi="ar-SA"/>
      </w:rPr>
    </w:lvl>
    <w:lvl w:ilvl="2">
      <w:numFmt w:val="bullet"/>
      <w:lvlText w:val="•"/>
      <w:lvlJc w:val="left"/>
      <w:pPr>
        <w:ind w:left="5521" w:hanging="433"/>
      </w:pPr>
      <w:rPr>
        <w:rFonts w:hint="default"/>
        <w:lang w:val="en-US" w:eastAsia="en-US" w:bidi="ar-SA"/>
      </w:rPr>
    </w:lvl>
    <w:lvl w:ilvl="3">
      <w:numFmt w:val="bullet"/>
      <w:lvlText w:val="•"/>
      <w:lvlJc w:val="left"/>
      <w:pPr>
        <w:ind w:left="6142" w:hanging="433"/>
      </w:pPr>
      <w:rPr>
        <w:rFonts w:hint="default"/>
        <w:lang w:val="en-US" w:eastAsia="en-US" w:bidi="ar-SA"/>
      </w:rPr>
    </w:lvl>
    <w:lvl w:ilvl="4">
      <w:numFmt w:val="bullet"/>
      <w:lvlText w:val="•"/>
      <w:lvlJc w:val="left"/>
      <w:pPr>
        <w:ind w:left="6763" w:hanging="433"/>
      </w:pPr>
      <w:rPr>
        <w:rFonts w:hint="default"/>
        <w:lang w:val="en-US" w:eastAsia="en-US" w:bidi="ar-SA"/>
      </w:rPr>
    </w:lvl>
    <w:lvl w:ilvl="5">
      <w:numFmt w:val="bullet"/>
      <w:lvlText w:val="•"/>
      <w:lvlJc w:val="left"/>
      <w:pPr>
        <w:ind w:left="7384" w:hanging="433"/>
      </w:pPr>
      <w:rPr>
        <w:rFonts w:hint="default"/>
        <w:lang w:val="en-US" w:eastAsia="en-US" w:bidi="ar-SA"/>
      </w:rPr>
    </w:lvl>
    <w:lvl w:ilvl="6">
      <w:numFmt w:val="bullet"/>
      <w:lvlText w:val="•"/>
      <w:lvlJc w:val="left"/>
      <w:pPr>
        <w:ind w:left="8005" w:hanging="433"/>
      </w:pPr>
      <w:rPr>
        <w:rFonts w:hint="default"/>
        <w:lang w:val="en-US" w:eastAsia="en-US" w:bidi="ar-SA"/>
      </w:rPr>
    </w:lvl>
    <w:lvl w:ilvl="7">
      <w:numFmt w:val="bullet"/>
      <w:lvlText w:val="•"/>
      <w:lvlJc w:val="left"/>
      <w:pPr>
        <w:ind w:left="8626" w:hanging="433"/>
      </w:pPr>
      <w:rPr>
        <w:rFonts w:hint="default"/>
        <w:lang w:val="en-US" w:eastAsia="en-US" w:bidi="ar-SA"/>
      </w:rPr>
    </w:lvl>
    <w:lvl w:ilvl="8">
      <w:numFmt w:val="bullet"/>
      <w:lvlText w:val="•"/>
      <w:lvlJc w:val="left"/>
      <w:pPr>
        <w:ind w:left="9247" w:hanging="433"/>
      </w:pPr>
      <w:rPr>
        <w:rFonts w:hint="default"/>
        <w:lang w:val="en-US" w:eastAsia="en-US" w:bidi="ar-SA"/>
      </w:rPr>
    </w:lvl>
  </w:abstractNum>
  <w:abstractNum w:abstractNumId="29" w15:restartNumberingAfterBreak="0">
    <w:nsid w:val="5FD0031E"/>
    <w:multiLevelType w:val="hybridMultilevel"/>
    <w:tmpl w:val="3BFEF3E0"/>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0" w15:restartNumberingAfterBreak="0">
    <w:nsid w:val="64B23E67"/>
    <w:multiLevelType w:val="multilevel"/>
    <w:tmpl w:val="6C5091FA"/>
    <w:lvl w:ilvl="0">
      <w:start w:val="2"/>
      <w:numFmt w:val="decimal"/>
      <w:lvlText w:val="%1"/>
      <w:lvlJc w:val="left"/>
      <w:pPr>
        <w:ind w:left="324" w:hanging="274"/>
      </w:pPr>
      <w:rPr>
        <w:rFonts w:ascii="Arial" w:eastAsia="Arial" w:hAnsi="Arial" w:cs="Arial" w:hint="default"/>
        <w:b/>
        <w:bCs/>
        <w:i w:val="0"/>
        <w:iCs w:val="0"/>
        <w:spacing w:val="0"/>
        <w:w w:val="99"/>
        <w:sz w:val="28"/>
        <w:szCs w:val="28"/>
        <w:lang w:val="en-US" w:eastAsia="en-US" w:bidi="ar-SA"/>
      </w:rPr>
    </w:lvl>
    <w:lvl w:ilvl="1">
      <w:start w:val="1"/>
      <w:numFmt w:val="decimal"/>
      <w:lvlText w:val="%1.%2"/>
      <w:lvlJc w:val="left"/>
      <w:pPr>
        <w:ind w:left="598" w:hanging="549"/>
      </w:pPr>
      <w:rPr>
        <w:rFonts w:ascii="Arial" w:eastAsia="Arial" w:hAnsi="Arial" w:cs="Arial" w:hint="default"/>
        <w:b/>
        <w:bCs/>
        <w:i w:val="0"/>
        <w:iCs w:val="0"/>
        <w:spacing w:val="0"/>
        <w:w w:val="99"/>
        <w:sz w:val="28"/>
        <w:szCs w:val="28"/>
        <w:lang w:val="en-US" w:eastAsia="en-US" w:bidi="ar-SA"/>
      </w:rPr>
    </w:lvl>
    <w:lvl w:ilvl="2">
      <w:numFmt w:val="bullet"/>
      <w:lvlText w:val="•"/>
      <w:lvlJc w:val="left"/>
      <w:pPr>
        <w:ind w:left="1135" w:hanging="549"/>
      </w:pPr>
      <w:rPr>
        <w:rFonts w:hint="default"/>
        <w:lang w:val="en-US" w:eastAsia="en-US" w:bidi="ar-SA"/>
      </w:rPr>
    </w:lvl>
    <w:lvl w:ilvl="3">
      <w:numFmt w:val="bullet"/>
      <w:lvlText w:val="•"/>
      <w:lvlJc w:val="left"/>
      <w:pPr>
        <w:ind w:left="1670" w:hanging="549"/>
      </w:pPr>
      <w:rPr>
        <w:rFonts w:hint="default"/>
        <w:lang w:val="en-US" w:eastAsia="en-US" w:bidi="ar-SA"/>
      </w:rPr>
    </w:lvl>
    <w:lvl w:ilvl="4">
      <w:numFmt w:val="bullet"/>
      <w:lvlText w:val="•"/>
      <w:lvlJc w:val="left"/>
      <w:pPr>
        <w:ind w:left="2205" w:hanging="549"/>
      </w:pPr>
      <w:rPr>
        <w:rFonts w:hint="default"/>
        <w:lang w:val="en-US" w:eastAsia="en-US" w:bidi="ar-SA"/>
      </w:rPr>
    </w:lvl>
    <w:lvl w:ilvl="5">
      <w:numFmt w:val="bullet"/>
      <w:lvlText w:val="•"/>
      <w:lvlJc w:val="left"/>
      <w:pPr>
        <w:ind w:left="2740" w:hanging="549"/>
      </w:pPr>
      <w:rPr>
        <w:rFonts w:hint="default"/>
        <w:lang w:val="en-US" w:eastAsia="en-US" w:bidi="ar-SA"/>
      </w:rPr>
    </w:lvl>
    <w:lvl w:ilvl="6">
      <w:numFmt w:val="bullet"/>
      <w:lvlText w:val="•"/>
      <w:lvlJc w:val="left"/>
      <w:pPr>
        <w:ind w:left="3275" w:hanging="549"/>
      </w:pPr>
      <w:rPr>
        <w:rFonts w:hint="default"/>
        <w:lang w:val="en-US" w:eastAsia="en-US" w:bidi="ar-SA"/>
      </w:rPr>
    </w:lvl>
    <w:lvl w:ilvl="7">
      <w:numFmt w:val="bullet"/>
      <w:lvlText w:val="•"/>
      <w:lvlJc w:val="left"/>
      <w:pPr>
        <w:ind w:left="3810" w:hanging="549"/>
      </w:pPr>
      <w:rPr>
        <w:rFonts w:hint="default"/>
        <w:lang w:val="en-US" w:eastAsia="en-US" w:bidi="ar-SA"/>
      </w:rPr>
    </w:lvl>
    <w:lvl w:ilvl="8">
      <w:numFmt w:val="bullet"/>
      <w:lvlText w:val="•"/>
      <w:lvlJc w:val="left"/>
      <w:pPr>
        <w:ind w:left="4345" w:hanging="549"/>
      </w:pPr>
      <w:rPr>
        <w:rFonts w:hint="default"/>
        <w:lang w:val="en-US" w:eastAsia="en-US" w:bidi="ar-SA"/>
      </w:rPr>
    </w:lvl>
  </w:abstractNum>
  <w:abstractNum w:abstractNumId="31" w15:restartNumberingAfterBreak="0">
    <w:nsid w:val="669650A5"/>
    <w:multiLevelType w:val="multilevel"/>
    <w:tmpl w:val="0A64E38A"/>
    <w:lvl w:ilvl="0">
      <w:start w:val="2"/>
      <w:numFmt w:val="decimal"/>
      <w:lvlText w:val="%1"/>
      <w:lvlJc w:val="left"/>
      <w:pPr>
        <w:ind w:left="1105" w:hanging="394"/>
      </w:pPr>
      <w:rPr>
        <w:rFonts w:hint="default"/>
        <w:lang w:val="en-US" w:eastAsia="en-US" w:bidi="ar-SA"/>
      </w:rPr>
    </w:lvl>
    <w:lvl w:ilvl="1">
      <w:start w:val="3"/>
      <w:numFmt w:val="decimal"/>
      <w:lvlText w:val="%1.%2"/>
      <w:lvlJc w:val="left"/>
      <w:pPr>
        <w:ind w:left="1105" w:hanging="394"/>
        <w:jc w:val="right"/>
      </w:pPr>
      <w:rPr>
        <w:rFonts w:hint="default"/>
        <w:spacing w:val="20"/>
        <w:w w:val="94"/>
        <w:lang w:val="en-US" w:eastAsia="en-US" w:bidi="ar-SA"/>
      </w:rPr>
    </w:lvl>
    <w:lvl w:ilvl="2">
      <w:numFmt w:val="bullet"/>
      <w:lvlText w:val="•"/>
      <w:lvlJc w:val="left"/>
      <w:pPr>
        <w:ind w:left="2977" w:hanging="394"/>
      </w:pPr>
      <w:rPr>
        <w:rFonts w:hint="default"/>
        <w:lang w:val="en-US" w:eastAsia="en-US" w:bidi="ar-SA"/>
      </w:rPr>
    </w:lvl>
    <w:lvl w:ilvl="3">
      <w:numFmt w:val="bullet"/>
      <w:lvlText w:val="•"/>
      <w:lvlJc w:val="left"/>
      <w:pPr>
        <w:ind w:left="3916" w:hanging="394"/>
      </w:pPr>
      <w:rPr>
        <w:rFonts w:hint="default"/>
        <w:lang w:val="en-US" w:eastAsia="en-US" w:bidi="ar-SA"/>
      </w:rPr>
    </w:lvl>
    <w:lvl w:ilvl="4">
      <w:numFmt w:val="bullet"/>
      <w:lvlText w:val="•"/>
      <w:lvlJc w:val="left"/>
      <w:pPr>
        <w:ind w:left="4855" w:hanging="394"/>
      </w:pPr>
      <w:rPr>
        <w:rFonts w:hint="default"/>
        <w:lang w:val="en-US" w:eastAsia="en-US" w:bidi="ar-SA"/>
      </w:rPr>
    </w:lvl>
    <w:lvl w:ilvl="5">
      <w:numFmt w:val="bullet"/>
      <w:lvlText w:val="•"/>
      <w:lvlJc w:val="left"/>
      <w:pPr>
        <w:ind w:left="5794" w:hanging="394"/>
      </w:pPr>
      <w:rPr>
        <w:rFonts w:hint="default"/>
        <w:lang w:val="en-US" w:eastAsia="en-US" w:bidi="ar-SA"/>
      </w:rPr>
    </w:lvl>
    <w:lvl w:ilvl="6">
      <w:numFmt w:val="bullet"/>
      <w:lvlText w:val="•"/>
      <w:lvlJc w:val="left"/>
      <w:pPr>
        <w:ind w:left="6733" w:hanging="394"/>
      </w:pPr>
      <w:rPr>
        <w:rFonts w:hint="default"/>
        <w:lang w:val="en-US" w:eastAsia="en-US" w:bidi="ar-SA"/>
      </w:rPr>
    </w:lvl>
    <w:lvl w:ilvl="7">
      <w:numFmt w:val="bullet"/>
      <w:lvlText w:val="•"/>
      <w:lvlJc w:val="left"/>
      <w:pPr>
        <w:ind w:left="7672" w:hanging="394"/>
      </w:pPr>
      <w:rPr>
        <w:rFonts w:hint="default"/>
        <w:lang w:val="en-US" w:eastAsia="en-US" w:bidi="ar-SA"/>
      </w:rPr>
    </w:lvl>
    <w:lvl w:ilvl="8">
      <w:numFmt w:val="bullet"/>
      <w:lvlText w:val="•"/>
      <w:lvlJc w:val="left"/>
      <w:pPr>
        <w:ind w:left="8611" w:hanging="394"/>
      </w:pPr>
      <w:rPr>
        <w:rFonts w:hint="default"/>
        <w:lang w:val="en-US" w:eastAsia="en-US" w:bidi="ar-SA"/>
      </w:rPr>
    </w:lvl>
  </w:abstractNum>
  <w:abstractNum w:abstractNumId="32" w15:restartNumberingAfterBreak="0">
    <w:nsid w:val="679D3121"/>
    <w:multiLevelType w:val="hybridMultilevel"/>
    <w:tmpl w:val="16E485C2"/>
    <w:lvl w:ilvl="0" w:tplc="0130FB08">
      <w:start w:val="1"/>
      <w:numFmt w:val="lowerLetter"/>
      <w:lvlText w:val="(%1)"/>
      <w:lvlJc w:val="left"/>
      <w:pPr>
        <w:ind w:left="804" w:hanging="324"/>
      </w:pPr>
      <w:rPr>
        <w:rFonts w:ascii="Times New Roman" w:eastAsia="Times New Roman" w:hAnsi="Times New Roman" w:cs="Times New Roman" w:hint="default"/>
        <w:b w:val="0"/>
        <w:bCs w:val="0"/>
        <w:i w:val="0"/>
        <w:iCs w:val="0"/>
        <w:spacing w:val="0"/>
        <w:w w:val="104"/>
        <w:sz w:val="16"/>
        <w:szCs w:val="16"/>
        <w:lang w:val="en-US" w:eastAsia="en-US" w:bidi="ar-SA"/>
      </w:rPr>
    </w:lvl>
    <w:lvl w:ilvl="1" w:tplc="E3BAFD38">
      <w:numFmt w:val="bullet"/>
      <w:lvlText w:val="•"/>
      <w:lvlJc w:val="left"/>
      <w:pPr>
        <w:ind w:left="1768" w:hanging="324"/>
      </w:pPr>
      <w:rPr>
        <w:rFonts w:hint="default"/>
        <w:lang w:val="en-US" w:eastAsia="en-US" w:bidi="ar-SA"/>
      </w:rPr>
    </w:lvl>
    <w:lvl w:ilvl="2" w:tplc="E59E84F8">
      <w:numFmt w:val="bullet"/>
      <w:lvlText w:val="•"/>
      <w:lvlJc w:val="left"/>
      <w:pPr>
        <w:ind w:left="2737" w:hanging="324"/>
      </w:pPr>
      <w:rPr>
        <w:rFonts w:hint="default"/>
        <w:lang w:val="en-US" w:eastAsia="en-US" w:bidi="ar-SA"/>
      </w:rPr>
    </w:lvl>
    <w:lvl w:ilvl="3" w:tplc="C56A1410">
      <w:numFmt w:val="bullet"/>
      <w:lvlText w:val="•"/>
      <w:lvlJc w:val="left"/>
      <w:pPr>
        <w:ind w:left="3706" w:hanging="324"/>
      </w:pPr>
      <w:rPr>
        <w:rFonts w:hint="default"/>
        <w:lang w:val="en-US" w:eastAsia="en-US" w:bidi="ar-SA"/>
      </w:rPr>
    </w:lvl>
    <w:lvl w:ilvl="4" w:tplc="FA4CDD68">
      <w:numFmt w:val="bullet"/>
      <w:lvlText w:val="•"/>
      <w:lvlJc w:val="left"/>
      <w:pPr>
        <w:ind w:left="4675" w:hanging="324"/>
      </w:pPr>
      <w:rPr>
        <w:rFonts w:hint="default"/>
        <w:lang w:val="en-US" w:eastAsia="en-US" w:bidi="ar-SA"/>
      </w:rPr>
    </w:lvl>
    <w:lvl w:ilvl="5" w:tplc="7DE68722">
      <w:numFmt w:val="bullet"/>
      <w:lvlText w:val="•"/>
      <w:lvlJc w:val="left"/>
      <w:pPr>
        <w:ind w:left="5644" w:hanging="324"/>
      </w:pPr>
      <w:rPr>
        <w:rFonts w:hint="default"/>
        <w:lang w:val="en-US" w:eastAsia="en-US" w:bidi="ar-SA"/>
      </w:rPr>
    </w:lvl>
    <w:lvl w:ilvl="6" w:tplc="9348C00A">
      <w:numFmt w:val="bullet"/>
      <w:lvlText w:val="•"/>
      <w:lvlJc w:val="left"/>
      <w:pPr>
        <w:ind w:left="6613" w:hanging="324"/>
      </w:pPr>
      <w:rPr>
        <w:rFonts w:hint="default"/>
        <w:lang w:val="en-US" w:eastAsia="en-US" w:bidi="ar-SA"/>
      </w:rPr>
    </w:lvl>
    <w:lvl w:ilvl="7" w:tplc="E2EAE336">
      <w:numFmt w:val="bullet"/>
      <w:lvlText w:val="•"/>
      <w:lvlJc w:val="left"/>
      <w:pPr>
        <w:ind w:left="7582" w:hanging="324"/>
      </w:pPr>
      <w:rPr>
        <w:rFonts w:hint="default"/>
        <w:lang w:val="en-US" w:eastAsia="en-US" w:bidi="ar-SA"/>
      </w:rPr>
    </w:lvl>
    <w:lvl w:ilvl="8" w:tplc="26A62A3A">
      <w:numFmt w:val="bullet"/>
      <w:lvlText w:val="•"/>
      <w:lvlJc w:val="left"/>
      <w:pPr>
        <w:ind w:left="8551" w:hanging="324"/>
      </w:pPr>
      <w:rPr>
        <w:rFonts w:hint="default"/>
        <w:lang w:val="en-US" w:eastAsia="en-US" w:bidi="ar-SA"/>
      </w:rPr>
    </w:lvl>
  </w:abstractNum>
  <w:abstractNum w:abstractNumId="33" w15:restartNumberingAfterBreak="0">
    <w:nsid w:val="68B24E4D"/>
    <w:multiLevelType w:val="hybridMultilevel"/>
    <w:tmpl w:val="6F0E0B30"/>
    <w:lvl w:ilvl="0" w:tplc="A4A00E30">
      <w:start w:val="1"/>
      <w:numFmt w:val="decimal"/>
      <w:lvlText w:val="%1."/>
      <w:lvlJc w:val="left"/>
      <w:pPr>
        <w:ind w:left="303" w:hanging="201"/>
      </w:pPr>
      <w:rPr>
        <w:rFonts w:ascii="Arial" w:eastAsia="Arial" w:hAnsi="Arial" w:cs="Arial" w:hint="default"/>
        <w:b w:val="0"/>
        <w:bCs w:val="0"/>
        <w:i w:val="0"/>
        <w:iCs w:val="0"/>
        <w:spacing w:val="-1"/>
        <w:w w:val="100"/>
        <w:sz w:val="18"/>
        <w:szCs w:val="18"/>
        <w:lang w:val="en-US" w:eastAsia="en-US" w:bidi="ar-SA"/>
      </w:rPr>
    </w:lvl>
    <w:lvl w:ilvl="1" w:tplc="B4549118">
      <w:numFmt w:val="bullet"/>
      <w:lvlText w:val="•"/>
      <w:lvlJc w:val="left"/>
      <w:pPr>
        <w:ind w:left="981" w:hanging="201"/>
      </w:pPr>
      <w:rPr>
        <w:rFonts w:hint="default"/>
        <w:lang w:val="en-US" w:eastAsia="en-US" w:bidi="ar-SA"/>
      </w:rPr>
    </w:lvl>
    <w:lvl w:ilvl="2" w:tplc="CB6694F4">
      <w:numFmt w:val="bullet"/>
      <w:lvlText w:val="•"/>
      <w:lvlJc w:val="left"/>
      <w:pPr>
        <w:ind w:left="1662" w:hanging="201"/>
      </w:pPr>
      <w:rPr>
        <w:rFonts w:hint="default"/>
        <w:lang w:val="en-US" w:eastAsia="en-US" w:bidi="ar-SA"/>
      </w:rPr>
    </w:lvl>
    <w:lvl w:ilvl="3" w:tplc="F7D2EDCC">
      <w:numFmt w:val="bullet"/>
      <w:lvlText w:val="•"/>
      <w:lvlJc w:val="left"/>
      <w:pPr>
        <w:ind w:left="2343" w:hanging="201"/>
      </w:pPr>
      <w:rPr>
        <w:rFonts w:hint="default"/>
        <w:lang w:val="en-US" w:eastAsia="en-US" w:bidi="ar-SA"/>
      </w:rPr>
    </w:lvl>
    <w:lvl w:ilvl="4" w:tplc="6A5A59FC">
      <w:numFmt w:val="bullet"/>
      <w:lvlText w:val="•"/>
      <w:lvlJc w:val="left"/>
      <w:pPr>
        <w:ind w:left="3024" w:hanging="201"/>
      </w:pPr>
      <w:rPr>
        <w:rFonts w:hint="default"/>
        <w:lang w:val="en-US" w:eastAsia="en-US" w:bidi="ar-SA"/>
      </w:rPr>
    </w:lvl>
    <w:lvl w:ilvl="5" w:tplc="80E0A700">
      <w:numFmt w:val="bullet"/>
      <w:lvlText w:val="•"/>
      <w:lvlJc w:val="left"/>
      <w:pPr>
        <w:ind w:left="3705" w:hanging="201"/>
      </w:pPr>
      <w:rPr>
        <w:rFonts w:hint="default"/>
        <w:lang w:val="en-US" w:eastAsia="en-US" w:bidi="ar-SA"/>
      </w:rPr>
    </w:lvl>
    <w:lvl w:ilvl="6" w:tplc="3A7AE562">
      <w:numFmt w:val="bullet"/>
      <w:lvlText w:val="•"/>
      <w:lvlJc w:val="left"/>
      <w:pPr>
        <w:ind w:left="4386" w:hanging="201"/>
      </w:pPr>
      <w:rPr>
        <w:rFonts w:hint="default"/>
        <w:lang w:val="en-US" w:eastAsia="en-US" w:bidi="ar-SA"/>
      </w:rPr>
    </w:lvl>
    <w:lvl w:ilvl="7" w:tplc="7200086E">
      <w:numFmt w:val="bullet"/>
      <w:lvlText w:val="•"/>
      <w:lvlJc w:val="left"/>
      <w:pPr>
        <w:ind w:left="5067" w:hanging="201"/>
      </w:pPr>
      <w:rPr>
        <w:rFonts w:hint="default"/>
        <w:lang w:val="en-US" w:eastAsia="en-US" w:bidi="ar-SA"/>
      </w:rPr>
    </w:lvl>
    <w:lvl w:ilvl="8" w:tplc="DFE29200">
      <w:numFmt w:val="bullet"/>
      <w:lvlText w:val="•"/>
      <w:lvlJc w:val="left"/>
      <w:pPr>
        <w:ind w:left="5748" w:hanging="201"/>
      </w:pPr>
      <w:rPr>
        <w:rFonts w:hint="default"/>
        <w:lang w:val="en-US" w:eastAsia="en-US" w:bidi="ar-SA"/>
      </w:rPr>
    </w:lvl>
  </w:abstractNum>
  <w:abstractNum w:abstractNumId="34" w15:restartNumberingAfterBreak="0">
    <w:nsid w:val="6AC31266"/>
    <w:multiLevelType w:val="hybridMultilevel"/>
    <w:tmpl w:val="2EE0BD9C"/>
    <w:lvl w:ilvl="0" w:tplc="BF6628D6">
      <w:start w:val="1"/>
      <w:numFmt w:val="decimal"/>
      <w:lvlText w:val="%1."/>
      <w:lvlJc w:val="left"/>
      <w:pPr>
        <w:ind w:left="369" w:hanging="227"/>
      </w:pPr>
      <w:rPr>
        <w:rFonts w:ascii="Arial" w:eastAsia="Arial" w:hAnsi="Arial" w:cs="Arial" w:hint="default"/>
        <w:b w:val="0"/>
        <w:bCs w:val="0"/>
        <w:i w:val="0"/>
        <w:iCs w:val="0"/>
        <w:spacing w:val="-7"/>
        <w:w w:val="100"/>
        <w:sz w:val="17"/>
        <w:szCs w:val="17"/>
        <w:lang w:val="en-US" w:eastAsia="en-US" w:bidi="ar-SA"/>
      </w:rPr>
    </w:lvl>
    <w:lvl w:ilvl="1" w:tplc="DC60C832">
      <w:numFmt w:val="bullet"/>
      <w:lvlText w:val="•"/>
      <w:lvlJc w:val="left"/>
      <w:pPr>
        <w:ind w:left="1372" w:hanging="227"/>
      </w:pPr>
      <w:rPr>
        <w:rFonts w:hint="default"/>
        <w:lang w:val="en-US" w:eastAsia="en-US" w:bidi="ar-SA"/>
      </w:rPr>
    </w:lvl>
    <w:lvl w:ilvl="2" w:tplc="C42676FC">
      <w:numFmt w:val="bullet"/>
      <w:lvlText w:val="•"/>
      <w:lvlJc w:val="left"/>
      <w:pPr>
        <w:ind w:left="2385" w:hanging="227"/>
      </w:pPr>
      <w:rPr>
        <w:rFonts w:hint="default"/>
        <w:lang w:val="en-US" w:eastAsia="en-US" w:bidi="ar-SA"/>
      </w:rPr>
    </w:lvl>
    <w:lvl w:ilvl="3" w:tplc="FE546FC4">
      <w:numFmt w:val="bullet"/>
      <w:lvlText w:val="•"/>
      <w:lvlJc w:val="left"/>
      <w:pPr>
        <w:ind w:left="3398" w:hanging="227"/>
      </w:pPr>
      <w:rPr>
        <w:rFonts w:hint="default"/>
        <w:lang w:val="en-US" w:eastAsia="en-US" w:bidi="ar-SA"/>
      </w:rPr>
    </w:lvl>
    <w:lvl w:ilvl="4" w:tplc="50FC5D54">
      <w:numFmt w:val="bullet"/>
      <w:lvlText w:val="•"/>
      <w:lvlJc w:val="left"/>
      <w:pPr>
        <w:ind w:left="4411" w:hanging="227"/>
      </w:pPr>
      <w:rPr>
        <w:rFonts w:hint="default"/>
        <w:lang w:val="en-US" w:eastAsia="en-US" w:bidi="ar-SA"/>
      </w:rPr>
    </w:lvl>
    <w:lvl w:ilvl="5" w:tplc="EB78EA80">
      <w:numFmt w:val="bullet"/>
      <w:lvlText w:val="•"/>
      <w:lvlJc w:val="left"/>
      <w:pPr>
        <w:ind w:left="5424" w:hanging="227"/>
      </w:pPr>
      <w:rPr>
        <w:rFonts w:hint="default"/>
        <w:lang w:val="en-US" w:eastAsia="en-US" w:bidi="ar-SA"/>
      </w:rPr>
    </w:lvl>
    <w:lvl w:ilvl="6" w:tplc="D07824AA">
      <w:numFmt w:val="bullet"/>
      <w:lvlText w:val="•"/>
      <w:lvlJc w:val="left"/>
      <w:pPr>
        <w:ind w:left="6437" w:hanging="227"/>
      </w:pPr>
      <w:rPr>
        <w:rFonts w:hint="default"/>
        <w:lang w:val="en-US" w:eastAsia="en-US" w:bidi="ar-SA"/>
      </w:rPr>
    </w:lvl>
    <w:lvl w:ilvl="7" w:tplc="0AC43FAC">
      <w:numFmt w:val="bullet"/>
      <w:lvlText w:val="•"/>
      <w:lvlJc w:val="left"/>
      <w:pPr>
        <w:ind w:left="7450" w:hanging="227"/>
      </w:pPr>
      <w:rPr>
        <w:rFonts w:hint="default"/>
        <w:lang w:val="en-US" w:eastAsia="en-US" w:bidi="ar-SA"/>
      </w:rPr>
    </w:lvl>
    <w:lvl w:ilvl="8" w:tplc="25DEFE38">
      <w:numFmt w:val="bullet"/>
      <w:lvlText w:val="•"/>
      <w:lvlJc w:val="left"/>
      <w:pPr>
        <w:ind w:left="8463" w:hanging="227"/>
      </w:pPr>
      <w:rPr>
        <w:rFonts w:hint="default"/>
        <w:lang w:val="en-US" w:eastAsia="en-US" w:bidi="ar-SA"/>
      </w:rPr>
    </w:lvl>
  </w:abstractNum>
  <w:abstractNum w:abstractNumId="35" w15:restartNumberingAfterBreak="0">
    <w:nsid w:val="6C31639D"/>
    <w:multiLevelType w:val="hybridMultilevel"/>
    <w:tmpl w:val="91D8B9D0"/>
    <w:lvl w:ilvl="0" w:tplc="FFB4256C">
      <w:numFmt w:val="bullet"/>
      <w:lvlText w:val="●"/>
      <w:lvlJc w:val="left"/>
      <w:pPr>
        <w:ind w:left="251" w:hanging="171"/>
      </w:pPr>
      <w:rPr>
        <w:rFonts w:ascii="Arial" w:eastAsia="Arial" w:hAnsi="Arial" w:cs="Arial" w:hint="default"/>
        <w:b/>
        <w:bCs/>
        <w:i w:val="0"/>
        <w:iCs w:val="0"/>
        <w:spacing w:val="0"/>
        <w:w w:val="97"/>
        <w:sz w:val="12"/>
        <w:szCs w:val="12"/>
        <w:lang w:val="en-US" w:eastAsia="en-US" w:bidi="ar-SA"/>
      </w:rPr>
    </w:lvl>
    <w:lvl w:ilvl="1" w:tplc="FBF0DED4">
      <w:numFmt w:val="bullet"/>
      <w:lvlText w:val="•"/>
      <w:lvlJc w:val="left"/>
      <w:pPr>
        <w:ind w:left="732" w:hanging="171"/>
      </w:pPr>
      <w:rPr>
        <w:rFonts w:hint="default"/>
        <w:lang w:val="en-US" w:eastAsia="en-US" w:bidi="ar-SA"/>
      </w:rPr>
    </w:lvl>
    <w:lvl w:ilvl="2" w:tplc="EAD21DAE">
      <w:numFmt w:val="bullet"/>
      <w:lvlText w:val="•"/>
      <w:lvlJc w:val="left"/>
      <w:pPr>
        <w:ind w:left="1205" w:hanging="171"/>
      </w:pPr>
      <w:rPr>
        <w:rFonts w:hint="default"/>
        <w:lang w:val="en-US" w:eastAsia="en-US" w:bidi="ar-SA"/>
      </w:rPr>
    </w:lvl>
    <w:lvl w:ilvl="3" w:tplc="27D68550">
      <w:numFmt w:val="bullet"/>
      <w:lvlText w:val="•"/>
      <w:lvlJc w:val="left"/>
      <w:pPr>
        <w:ind w:left="1678" w:hanging="171"/>
      </w:pPr>
      <w:rPr>
        <w:rFonts w:hint="default"/>
        <w:lang w:val="en-US" w:eastAsia="en-US" w:bidi="ar-SA"/>
      </w:rPr>
    </w:lvl>
    <w:lvl w:ilvl="4" w:tplc="BBE62174">
      <w:numFmt w:val="bullet"/>
      <w:lvlText w:val="•"/>
      <w:lvlJc w:val="left"/>
      <w:pPr>
        <w:ind w:left="2151" w:hanging="171"/>
      </w:pPr>
      <w:rPr>
        <w:rFonts w:hint="default"/>
        <w:lang w:val="en-US" w:eastAsia="en-US" w:bidi="ar-SA"/>
      </w:rPr>
    </w:lvl>
    <w:lvl w:ilvl="5" w:tplc="EB886F96">
      <w:numFmt w:val="bullet"/>
      <w:lvlText w:val="•"/>
      <w:lvlJc w:val="left"/>
      <w:pPr>
        <w:ind w:left="2623" w:hanging="171"/>
      </w:pPr>
      <w:rPr>
        <w:rFonts w:hint="default"/>
        <w:lang w:val="en-US" w:eastAsia="en-US" w:bidi="ar-SA"/>
      </w:rPr>
    </w:lvl>
    <w:lvl w:ilvl="6" w:tplc="3EBAE33A">
      <w:numFmt w:val="bullet"/>
      <w:lvlText w:val="•"/>
      <w:lvlJc w:val="left"/>
      <w:pPr>
        <w:ind w:left="3096" w:hanging="171"/>
      </w:pPr>
      <w:rPr>
        <w:rFonts w:hint="default"/>
        <w:lang w:val="en-US" w:eastAsia="en-US" w:bidi="ar-SA"/>
      </w:rPr>
    </w:lvl>
    <w:lvl w:ilvl="7" w:tplc="A6A2284A">
      <w:numFmt w:val="bullet"/>
      <w:lvlText w:val="•"/>
      <w:lvlJc w:val="left"/>
      <w:pPr>
        <w:ind w:left="3569" w:hanging="171"/>
      </w:pPr>
      <w:rPr>
        <w:rFonts w:hint="default"/>
        <w:lang w:val="en-US" w:eastAsia="en-US" w:bidi="ar-SA"/>
      </w:rPr>
    </w:lvl>
    <w:lvl w:ilvl="8" w:tplc="076284E2">
      <w:numFmt w:val="bullet"/>
      <w:lvlText w:val="•"/>
      <w:lvlJc w:val="left"/>
      <w:pPr>
        <w:ind w:left="4042" w:hanging="171"/>
      </w:pPr>
      <w:rPr>
        <w:rFonts w:hint="default"/>
        <w:lang w:val="en-US" w:eastAsia="en-US" w:bidi="ar-SA"/>
      </w:rPr>
    </w:lvl>
  </w:abstractNum>
  <w:abstractNum w:abstractNumId="36" w15:restartNumberingAfterBreak="0">
    <w:nsid w:val="6EE7694F"/>
    <w:multiLevelType w:val="hybridMultilevel"/>
    <w:tmpl w:val="809EA6DA"/>
    <w:lvl w:ilvl="0" w:tplc="8DEC30D6">
      <w:numFmt w:val="bullet"/>
      <w:lvlText w:val="●"/>
      <w:lvlJc w:val="left"/>
      <w:pPr>
        <w:ind w:left="440" w:hanging="270"/>
      </w:pPr>
      <w:rPr>
        <w:rFonts w:ascii="Arial" w:eastAsia="Arial" w:hAnsi="Arial" w:cs="Arial" w:hint="default"/>
        <w:b/>
        <w:bCs/>
        <w:i w:val="0"/>
        <w:iCs w:val="0"/>
        <w:spacing w:val="0"/>
        <w:w w:val="97"/>
        <w:sz w:val="12"/>
        <w:szCs w:val="12"/>
        <w:lang w:val="en-US" w:eastAsia="en-US" w:bidi="ar-SA"/>
      </w:rPr>
    </w:lvl>
    <w:lvl w:ilvl="1" w:tplc="F9A85FB4">
      <w:numFmt w:val="bullet"/>
      <w:lvlText w:val="•"/>
      <w:lvlJc w:val="left"/>
      <w:pPr>
        <w:ind w:left="1444" w:hanging="270"/>
      </w:pPr>
      <w:rPr>
        <w:rFonts w:hint="default"/>
        <w:lang w:val="en-US" w:eastAsia="en-US" w:bidi="ar-SA"/>
      </w:rPr>
    </w:lvl>
    <w:lvl w:ilvl="2" w:tplc="1494C194">
      <w:numFmt w:val="bullet"/>
      <w:lvlText w:val="•"/>
      <w:lvlJc w:val="left"/>
      <w:pPr>
        <w:ind w:left="2449" w:hanging="270"/>
      </w:pPr>
      <w:rPr>
        <w:rFonts w:hint="default"/>
        <w:lang w:val="en-US" w:eastAsia="en-US" w:bidi="ar-SA"/>
      </w:rPr>
    </w:lvl>
    <w:lvl w:ilvl="3" w:tplc="DA1A98B6">
      <w:numFmt w:val="bullet"/>
      <w:lvlText w:val="•"/>
      <w:lvlJc w:val="left"/>
      <w:pPr>
        <w:ind w:left="3454" w:hanging="270"/>
      </w:pPr>
      <w:rPr>
        <w:rFonts w:hint="default"/>
        <w:lang w:val="en-US" w:eastAsia="en-US" w:bidi="ar-SA"/>
      </w:rPr>
    </w:lvl>
    <w:lvl w:ilvl="4" w:tplc="1C0C6FC2">
      <w:numFmt w:val="bullet"/>
      <w:lvlText w:val="•"/>
      <w:lvlJc w:val="left"/>
      <w:pPr>
        <w:ind w:left="4459" w:hanging="270"/>
      </w:pPr>
      <w:rPr>
        <w:rFonts w:hint="default"/>
        <w:lang w:val="en-US" w:eastAsia="en-US" w:bidi="ar-SA"/>
      </w:rPr>
    </w:lvl>
    <w:lvl w:ilvl="5" w:tplc="F508F870">
      <w:numFmt w:val="bullet"/>
      <w:lvlText w:val="•"/>
      <w:lvlJc w:val="left"/>
      <w:pPr>
        <w:ind w:left="5464" w:hanging="270"/>
      </w:pPr>
      <w:rPr>
        <w:rFonts w:hint="default"/>
        <w:lang w:val="en-US" w:eastAsia="en-US" w:bidi="ar-SA"/>
      </w:rPr>
    </w:lvl>
    <w:lvl w:ilvl="6" w:tplc="6474422C">
      <w:numFmt w:val="bullet"/>
      <w:lvlText w:val="•"/>
      <w:lvlJc w:val="left"/>
      <w:pPr>
        <w:ind w:left="6469" w:hanging="270"/>
      </w:pPr>
      <w:rPr>
        <w:rFonts w:hint="default"/>
        <w:lang w:val="en-US" w:eastAsia="en-US" w:bidi="ar-SA"/>
      </w:rPr>
    </w:lvl>
    <w:lvl w:ilvl="7" w:tplc="F3165C9E">
      <w:numFmt w:val="bullet"/>
      <w:lvlText w:val="•"/>
      <w:lvlJc w:val="left"/>
      <w:pPr>
        <w:ind w:left="7474" w:hanging="270"/>
      </w:pPr>
      <w:rPr>
        <w:rFonts w:hint="default"/>
        <w:lang w:val="en-US" w:eastAsia="en-US" w:bidi="ar-SA"/>
      </w:rPr>
    </w:lvl>
    <w:lvl w:ilvl="8" w:tplc="790074BE">
      <w:numFmt w:val="bullet"/>
      <w:lvlText w:val="•"/>
      <w:lvlJc w:val="left"/>
      <w:pPr>
        <w:ind w:left="8479" w:hanging="270"/>
      </w:pPr>
      <w:rPr>
        <w:rFonts w:hint="default"/>
        <w:lang w:val="en-US" w:eastAsia="en-US" w:bidi="ar-SA"/>
      </w:rPr>
    </w:lvl>
  </w:abstractNum>
  <w:abstractNum w:abstractNumId="37" w15:restartNumberingAfterBreak="0">
    <w:nsid w:val="6F2111BE"/>
    <w:multiLevelType w:val="hybridMultilevel"/>
    <w:tmpl w:val="AE44E438"/>
    <w:lvl w:ilvl="0" w:tplc="D2FE0F2A">
      <w:start w:val="1"/>
      <w:numFmt w:val="decimal"/>
      <w:lvlText w:val="%1."/>
      <w:lvlJc w:val="left"/>
      <w:pPr>
        <w:ind w:left="689" w:hanging="548"/>
      </w:pPr>
      <w:rPr>
        <w:rFonts w:ascii="Arial" w:eastAsia="Arial" w:hAnsi="Arial" w:cs="Arial" w:hint="default"/>
        <w:b w:val="0"/>
        <w:bCs w:val="0"/>
        <w:i w:val="0"/>
        <w:iCs w:val="0"/>
        <w:spacing w:val="-32"/>
        <w:w w:val="100"/>
        <w:sz w:val="52"/>
        <w:szCs w:val="52"/>
        <w:lang w:val="en-US" w:eastAsia="en-US" w:bidi="ar-SA"/>
      </w:rPr>
    </w:lvl>
    <w:lvl w:ilvl="1" w:tplc="3D5445A8">
      <w:numFmt w:val="bullet"/>
      <w:lvlText w:val="•"/>
      <w:lvlJc w:val="left"/>
      <w:pPr>
        <w:ind w:left="1660" w:hanging="548"/>
      </w:pPr>
      <w:rPr>
        <w:rFonts w:hint="default"/>
        <w:lang w:val="en-US" w:eastAsia="en-US" w:bidi="ar-SA"/>
      </w:rPr>
    </w:lvl>
    <w:lvl w:ilvl="2" w:tplc="B87C034A">
      <w:numFmt w:val="bullet"/>
      <w:lvlText w:val="•"/>
      <w:lvlJc w:val="left"/>
      <w:pPr>
        <w:ind w:left="2641" w:hanging="548"/>
      </w:pPr>
      <w:rPr>
        <w:rFonts w:hint="default"/>
        <w:lang w:val="en-US" w:eastAsia="en-US" w:bidi="ar-SA"/>
      </w:rPr>
    </w:lvl>
    <w:lvl w:ilvl="3" w:tplc="7E3AE0E2">
      <w:numFmt w:val="bullet"/>
      <w:lvlText w:val="•"/>
      <w:lvlJc w:val="left"/>
      <w:pPr>
        <w:ind w:left="3622" w:hanging="548"/>
      </w:pPr>
      <w:rPr>
        <w:rFonts w:hint="default"/>
        <w:lang w:val="en-US" w:eastAsia="en-US" w:bidi="ar-SA"/>
      </w:rPr>
    </w:lvl>
    <w:lvl w:ilvl="4" w:tplc="D0BC75D0">
      <w:numFmt w:val="bullet"/>
      <w:lvlText w:val="•"/>
      <w:lvlJc w:val="left"/>
      <w:pPr>
        <w:ind w:left="4603" w:hanging="548"/>
      </w:pPr>
      <w:rPr>
        <w:rFonts w:hint="default"/>
        <w:lang w:val="en-US" w:eastAsia="en-US" w:bidi="ar-SA"/>
      </w:rPr>
    </w:lvl>
    <w:lvl w:ilvl="5" w:tplc="2CF4E722">
      <w:numFmt w:val="bullet"/>
      <w:lvlText w:val="•"/>
      <w:lvlJc w:val="left"/>
      <w:pPr>
        <w:ind w:left="5584" w:hanging="548"/>
      </w:pPr>
      <w:rPr>
        <w:rFonts w:hint="default"/>
        <w:lang w:val="en-US" w:eastAsia="en-US" w:bidi="ar-SA"/>
      </w:rPr>
    </w:lvl>
    <w:lvl w:ilvl="6" w:tplc="A7222FDE">
      <w:numFmt w:val="bullet"/>
      <w:lvlText w:val="•"/>
      <w:lvlJc w:val="left"/>
      <w:pPr>
        <w:ind w:left="6565" w:hanging="548"/>
      </w:pPr>
      <w:rPr>
        <w:rFonts w:hint="default"/>
        <w:lang w:val="en-US" w:eastAsia="en-US" w:bidi="ar-SA"/>
      </w:rPr>
    </w:lvl>
    <w:lvl w:ilvl="7" w:tplc="DBA60960">
      <w:numFmt w:val="bullet"/>
      <w:lvlText w:val="•"/>
      <w:lvlJc w:val="left"/>
      <w:pPr>
        <w:ind w:left="7546" w:hanging="548"/>
      </w:pPr>
      <w:rPr>
        <w:rFonts w:hint="default"/>
        <w:lang w:val="en-US" w:eastAsia="en-US" w:bidi="ar-SA"/>
      </w:rPr>
    </w:lvl>
    <w:lvl w:ilvl="8" w:tplc="E4DA1E94">
      <w:numFmt w:val="bullet"/>
      <w:lvlText w:val="•"/>
      <w:lvlJc w:val="left"/>
      <w:pPr>
        <w:ind w:left="8527" w:hanging="548"/>
      </w:pPr>
      <w:rPr>
        <w:rFonts w:hint="default"/>
        <w:lang w:val="en-US" w:eastAsia="en-US" w:bidi="ar-SA"/>
      </w:rPr>
    </w:lvl>
  </w:abstractNum>
  <w:abstractNum w:abstractNumId="38" w15:restartNumberingAfterBreak="0">
    <w:nsid w:val="74FF19B6"/>
    <w:multiLevelType w:val="hybridMultilevel"/>
    <w:tmpl w:val="40B4CC72"/>
    <w:lvl w:ilvl="0" w:tplc="B41AD5AC">
      <w:numFmt w:val="bullet"/>
      <w:lvlText w:val="●"/>
      <w:lvlJc w:val="left"/>
      <w:pPr>
        <w:ind w:left="251" w:hanging="171"/>
      </w:pPr>
      <w:rPr>
        <w:rFonts w:ascii="Arial" w:eastAsia="Arial" w:hAnsi="Arial" w:cs="Arial" w:hint="default"/>
        <w:b/>
        <w:bCs/>
        <w:i w:val="0"/>
        <w:iCs w:val="0"/>
        <w:spacing w:val="0"/>
        <w:w w:val="97"/>
        <w:sz w:val="12"/>
        <w:szCs w:val="12"/>
        <w:lang w:val="en-US" w:eastAsia="en-US" w:bidi="ar-SA"/>
      </w:rPr>
    </w:lvl>
    <w:lvl w:ilvl="1" w:tplc="A9C8FF42">
      <w:numFmt w:val="bullet"/>
      <w:lvlText w:val="•"/>
      <w:lvlJc w:val="left"/>
      <w:pPr>
        <w:ind w:left="732" w:hanging="171"/>
      </w:pPr>
      <w:rPr>
        <w:rFonts w:hint="default"/>
        <w:lang w:val="en-US" w:eastAsia="en-US" w:bidi="ar-SA"/>
      </w:rPr>
    </w:lvl>
    <w:lvl w:ilvl="2" w:tplc="34F2954E">
      <w:numFmt w:val="bullet"/>
      <w:lvlText w:val="•"/>
      <w:lvlJc w:val="left"/>
      <w:pPr>
        <w:ind w:left="1205" w:hanging="171"/>
      </w:pPr>
      <w:rPr>
        <w:rFonts w:hint="default"/>
        <w:lang w:val="en-US" w:eastAsia="en-US" w:bidi="ar-SA"/>
      </w:rPr>
    </w:lvl>
    <w:lvl w:ilvl="3" w:tplc="7E3AFF62">
      <w:numFmt w:val="bullet"/>
      <w:lvlText w:val="•"/>
      <w:lvlJc w:val="left"/>
      <w:pPr>
        <w:ind w:left="1678" w:hanging="171"/>
      </w:pPr>
      <w:rPr>
        <w:rFonts w:hint="default"/>
        <w:lang w:val="en-US" w:eastAsia="en-US" w:bidi="ar-SA"/>
      </w:rPr>
    </w:lvl>
    <w:lvl w:ilvl="4" w:tplc="05B8DF20">
      <w:numFmt w:val="bullet"/>
      <w:lvlText w:val="•"/>
      <w:lvlJc w:val="left"/>
      <w:pPr>
        <w:ind w:left="2151" w:hanging="171"/>
      </w:pPr>
      <w:rPr>
        <w:rFonts w:hint="default"/>
        <w:lang w:val="en-US" w:eastAsia="en-US" w:bidi="ar-SA"/>
      </w:rPr>
    </w:lvl>
    <w:lvl w:ilvl="5" w:tplc="55A03F98">
      <w:numFmt w:val="bullet"/>
      <w:lvlText w:val="•"/>
      <w:lvlJc w:val="left"/>
      <w:pPr>
        <w:ind w:left="2623" w:hanging="171"/>
      </w:pPr>
      <w:rPr>
        <w:rFonts w:hint="default"/>
        <w:lang w:val="en-US" w:eastAsia="en-US" w:bidi="ar-SA"/>
      </w:rPr>
    </w:lvl>
    <w:lvl w:ilvl="6" w:tplc="34F87816">
      <w:numFmt w:val="bullet"/>
      <w:lvlText w:val="•"/>
      <w:lvlJc w:val="left"/>
      <w:pPr>
        <w:ind w:left="3096" w:hanging="171"/>
      </w:pPr>
      <w:rPr>
        <w:rFonts w:hint="default"/>
        <w:lang w:val="en-US" w:eastAsia="en-US" w:bidi="ar-SA"/>
      </w:rPr>
    </w:lvl>
    <w:lvl w:ilvl="7" w:tplc="4CD29042">
      <w:numFmt w:val="bullet"/>
      <w:lvlText w:val="•"/>
      <w:lvlJc w:val="left"/>
      <w:pPr>
        <w:ind w:left="3569" w:hanging="171"/>
      </w:pPr>
      <w:rPr>
        <w:rFonts w:hint="default"/>
        <w:lang w:val="en-US" w:eastAsia="en-US" w:bidi="ar-SA"/>
      </w:rPr>
    </w:lvl>
    <w:lvl w:ilvl="8" w:tplc="CC28A382">
      <w:numFmt w:val="bullet"/>
      <w:lvlText w:val="•"/>
      <w:lvlJc w:val="left"/>
      <w:pPr>
        <w:ind w:left="4042" w:hanging="171"/>
      </w:pPr>
      <w:rPr>
        <w:rFonts w:hint="default"/>
        <w:lang w:val="en-US" w:eastAsia="en-US" w:bidi="ar-SA"/>
      </w:rPr>
    </w:lvl>
  </w:abstractNum>
  <w:abstractNum w:abstractNumId="39" w15:restartNumberingAfterBreak="0">
    <w:nsid w:val="7E8A44D3"/>
    <w:multiLevelType w:val="multilevel"/>
    <w:tmpl w:val="42ECB76C"/>
    <w:lvl w:ilvl="0">
      <w:start w:val="3"/>
      <w:numFmt w:val="decimal"/>
      <w:lvlText w:val="%1"/>
      <w:lvlJc w:val="left"/>
      <w:pPr>
        <w:ind w:left="1059" w:hanging="274"/>
        <w:jc w:val="right"/>
      </w:pPr>
      <w:rPr>
        <w:rFonts w:ascii="Arial" w:eastAsia="Arial" w:hAnsi="Arial" w:cs="Arial" w:hint="default"/>
        <w:b/>
        <w:bCs/>
        <w:i w:val="0"/>
        <w:iCs w:val="0"/>
        <w:spacing w:val="0"/>
        <w:w w:val="99"/>
        <w:sz w:val="28"/>
        <w:szCs w:val="28"/>
        <w:lang w:val="en-US" w:eastAsia="en-US" w:bidi="ar-SA"/>
      </w:rPr>
    </w:lvl>
    <w:lvl w:ilvl="1">
      <w:start w:val="1"/>
      <w:numFmt w:val="decimal"/>
      <w:lvlText w:val="%1.%2"/>
      <w:lvlJc w:val="left"/>
      <w:pPr>
        <w:ind w:left="3326" w:hanging="547"/>
        <w:jc w:val="right"/>
      </w:pPr>
      <w:rPr>
        <w:rFonts w:hint="default"/>
        <w:spacing w:val="0"/>
        <w:w w:val="99"/>
        <w:lang w:val="en-US" w:eastAsia="en-US" w:bidi="ar-SA"/>
      </w:rPr>
    </w:lvl>
    <w:lvl w:ilvl="2">
      <w:numFmt w:val="bullet"/>
      <w:lvlText w:val="•"/>
      <w:lvlJc w:val="left"/>
      <w:pPr>
        <w:ind w:left="3120" w:hanging="547"/>
      </w:pPr>
      <w:rPr>
        <w:rFonts w:hint="default"/>
        <w:lang w:val="en-US" w:eastAsia="en-US" w:bidi="ar-SA"/>
      </w:rPr>
    </w:lvl>
    <w:lvl w:ilvl="3">
      <w:numFmt w:val="bullet"/>
      <w:lvlText w:val="•"/>
      <w:lvlJc w:val="left"/>
      <w:pPr>
        <w:ind w:left="3320" w:hanging="547"/>
      </w:pPr>
      <w:rPr>
        <w:rFonts w:hint="default"/>
        <w:lang w:val="en-US" w:eastAsia="en-US" w:bidi="ar-SA"/>
      </w:rPr>
    </w:lvl>
    <w:lvl w:ilvl="4">
      <w:numFmt w:val="bullet"/>
      <w:lvlText w:val="•"/>
      <w:lvlJc w:val="left"/>
      <w:pPr>
        <w:ind w:left="3631" w:hanging="547"/>
      </w:pPr>
      <w:rPr>
        <w:rFonts w:hint="default"/>
        <w:lang w:val="en-US" w:eastAsia="en-US" w:bidi="ar-SA"/>
      </w:rPr>
    </w:lvl>
    <w:lvl w:ilvl="5">
      <w:numFmt w:val="bullet"/>
      <w:lvlText w:val="•"/>
      <w:lvlJc w:val="left"/>
      <w:pPr>
        <w:ind w:left="3942" w:hanging="547"/>
      </w:pPr>
      <w:rPr>
        <w:rFonts w:hint="default"/>
        <w:lang w:val="en-US" w:eastAsia="en-US" w:bidi="ar-SA"/>
      </w:rPr>
    </w:lvl>
    <w:lvl w:ilvl="6">
      <w:numFmt w:val="bullet"/>
      <w:lvlText w:val="•"/>
      <w:lvlJc w:val="left"/>
      <w:pPr>
        <w:ind w:left="4254" w:hanging="547"/>
      </w:pPr>
      <w:rPr>
        <w:rFonts w:hint="default"/>
        <w:lang w:val="en-US" w:eastAsia="en-US" w:bidi="ar-SA"/>
      </w:rPr>
    </w:lvl>
    <w:lvl w:ilvl="7">
      <w:numFmt w:val="bullet"/>
      <w:lvlText w:val="•"/>
      <w:lvlJc w:val="left"/>
      <w:pPr>
        <w:ind w:left="4565" w:hanging="547"/>
      </w:pPr>
      <w:rPr>
        <w:rFonts w:hint="default"/>
        <w:lang w:val="en-US" w:eastAsia="en-US" w:bidi="ar-SA"/>
      </w:rPr>
    </w:lvl>
    <w:lvl w:ilvl="8">
      <w:numFmt w:val="bullet"/>
      <w:lvlText w:val="•"/>
      <w:lvlJc w:val="left"/>
      <w:pPr>
        <w:ind w:left="4876" w:hanging="547"/>
      </w:pPr>
      <w:rPr>
        <w:rFonts w:hint="default"/>
        <w:lang w:val="en-US" w:eastAsia="en-US" w:bidi="ar-SA"/>
      </w:rPr>
    </w:lvl>
  </w:abstractNum>
  <w:num w:numId="1" w16cid:durableId="1023674960">
    <w:abstractNumId w:val="33"/>
  </w:num>
  <w:num w:numId="2" w16cid:durableId="533733678">
    <w:abstractNumId w:val="19"/>
  </w:num>
  <w:num w:numId="3" w16cid:durableId="1788550564">
    <w:abstractNumId w:val="39"/>
  </w:num>
  <w:num w:numId="4" w16cid:durableId="1019159561">
    <w:abstractNumId w:val="31"/>
  </w:num>
  <w:num w:numId="5" w16cid:durableId="59443546">
    <w:abstractNumId w:val="24"/>
  </w:num>
  <w:num w:numId="6" w16cid:durableId="2128238351">
    <w:abstractNumId w:val="8"/>
  </w:num>
  <w:num w:numId="7" w16cid:durableId="214388110">
    <w:abstractNumId w:val="30"/>
  </w:num>
  <w:num w:numId="8" w16cid:durableId="1417248051">
    <w:abstractNumId w:val="27"/>
  </w:num>
  <w:num w:numId="9" w16cid:durableId="667292585">
    <w:abstractNumId w:val="28"/>
  </w:num>
  <w:num w:numId="10" w16cid:durableId="340813499">
    <w:abstractNumId w:val="23"/>
  </w:num>
  <w:num w:numId="11" w16cid:durableId="1615015570">
    <w:abstractNumId w:val="32"/>
  </w:num>
  <w:num w:numId="12" w16cid:durableId="684021692">
    <w:abstractNumId w:val="22"/>
  </w:num>
  <w:num w:numId="13" w16cid:durableId="2113697984">
    <w:abstractNumId w:val="34"/>
  </w:num>
  <w:num w:numId="14" w16cid:durableId="556818991">
    <w:abstractNumId w:val="6"/>
  </w:num>
  <w:num w:numId="15" w16cid:durableId="1166433233">
    <w:abstractNumId w:val="13"/>
  </w:num>
  <w:num w:numId="16" w16cid:durableId="1771121121">
    <w:abstractNumId w:val="10"/>
  </w:num>
  <w:num w:numId="17" w16cid:durableId="197860431">
    <w:abstractNumId w:val="5"/>
  </w:num>
  <w:num w:numId="18" w16cid:durableId="2124375640">
    <w:abstractNumId w:val="15"/>
  </w:num>
  <w:num w:numId="19" w16cid:durableId="1238129232">
    <w:abstractNumId w:val="21"/>
  </w:num>
  <w:num w:numId="20" w16cid:durableId="1990399013">
    <w:abstractNumId w:val="35"/>
  </w:num>
  <w:num w:numId="21" w16cid:durableId="1628701845">
    <w:abstractNumId w:val="11"/>
  </w:num>
  <w:num w:numId="22" w16cid:durableId="229048760">
    <w:abstractNumId w:val="9"/>
  </w:num>
  <w:num w:numId="23" w16cid:durableId="2066173413">
    <w:abstractNumId w:val="17"/>
  </w:num>
  <w:num w:numId="24" w16cid:durableId="1330643227">
    <w:abstractNumId w:val="16"/>
  </w:num>
  <w:num w:numId="25" w16cid:durableId="1696618854">
    <w:abstractNumId w:val="26"/>
  </w:num>
  <w:num w:numId="26" w16cid:durableId="292492118">
    <w:abstractNumId w:val="38"/>
  </w:num>
  <w:num w:numId="27" w16cid:durableId="62027023">
    <w:abstractNumId w:val="7"/>
  </w:num>
  <w:num w:numId="28" w16cid:durableId="915745425">
    <w:abstractNumId w:val="3"/>
  </w:num>
  <w:num w:numId="29" w16cid:durableId="564024117">
    <w:abstractNumId w:val="4"/>
  </w:num>
  <w:num w:numId="30" w16cid:durableId="149373088">
    <w:abstractNumId w:val="14"/>
  </w:num>
  <w:num w:numId="31" w16cid:durableId="845947417">
    <w:abstractNumId w:val="2"/>
  </w:num>
  <w:num w:numId="32" w16cid:durableId="1536236666">
    <w:abstractNumId w:val="20"/>
  </w:num>
  <w:num w:numId="33" w16cid:durableId="591865526">
    <w:abstractNumId w:val="0"/>
  </w:num>
  <w:num w:numId="34" w16cid:durableId="498883882">
    <w:abstractNumId w:val="18"/>
  </w:num>
  <w:num w:numId="35" w16cid:durableId="1515462591">
    <w:abstractNumId w:val="25"/>
  </w:num>
  <w:num w:numId="36" w16cid:durableId="262154577">
    <w:abstractNumId w:val="1"/>
  </w:num>
  <w:num w:numId="37" w16cid:durableId="1932200072">
    <w:abstractNumId w:val="36"/>
  </w:num>
  <w:num w:numId="38" w16cid:durableId="1608074599">
    <w:abstractNumId w:val="37"/>
  </w:num>
  <w:num w:numId="39" w16cid:durableId="2041659559">
    <w:abstractNumId w:val="12"/>
  </w:num>
  <w:num w:numId="40" w16cid:durableId="1919510475">
    <w:abstractNumId w:val="2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4"/>
  <w:proofState w:spelling="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9D54AF"/>
    <w:rsid w:val="0003532B"/>
    <w:rsid w:val="000963BC"/>
    <w:rsid w:val="000F7F7A"/>
    <w:rsid w:val="001160E8"/>
    <w:rsid w:val="001B3251"/>
    <w:rsid w:val="002333E9"/>
    <w:rsid w:val="00287110"/>
    <w:rsid w:val="003602DB"/>
    <w:rsid w:val="003C630B"/>
    <w:rsid w:val="003C695B"/>
    <w:rsid w:val="003E17E6"/>
    <w:rsid w:val="003F1A04"/>
    <w:rsid w:val="00400729"/>
    <w:rsid w:val="00405BF4"/>
    <w:rsid w:val="00426F87"/>
    <w:rsid w:val="00445608"/>
    <w:rsid w:val="00472856"/>
    <w:rsid w:val="00473B94"/>
    <w:rsid w:val="005B0B13"/>
    <w:rsid w:val="00600582"/>
    <w:rsid w:val="006A0CF9"/>
    <w:rsid w:val="006B64C0"/>
    <w:rsid w:val="006D22A6"/>
    <w:rsid w:val="0074449F"/>
    <w:rsid w:val="00754A92"/>
    <w:rsid w:val="00764C6D"/>
    <w:rsid w:val="00785A3A"/>
    <w:rsid w:val="00867E03"/>
    <w:rsid w:val="008F5B74"/>
    <w:rsid w:val="009377BE"/>
    <w:rsid w:val="00950AEE"/>
    <w:rsid w:val="009D54AF"/>
    <w:rsid w:val="00A26217"/>
    <w:rsid w:val="00A8493D"/>
    <w:rsid w:val="00AE15BF"/>
    <w:rsid w:val="00B06B37"/>
    <w:rsid w:val="00B933DB"/>
    <w:rsid w:val="00C237F2"/>
    <w:rsid w:val="00C30551"/>
    <w:rsid w:val="00C86DC9"/>
    <w:rsid w:val="00CD0248"/>
    <w:rsid w:val="00D13873"/>
    <w:rsid w:val="00D6288A"/>
    <w:rsid w:val="00E26787"/>
    <w:rsid w:val="00E65680"/>
    <w:rsid w:val="00F16969"/>
    <w:rsid w:val="00F218AC"/>
    <w:rsid w:val="00F84D7F"/>
    <w:rsid w:val="00FA2CB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804CD3"/>
  <w15:docId w15:val="{03049D36-284D-4E4E-942D-0ED561C276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5B74"/>
    <w:rPr>
      <w:rFonts w:ascii="Arial" w:eastAsia="Arial" w:hAnsi="Arial" w:cs="Arial"/>
    </w:rPr>
  </w:style>
  <w:style w:type="paragraph" w:styleId="Heading1">
    <w:name w:val="heading 1"/>
    <w:basedOn w:val="Normal"/>
    <w:uiPriority w:val="9"/>
    <w:qFormat/>
    <w:pPr>
      <w:spacing w:before="123"/>
      <w:ind w:left="142"/>
      <w:outlineLvl w:val="0"/>
    </w:pPr>
    <w:rPr>
      <w:b/>
      <w:bCs/>
      <w:sz w:val="40"/>
      <w:szCs w:val="40"/>
    </w:rPr>
  </w:style>
  <w:style w:type="paragraph" w:styleId="Heading2">
    <w:name w:val="heading 2"/>
    <w:basedOn w:val="Normal"/>
    <w:uiPriority w:val="9"/>
    <w:unhideWhenUsed/>
    <w:qFormat/>
    <w:pPr>
      <w:ind w:left="142"/>
      <w:outlineLvl w:val="1"/>
    </w:pPr>
    <w:rPr>
      <w:sz w:val="34"/>
      <w:szCs w:val="34"/>
    </w:rPr>
  </w:style>
  <w:style w:type="paragraph" w:styleId="Heading3">
    <w:name w:val="heading 3"/>
    <w:basedOn w:val="Normal"/>
    <w:uiPriority w:val="9"/>
    <w:unhideWhenUsed/>
    <w:qFormat/>
    <w:pPr>
      <w:ind w:left="2126"/>
      <w:outlineLvl w:val="2"/>
    </w:pPr>
    <w:rPr>
      <w:b/>
      <w:bCs/>
      <w:sz w:val="32"/>
      <w:szCs w:val="32"/>
    </w:rPr>
  </w:style>
  <w:style w:type="paragraph" w:styleId="Heading4">
    <w:name w:val="heading 4"/>
    <w:basedOn w:val="Normal"/>
    <w:uiPriority w:val="9"/>
    <w:unhideWhenUsed/>
    <w:qFormat/>
    <w:pPr>
      <w:ind w:left="142"/>
      <w:outlineLvl w:val="3"/>
    </w:pPr>
    <w:rPr>
      <w:b/>
      <w:bCs/>
      <w:sz w:val="30"/>
      <w:szCs w:val="30"/>
    </w:rPr>
  </w:style>
  <w:style w:type="paragraph" w:styleId="Heading5">
    <w:name w:val="heading 5"/>
    <w:basedOn w:val="Normal"/>
    <w:uiPriority w:val="9"/>
    <w:unhideWhenUsed/>
    <w:qFormat/>
    <w:pPr>
      <w:ind w:left="142"/>
      <w:outlineLvl w:val="4"/>
    </w:pPr>
    <w:rPr>
      <w:b/>
      <w:bCs/>
      <w:sz w:val="30"/>
      <w:szCs w:val="30"/>
    </w:rPr>
  </w:style>
  <w:style w:type="paragraph" w:styleId="Heading6">
    <w:name w:val="heading 6"/>
    <w:basedOn w:val="Normal"/>
    <w:uiPriority w:val="9"/>
    <w:unhideWhenUsed/>
    <w:qFormat/>
    <w:pPr>
      <w:ind w:left="3325" w:hanging="546"/>
      <w:outlineLvl w:val="5"/>
    </w:pPr>
    <w:rPr>
      <w:b/>
      <w:bCs/>
      <w:sz w:val="28"/>
      <w:szCs w:val="28"/>
    </w:rPr>
  </w:style>
  <w:style w:type="paragraph" w:styleId="Heading7">
    <w:name w:val="heading 7"/>
    <w:basedOn w:val="Normal"/>
    <w:uiPriority w:val="1"/>
    <w:qFormat/>
    <w:pPr>
      <w:ind w:left="142"/>
      <w:outlineLvl w:val="6"/>
    </w:pPr>
    <w:rPr>
      <w:b/>
      <w:bCs/>
      <w:sz w:val="26"/>
      <w:szCs w:val="26"/>
    </w:rPr>
  </w:style>
  <w:style w:type="paragraph" w:styleId="Heading8">
    <w:name w:val="heading 8"/>
    <w:basedOn w:val="Normal"/>
    <w:uiPriority w:val="1"/>
    <w:qFormat/>
    <w:pPr>
      <w:spacing w:before="240"/>
      <w:ind w:left="854"/>
      <w:outlineLvl w:val="7"/>
    </w:pPr>
    <w:rPr>
      <w:b/>
      <w:bCs/>
      <w:sz w:val="24"/>
      <w:szCs w:val="24"/>
    </w:rPr>
  </w:style>
  <w:style w:type="paragraph" w:styleId="Heading9">
    <w:name w:val="heading 9"/>
    <w:basedOn w:val="Normal"/>
    <w:uiPriority w:val="1"/>
    <w:qFormat/>
    <w:pPr>
      <w:spacing w:before="170"/>
      <w:ind w:left="142"/>
      <w:outlineLvl w:val="8"/>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spacing w:before="240" w:after="120"/>
    </w:pPr>
    <w:rPr>
      <w:rFonts w:asciiTheme="minorHAnsi" w:hAnsiTheme="minorHAnsi" w:cstheme="minorHAnsi"/>
      <w:b/>
      <w:bCs/>
      <w:sz w:val="20"/>
      <w:szCs w:val="20"/>
    </w:rPr>
  </w:style>
  <w:style w:type="paragraph" w:styleId="BodyText">
    <w:name w:val="Body Text"/>
    <w:basedOn w:val="Normal"/>
    <w:uiPriority w:val="1"/>
    <w:qFormat/>
    <w:rPr>
      <w:sz w:val="21"/>
      <w:szCs w:val="21"/>
    </w:rPr>
  </w:style>
  <w:style w:type="paragraph" w:styleId="Title">
    <w:name w:val="Title"/>
    <w:basedOn w:val="Normal"/>
    <w:uiPriority w:val="10"/>
    <w:qFormat/>
    <w:pPr>
      <w:ind w:left="124" w:right="6600"/>
    </w:pPr>
    <w:rPr>
      <w:sz w:val="60"/>
      <w:szCs w:val="60"/>
    </w:rPr>
  </w:style>
  <w:style w:type="paragraph" w:styleId="ListParagraph">
    <w:name w:val="List Paragraph"/>
    <w:basedOn w:val="Normal"/>
    <w:uiPriority w:val="1"/>
    <w:qFormat/>
    <w:pPr>
      <w:spacing w:before="95"/>
      <w:ind w:left="424" w:hanging="268"/>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C30551"/>
    <w:pPr>
      <w:tabs>
        <w:tab w:val="center" w:pos="4680"/>
        <w:tab w:val="right" w:pos="9360"/>
      </w:tabs>
    </w:pPr>
  </w:style>
  <w:style w:type="character" w:customStyle="1" w:styleId="HeaderChar">
    <w:name w:val="Header Char"/>
    <w:basedOn w:val="DefaultParagraphFont"/>
    <w:link w:val="Header"/>
    <w:uiPriority w:val="99"/>
    <w:rsid w:val="00C30551"/>
    <w:rPr>
      <w:rFonts w:ascii="Arial" w:eastAsia="Arial" w:hAnsi="Arial" w:cs="Arial"/>
    </w:rPr>
  </w:style>
  <w:style w:type="paragraph" w:styleId="Footer">
    <w:name w:val="footer"/>
    <w:basedOn w:val="Normal"/>
    <w:link w:val="FooterChar"/>
    <w:uiPriority w:val="99"/>
    <w:unhideWhenUsed/>
    <w:rsid w:val="00C30551"/>
    <w:pPr>
      <w:tabs>
        <w:tab w:val="center" w:pos="4680"/>
        <w:tab w:val="right" w:pos="9360"/>
      </w:tabs>
    </w:pPr>
  </w:style>
  <w:style w:type="character" w:customStyle="1" w:styleId="FooterChar">
    <w:name w:val="Footer Char"/>
    <w:basedOn w:val="DefaultParagraphFont"/>
    <w:link w:val="Footer"/>
    <w:uiPriority w:val="99"/>
    <w:rsid w:val="00C30551"/>
    <w:rPr>
      <w:rFonts w:ascii="Arial" w:eastAsia="Arial" w:hAnsi="Arial" w:cs="Arial"/>
    </w:rPr>
  </w:style>
  <w:style w:type="character" w:customStyle="1" w:styleId="Regular">
    <w:name w:val="Regular"/>
    <w:uiPriority w:val="99"/>
    <w:rsid w:val="00C30551"/>
  </w:style>
  <w:style w:type="paragraph" w:customStyle="1" w:styleId="Folio-B5Masterpages">
    <w:name w:val="Folio - B5 (Master pages)"/>
    <w:basedOn w:val="Normal"/>
    <w:uiPriority w:val="99"/>
    <w:rsid w:val="00C30551"/>
    <w:pPr>
      <w:widowControl/>
      <w:suppressAutoHyphens/>
      <w:adjustRightInd w:val="0"/>
      <w:spacing w:line="140" w:lineRule="atLeast"/>
      <w:textAlignment w:val="center"/>
    </w:pPr>
    <w:rPr>
      <w:rFonts w:ascii="Instrument Sans" w:eastAsia="Myriad Pro" w:hAnsi="Instrument Sans" w:cs="Instrument Sans"/>
      <w:color w:val="000000"/>
      <w:sz w:val="14"/>
      <w:szCs w:val="14"/>
      <w:lang w:val="en-GB"/>
      <w14:ligatures w14:val="standardContextual"/>
    </w:rPr>
  </w:style>
  <w:style w:type="character" w:styleId="PageNumber">
    <w:name w:val="page number"/>
    <w:basedOn w:val="DefaultParagraphFont"/>
    <w:uiPriority w:val="99"/>
    <w:semiHidden/>
    <w:unhideWhenUsed/>
    <w:rsid w:val="00C30551"/>
  </w:style>
  <w:style w:type="character" w:styleId="Hyperlink">
    <w:name w:val="Hyperlink"/>
    <w:basedOn w:val="DefaultParagraphFont"/>
    <w:uiPriority w:val="99"/>
    <w:unhideWhenUsed/>
    <w:rsid w:val="003C630B"/>
    <w:rPr>
      <w:color w:val="0000FF" w:themeColor="hyperlink"/>
      <w:u w:val="single"/>
    </w:rPr>
  </w:style>
  <w:style w:type="character" w:styleId="UnresolvedMention">
    <w:name w:val="Unresolved Mention"/>
    <w:basedOn w:val="DefaultParagraphFont"/>
    <w:uiPriority w:val="99"/>
    <w:semiHidden/>
    <w:unhideWhenUsed/>
    <w:rsid w:val="003C630B"/>
    <w:rPr>
      <w:color w:val="605E5C"/>
      <w:shd w:val="clear" w:color="auto" w:fill="E1DFDD"/>
    </w:rPr>
  </w:style>
  <w:style w:type="paragraph" w:styleId="TOCHeading">
    <w:name w:val="TOC Heading"/>
    <w:basedOn w:val="Heading1"/>
    <w:next w:val="Normal"/>
    <w:uiPriority w:val="39"/>
    <w:unhideWhenUsed/>
    <w:qFormat/>
    <w:rsid w:val="001B3251"/>
    <w:pPr>
      <w:keepNext/>
      <w:keepLines/>
      <w:widowControl/>
      <w:autoSpaceDE/>
      <w:autoSpaceDN/>
      <w:spacing w:before="480" w:line="276" w:lineRule="auto"/>
      <w:ind w:left="0"/>
      <w:outlineLvl w:val="9"/>
    </w:pPr>
    <w:rPr>
      <w:rFonts w:asciiTheme="majorHAnsi" w:eastAsiaTheme="majorEastAsia" w:hAnsiTheme="majorHAnsi" w:cstheme="majorBidi"/>
      <w:color w:val="365F91" w:themeColor="accent1" w:themeShade="BF"/>
      <w:sz w:val="28"/>
      <w:szCs w:val="28"/>
    </w:rPr>
  </w:style>
  <w:style w:type="paragraph" w:styleId="TOC2">
    <w:name w:val="toc 2"/>
    <w:basedOn w:val="Normal"/>
    <w:next w:val="Normal"/>
    <w:autoRedefine/>
    <w:uiPriority w:val="39"/>
    <w:unhideWhenUsed/>
    <w:rsid w:val="001B3251"/>
    <w:pPr>
      <w:spacing w:before="120"/>
      <w:ind w:left="220"/>
    </w:pPr>
    <w:rPr>
      <w:rFonts w:asciiTheme="minorHAnsi" w:hAnsiTheme="minorHAnsi" w:cstheme="minorHAnsi"/>
      <w:i/>
      <w:iCs/>
      <w:sz w:val="20"/>
      <w:szCs w:val="20"/>
    </w:rPr>
  </w:style>
  <w:style w:type="paragraph" w:styleId="TOC3">
    <w:name w:val="toc 3"/>
    <w:basedOn w:val="Normal"/>
    <w:next w:val="Normal"/>
    <w:autoRedefine/>
    <w:uiPriority w:val="39"/>
    <w:unhideWhenUsed/>
    <w:rsid w:val="001B3251"/>
    <w:pPr>
      <w:ind w:left="440"/>
    </w:pPr>
    <w:rPr>
      <w:rFonts w:asciiTheme="minorHAnsi" w:hAnsiTheme="minorHAnsi" w:cstheme="minorHAnsi"/>
      <w:sz w:val="20"/>
      <w:szCs w:val="20"/>
    </w:rPr>
  </w:style>
  <w:style w:type="paragraph" w:styleId="TOC4">
    <w:name w:val="toc 4"/>
    <w:basedOn w:val="Normal"/>
    <w:next w:val="Normal"/>
    <w:autoRedefine/>
    <w:uiPriority w:val="39"/>
    <w:unhideWhenUsed/>
    <w:rsid w:val="001B3251"/>
    <w:pPr>
      <w:ind w:left="660"/>
    </w:pPr>
    <w:rPr>
      <w:rFonts w:asciiTheme="minorHAnsi" w:hAnsiTheme="minorHAnsi" w:cstheme="minorHAnsi"/>
      <w:sz w:val="20"/>
      <w:szCs w:val="20"/>
    </w:rPr>
  </w:style>
  <w:style w:type="paragraph" w:styleId="TOC5">
    <w:name w:val="toc 5"/>
    <w:basedOn w:val="Normal"/>
    <w:next w:val="Normal"/>
    <w:autoRedefine/>
    <w:uiPriority w:val="39"/>
    <w:unhideWhenUsed/>
    <w:rsid w:val="001B3251"/>
    <w:pPr>
      <w:ind w:left="880"/>
    </w:pPr>
    <w:rPr>
      <w:rFonts w:asciiTheme="minorHAnsi" w:hAnsiTheme="minorHAnsi" w:cstheme="minorHAnsi"/>
      <w:sz w:val="20"/>
      <w:szCs w:val="20"/>
    </w:rPr>
  </w:style>
  <w:style w:type="paragraph" w:styleId="TOC6">
    <w:name w:val="toc 6"/>
    <w:basedOn w:val="Normal"/>
    <w:next w:val="Normal"/>
    <w:autoRedefine/>
    <w:uiPriority w:val="39"/>
    <w:unhideWhenUsed/>
    <w:rsid w:val="001B3251"/>
    <w:pPr>
      <w:ind w:left="1100"/>
    </w:pPr>
    <w:rPr>
      <w:rFonts w:asciiTheme="minorHAnsi" w:hAnsiTheme="minorHAnsi" w:cstheme="minorHAnsi"/>
      <w:sz w:val="20"/>
      <w:szCs w:val="20"/>
    </w:rPr>
  </w:style>
  <w:style w:type="paragraph" w:styleId="TOC7">
    <w:name w:val="toc 7"/>
    <w:basedOn w:val="Normal"/>
    <w:next w:val="Normal"/>
    <w:autoRedefine/>
    <w:uiPriority w:val="39"/>
    <w:unhideWhenUsed/>
    <w:rsid w:val="001B3251"/>
    <w:pPr>
      <w:ind w:left="1320"/>
    </w:pPr>
    <w:rPr>
      <w:rFonts w:asciiTheme="minorHAnsi" w:hAnsiTheme="minorHAnsi" w:cstheme="minorHAnsi"/>
      <w:sz w:val="20"/>
      <w:szCs w:val="20"/>
    </w:rPr>
  </w:style>
  <w:style w:type="paragraph" w:styleId="TOC8">
    <w:name w:val="toc 8"/>
    <w:basedOn w:val="Normal"/>
    <w:next w:val="Normal"/>
    <w:autoRedefine/>
    <w:uiPriority w:val="39"/>
    <w:unhideWhenUsed/>
    <w:rsid w:val="001B3251"/>
    <w:pPr>
      <w:ind w:left="1540"/>
    </w:pPr>
    <w:rPr>
      <w:rFonts w:asciiTheme="minorHAnsi" w:hAnsiTheme="minorHAnsi" w:cstheme="minorHAnsi"/>
      <w:sz w:val="20"/>
      <w:szCs w:val="20"/>
    </w:rPr>
  </w:style>
  <w:style w:type="paragraph" w:styleId="TOC9">
    <w:name w:val="toc 9"/>
    <w:basedOn w:val="Normal"/>
    <w:next w:val="Normal"/>
    <w:autoRedefine/>
    <w:uiPriority w:val="39"/>
    <w:unhideWhenUsed/>
    <w:rsid w:val="001B3251"/>
    <w:pPr>
      <w:ind w:left="1760"/>
    </w:pPr>
    <w:rPr>
      <w:rFonts w:asciiTheme="minorHAnsi" w:hAnsiTheme="minorHAnsi" w:cstheme="minorHAnsi"/>
      <w:sz w:val="20"/>
      <w:szCs w:val="20"/>
    </w:rPr>
  </w:style>
  <w:style w:type="paragraph" w:customStyle="1" w:styleId="Headinglevel2nonTOC">
    <w:name w:val="Heading level 2 non TOC"/>
    <w:qFormat/>
    <w:rsid w:val="001160E8"/>
    <w:pPr>
      <w:spacing w:before="147"/>
    </w:pPr>
    <w:rPr>
      <w:rFonts w:ascii="Arial" w:eastAsia="Arial" w:hAnsi="Arial" w:cs="Arial"/>
      <w:spacing w:val="-2"/>
      <w:sz w:val="34"/>
      <w:szCs w:val="3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yperlink" Target="https://doi.org/10.1016/j.idh.2025.09.004" TargetMode="External"/><Relationship Id="rId21" Type="http://schemas.openxmlformats.org/officeDocument/2006/relationships/hyperlink" Target="https://doi.org/10.5694/mja2.52697" TargetMode="External"/><Relationship Id="rId42" Type="http://schemas.openxmlformats.org/officeDocument/2006/relationships/hyperlink" Target="https://www.safetyandquality.gov.au/clinical-topics/infection-prevention-and-control/national-hand-hygiene-initiative" TargetMode="External"/><Relationship Id="rId47" Type="http://schemas.openxmlformats.org/officeDocument/2006/relationships/hyperlink" Target="https://www.safetyandquality.gov.au/accreditation/advisories/advisory-as1801-advice-not-applicable-actions" TargetMode="External"/><Relationship Id="rId63" Type="http://schemas.openxmlformats.org/officeDocument/2006/relationships/hyperlink" Target="https://www.safetyandquality.gov.au/about-us/our-key-areas/healthcare-variation/better-care-everywhere-initiative" TargetMode="External"/><Relationship Id="rId68" Type="http://schemas.openxmlformats.org/officeDocument/2006/relationships/hyperlink" Target="https://www.safetyandquality.gov.au/clinical-topics/person-centred-care" TargetMode="External"/><Relationship Id="rId84" Type="http://schemas.openxmlformats.org/officeDocument/2006/relationships/hyperlink" Target="https://www.safetyandquality.gov.au/clinical-topics/medicines-safety-and-quality/improving-pre-procedural-fluid-management" TargetMode="External"/><Relationship Id="rId89" Type="http://schemas.openxmlformats.org/officeDocument/2006/relationships/image" Target="media/image7.emf"/><Relationship Id="rId112" Type="http://schemas.openxmlformats.org/officeDocument/2006/relationships/image" Target="media/image30.emf"/><Relationship Id="rId16" Type="http://schemas.openxmlformats.org/officeDocument/2006/relationships/image" Target="media/image4.png"/><Relationship Id="rId107" Type="http://schemas.openxmlformats.org/officeDocument/2006/relationships/image" Target="media/image25.emf"/><Relationship Id="rId11" Type="http://schemas.openxmlformats.org/officeDocument/2006/relationships/hyperlink" Target="mailto:mail@safetyandquality.gov.au" TargetMode="External"/><Relationship Id="rId32" Type="http://schemas.openxmlformats.org/officeDocument/2006/relationships/hyperlink" Target="https://www.safetyandquality.gov.au/clinical-topics/digital-health/priorities-high-quality-digitally-enabled-care" TargetMode="External"/><Relationship Id="rId37" Type="http://schemas.openxmlformats.org/officeDocument/2006/relationships/hyperlink" Target="https://www.safetyandquality.gov.au/resources/evidence-briefing-digital-approaches-facilitate-safer-medication-management-transitions-care" TargetMode="External"/><Relationship Id="rId53" Type="http://schemas.openxmlformats.org/officeDocument/2006/relationships/hyperlink" Target="https://www.safetyandquality.gov.au/resources/integrated-health-and-aged-care-services-module-and-user-guide" TargetMode="External"/><Relationship Id="rId58" Type="http://schemas.openxmlformats.org/officeDocument/2006/relationships/hyperlink" Target="https://www.safetyandquality.gov.au/clinical-topics/colonoscopy-hub" TargetMode="External"/><Relationship Id="rId74" Type="http://schemas.openxmlformats.org/officeDocument/2006/relationships/hyperlink" Target="https://www.safetyandquality.gov.au/resources/good-communication-and-positive-behaviour-support-easy-read" TargetMode="External"/><Relationship Id="rId79" Type="http://schemas.openxmlformats.org/officeDocument/2006/relationships/hyperlink" Target="https://www.safetyandquality.gov.au/data-and-measurement/safety-and-quality-measures/hospital-acquired-complications-hacs" TargetMode="External"/><Relationship Id="rId102" Type="http://schemas.openxmlformats.org/officeDocument/2006/relationships/image" Target="media/image20.emf"/><Relationship Id="rId5" Type="http://schemas.openxmlformats.org/officeDocument/2006/relationships/webSettings" Target="webSettings.xml"/><Relationship Id="rId90" Type="http://schemas.openxmlformats.org/officeDocument/2006/relationships/image" Target="media/image8.emf"/><Relationship Id="rId95" Type="http://schemas.openxmlformats.org/officeDocument/2006/relationships/image" Target="media/image13.emf"/><Relationship Id="rId22" Type="http://schemas.openxmlformats.org/officeDocument/2006/relationships/hyperlink" Target="https://doi.org/10.5694/mja2.52697" TargetMode="External"/><Relationship Id="rId27" Type="http://schemas.openxmlformats.org/officeDocument/2006/relationships/hyperlink" Target="https://doi.org/10.1016/j.idh.2025.09.004" TargetMode="External"/><Relationship Id="rId43" Type="http://schemas.openxmlformats.org/officeDocument/2006/relationships/hyperlink" Target="https://www.safetyandquality.gov.au/clinical-topics/infection-prevention-and-control/national-hand-hygiene-initiative" TargetMode="External"/><Relationship Id="rId48" Type="http://schemas.openxmlformats.org/officeDocument/2006/relationships/hyperlink" Target="https://www.safetyandquality.gov.au/accreditation/advisories/advisory-as1805-transferring-between-accrediting-agencies" TargetMode="External"/><Relationship Id="rId64" Type="http://schemas.openxmlformats.org/officeDocument/2006/relationships/hyperlink" Target="https://www.safetyandquality.gov.au/about-us/our-key-areas/healthcare-variation/better-care-everywhere-initiative" TargetMode="External"/><Relationship Id="rId69" Type="http://schemas.openxmlformats.org/officeDocument/2006/relationships/hyperlink" Target="https://www.safetyandquality.gov.au/resources/nsqhs-standards-user-guide-health-care-people-intellectual-disability" TargetMode="External"/><Relationship Id="rId113" Type="http://schemas.openxmlformats.org/officeDocument/2006/relationships/image" Target="media/image31.emf"/><Relationship Id="rId80" Type="http://schemas.openxmlformats.org/officeDocument/2006/relationships/hyperlink" Target="https://www.safetyandquality.gov.au/resources/state-patient-safety-and-quality-australian-hospitals-2019" TargetMode="External"/><Relationship Id="rId85" Type="http://schemas.openxmlformats.org/officeDocument/2006/relationships/image" Target="media/image5.png"/><Relationship Id="rId12" Type="http://schemas.openxmlformats.org/officeDocument/2006/relationships/hyperlink" Target="http://www.safetyandquality.gov.au/" TargetMode="External"/><Relationship Id="rId17" Type="http://schemas.openxmlformats.org/officeDocument/2006/relationships/hyperlink" Target="https://www.safetyandquality.gov.au/resources/innovate-rap-february-2025-february-2027" TargetMode="External"/><Relationship Id="rId33" Type="http://schemas.openxmlformats.org/officeDocument/2006/relationships/hyperlink" Target="https://www.safetyandquality.gov.au/resources/medication-management-transitions-care-stewardship-framework" TargetMode="External"/><Relationship Id="rId38" Type="http://schemas.openxmlformats.org/officeDocument/2006/relationships/hyperlink" Target="https://www.safetyandquality.gov.au/resources/usability-guidance-optimising-my-health-record-viewing-platforms-acute-care" TargetMode="External"/><Relationship Id="rId59" Type="http://schemas.openxmlformats.org/officeDocument/2006/relationships/hyperlink" Target="https://www.safetyandquality.gov.au/clinical-topics/sepsis-hub" TargetMode="External"/><Relationship Id="rId103" Type="http://schemas.openxmlformats.org/officeDocument/2006/relationships/image" Target="media/image21.emf"/><Relationship Id="rId108" Type="http://schemas.openxmlformats.org/officeDocument/2006/relationships/image" Target="media/image26.emf"/><Relationship Id="rId54" Type="http://schemas.openxmlformats.org/officeDocument/2006/relationships/hyperlink" Target="https://www.health.gov.au/our-work/the-multi-purpose-service-program?language=en" TargetMode="External"/><Relationship Id="rId70" Type="http://schemas.openxmlformats.org/officeDocument/2006/relationships/hyperlink" Target="https://www.safetyandquality.gov.au/resources/nsqhs-standards-user-guide-health-care-people-intellectual-disability" TargetMode="External"/><Relationship Id="rId75" Type="http://schemas.openxmlformats.org/officeDocument/2006/relationships/hyperlink" Target="https://www.safetyandquality.gov.au/resources/could-it-be-sepsis-easy-read" TargetMode="External"/><Relationship Id="rId91" Type="http://schemas.openxmlformats.org/officeDocument/2006/relationships/image" Target="media/image9.emf"/><Relationship Id="rId96" Type="http://schemas.openxmlformats.org/officeDocument/2006/relationships/image" Target="media/image14.emf"/><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mailto:communications@safetyandquality.gov.au" TargetMode="External"/><Relationship Id="rId23" Type="http://schemas.openxmlformats.org/officeDocument/2006/relationships/hyperlink" Target="https://doi.org/10.1136/bmjopen-2024-096962" TargetMode="External"/><Relationship Id="rId28" Type="http://schemas.openxmlformats.org/officeDocument/2006/relationships/hyperlink" Target="https://doi.org/10.1071/AH25234" TargetMode="External"/><Relationship Id="rId36" Type="http://schemas.openxmlformats.org/officeDocument/2006/relationships/hyperlink" Target="https://www.safetyandquality.gov.au/resources/evidence-briefing-strategies-facilitate-safer-medication-management-transitions-care" TargetMode="External"/><Relationship Id="rId49" Type="http://schemas.openxmlformats.org/officeDocument/2006/relationships/hyperlink" Target="https://www.safetyandquality.gov.au/accreditation/advisories/advisory-as1812-implementing-colonoscopy-clinical-care-standard" TargetMode="External"/><Relationship Id="rId57" Type="http://schemas.openxmlformats.org/officeDocument/2006/relationships/hyperlink" Target="https://www.safetyandquality.gov.au/clinical-topics/heavy-menstrual-bleeding-hub" TargetMode="External"/><Relationship Id="rId106" Type="http://schemas.openxmlformats.org/officeDocument/2006/relationships/image" Target="media/image24.emf"/><Relationship Id="rId114" Type="http://schemas.openxmlformats.org/officeDocument/2006/relationships/fontTable" Target="fontTable.xml"/><Relationship Id="rId10" Type="http://schemas.openxmlformats.org/officeDocument/2006/relationships/footer" Target="footer2.xml"/><Relationship Id="rId31" Type="http://schemas.openxmlformats.org/officeDocument/2006/relationships/hyperlink" Target="https://doi.org/10.1016/j.jcjq.2026.04.011" TargetMode="External"/><Relationship Id="rId44" Type="http://schemas.openxmlformats.org/officeDocument/2006/relationships/hyperlink" Target="https://handhygiene.freshdesk.com/support/home" TargetMode="External"/><Relationship Id="rId52" Type="http://schemas.openxmlformats.org/officeDocument/2006/relationships/hyperlink" Target="https://www.safetyandquality.gov.au/resources/integrated-health-and-aged-care-services-module-and-user-guide" TargetMode="External"/><Relationship Id="rId60" Type="http://schemas.openxmlformats.org/officeDocument/2006/relationships/hyperlink" Target="https://www.safetyandquality.gov.au/our-work/partnering-consumers/co-design-and-consumer-engagement" TargetMode="External"/><Relationship Id="rId65" Type="http://schemas.openxmlformats.org/officeDocument/2006/relationships/hyperlink" Target="https://www.safetyandquality.gov.au/resources/informed-consent-practical-guidance-clinicians" TargetMode="External"/><Relationship Id="rId73" Type="http://schemas.openxmlformats.org/officeDocument/2006/relationships/hyperlink" Target="https://www.safetyandquality.gov.au/resources/transitions-care-people-intellectual-disability-easy-read" TargetMode="External"/><Relationship Id="rId78" Type="http://schemas.openxmlformats.org/officeDocument/2006/relationships/hyperlink" Target="https://www.safetyandquality.gov.au/clinical-care-standards/colonoscopy" TargetMode="External"/><Relationship Id="rId81" Type="http://schemas.openxmlformats.org/officeDocument/2006/relationships/hyperlink" Target="https://www.safetyandquality.gov.au/resources/state-patient-safety-and-quality-australian-hospitals-2019" TargetMode="External"/><Relationship Id="rId86" Type="http://schemas.openxmlformats.org/officeDocument/2006/relationships/hyperlink" Target="https://www.safetyandquality.gov.au/resources/corporate-plan-2025-26" TargetMode="External"/><Relationship Id="rId94" Type="http://schemas.openxmlformats.org/officeDocument/2006/relationships/image" Target="media/image12.emf"/><Relationship Id="rId99" Type="http://schemas.openxmlformats.org/officeDocument/2006/relationships/image" Target="media/image17.emf"/><Relationship Id="rId101" Type="http://schemas.openxmlformats.org/officeDocument/2006/relationships/image" Target="media/image19.emf"/><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image" Target="media/image2.png"/><Relationship Id="rId18" Type="http://schemas.openxmlformats.org/officeDocument/2006/relationships/hyperlink" Target="https://www.safetyandquality.gov.au/resources/credentialing-and-defining-scope-practice-guidance-health-professionals-and-clinicians" TargetMode="External"/><Relationship Id="rId39" Type="http://schemas.openxmlformats.org/officeDocument/2006/relationships/hyperlink" Target="https://www.safetyandquality.gov.au/resources/usability-guidance-optimising-my-health-record-viewing-platforms-acute-care" TargetMode="External"/><Relationship Id="rId109" Type="http://schemas.openxmlformats.org/officeDocument/2006/relationships/image" Target="media/image27.emf"/><Relationship Id="rId34" Type="http://schemas.openxmlformats.org/officeDocument/2006/relationships/hyperlink" Target="https://www.safetyandquality.gov.au/resources/medication-management-transitions-care-stewardship-framework" TargetMode="External"/><Relationship Id="rId50" Type="http://schemas.openxmlformats.org/officeDocument/2006/relationships/hyperlink" Target="https://www.safetyandquality.gov.au/resources/addendum-nsqhs-standards-accreditation-workbook-2025" TargetMode="External"/><Relationship Id="rId55" Type="http://schemas.openxmlformats.org/officeDocument/2006/relationships/hyperlink" Target="https://www.health.gov.au/our-work/the-multi-purpose-service-program?language=en" TargetMode="External"/><Relationship Id="rId76" Type="http://schemas.openxmlformats.org/officeDocument/2006/relationships/hyperlink" Target="https://www.safetyandquality.gov.au/data-and-measurement/australian-atlas-healthcare-variation/atlas-focus-report-colonoscopy" TargetMode="External"/><Relationship Id="rId97" Type="http://schemas.openxmlformats.org/officeDocument/2006/relationships/image" Target="media/image15.emf"/><Relationship Id="rId104" Type="http://schemas.openxmlformats.org/officeDocument/2006/relationships/image" Target="media/image22.emf"/><Relationship Id="rId7" Type="http://schemas.openxmlformats.org/officeDocument/2006/relationships/endnotes" Target="endnotes.xml"/><Relationship Id="rId71" Type="http://schemas.openxmlformats.org/officeDocument/2006/relationships/hyperlink" Target="https://www.safetyandquality.gov.au/resources/information-about-polypharmacy-easy-read" TargetMode="External"/><Relationship Id="rId92" Type="http://schemas.openxmlformats.org/officeDocument/2006/relationships/image" Target="media/image10.emf"/><Relationship Id="rId2" Type="http://schemas.openxmlformats.org/officeDocument/2006/relationships/numbering" Target="numbering.xml"/><Relationship Id="rId29" Type="http://schemas.openxmlformats.org/officeDocument/2006/relationships/hyperlink" Target="https://doi.org/10.18773/austprescr.2026.006" TargetMode="External"/><Relationship Id="rId24" Type="http://schemas.openxmlformats.org/officeDocument/2006/relationships/hyperlink" Target="https://doi.org/10.18773/austprescr.2024.053" TargetMode="External"/><Relationship Id="rId40" Type="http://schemas.openxmlformats.org/officeDocument/2006/relationships/hyperlink" Target="https://www.safetyandquality.gov.au/resources/joint-statement-working-together-achieve-sustainable-high-quality-health-care-changing-climate" TargetMode="External"/><Relationship Id="rId45" Type="http://schemas.openxmlformats.org/officeDocument/2006/relationships/hyperlink" Target="https://handhygiene.freshdesk.com/support/home" TargetMode="External"/><Relationship Id="rId66" Type="http://schemas.openxmlformats.org/officeDocument/2006/relationships/hyperlink" Target="https://www.safetyandquality.gov.au/resources/informed-consent-practical-guidance-patients" TargetMode="External"/><Relationship Id="rId87" Type="http://schemas.openxmlformats.org/officeDocument/2006/relationships/hyperlink" Target="https://www.safetyandquality.gov.au/publications-and-resources/resource-library/audit-and-risk-committee-charter" TargetMode="External"/><Relationship Id="rId110" Type="http://schemas.openxmlformats.org/officeDocument/2006/relationships/image" Target="media/image28.emf"/><Relationship Id="rId115" Type="http://schemas.openxmlformats.org/officeDocument/2006/relationships/theme" Target="theme/theme1.xml"/><Relationship Id="rId61" Type="http://schemas.openxmlformats.org/officeDocument/2006/relationships/hyperlink" Target="https://www.safetyandquality.gov.au/publications-and-resources/resource-library/co-design-and-consumer-engagement-fact-sheet" TargetMode="External"/><Relationship Id="rId82" Type="http://schemas.openxmlformats.org/officeDocument/2006/relationships/hyperlink" Target="https://www.safetyandquality.gov.au/clinical-topics/medicines-safety-and-quality/national-medicines-symposium" TargetMode="External"/><Relationship Id="rId19" Type="http://schemas.openxmlformats.org/officeDocument/2006/relationships/hyperlink" Target="https://doi.org/10.1111/1742-6723.70295" TargetMode="External"/><Relationship Id="rId14" Type="http://schemas.openxmlformats.org/officeDocument/2006/relationships/image" Target="media/image3.png"/><Relationship Id="rId30" Type="http://schemas.openxmlformats.org/officeDocument/2006/relationships/hyperlink" Target="https://doi.org/10.1016/j.jcjq.2026.04.011" TargetMode="External"/><Relationship Id="rId35" Type="http://schemas.openxmlformats.org/officeDocument/2006/relationships/hyperlink" Target="https://www.youtube.com/watch?v=gA1ndSYNM8A&amp;t=3s" TargetMode="External"/><Relationship Id="rId56" Type="http://schemas.openxmlformats.org/officeDocument/2006/relationships/hyperlink" Target="https://www.safetyandquality.gov.au/clinical-topics/chronic-obstructive-pulmonary-disease-copd-hub" TargetMode="External"/><Relationship Id="rId77" Type="http://schemas.openxmlformats.org/officeDocument/2006/relationships/hyperlink" Target="https://www.safetyandquality.gov.au/clinical-care-standards/colonoscopy" TargetMode="External"/><Relationship Id="rId100" Type="http://schemas.openxmlformats.org/officeDocument/2006/relationships/image" Target="media/image18.emf"/><Relationship Id="rId105" Type="http://schemas.openxmlformats.org/officeDocument/2006/relationships/image" Target="media/image23.emf"/><Relationship Id="rId8" Type="http://schemas.openxmlformats.org/officeDocument/2006/relationships/footer" Target="footer1.xml"/><Relationship Id="rId51" Type="http://schemas.openxmlformats.org/officeDocument/2006/relationships/hyperlink" Target="https://www.safetyandquality.gov.au/accreditation/advisories/advisory-as2501-mandatory-reporting-medical-device-adverse-events" TargetMode="External"/><Relationship Id="rId72" Type="http://schemas.openxmlformats.org/officeDocument/2006/relationships/hyperlink" Target="https://www.safetyandquality.gov.au/resources/transitions-care-people-intellectual-disability-easy-read" TargetMode="External"/><Relationship Id="rId93" Type="http://schemas.openxmlformats.org/officeDocument/2006/relationships/image" Target="media/image11.emf"/><Relationship Id="rId98" Type="http://schemas.openxmlformats.org/officeDocument/2006/relationships/image" Target="media/image16.emf"/><Relationship Id="rId3" Type="http://schemas.openxmlformats.org/officeDocument/2006/relationships/styles" Target="styles.xml"/><Relationship Id="rId25" Type="http://schemas.openxmlformats.org/officeDocument/2006/relationships/hyperlink" Target="https://doi.org/10.18773/austprescr.2024.053" TargetMode="External"/><Relationship Id="rId46" Type="http://schemas.openxmlformats.org/officeDocument/2006/relationships/hyperlink" Target="https://www.safetyandquality.gov.au/clinical-topics/clinical-governance" TargetMode="External"/><Relationship Id="rId67" Type="http://schemas.openxmlformats.org/officeDocument/2006/relationships/hyperlink" Target="https://www.safetyandquality.gov.au/resources/informed-consent-practical-guidance-substitute-decision-makers" TargetMode="External"/><Relationship Id="rId20" Type="http://schemas.openxmlformats.org/officeDocument/2006/relationships/hyperlink" Target="https://doi.org/10.1111/1742-6723.70295" TargetMode="External"/><Relationship Id="rId41" Type="http://schemas.openxmlformats.org/officeDocument/2006/relationships/hyperlink" Target="https://www.safetyandquality.gov.au/resources/joint-statement-working-together-achieve-sustainable-high-quality-health-care-changing-climate" TargetMode="External"/><Relationship Id="rId62" Type="http://schemas.openxmlformats.org/officeDocument/2006/relationships/hyperlink" Target="https://www.safetyandquality.gov.au/supporting-your-health-care/being-involved-decisions-about-your-care/ask-share-know" TargetMode="External"/><Relationship Id="rId83" Type="http://schemas.openxmlformats.org/officeDocument/2006/relationships/hyperlink" Target="https://www.safetyandquality.gov.au/clinical-topics/medicines-safety-and-quality/improving-pre-procedural-fluid-management" TargetMode="External"/><Relationship Id="rId88" Type="http://schemas.openxmlformats.org/officeDocument/2006/relationships/image" Target="media/image6.emf"/><Relationship Id="rId111" Type="http://schemas.openxmlformats.org/officeDocument/2006/relationships/image" Target="media/image29.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CAE8B4-C921-6544-8AC0-B23624E7DF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390</TotalTime>
  <Pages>137</Pages>
  <Words>37142</Words>
  <Characters>211711</Characters>
  <Application>Microsoft Office Word</Application>
  <DocSecurity>0</DocSecurity>
  <Lines>1764</Lines>
  <Paragraphs>496</Paragraphs>
  <ScaleCrop>false</ScaleCrop>
  <HeadingPairs>
    <vt:vector size="2" baseType="variant">
      <vt:variant>
        <vt:lpstr>Title</vt:lpstr>
      </vt:variant>
      <vt:variant>
        <vt:i4>1</vt:i4>
      </vt:variant>
    </vt:vector>
  </HeadingPairs>
  <TitlesOfParts>
    <vt:vector size="1" baseType="lpstr">
      <vt:lpstr>Australian Commission on Safety and Quality in Health Care Annual Report 2025-26</vt:lpstr>
    </vt:vector>
  </TitlesOfParts>
  <Company/>
  <LinksUpToDate>false</LinksUpToDate>
  <CharactersWithSpaces>248357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Australian Commission on Safety and Quality in Health Care Annual Report 2025-26</dc:title>
  <dc:creator>Australian Commission on Safety and Quality in Health Care</dc:creator>
  <cp:lastModifiedBy>Tony Alessi</cp:lastModifiedBy>
  <cp:revision>15</cp:revision>
  <dcterms:created xsi:type="dcterms:W3CDTF">2026-10-14T23:30:00Z</dcterms:created>
  <dcterms:modified xsi:type="dcterms:W3CDTF">2026-10-15T23:22:00Z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2026-10-15T00:00:00Z</vt:filetime>
  </property>
  <property fmtid="{D5CDD505-2E9C-101B-9397-08002B2CF9AE}" pid="3" name="Creator">
    <vt:lpwstr>Adobe InDesign 21.6 (Macintosh)</vt:lpwstr>
  </property>
  <property fmtid="{D5CDD505-2E9C-101B-9397-08002B2CF9AE}" pid="4" name="LastSaved">
    <vt:filetime>2026-10-14T00:00:00Z</vt:filetime>
  </property>
  <property fmtid="{D5CDD505-2E9C-101B-9397-08002B2CF9AE}" pid="5" name="Producer">
    <vt:lpwstr>Adobe PDF Library 18.0</vt:lpwstr>
  </property>
</Properties>
</file>