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44"/>
      </w:tblGrid>
      <w:tr w:rsidR="00C80AA9" w14:paraId="61A8043D" w14:textId="77777777" w:rsidTr="00381281">
        <w:trPr>
          <w:trHeight w:hRule="exact" w:val="2387"/>
        </w:trPr>
        <w:tc>
          <w:tcPr>
            <w:tcW w:w="8844" w:type="dxa"/>
            <w:vAlign w:val="center"/>
          </w:tcPr>
          <w:p w14:paraId="0F44E8EA" w14:textId="669442C6" w:rsidR="00F21464" w:rsidRPr="00A62FE8" w:rsidRDefault="005E4815" w:rsidP="00A62FE8">
            <w:pPr>
              <w:pStyle w:val="Title"/>
              <w:rPr>
                <w:sz w:val="48"/>
                <w:szCs w:val="48"/>
              </w:rPr>
            </w:pPr>
            <w:r w:rsidRPr="00875309">
              <w:rPr>
                <w:sz w:val="48"/>
                <w:szCs w:val="48"/>
              </w:rPr>
              <w:t>Discontinuation of Levemir</w:t>
            </w:r>
            <w:r w:rsidR="00CF2087" w:rsidRPr="00875309">
              <w:rPr>
                <w:sz w:val="48"/>
                <w:szCs w:val="48"/>
                <w:vertAlign w:val="superscript"/>
              </w:rPr>
              <w:t>®</w:t>
            </w:r>
            <w:r w:rsidR="00527C61">
              <w:rPr>
                <w:sz w:val="48"/>
                <w:szCs w:val="48"/>
              </w:rPr>
              <w:t xml:space="preserve"> </w:t>
            </w:r>
            <w:r w:rsidR="00527C61" w:rsidRPr="00875309">
              <w:rPr>
                <w:sz w:val="48"/>
                <w:szCs w:val="48"/>
              </w:rPr>
              <w:t>(insulin detemir)</w:t>
            </w:r>
            <w:r w:rsidR="00527C61">
              <w:rPr>
                <w:sz w:val="48"/>
                <w:szCs w:val="48"/>
              </w:rPr>
              <w:t xml:space="preserve"> </w:t>
            </w:r>
            <w:r w:rsidR="00E3101E" w:rsidRPr="00875309">
              <w:rPr>
                <w:sz w:val="48"/>
                <w:szCs w:val="48"/>
              </w:rPr>
              <w:t>Flex</w:t>
            </w:r>
            <w:r w:rsidR="00CF2087" w:rsidRPr="00875309">
              <w:rPr>
                <w:sz w:val="48"/>
                <w:szCs w:val="48"/>
              </w:rPr>
              <w:t>P</w:t>
            </w:r>
            <w:r w:rsidR="00E3101E" w:rsidRPr="00875309">
              <w:rPr>
                <w:sz w:val="48"/>
                <w:szCs w:val="48"/>
              </w:rPr>
              <w:t>en</w:t>
            </w:r>
            <w:r w:rsidR="003343F7" w:rsidRPr="00875309">
              <w:rPr>
                <w:sz w:val="48"/>
                <w:szCs w:val="48"/>
                <w:vertAlign w:val="superscript"/>
              </w:rPr>
              <w:t xml:space="preserve">® </w:t>
            </w:r>
            <w:r w:rsidR="00E3101E" w:rsidRPr="00875309">
              <w:rPr>
                <w:sz w:val="48"/>
                <w:szCs w:val="48"/>
              </w:rPr>
              <w:t>and Penfil</w:t>
            </w:r>
            <w:r w:rsidR="003343F7" w:rsidRPr="00875309">
              <w:rPr>
                <w:sz w:val="48"/>
                <w:szCs w:val="48"/>
              </w:rPr>
              <w:t>l</w:t>
            </w:r>
            <w:r w:rsidR="003343F7" w:rsidRPr="00875309">
              <w:rPr>
                <w:sz w:val="48"/>
                <w:szCs w:val="48"/>
                <w:vertAlign w:val="superscript"/>
              </w:rPr>
              <w:t>®</w:t>
            </w:r>
            <w:r w:rsidR="00645326" w:rsidRPr="00875309">
              <w:rPr>
                <w:sz w:val="48"/>
                <w:szCs w:val="48"/>
              </w:rPr>
              <w:t xml:space="preserve"> </w:t>
            </w:r>
          </w:p>
        </w:tc>
      </w:tr>
    </w:tbl>
    <w:tbl>
      <w:tblPr>
        <w:tblpPr w:leftFromText="180" w:rightFromText="180" w:vertAnchor="text" w:tblpY="419"/>
        <w:tblW w:w="0" w:type="auto"/>
        <w:tblCellMar>
          <w:top w:w="57" w:type="dxa"/>
          <w:left w:w="170" w:type="dxa"/>
          <w:bottom w:w="57" w:type="dxa"/>
          <w:right w:w="170" w:type="dxa"/>
        </w:tblCellMar>
        <w:tblLook w:val="04A0" w:firstRow="1" w:lastRow="0" w:firstColumn="1" w:lastColumn="0" w:noHBand="0" w:noVBand="1"/>
      </w:tblPr>
      <w:tblGrid>
        <w:gridCol w:w="8814"/>
      </w:tblGrid>
      <w:tr w:rsidR="00EA13D1" w14:paraId="5E7EF69F" w14:textId="77777777" w:rsidTr="00A92F91">
        <w:tc>
          <w:tcPr>
            <w:tcW w:w="8814" w:type="dxa"/>
            <w:tcBorders>
              <w:right w:val="single" w:sz="24" w:space="0" w:color="F0E8FE" w:themeColor="background2"/>
            </w:tcBorders>
            <w:shd w:val="clear" w:color="auto" w:fill="F0E8FE" w:themeFill="background2"/>
          </w:tcPr>
          <w:p w14:paraId="4A7A330A" w14:textId="77777777" w:rsidR="00EA13D1" w:rsidRPr="006105B6" w:rsidRDefault="00EA13D1" w:rsidP="00A92F91">
            <w:pPr>
              <w:pStyle w:val="BoxHeading"/>
              <w:rPr>
                <w:sz w:val="30"/>
                <w:szCs w:val="30"/>
              </w:rPr>
            </w:pPr>
            <w:r w:rsidRPr="006105B6">
              <w:rPr>
                <w:sz w:val="30"/>
                <w:szCs w:val="30"/>
              </w:rPr>
              <w:t>Key messages</w:t>
            </w:r>
          </w:p>
          <w:p w14:paraId="4E2A3EE1" w14:textId="55B49A3E" w:rsidR="00EA13D1" w:rsidRDefault="00EA13D1" w:rsidP="00EA13D1">
            <w:pPr>
              <w:pStyle w:val="ListParagraph"/>
              <w:numPr>
                <w:ilvl w:val="0"/>
                <w:numId w:val="7"/>
              </w:numPr>
              <w:spacing w:after="0"/>
            </w:pPr>
            <w:r>
              <w:t>The</w:t>
            </w:r>
            <w:r w:rsidR="00805756">
              <w:t xml:space="preserve"> </w:t>
            </w:r>
            <w:r w:rsidR="00805756" w:rsidRPr="00805756">
              <w:t>Therapeutic Goods Administration (TGA)</w:t>
            </w:r>
            <w:r w:rsidR="00805756">
              <w:t xml:space="preserve"> has </w:t>
            </w:r>
            <w:hyperlink r:id="rId11" w:history="1">
              <w:r w:rsidRPr="009473E8">
                <w:rPr>
                  <w:rStyle w:val="Hyperlink"/>
                </w:rPr>
                <w:t>advised</w:t>
              </w:r>
            </w:hyperlink>
            <w:r>
              <w:t xml:space="preserve"> that</w:t>
            </w:r>
            <w:r w:rsidR="001137BC">
              <w:t xml:space="preserve"> </w:t>
            </w:r>
            <w:r w:rsidR="001137BC" w:rsidRPr="001137BC">
              <w:t>Levemir</w:t>
            </w:r>
            <w:r w:rsidR="001137BC" w:rsidRPr="006F1ED9">
              <w:rPr>
                <w:vertAlign w:val="superscript"/>
              </w:rPr>
              <w:t>®</w:t>
            </w:r>
            <w:r w:rsidR="001137BC" w:rsidRPr="001137BC">
              <w:t xml:space="preserve"> FlexPen</w:t>
            </w:r>
            <w:r w:rsidR="001137BC" w:rsidRPr="006F1ED9">
              <w:rPr>
                <w:vertAlign w:val="superscript"/>
              </w:rPr>
              <w:t>®</w:t>
            </w:r>
            <w:r w:rsidR="001137BC" w:rsidRPr="001137BC">
              <w:t xml:space="preserve"> </w:t>
            </w:r>
            <w:r w:rsidR="002E0740">
              <w:t>100 u</w:t>
            </w:r>
            <w:r w:rsidR="0046344D">
              <w:t xml:space="preserve">nits/mL </w:t>
            </w:r>
            <w:r w:rsidR="0087184C">
              <w:t xml:space="preserve">pen device </w:t>
            </w:r>
            <w:r w:rsidR="001137BC" w:rsidRPr="001137BC">
              <w:t>and Penfill</w:t>
            </w:r>
            <w:r w:rsidR="001137BC" w:rsidRPr="006F1ED9">
              <w:rPr>
                <w:vertAlign w:val="superscript"/>
              </w:rPr>
              <w:t>®</w:t>
            </w:r>
            <w:r w:rsidR="001137BC">
              <w:t xml:space="preserve"> </w:t>
            </w:r>
            <w:r w:rsidRPr="00A92F91">
              <w:t xml:space="preserve">100 </w:t>
            </w:r>
            <w:r w:rsidR="0087184C">
              <w:t>units</w:t>
            </w:r>
            <w:r w:rsidRPr="00A92F91">
              <w:t>/m</w:t>
            </w:r>
            <w:r w:rsidR="0087184C">
              <w:t xml:space="preserve">L </w:t>
            </w:r>
            <w:r w:rsidRPr="00A92F91">
              <w:t xml:space="preserve">cartridge will </w:t>
            </w:r>
            <w:r w:rsidR="0087184C">
              <w:t xml:space="preserve">be </w:t>
            </w:r>
            <w:r w:rsidRPr="00A92F91">
              <w:t>discontinue</w:t>
            </w:r>
            <w:r w:rsidR="0087184C">
              <w:t>d</w:t>
            </w:r>
            <w:r>
              <w:t xml:space="preserve"> </w:t>
            </w:r>
            <w:r w:rsidR="003E13E3">
              <w:t>in</w:t>
            </w:r>
            <w:r>
              <w:t xml:space="preserve"> </w:t>
            </w:r>
            <w:r w:rsidR="00DA0AF5">
              <w:t>December</w:t>
            </w:r>
            <w:r>
              <w:t xml:space="preserve"> 202</w:t>
            </w:r>
            <w:r w:rsidR="00DA0AF5">
              <w:t>6</w:t>
            </w:r>
            <w:r>
              <w:t>.</w:t>
            </w:r>
          </w:p>
          <w:p w14:paraId="46C2C10B" w14:textId="7478DCC6" w:rsidR="0014149B" w:rsidRDefault="00EA13D1" w:rsidP="00EA13D1">
            <w:pPr>
              <w:pStyle w:val="ListParagraph"/>
              <w:numPr>
                <w:ilvl w:val="0"/>
                <w:numId w:val="7"/>
              </w:numPr>
            </w:pPr>
            <w:r>
              <w:t>People with diabetes</w:t>
            </w:r>
            <w:r w:rsidR="002D1A9A">
              <w:t xml:space="preserve"> </w:t>
            </w:r>
            <w:r>
              <w:t>using</w:t>
            </w:r>
            <w:r w:rsidR="00480B88">
              <w:t xml:space="preserve"> </w:t>
            </w:r>
            <w:r w:rsidR="00480B88" w:rsidRPr="00480B88">
              <w:t>Levemir</w:t>
            </w:r>
            <w:r w:rsidR="00480B88" w:rsidRPr="00480B88">
              <w:rPr>
                <w:vertAlign w:val="superscript"/>
              </w:rPr>
              <w:t>®</w:t>
            </w:r>
            <w:r w:rsidR="00480B88" w:rsidRPr="00480B88">
              <w:t xml:space="preserve"> FlexPen</w:t>
            </w:r>
            <w:r w:rsidR="00480B88" w:rsidRPr="00480B88">
              <w:rPr>
                <w:vertAlign w:val="superscript"/>
              </w:rPr>
              <w:t>®</w:t>
            </w:r>
            <w:r w:rsidR="00480B88">
              <w:t xml:space="preserve"> or </w:t>
            </w:r>
            <w:r w:rsidR="00480B88" w:rsidRPr="001137BC">
              <w:t>Penfill</w:t>
            </w:r>
            <w:r w:rsidR="00480B88" w:rsidRPr="006F1ED9">
              <w:rPr>
                <w:vertAlign w:val="superscript"/>
              </w:rPr>
              <w:t>®</w:t>
            </w:r>
            <w:r w:rsidR="00480B88">
              <w:rPr>
                <w:vertAlign w:val="superscript"/>
              </w:rPr>
              <w:t xml:space="preserve"> </w:t>
            </w:r>
            <w:r w:rsidR="00133231">
              <w:t>who</w:t>
            </w:r>
            <w:r w:rsidR="00133231" w:rsidRPr="0097012A">
              <w:t xml:space="preserve"> </w:t>
            </w:r>
            <w:r w:rsidR="00133231">
              <w:t xml:space="preserve">require ongoing insulin therapy </w:t>
            </w:r>
            <w:r w:rsidRPr="0097012A">
              <w:t>will need to be</w:t>
            </w:r>
            <w:r w:rsidR="00427CEB">
              <w:t xml:space="preserve"> transitioned</w:t>
            </w:r>
            <w:r w:rsidRPr="0097012A">
              <w:t xml:space="preserve"> to an appropriate alternative insulin preparation</w:t>
            </w:r>
            <w:r w:rsidR="00E06992">
              <w:t>, as soon as practicable</w:t>
            </w:r>
            <w:r w:rsidRPr="0097012A">
              <w:t>.</w:t>
            </w:r>
            <w:r>
              <w:t xml:space="preserve"> </w:t>
            </w:r>
          </w:p>
          <w:p w14:paraId="1CE17731" w14:textId="77777777" w:rsidR="00C11B57" w:rsidRDefault="00133231" w:rsidP="0014149B">
            <w:pPr>
              <w:pStyle w:val="ListParagraph"/>
              <w:numPr>
                <w:ilvl w:val="0"/>
                <w:numId w:val="7"/>
              </w:numPr>
            </w:pPr>
            <w:r w:rsidRPr="00133231">
              <w:t xml:space="preserve">The transition to alternative insulin products requires careful planning and timely management to maintain continuity of care and minimise the risk of medication errors. </w:t>
            </w:r>
          </w:p>
          <w:p w14:paraId="54036CD2" w14:textId="110E833F" w:rsidR="0014149B" w:rsidRDefault="00C11B57" w:rsidP="0014149B">
            <w:pPr>
              <w:pStyle w:val="ListParagraph"/>
              <w:numPr>
                <w:ilvl w:val="0"/>
                <w:numId w:val="7"/>
              </w:numPr>
            </w:pPr>
            <w:r>
              <w:t>Clinicians should use the</w:t>
            </w:r>
            <w:r w:rsidR="0014149B">
              <w:t xml:space="preserve"> </w:t>
            </w:r>
            <w:hyperlink r:id="rId12" w:history="1">
              <w:r w:rsidR="0014149B" w:rsidRPr="00250FF3">
                <w:rPr>
                  <w:rStyle w:val="Hyperlink"/>
                </w:rPr>
                <w:t>safe prescribing checklist</w:t>
              </w:r>
            </w:hyperlink>
            <w:r w:rsidR="0014149B">
              <w:t xml:space="preserve"> to</w:t>
            </w:r>
            <w:r>
              <w:t xml:space="preserve"> help</w:t>
            </w:r>
            <w:r w:rsidR="0014149B">
              <w:t xml:space="preserve"> mitigate risk</w:t>
            </w:r>
            <w:r>
              <w:t>s</w:t>
            </w:r>
            <w:r w:rsidR="0014149B">
              <w:t xml:space="preserve"> when </w:t>
            </w:r>
            <w:r>
              <w:t>transitioning patients</w:t>
            </w:r>
            <w:r w:rsidR="0014149B">
              <w:t xml:space="preserve"> between insulin products. </w:t>
            </w:r>
          </w:p>
          <w:p w14:paraId="7C054A1B" w14:textId="1C13FC22" w:rsidR="004D28CC" w:rsidRDefault="00DA10DB" w:rsidP="00EA13D1">
            <w:pPr>
              <w:pStyle w:val="ListParagraph"/>
              <w:numPr>
                <w:ilvl w:val="0"/>
                <w:numId w:val="7"/>
              </w:numPr>
            </w:pPr>
            <w:r>
              <w:t>T</w:t>
            </w:r>
            <w:r w:rsidR="00903CE3" w:rsidRPr="00903CE3">
              <w:t xml:space="preserve">he Levemir </w:t>
            </w:r>
            <w:r w:rsidR="00317D6E">
              <w:t>d</w:t>
            </w:r>
            <w:r w:rsidR="00903CE3" w:rsidRPr="00903CE3">
              <w:t xml:space="preserve">iscontinuation </w:t>
            </w:r>
            <w:r w:rsidR="00317D6E">
              <w:t>r</w:t>
            </w:r>
            <w:r w:rsidR="00903CE3" w:rsidRPr="00903CE3">
              <w:t>e</w:t>
            </w:r>
            <w:r w:rsidR="00D33E4E">
              <w:t>commendations</w:t>
            </w:r>
            <w:r w:rsidR="001E45AB">
              <w:t xml:space="preserve"> (in press)</w:t>
            </w:r>
            <w:r w:rsidR="00903CE3" w:rsidRPr="00903CE3">
              <w:t xml:space="preserve"> by the Diabetes Alliance </w:t>
            </w:r>
            <w:r w:rsidR="0030029B">
              <w:t>w</w:t>
            </w:r>
            <w:r w:rsidR="00903CE3" w:rsidRPr="00903CE3">
              <w:t xml:space="preserve">orking </w:t>
            </w:r>
            <w:r w:rsidR="0030029B">
              <w:t>g</w:t>
            </w:r>
            <w:r w:rsidR="00903CE3" w:rsidRPr="00903CE3">
              <w:t>roup</w:t>
            </w:r>
            <w:r>
              <w:t xml:space="preserve"> </w:t>
            </w:r>
            <w:r w:rsidR="003E18DE">
              <w:t>provide</w:t>
            </w:r>
            <w:r w:rsidR="0014149B">
              <w:t>s</w:t>
            </w:r>
            <w:r w:rsidR="003E18DE">
              <w:t xml:space="preserve"> </w:t>
            </w:r>
            <w:r w:rsidR="003E18DE" w:rsidRPr="003E18DE">
              <w:t xml:space="preserve">clinical </w:t>
            </w:r>
            <w:r w:rsidR="0014149B">
              <w:t>guidance</w:t>
            </w:r>
            <w:r w:rsidR="003E18DE" w:rsidRPr="003E18DE">
              <w:t xml:space="preserve"> on managing the transition</w:t>
            </w:r>
            <w:r w:rsidR="003E18DE">
              <w:t xml:space="preserve"> from Levemir</w:t>
            </w:r>
            <w:r w:rsidR="003E18DE" w:rsidRPr="003E18DE">
              <w:rPr>
                <w:vertAlign w:val="superscript"/>
              </w:rPr>
              <w:t>®</w:t>
            </w:r>
            <w:r w:rsidR="003E18DE" w:rsidRPr="003E18DE">
              <w:t xml:space="preserve"> and selecting appropriate alternative insulin</w:t>
            </w:r>
            <w:r w:rsidR="00213B67">
              <w:t xml:space="preserve"> products</w:t>
            </w:r>
            <w:r w:rsidR="00C754A0">
              <w:t xml:space="preserve"> (summarised in </w:t>
            </w:r>
            <w:r w:rsidR="00C754A0" w:rsidRPr="006356DD">
              <w:rPr>
                <w:b/>
                <w:bCs/>
              </w:rPr>
              <w:t>Figure 1</w:t>
            </w:r>
            <w:r w:rsidR="00C754A0">
              <w:t>).</w:t>
            </w:r>
          </w:p>
          <w:p w14:paraId="7035E429" w14:textId="128A2563" w:rsidR="00EA13D1" w:rsidRDefault="0014149B" w:rsidP="00A92F91">
            <w:r w:rsidRPr="001137BC">
              <w:t>Levemir</w:t>
            </w:r>
            <w:r w:rsidRPr="006F1ED9">
              <w:rPr>
                <w:vertAlign w:val="superscript"/>
              </w:rPr>
              <w:t>®</w:t>
            </w:r>
            <w:r w:rsidRPr="001137BC">
              <w:t xml:space="preserve"> FlexPen</w:t>
            </w:r>
            <w:r w:rsidRPr="006F1ED9">
              <w:rPr>
                <w:vertAlign w:val="superscript"/>
              </w:rPr>
              <w:t>®</w:t>
            </w:r>
            <w:r w:rsidRPr="001137BC">
              <w:t xml:space="preserve"> </w:t>
            </w:r>
            <w:r>
              <w:t>and</w:t>
            </w:r>
            <w:r w:rsidRPr="001137BC">
              <w:t xml:space="preserve"> Penfill</w:t>
            </w:r>
            <w:r w:rsidRPr="006F1ED9">
              <w:rPr>
                <w:vertAlign w:val="superscript"/>
              </w:rPr>
              <w:t>®</w:t>
            </w:r>
            <w:r>
              <w:rPr>
                <w:vertAlign w:val="superscript"/>
              </w:rPr>
              <w:t xml:space="preserve"> </w:t>
            </w:r>
            <w:r>
              <w:t xml:space="preserve">are </w:t>
            </w:r>
            <w:r w:rsidR="00C11B57">
              <w:t>among</w:t>
            </w:r>
            <w:r>
              <w:t xml:space="preserve"> a range of insulin products being discontinued globally. </w:t>
            </w:r>
            <w:hyperlink r:id="rId13" w:history="1">
              <w:r w:rsidR="00EA13D1" w:rsidRPr="00FF5EE3">
                <w:rPr>
                  <w:rStyle w:val="Hyperlink"/>
                </w:rPr>
                <w:t>Guidance - Discontinuation of insulin products: Strategies and safety considerations</w:t>
              </w:r>
            </w:hyperlink>
            <w:r w:rsidR="00EA13D1">
              <w:t xml:space="preserve"> provides more information for clinicians about transitioning people with diabetes </w:t>
            </w:r>
            <w:r w:rsidR="00EA13D1" w:rsidRPr="00EA0552">
              <w:t>to alternative insulin products.</w:t>
            </w:r>
          </w:p>
        </w:tc>
      </w:tr>
    </w:tbl>
    <w:p w14:paraId="53CCB25E" w14:textId="50E37D93" w:rsidR="00E40D42" w:rsidRDefault="00E40D42" w:rsidP="00E40D42">
      <w:pPr>
        <w:pStyle w:val="Heading1"/>
      </w:pPr>
      <w:r>
        <w:t>Purpose</w:t>
      </w:r>
    </w:p>
    <w:p w14:paraId="5D8998A2" w14:textId="208695E7" w:rsidR="00E40D42" w:rsidRPr="003A314D" w:rsidRDefault="00230B7B" w:rsidP="003A314D">
      <w:r w:rsidRPr="00230B7B">
        <w:t>This fact sheet has been developed by the Australian Commission on Safety and Quality in Health Care (the Commission) to</w:t>
      </w:r>
      <w:r w:rsidR="004C41BB">
        <w:t xml:space="preserve"> support</w:t>
      </w:r>
      <w:r w:rsidRPr="00230B7B">
        <w:t xml:space="preserve"> </w:t>
      </w:r>
      <w:r w:rsidR="00667824">
        <w:t>clinicians</w:t>
      </w:r>
      <w:r w:rsidRPr="00230B7B">
        <w:t xml:space="preserve"> </w:t>
      </w:r>
      <w:r w:rsidR="004C41BB">
        <w:t>in delivering</w:t>
      </w:r>
      <w:r w:rsidRPr="00230B7B">
        <w:t xml:space="preserve"> safe and</w:t>
      </w:r>
      <w:r w:rsidR="004C41BB">
        <w:t xml:space="preserve"> high</w:t>
      </w:r>
      <w:r w:rsidR="00C11B57">
        <w:t>-</w:t>
      </w:r>
      <w:r w:rsidRPr="00230B7B">
        <w:t xml:space="preserve">quality care during the discontinuation of </w:t>
      </w:r>
      <w:r w:rsidRPr="00480B88">
        <w:t>Levemir</w:t>
      </w:r>
      <w:r w:rsidRPr="00480B88">
        <w:rPr>
          <w:vertAlign w:val="superscript"/>
        </w:rPr>
        <w:t>®</w:t>
      </w:r>
      <w:r w:rsidRPr="00480B88">
        <w:t xml:space="preserve"> FlexPen</w:t>
      </w:r>
      <w:r w:rsidRPr="00480B88">
        <w:rPr>
          <w:vertAlign w:val="superscript"/>
        </w:rPr>
        <w:t>®</w:t>
      </w:r>
      <w:r>
        <w:t xml:space="preserve"> and </w:t>
      </w:r>
      <w:r w:rsidRPr="001137BC">
        <w:t>Penfill</w:t>
      </w:r>
      <w:r w:rsidRPr="006F1ED9">
        <w:rPr>
          <w:vertAlign w:val="superscript"/>
        </w:rPr>
        <w:t>®</w:t>
      </w:r>
      <w:r>
        <w:rPr>
          <w:vertAlign w:val="superscript"/>
        </w:rPr>
        <w:t xml:space="preserve"> </w:t>
      </w:r>
      <w:r w:rsidR="000B30E8">
        <w:t>i</w:t>
      </w:r>
      <w:r w:rsidRPr="00230B7B">
        <w:t xml:space="preserve">n Australia. The fact sheet focuses on actions to mitigate risks associated with changing or switching from </w:t>
      </w:r>
      <w:r w:rsidR="000B30E8" w:rsidRPr="00480B88">
        <w:t>Levemir</w:t>
      </w:r>
      <w:r w:rsidR="000B30E8" w:rsidRPr="00480B88">
        <w:rPr>
          <w:vertAlign w:val="superscript"/>
        </w:rPr>
        <w:t>®</w:t>
      </w:r>
      <w:r w:rsidR="000B30E8" w:rsidRPr="00480B88">
        <w:t xml:space="preserve"> FlexPen</w:t>
      </w:r>
      <w:r w:rsidR="000B30E8" w:rsidRPr="00480B88">
        <w:rPr>
          <w:vertAlign w:val="superscript"/>
        </w:rPr>
        <w:t>®</w:t>
      </w:r>
      <w:r w:rsidR="000B30E8">
        <w:t xml:space="preserve"> and </w:t>
      </w:r>
      <w:r w:rsidR="000B30E8" w:rsidRPr="001137BC">
        <w:t>Penfill</w:t>
      </w:r>
      <w:r w:rsidR="000B30E8" w:rsidRPr="006F1ED9">
        <w:rPr>
          <w:vertAlign w:val="superscript"/>
        </w:rPr>
        <w:t>®</w:t>
      </w:r>
      <w:r w:rsidR="00C11B57">
        <w:rPr>
          <w:vertAlign w:val="superscript"/>
        </w:rPr>
        <w:t xml:space="preserve"> </w:t>
      </w:r>
      <w:r w:rsidR="00C11B57">
        <w:t>to alternative insulin products</w:t>
      </w:r>
      <w:r w:rsidR="000B30E8">
        <w:t>.</w:t>
      </w:r>
      <w:r w:rsidR="000B30E8">
        <w:rPr>
          <w:vertAlign w:val="superscript"/>
        </w:rPr>
        <w:t xml:space="preserve"> </w:t>
      </w:r>
      <w:r w:rsidRPr="00230B7B">
        <w:t>It does not provide</w:t>
      </w:r>
      <w:r w:rsidR="0014149B">
        <w:t xml:space="preserve"> </w:t>
      </w:r>
      <w:r w:rsidRPr="00230B7B">
        <w:t>clinical guidance on</w:t>
      </w:r>
      <w:r w:rsidR="00B62E1A">
        <w:t xml:space="preserve"> the</w:t>
      </w:r>
      <w:r w:rsidR="00C11B57">
        <w:t xml:space="preserve"> selection or</w:t>
      </w:r>
      <w:r w:rsidR="00115171">
        <w:t xml:space="preserve"> use of insulin products.</w:t>
      </w:r>
      <w:r w:rsidRPr="00230B7B">
        <w:t xml:space="preserve"> </w:t>
      </w:r>
    </w:p>
    <w:p w14:paraId="6E406642" w14:textId="763925A0" w:rsidR="00595909" w:rsidRDefault="000B30E8" w:rsidP="002A1211">
      <w:pPr>
        <w:pStyle w:val="Heading1"/>
      </w:pPr>
      <w:r>
        <w:t xml:space="preserve">Insulin detemir </w:t>
      </w:r>
    </w:p>
    <w:p w14:paraId="137FBF82" w14:textId="2CFF5BD4" w:rsidR="000B30E8" w:rsidRPr="00440078" w:rsidRDefault="000B30E8" w:rsidP="000B30E8">
      <w:pPr>
        <w:rPr>
          <w:vertAlign w:val="superscript"/>
        </w:rPr>
      </w:pPr>
      <w:r>
        <w:t>Insulin detemir is a</w:t>
      </w:r>
      <w:r w:rsidR="0015052A">
        <w:t xml:space="preserve"> </w:t>
      </w:r>
      <w:r w:rsidR="00115171">
        <w:t>long-acting</w:t>
      </w:r>
      <w:r w:rsidR="0015052A">
        <w:t xml:space="preserve"> insulin </w:t>
      </w:r>
      <w:r w:rsidR="00DE6443">
        <w:t xml:space="preserve">analogue </w:t>
      </w:r>
      <w:r w:rsidR="0015052A">
        <w:t xml:space="preserve">with </w:t>
      </w:r>
      <w:r w:rsidR="009C19D0">
        <w:t xml:space="preserve">onset of action within 60 minutes and reaching a maximum effect within </w:t>
      </w:r>
      <w:r w:rsidR="00F006B5">
        <w:t>6 to 8 hours.</w:t>
      </w:r>
      <w:r w:rsidR="00440078">
        <w:rPr>
          <w:vertAlign w:val="superscript"/>
        </w:rPr>
        <w:t>1</w:t>
      </w:r>
      <w:r w:rsidR="00F15B38">
        <w:t xml:space="preserve"> Insulin detemir is administered once or twice daily with a</w:t>
      </w:r>
      <w:r w:rsidR="00F006B5">
        <w:t xml:space="preserve"> duration of action </w:t>
      </w:r>
      <w:r w:rsidR="00F15B38">
        <w:t>of</w:t>
      </w:r>
      <w:r w:rsidR="00F006B5">
        <w:t xml:space="preserve"> </w:t>
      </w:r>
      <w:r w:rsidR="000728D8">
        <w:t xml:space="preserve">up to </w:t>
      </w:r>
      <w:r w:rsidR="00F006B5">
        <w:t>24 hours.</w:t>
      </w:r>
      <w:r w:rsidR="00440078">
        <w:rPr>
          <w:vertAlign w:val="superscript"/>
        </w:rPr>
        <w:t>1</w:t>
      </w:r>
    </w:p>
    <w:p w14:paraId="21A48908" w14:textId="3E85769F" w:rsidR="00DA1812" w:rsidRDefault="00F006B5" w:rsidP="000B30E8">
      <w:r>
        <w:lastRenderedPageBreak/>
        <w:t xml:space="preserve">In Australia, insulin detemir </w:t>
      </w:r>
      <w:r w:rsidR="00DD1A3A">
        <w:t xml:space="preserve">is </w:t>
      </w:r>
      <w:r>
        <w:t>available</w:t>
      </w:r>
      <w:r w:rsidR="00115171">
        <w:t xml:space="preserve"> from Novo Nordisk</w:t>
      </w:r>
      <w:r>
        <w:t xml:space="preserve"> </w:t>
      </w:r>
      <w:r w:rsidR="00C754A0">
        <w:t>a</w:t>
      </w:r>
      <w:r w:rsidR="00E06266">
        <w:t xml:space="preserve">s </w:t>
      </w:r>
      <w:r w:rsidR="00672B48" w:rsidRPr="00480B88">
        <w:t>Levemir</w:t>
      </w:r>
      <w:r w:rsidR="00672B48" w:rsidRPr="00480B88">
        <w:rPr>
          <w:vertAlign w:val="superscript"/>
        </w:rPr>
        <w:t>®</w:t>
      </w:r>
      <w:r w:rsidR="00672B48" w:rsidRPr="00480B88">
        <w:t xml:space="preserve"> FlexPen</w:t>
      </w:r>
      <w:r w:rsidR="00672B48" w:rsidRPr="00480B88">
        <w:rPr>
          <w:vertAlign w:val="superscript"/>
        </w:rPr>
        <w:t>®</w:t>
      </w:r>
      <w:r w:rsidR="00672B48">
        <w:t xml:space="preserve"> and </w:t>
      </w:r>
      <w:r w:rsidR="00672B48" w:rsidRPr="001137BC">
        <w:t>Penfill</w:t>
      </w:r>
      <w:r w:rsidR="00672B48" w:rsidRPr="006F1ED9">
        <w:rPr>
          <w:vertAlign w:val="superscript"/>
        </w:rPr>
        <w:t>®</w:t>
      </w:r>
      <w:r w:rsidR="00DA1812">
        <w:t>.</w:t>
      </w:r>
      <w:r w:rsidR="00933C7C">
        <w:t xml:space="preserve"> </w:t>
      </w:r>
      <w:r w:rsidR="00F03A23">
        <w:t xml:space="preserve">In December 2026, </w:t>
      </w:r>
      <w:r w:rsidR="00017B2A" w:rsidRPr="00017B2A">
        <w:t>Levemir</w:t>
      </w:r>
      <w:r w:rsidR="00017B2A" w:rsidRPr="00017B2A">
        <w:rPr>
          <w:vertAlign w:val="superscript"/>
        </w:rPr>
        <w:t>®</w:t>
      </w:r>
      <w:r w:rsidR="00017B2A" w:rsidRPr="00017B2A">
        <w:t xml:space="preserve"> FlexPen</w:t>
      </w:r>
      <w:r w:rsidR="00017B2A" w:rsidRPr="00017B2A">
        <w:rPr>
          <w:vertAlign w:val="superscript"/>
        </w:rPr>
        <w:t>®</w:t>
      </w:r>
      <w:r w:rsidR="00017B2A" w:rsidRPr="00017B2A">
        <w:t xml:space="preserve"> </w:t>
      </w:r>
      <w:r w:rsidR="00AA6786">
        <w:t>(</w:t>
      </w:r>
      <w:r w:rsidR="00846CC0">
        <w:t xml:space="preserve">insulin detemir, </w:t>
      </w:r>
      <w:r w:rsidR="00017B2A" w:rsidRPr="00017B2A">
        <w:t>100 units/mL</w:t>
      </w:r>
      <w:r w:rsidR="005019E4">
        <w:t xml:space="preserve"> injection in a 3 mL</w:t>
      </w:r>
      <w:r w:rsidR="00846CC0">
        <w:t xml:space="preserve"> </w:t>
      </w:r>
      <w:r w:rsidR="00091744">
        <w:t xml:space="preserve">pre-filled </w:t>
      </w:r>
      <w:r w:rsidR="00017B2A" w:rsidRPr="00017B2A">
        <w:t>pen device</w:t>
      </w:r>
      <w:r w:rsidR="005019E4">
        <w:t>)</w:t>
      </w:r>
      <w:r w:rsidR="00017B2A" w:rsidRPr="00017B2A">
        <w:t xml:space="preserve"> and </w:t>
      </w:r>
      <w:r w:rsidR="005019E4" w:rsidRPr="00017B2A">
        <w:t>Levemir</w:t>
      </w:r>
      <w:r w:rsidR="005019E4" w:rsidRPr="00017B2A">
        <w:rPr>
          <w:vertAlign w:val="superscript"/>
        </w:rPr>
        <w:t>®</w:t>
      </w:r>
      <w:r w:rsidR="005019E4" w:rsidRPr="00017B2A">
        <w:t xml:space="preserve"> </w:t>
      </w:r>
      <w:r w:rsidR="00017B2A" w:rsidRPr="00017B2A">
        <w:t>Penfill</w:t>
      </w:r>
      <w:r w:rsidR="00017B2A" w:rsidRPr="00017B2A">
        <w:rPr>
          <w:vertAlign w:val="superscript"/>
        </w:rPr>
        <w:t>®</w:t>
      </w:r>
      <w:r w:rsidR="00017B2A" w:rsidRPr="00017B2A">
        <w:t xml:space="preserve"> </w:t>
      </w:r>
      <w:r w:rsidR="005019E4">
        <w:t xml:space="preserve">(insulin detemir, </w:t>
      </w:r>
      <w:r w:rsidR="00017B2A" w:rsidRPr="00017B2A">
        <w:t xml:space="preserve">100 units/mL </w:t>
      </w:r>
      <w:r w:rsidR="003506B1">
        <w:t xml:space="preserve">injection in a 3 mL </w:t>
      </w:r>
      <w:r w:rsidR="00017B2A" w:rsidRPr="00017B2A">
        <w:t>cartridge</w:t>
      </w:r>
      <w:r w:rsidR="00091744">
        <w:t xml:space="preserve"> for use with a compatible reusable pen device</w:t>
      </w:r>
      <w:r w:rsidR="003506B1">
        <w:t xml:space="preserve">) </w:t>
      </w:r>
      <w:r w:rsidR="00017B2A" w:rsidRPr="00017B2A">
        <w:t>will be discontinued</w:t>
      </w:r>
      <w:r w:rsidR="003506B1">
        <w:t>.</w:t>
      </w:r>
    </w:p>
    <w:p w14:paraId="70A718CB" w14:textId="70130E8A" w:rsidR="003506B1" w:rsidRDefault="002B342D" w:rsidP="000B30E8">
      <w:r>
        <w:t>The</w:t>
      </w:r>
      <w:r w:rsidR="00343AD6">
        <w:t xml:space="preserve">re is no </w:t>
      </w:r>
      <w:r w:rsidR="00785DEC">
        <w:t>directly equivalent</w:t>
      </w:r>
      <w:r w:rsidR="002A1060">
        <w:t xml:space="preserve"> </w:t>
      </w:r>
      <w:r w:rsidR="00785DEC">
        <w:t>substitute</w:t>
      </w:r>
      <w:r w:rsidR="0051366D">
        <w:t xml:space="preserve"> for </w:t>
      </w:r>
      <w:r w:rsidR="002C15FD" w:rsidRPr="00480B88">
        <w:t>Levemir</w:t>
      </w:r>
      <w:r w:rsidR="002C15FD" w:rsidRPr="00480B88">
        <w:rPr>
          <w:vertAlign w:val="superscript"/>
        </w:rPr>
        <w:t>®</w:t>
      </w:r>
      <w:r w:rsidR="002C15FD" w:rsidRPr="00480B88">
        <w:t xml:space="preserve"> FlexPen</w:t>
      </w:r>
      <w:r w:rsidR="002C15FD" w:rsidRPr="00480B88">
        <w:rPr>
          <w:vertAlign w:val="superscript"/>
        </w:rPr>
        <w:t>®</w:t>
      </w:r>
      <w:r w:rsidR="002C15FD">
        <w:t xml:space="preserve"> </w:t>
      </w:r>
      <w:r w:rsidR="00B6176C">
        <w:t>and</w:t>
      </w:r>
      <w:r w:rsidR="002C15FD">
        <w:t xml:space="preserve"> </w:t>
      </w:r>
      <w:r w:rsidR="002C15FD" w:rsidRPr="001137BC">
        <w:t>Penfill</w:t>
      </w:r>
      <w:r w:rsidR="002C15FD" w:rsidRPr="006F1ED9">
        <w:rPr>
          <w:vertAlign w:val="superscript"/>
        </w:rPr>
        <w:t>®</w:t>
      </w:r>
      <w:r w:rsidR="00B6176C">
        <w:t xml:space="preserve">. </w:t>
      </w:r>
      <w:r w:rsidR="00B6176C" w:rsidRPr="00EF4E50">
        <w:t>People with diabetes using Levemir</w:t>
      </w:r>
      <w:r w:rsidR="00B6176C" w:rsidRPr="00EF4E50">
        <w:rPr>
          <w:vertAlign w:val="superscript"/>
        </w:rPr>
        <w:t>®</w:t>
      </w:r>
      <w:r w:rsidR="00B6176C" w:rsidRPr="00EF4E50">
        <w:t xml:space="preserve"> FlexPen</w:t>
      </w:r>
      <w:r w:rsidR="00B6176C" w:rsidRPr="00EF4E50">
        <w:rPr>
          <w:vertAlign w:val="superscript"/>
        </w:rPr>
        <w:t>®</w:t>
      </w:r>
      <w:r w:rsidR="00B6176C" w:rsidRPr="00EF4E50">
        <w:t xml:space="preserve"> or Penfill</w:t>
      </w:r>
      <w:r w:rsidR="00B6176C" w:rsidRPr="00EF4E50">
        <w:rPr>
          <w:vertAlign w:val="superscript"/>
        </w:rPr>
        <w:t>®</w:t>
      </w:r>
      <w:r w:rsidR="00B6176C" w:rsidRPr="00EF4E50">
        <w:t xml:space="preserve"> </w:t>
      </w:r>
      <w:r w:rsidR="00F34472" w:rsidRPr="00EF4E50">
        <w:t>should</w:t>
      </w:r>
      <w:r w:rsidR="00453931">
        <w:t xml:space="preserve"> </w:t>
      </w:r>
      <w:r w:rsidR="00453931" w:rsidRPr="00EF4E50">
        <w:t>transition to a suitable alternative insulin</w:t>
      </w:r>
      <w:r w:rsidR="00805155" w:rsidRPr="00EF4E50">
        <w:t xml:space="preserve"> </w:t>
      </w:r>
      <w:r w:rsidR="00DE6443">
        <w:t xml:space="preserve">product </w:t>
      </w:r>
      <w:r w:rsidR="00453931">
        <w:t xml:space="preserve">as soon as </w:t>
      </w:r>
      <w:r w:rsidR="00E06992">
        <w:t>practicable</w:t>
      </w:r>
      <w:r w:rsidR="00F03A23">
        <w:t xml:space="preserve"> </w:t>
      </w:r>
      <w:r w:rsidR="00F03A23" w:rsidRPr="00CB32A0">
        <w:t>(</w:t>
      </w:r>
      <w:r w:rsidR="00453931" w:rsidRPr="00D729B7">
        <w:rPr>
          <w:b/>
          <w:bCs/>
        </w:rPr>
        <w:t>Table 1</w:t>
      </w:r>
      <w:r w:rsidR="00F03A23" w:rsidRPr="00CB32A0">
        <w:t>).</w:t>
      </w:r>
      <w:r w:rsidR="00453931">
        <w:rPr>
          <w:b/>
          <w:bCs/>
        </w:rPr>
        <w:t xml:space="preserve"> </w:t>
      </w:r>
      <w:r w:rsidR="00FA135F">
        <w:t>Before prescribing an alternative product, clinicians should consider product availability, including</w:t>
      </w:r>
      <w:r w:rsidR="00DE6443">
        <w:t xml:space="preserve"> availability </w:t>
      </w:r>
      <w:r w:rsidR="00F03A23">
        <w:t xml:space="preserve">on the </w:t>
      </w:r>
      <w:r w:rsidR="00F03A23" w:rsidRPr="008F1599">
        <w:t xml:space="preserve">hospital formulary or </w:t>
      </w:r>
      <w:r w:rsidR="00FA135F">
        <w:t xml:space="preserve">through the </w:t>
      </w:r>
      <w:r w:rsidR="00F03A23" w:rsidRPr="008F1599">
        <w:t>Pharmaceutical Benefits Scheme (PBS)</w:t>
      </w:r>
      <w:r w:rsidR="00DE6443">
        <w:t xml:space="preserve">. </w:t>
      </w:r>
    </w:p>
    <w:p w14:paraId="02B17029" w14:textId="60D28B3B" w:rsidR="00E70C67" w:rsidRPr="0017752D" w:rsidRDefault="00E70C67" w:rsidP="00E70C67">
      <w:pPr>
        <w:pStyle w:val="Tablecaption"/>
      </w:pPr>
      <w:r>
        <w:t>Levemir</w:t>
      </w:r>
      <w:r w:rsidRPr="0017752D">
        <w:rPr>
          <w:rFonts w:cs="Arial"/>
          <w:vertAlign w:val="superscript"/>
        </w:rPr>
        <w:t>®</w:t>
      </w:r>
      <w:r w:rsidRPr="0017752D">
        <w:t xml:space="preserve"> products to be discontinued</w:t>
      </w:r>
      <w:r>
        <w:t xml:space="preserve"> </w:t>
      </w:r>
      <w:r w:rsidRPr="0017752D">
        <w:t>and available alternatives.</w:t>
      </w:r>
    </w:p>
    <w:tbl>
      <w:tblPr>
        <w:tblStyle w:val="SQHTable"/>
        <w:tblW w:w="0" w:type="auto"/>
        <w:tblLook w:val="04A0" w:firstRow="1" w:lastRow="0" w:firstColumn="1" w:lastColumn="0" w:noHBand="0" w:noVBand="1"/>
        <w:tblDescription w:val="Table description goes here"/>
      </w:tblPr>
      <w:tblGrid>
        <w:gridCol w:w="3686"/>
        <w:gridCol w:w="5158"/>
      </w:tblGrid>
      <w:tr w:rsidR="0015012E" w:rsidRPr="00072AF5" w14:paraId="255917C4" w14:textId="77777777" w:rsidTr="00DD1A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686" w:type="dxa"/>
            <w:tcBorders>
              <w:right w:val="single" w:sz="6" w:space="0" w:color="FFFFFF" w:themeColor="background1"/>
            </w:tcBorders>
          </w:tcPr>
          <w:p w14:paraId="6C2894F5" w14:textId="74959F6C" w:rsidR="0015012E" w:rsidRPr="00072AF5" w:rsidRDefault="0015012E" w:rsidP="00FD6233">
            <w:pPr>
              <w:jc w:val="center"/>
            </w:pPr>
            <w:r w:rsidRPr="001B4011">
              <w:t>Insulin product to be discontinued</w:t>
            </w:r>
            <w:r>
              <w:t xml:space="preserve"> in December 2026</w:t>
            </w:r>
            <w:r w:rsidR="00E67B04">
              <w:rPr>
                <w:rFonts w:cstheme="minorHAnsi"/>
              </w:rPr>
              <w:t>∞</w:t>
            </w:r>
          </w:p>
        </w:tc>
        <w:tc>
          <w:tcPr>
            <w:tcW w:w="5158" w:type="dxa"/>
            <w:tcBorders>
              <w:left w:val="single" w:sz="6" w:space="0" w:color="FFFFFF" w:themeColor="background1"/>
            </w:tcBorders>
          </w:tcPr>
          <w:p w14:paraId="266C572D" w14:textId="70EDDD83" w:rsidR="0015012E" w:rsidRPr="006356DD" w:rsidRDefault="0015012E" w:rsidP="00FD6233">
            <w:pPr>
              <w:jc w:val="center"/>
              <w:rPr>
                <w:vertAlign w:val="superscript"/>
              </w:rPr>
            </w:pPr>
            <w:r w:rsidRPr="001B4011">
              <w:t>Available alternative(s)</w:t>
            </w:r>
          </w:p>
        </w:tc>
      </w:tr>
      <w:tr w:rsidR="0015012E" w:rsidRPr="00072AF5" w14:paraId="05C7AA4B" w14:textId="77777777" w:rsidTr="00DF618B">
        <w:trPr>
          <w:trHeight w:val="963"/>
        </w:trPr>
        <w:tc>
          <w:tcPr>
            <w:tcW w:w="3686" w:type="dxa"/>
            <w:tcBorders>
              <w:right w:val="single" w:sz="6" w:space="0" w:color="FFFFFF" w:themeColor="background1"/>
            </w:tcBorders>
          </w:tcPr>
          <w:p w14:paraId="65F17971" w14:textId="41724EC2" w:rsidR="0015012E" w:rsidRPr="00072AF5" w:rsidRDefault="0015012E" w:rsidP="00F152DA">
            <w:r w:rsidRPr="00017B2A">
              <w:t>Levemir</w:t>
            </w:r>
            <w:r w:rsidRPr="00017B2A">
              <w:rPr>
                <w:vertAlign w:val="superscript"/>
              </w:rPr>
              <w:t>®</w:t>
            </w:r>
            <w:r>
              <w:rPr>
                <w:vertAlign w:val="superscript"/>
              </w:rPr>
              <w:t xml:space="preserve"> </w:t>
            </w:r>
            <w:r>
              <w:t xml:space="preserve">(insulin detemir) </w:t>
            </w:r>
            <w:r w:rsidRPr="00017B2A">
              <w:t>FlexPen</w:t>
            </w:r>
            <w:r w:rsidRPr="00017B2A">
              <w:rPr>
                <w:vertAlign w:val="superscript"/>
              </w:rPr>
              <w:t>®</w:t>
            </w:r>
            <w:r w:rsidRPr="00017B2A">
              <w:t xml:space="preserve"> </w:t>
            </w:r>
            <w:r w:rsidRPr="009A7364">
              <w:t>prefilled pen</w:t>
            </w:r>
          </w:p>
        </w:tc>
        <w:tc>
          <w:tcPr>
            <w:tcW w:w="5158" w:type="dxa"/>
            <w:vMerge w:val="restart"/>
            <w:tcBorders>
              <w:left w:val="single" w:sz="6" w:space="0" w:color="FFFFFF" w:themeColor="background1"/>
            </w:tcBorders>
          </w:tcPr>
          <w:p w14:paraId="05CB7FFD" w14:textId="6A9AB1E1" w:rsidR="0015012E" w:rsidRDefault="0015012E" w:rsidP="00B50021">
            <w:pPr>
              <w:numPr>
                <w:ilvl w:val="0"/>
                <w:numId w:val="9"/>
              </w:numPr>
            </w:pPr>
            <w:r>
              <w:t>Optisulin</w:t>
            </w:r>
            <w:r w:rsidRPr="00480B88">
              <w:rPr>
                <w:vertAlign w:val="superscript"/>
              </w:rPr>
              <w:t>®</w:t>
            </w:r>
            <w:r>
              <w:rPr>
                <w:vertAlign w:val="superscript"/>
              </w:rPr>
              <w:t xml:space="preserve"> </w:t>
            </w:r>
            <w:r w:rsidRPr="00EF3BF1">
              <w:t xml:space="preserve">(insulin </w:t>
            </w:r>
            <w:r>
              <w:t>glargine</w:t>
            </w:r>
            <w:r w:rsidRPr="00EF3BF1">
              <w:t xml:space="preserve">) cartridge </w:t>
            </w:r>
          </w:p>
          <w:p w14:paraId="64E9FD03" w14:textId="77777777" w:rsidR="00DD1A3A" w:rsidRDefault="0015012E" w:rsidP="00B50021">
            <w:pPr>
              <w:numPr>
                <w:ilvl w:val="0"/>
                <w:numId w:val="9"/>
              </w:numPr>
            </w:pPr>
            <w:r>
              <w:t>Optisulin</w:t>
            </w:r>
            <w:r w:rsidRPr="00DD1A3A">
              <w:rPr>
                <w:vertAlign w:val="superscript"/>
              </w:rPr>
              <w:t xml:space="preserve">® </w:t>
            </w:r>
            <w:r w:rsidRPr="00EF3BF1">
              <w:t xml:space="preserve">(insulin </w:t>
            </w:r>
            <w:r>
              <w:t>glargine</w:t>
            </w:r>
            <w:r w:rsidRPr="00EF3BF1">
              <w:t>)</w:t>
            </w:r>
            <w:r>
              <w:t xml:space="preserve"> SoloStar</w:t>
            </w:r>
            <w:r w:rsidRPr="00DD1A3A">
              <w:rPr>
                <w:vertAlign w:val="superscript"/>
              </w:rPr>
              <w:t xml:space="preserve">® </w:t>
            </w:r>
            <w:r>
              <w:t>prefilled pen</w:t>
            </w:r>
          </w:p>
          <w:p w14:paraId="07F5030F" w14:textId="46C09391" w:rsidR="0015012E" w:rsidRDefault="0015012E" w:rsidP="00B50021">
            <w:pPr>
              <w:numPr>
                <w:ilvl w:val="0"/>
                <w:numId w:val="9"/>
              </w:numPr>
            </w:pPr>
            <w:r>
              <w:t>Toujeo</w:t>
            </w:r>
            <w:r w:rsidRPr="00DD1A3A">
              <w:rPr>
                <w:vertAlign w:val="superscript"/>
              </w:rPr>
              <w:t>®</w:t>
            </w:r>
            <w:r>
              <w:t xml:space="preserve"> (insulin glargine) SoloStar</w:t>
            </w:r>
            <w:r w:rsidRPr="00DD1A3A">
              <w:rPr>
                <w:vertAlign w:val="superscript"/>
              </w:rPr>
              <w:t>®</w:t>
            </w:r>
            <w:r>
              <w:t xml:space="preserve"> prefilled pen</w:t>
            </w:r>
          </w:p>
          <w:p w14:paraId="530A2F45" w14:textId="77777777" w:rsidR="0096660B" w:rsidRDefault="0096660B" w:rsidP="0096660B">
            <w:pPr>
              <w:pStyle w:val="ListParagraph"/>
              <w:numPr>
                <w:ilvl w:val="0"/>
                <w:numId w:val="9"/>
              </w:numPr>
            </w:pPr>
            <w:r w:rsidRPr="00DA5ED2">
              <w:t>Tresiba</w:t>
            </w:r>
            <w:r w:rsidRPr="00DA5ED2">
              <w:rPr>
                <w:vertAlign w:val="superscript"/>
              </w:rPr>
              <w:t>®</w:t>
            </w:r>
            <w:r w:rsidRPr="00DA5ED2">
              <w:t xml:space="preserve"> </w:t>
            </w:r>
            <w:r>
              <w:t xml:space="preserve">(insulin degludec) </w:t>
            </w:r>
            <w:r w:rsidRPr="00DA5ED2">
              <w:t>Penfill</w:t>
            </w:r>
            <w:r w:rsidRPr="00DA5ED2">
              <w:rPr>
                <w:vertAlign w:val="superscript"/>
              </w:rPr>
              <w:t>®</w:t>
            </w:r>
            <w:r>
              <w:t xml:space="preserve"> cartridge</w:t>
            </w:r>
          </w:p>
          <w:p w14:paraId="5D8300EF" w14:textId="41FE45A8" w:rsidR="0015012E" w:rsidRPr="0096660B" w:rsidRDefault="0096660B" w:rsidP="006356DD">
            <w:pPr>
              <w:numPr>
                <w:ilvl w:val="0"/>
                <w:numId w:val="9"/>
              </w:numPr>
            </w:pPr>
            <w:r>
              <w:t>Insulin pump with short acting insulin*</w:t>
            </w:r>
          </w:p>
        </w:tc>
      </w:tr>
      <w:tr w:rsidR="0015012E" w:rsidRPr="00072AF5" w14:paraId="271CD4A5" w14:textId="77777777" w:rsidTr="00DF61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64"/>
        </w:trPr>
        <w:tc>
          <w:tcPr>
            <w:tcW w:w="3686" w:type="dxa"/>
            <w:tcBorders>
              <w:right w:val="single" w:sz="6" w:space="0" w:color="FFFFFF" w:themeColor="background1"/>
            </w:tcBorders>
          </w:tcPr>
          <w:p w14:paraId="57DCAE13" w14:textId="77777777" w:rsidR="0015012E" w:rsidRPr="00072AF5" w:rsidRDefault="0015012E" w:rsidP="00F152DA">
            <w:r w:rsidRPr="00017B2A">
              <w:t>Levemir</w:t>
            </w:r>
            <w:r w:rsidRPr="00017B2A">
              <w:rPr>
                <w:vertAlign w:val="superscript"/>
              </w:rPr>
              <w:t>®</w:t>
            </w:r>
            <w:r w:rsidRPr="00017B2A">
              <w:t xml:space="preserve"> </w:t>
            </w:r>
            <w:r>
              <w:t>(insulin detemir)</w:t>
            </w:r>
            <w:r w:rsidRPr="009A7364">
              <w:t xml:space="preserve"> Penfill</w:t>
            </w:r>
            <w:r w:rsidRPr="00C87641">
              <w:rPr>
                <w:vertAlign w:val="superscript"/>
              </w:rPr>
              <w:t>®</w:t>
            </w:r>
            <w:r w:rsidRPr="009A7364">
              <w:t xml:space="preserve"> cartridge</w:t>
            </w:r>
          </w:p>
        </w:tc>
        <w:tc>
          <w:tcPr>
            <w:tcW w:w="5158" w:type="dxa"/>
            <w:vMerge/>
            <w:tcBorders>
              <w:left w:val="single" w:sz="6" w:space="0" w:color="FFFFFF" w:themeColor="background1"/>
            </w:tcBorders>
          </w:tcPr>
          <w:p w14:paraId="0208CFE9" w14:textId="5C98BB38" w:rsidR="0015012E" w:rsidRPr="00072AF5" w:rsidRDefault="0015012E" w:rsidP="00F152DA"/>
        </w:tc>
      </w:tr>
    </w:tbl>
    <w:p w14:paraId="538440F1" w14:textId="6AEC01CF" w:rsidR="00F03A23" w:rsidRDefault="00E67B04" w:rsidP="00983A58">
      <w:pPr>
        <w:rPr>
          <w:sz w:val="20"/>
          <w:szCs w:val="20"/>
        </w:rPr>
      </w:pPr>
      <w:r>
        <w:rPr>
          <w:rFonts w:cstheme="minorHAnsi"/>
          <w:sz w:val="20"/>
          <w:szCs w:val="20"/>
        </w:rPr>
        <w:t>∞</w:t>
      </w:r>
      <w:r>
        <w:rPr>
          <w:sz w:val="20"/>
          <w:szCs w:val="20"/>
        </w:rPr>
        <w:t xml:space="preserve"> S</w:t>
      </w:r>
      <w:r w:rsidR="0015012E" w:rsidRPr="00EB3684">
        <w:rPr>
          <w:sz w:val="20"/>
          <w:szCs w:val="20"/>
        </w:rPr>
        <w:t>tock may be available after this date, until depleted</w:t>
      </w:r>
    </w:p>
    <w:p w14:paraId="2812D4D5" w14:textId="2F1CA5C1" w:rsidR="00F03A23" w:rsidRDefault="00F03A23" w:rsidP="00983A58">
      <w:pPr>
        <w:rPr>
          <w:sz w:val="20"/>
          <w:szCs w:val="20"/>
        </w:rPr>
      </w:pPr>
      <w:r>
        <w:rPr>
          <w:rFonts w:cstheme="minorHAnsi"/>
          <w:sz w:val="20"/>
          <w:szCs w:val="20"/>
        </w:rPr>
        <w:t>⃰</w:t>
      </w:r>
      <w:r>
        <w:rPr>
          <w:sz w:val="20"/>
          <w:szCs w:val="20"/>
        </w:rPr>
        <w:t xml:space="preserve"> </w:t>
      </w:r>
      <w:r w:rsidRPr="00F03A23">
        <w:rPr>
          <w:sz w:val="20"/>
          <w:szCs w:val="20"/>
        </w:rPr>
        <w:t>Note that insulin pumps are not reimbursable under the Medicare Benefits Scheme. However</w:t>
      </w:r>
      <w:r w:rsidR="00FA135F">
        <w:rPr>
          <w:sz w:val="20"/>
          <w:szCs w:val="20"/>
        </w:rPr>
        <w:t>,</w:t>
      </w:r>
      <w:r w:rsidRPr="00F03A23">
        <w:rPr>
          <w:sz w:val="20"/>
          <w:szCs w:val="20"/>
        </w:rPr>
        <w:t xml:space="preserve"> short-acting insulins use</w:t>
      </w:r>
      <w:r w:rsidR="00FA135F">
        <w:rPr>
          <w:sz w:val="20"/>
          <w:szCs w:val="20"/>
        </w:rPr>
        <w:t>d</w:t>
      </w:r>
      <w:r w:rsidRPr="00F03A23">
        <w:rPr>
          <w:sz w:val="20"/>
          <w:szCs w:val="20"/>
        </w:rPr>
        <w:t xml:space="preserve"> in insulin pump</w:t>
      </w:r>
      <w:r w:rsidR="00FA135F">
        <w:rPr>
          <w:sz w:val="20"/>
          <w:szCs w:val="20"/>
        </w:rPr>
        <w:t>s</w:t>
      </w:r>
      <w:r w:rsidRPr="00F03A23">
        <w:rPr>
          <w:sz w:val="20"/>
          <w:szCs w:val="20"/>
        </w:rPr>
        <w:t xml:space="preserve"> are subsidised under the PBS.</w:t>
      </w:r>
    </w:p>
    <w:p w14:paraId="104F61E1" w14:textId="03B481CB" w:rsidR="00E67B04" w:rsidRDefault="00895E23" w:rsidP="00F03A23">
      <w:pPr>
        <w:pStyle w:val="Heading1"/>
        <w:rPr>
          <w:lang w:eastAsia="en-GB"/>
        </w:rPr>
      </w:pPr>
      <w:r>
        <w:rPr>
          <w:lang w:eastAsia="en-GB"/>
        </w:rPr>
        <w:t xml:space="preserve">Safety considerations </w:t>
      </w:r>
    </w:p>
    <w:p w14:paraId="318F6A28" w14:textId="4776663E" w:rsidR="00895E23" w:rsidRDefault="004C1B6F" w:rsidP="00895E23">
      <w:r>
        <w:t>Unstable</w:t>
      </w:r>
      <w:r w:rsidR="00895E23" w:rsidRPr="00EE36B2">
        <w:t xml:space="preserve"> blood glucose levels </w:t>
      </w:r>
      <w:r w:rsidR="002E7F8B">
        <w:t>are</w:t>
      </w:r>
      <w:r w:rsidR="002E7F8B" w:rsidRPr="00EE36B2">
        <w:t xml:space="preserve"> </w:t>
      </w:r>
      <w:r w:rsidR="00895E23" w:rsidRPr="00EE36B2">
        <w:t>a potential risk during the transition</w:t>
      </w:r>
      <w:r w:rsidR="00895E23">
        <w:t xml:space="preserve"> from Levemir</w:t>
      </w:r>
      <w:r w:rsidR="00895E23" w:rsidRPr="00143776">
        <w:rPr>
          <w:vertAlign w:val="superscript"/>
        </w:rPr>
        <w:t>®</w:t>
      </w:r>
      <w:r w:rsidR="00895E23">
        <w:t xml:space="preserve"> to an alternative insulin. Some people with diabetes</w:t>
      </w:r>
      <w:r w:rsidR="00895E23" w:rsidRPr="00E67B04">
        <w:t xml:space="preserve"> </w:t>
      </w:r>
      <w:r w:rsidR="00895E23">
        <w:t xml:space="preserve">may be at higher risk of </w:t>
      </w:r>
      <w:r w:rsidR="002E7F8B">
        <w:t>unstable blood glucose levels</w:t>
      </w:r>
      <w:r w:rsidR="00895E23">
        <w:t xml:space="preserve">, including children and adolescents, </w:t>
      </w:r>
      <w:r w:rsidR="00FA135F">
        <w:t xml:space="preserve">women who are </w:t>
      </w:r>
      <w:r w:rsidR="00895E23">
        <w:t xml:space="preserve">pregnant, post-partum </w:t>
      </w:r>
      <w:r>
        <w:t>or</w:t>
      </w:r>
      <w:r w:rsidR="00895E23">
        <w:t xml:space="preserve"> post-menopausal</w:t>
      </w:r>
      <w:r w:rsidR="00DD1A3A">
        <w:t xml:space="preserve">, </w:t>
      </w:r>
      <w:r w:rsidR="00895E23">
        <w:t>older pe</w:t>
      </w:r>
      <w:r w:rsidR="00FA135F">
        <w:t>ople</w:t>
      </w:r>
      <w:r w:rsidR="00DD1A3A">
        <w:t>,</w:t>
      </w:r>
      <w:r w:rsidR="00895E23">
        <w:t xml:space="preserve"> and those with:</w:t>
      </w:r>
    </w:p>
    <w:p w14:paraId="65E85679" w14:textId="78F78171" w:rsidR="00895E23" w:rsidRDefault="00895E23" w:rsidP="00895E23">
      <w:pPr>
        <w:pStyle w:val="ListParagraph"/>
        <w:numPr>
          <w:ilvl w:val="0"/>
          <w:numId w:val="10"/>
        </w:numPr>
      </w:pPr>
      <w:r>
        <w:t xml:space="preserve">hypoglycaemia </w:t>
      </w:r>
      <w:r w:rsidR="001344AB">
        <w:t>un</w:t>
      </w:r>
      <w:r>
        <w:t>awareness</w:t>
      </w:r>
    </w:p>
    <w:p w14:paraId="1D4A46E9" w14:textId="77777777" w:rsidR="00895E23" w:rsidRDefault="00895E23" w:rsidP="00895E23">
      <w:pPr>
        <w:pStyle w:val="ListParagraph"/>
        <w:numPr>
          <w:ilvl w:val="0"/>
          <w:numId w:val="10"/>
        </w:numPr>
      </w:pPr>
      <w:r>
        <w:t>history of severe hypoglycaemia or recurrent diabetic ketoacidosis (DKA)</w:t>
      </w:r>
    </w:p>
    <w:p w14:paraId="458F2226" w14:textId="77777777" w:rsidR="00895E23" w:rsidRDefault="00895E23" w:rsidP="00895E23">
      <w:pPr>
        <w:pStyle w:val="ListParagraph"/>
        <w:numPr>
          <w:ilvl w:val="0"/>
          <w:numId w:val="10"/>
        </w:numPr>
      </w:pPr>
      <w:r>
        <w:t xml:space="preserve">evidence of lipohypertrophy at injection sites </w:t>
      </w:r>
    </w:p>
    <w:p w14:paraId="1F1DECEA" w14:textId="77777777" w:rsidR="00895E23" w:rsidRDefault="00895E23" w:rsidP="00895E23">
      <w:pPr>
        <w:pStyle w:val="ListParagraph"/>
        <w:numPr>
          <w:ilvl w:val="0"/>
          <w:numId w:val="10"/>
        </w:numPr>
      </w:pPr>
      <w:r>
        <w:t xml:space="preserve">frailty </w:t>
      </w:r>
    </w:p>
    <w:p w14:paraId="5A169011" w14:textId="77777777" w:rsidR="00895E23" w:rsidRDefault="00895E23" w:rsidP="00895E23">
      <w:pPr>
        <w:pStyle w:val="ListParagraph"/>
        <w:numPr>
          <w:ilvl w:val="0"/>
          <w:numId w:val="10"/>
        </w:numPr>
      </w:pPr>
      <w:r>
        <w:t xml:space="preserve">renal or severe hepatic impairment </w:t>
      </w:r>
    </w:p>
    <w:p w14:paraId="2EA1CBD2" w14:textId="6C917592" w:rsidR="00895E23" w:rsidRDefault="00895E23" w:rsidP="00895E23">
      <w:pPr>
        <w:pStyle w:val="ListParagraph"/>
        <w:numPr>
          <w:ilvl w:val="0"/>
          <w:numId w:val="10"/>
        </w:numPr>
      </w:pPr>
      <w:r>
        <w:t>high glucose variability on continuous glucose monitoring</w:t>
      </w:r>
    </w:p>
    <w:p w14:paraId="1015037F" w14:textId="77777777" w:rsidR="00895E23" w:rsidRDefault="00895E23" w:rsidP="00895E23">
      <w:pPr>
        <w:pStyle w:val="ListParagraph"/>
        <w:numPr>
          <w:ilvl w:val="0"/>
          <w:numId w:val="10"/>
        </w:numPr>
      </w:pPr>
      <w:r>
        <w:t xml:space="preserve">cognitive or functional impairment </w:t>
      </w:r>
    </w:p>
    <w:p w14:paraId="1133C833" w14:textId="2CDC30F1" w:rsidR="00895E23" w:rsidRDefault="00895E23" w:rsidP="00895E23">
      <w:pPr>
        <w:pStyle w:val="ListParagraph"/>
        <w:numPr>
          <w:ilvl w:val="0"/>
          <w:numId w:val="10"/>
        </w:numPr>
      </w:pPr>
      <w:r>
        <w:t>learning difficulties, l</w:t>
      </w:r>
      <w:r w:rsidR="001344AB">
        <w:t>imited</w:t>
      </w:r>
      <w:r>
        <w:t xml:space="preserve"> health literacy or English as a second language</w:t>
      </w:r>
    </w:p>
    <w:p w14:paraId="0A9414B0" w14:textId="77777777" w:rsidR="00895E23" w:rsidRDefault="00895E23" w:rsidP="00895E23">
      <w:pPr>
        <w:pStyle w:val="ListParagraph"/>
        <w:numPr>
          <w:ilvl w:val="0"/>
          <w:numId w:val="10"/>
        </w:numPr>
      </w:pPr>
      <w:r>
        <w:t xml:space="preserve">visual impairment and manual dexterity problems </w:t>
      </w:r>
    </w:p>
    <w:p w14:paraId="6DEA5457" w14:textId="77777777" w:rsidR="00895E23" w:rsidRDefault="00895E23" w:rsidP="00895E23">
      <w:pPr>
        <w:pStyle w:val="ListParagraph"/>
        <w:numPr>
          <w:ilvl w:val="0"/>
          <w:numId w:val="10"/>
        </w:numPr>
      </w:pPr>
      <w:r>
        <w:t xml:space="preserve">high alcohol intake or binge drinking </w:t>
      </w:r>
    </w:p>
    <w:p w14:paraId="51B2747B" w14:textId="77777777" w:rsidR="00895E23" w:rsidRDefault="00895E23" w:rsidP="00895E23">
      <w:pPr>
        <w:pStyle w:val="ListParagraph"/>
        <w:numPr>
          <w:ilvl w:val="0"/>
          <w:numId w:val="10"/>
        </w:numPr>
      </w:pPr>
      <w:r>
        <w:t>high level of physical activity.</w:t>
      </w:r>
    </w:p>
    <w:p w14:paraId="60A714C8" w14:textId="5D0128C3" w:rsidR="00DD1A3A" w:rsidRDefault="0053125F" w:rsidP="00DD1A3A">
      <w:r w:rsidRPr="0053125F">
        <w:t>In addition to those at increased</w:t>
      </w:r>
      <w:r>
        <w:t xml:space="preserve"> </w:t>
      </w:r>
      <w:r w:rsidRPr="0053125F">
        <w:t xml:space="preserve">risk of blood glucose instability, </w:t>
      </w:r>
      <w:r>
        <w:t>p</w:t>
      </w:r>
      <w:r w:rsidR="00DD1A3A" w:rsidRPr="00842A96">
        <w:t xml:space="preserve">articular attention should be given to people who may experience barriers to accessing timely diabetes review, education, monitoring or follow-up during the transition process. This may include Aboriginal and Torres Strait Islander peoples, people living in rural and remote areas, </w:t>
      </w:r>
      <w:r w:rsidR="00DD1A3A" w:rsidRPr="00842A96">
        <w:lastRenderedPageBreak/>
        <w:t>people from culturally and linguistically diverse backgrounds,</w:t>
      </w:r>
      <w:r w:rsidR="0096660B">
        <w:t xml:space="preserve"> those living with a disability </w:t>
      </w:r>
      <w:r w:rsidR="00DD1A3A" w:rsidRPr="00842A96">
        <w:t xml:space="preserve">and </w:t>
      </w:r>
      <w:r>
        <w:t>those with</w:t>
      </w:r>
      <w:r w:rsidR="00DD1A3A" w:rsidRPr="00842A96">
        <w:t xml:space="preserve"> limited access to diabetes specialist services.</w:t>
      </w:r>
    </w:p>
    <w:p w14:paraId="28112FAD" w14:textId="12CAFA00" w:rsidR="00895E23" w:rsidRPr="00895E23" w:rsidRDefault="00895E23" w:rsidP="00895E23">
      <w:pPr>
        <w:pStyle w:val="Heading1"/>
        <w:rPr>
          <w:lang w:eastAsia="en-GB"/>
        </w:rPr>
      </w:pPr>
      <w:r>
        <w:rPr>
          <w:lang w:eastAsia="en-GB"/>
        </w:rPr>
        <w:t>Risk mitigation strategies</w:t>
      </w:r>
    </w:p>
    <w:p w14:paraId="506AAA16" w14:textId="77777777" w:rsidR="00E67B04" w:rsidRDefault="00E67B04" w:rsidP="00E67B04">
      <w:pPr>
        <w:pStyle w:val="ListParagraph"/>
        <w:numPr>
          <w:ilvl w:val="0"/>
          <w:numId w:val="12"/>
        </w:numPr>
      </w:pPr>
      <w:r w:rsidRPr="001137BC">
        <w:t>Levemir</w:t>
      </w:r>
      <w:r w:rsidRPr="006F1ED9">
        <w:rPr>
          <w:vertAlign w:val="superscript"/>
        </w:rPr>
        <w:t>®</w:t>
      </w:r>
      <w:r w:rsidRPr="001137BC">
        <w:t xml:space="preserve"> FlexPen</w:t>
      </w:r>
      <w:r w:rsidRPr="006F1ED9">
        <w:rPr>
          <w:vertAlign w:val="superscript"/>
        </w:rPr>
        <w:t>®</w:t>
      </w:r>
      <w:r w:rsidRPr="001137BC">
        <w:t xml:space="preserve"> </w:t>
      </w:r>
      <w:r>
        <w:t>and</w:t>
      </w:r>
      <w:r w:rsidRPr="001137BC">
        <w:t xml:space="preserve"> Penfill</w:t>
      </w:r>
      <w:r w:rsidRPr="006F1ED9">
        <w:rPr>
          <w:vertAlign w:val="superscript"/>
        </w:rPr>
        <w:t>®</w:t>
      </w:r>
      <w:r>
        <w:t xml:space="preserve"> should not be prescribed for people who are newly diagnosed with diabetes.</w:t>
      </w:r>
    </w:p>
    <w:p w14:paraId="270BF46C" w14:textId="1085A82B" w:rsidR="00E67B04" w:rsidRDefault="00E67B04" w:rsidP="00E67B04">
      <w:pPr>
        <w:pStyle w:val="ListParagraph"/>
        <w:numPr>
          <w:ilvl w:val="0"/>
          <w:numId w:val="12"/>
        </w:numPr>
      </w:pPr>
      <w:r>
        <w:t xml:space="preserve">Proactively identify and review people with diabetes who are prescribed </w:t>
      </w:r>
      <w:r w:rsidRPr="001137BC">
        <w:t>Levemir</w:t>
      </w:r>
      <w:r w:rsidRPr="006F1ED9">
        <w:rPr>
          <w:vertAlign w:val="superscript"/>
        </w:rPr>
        <w:t>®</w:t>
      </w:r>
      <w:r w:rsidRPr="001137BC">
        <w:t xml:space="preserve"> FlexPen</w:t>
      </w:r>
      <w:r w:rsidRPr="006F1ED9">
        <w:rPr>
          <w:vertAlign w:val="superscript"/>
        </w:rPr>
        <w:t>®</w:t>
      </w:r>
      <w:r w:rsidRPr="001137BC">
        <w:t xml:space="preserve"> </w:t>
      </w:r>
      <w:r>
        <w:t>or</w:t>
      </w:r>
      <w:r w:rsidRPr="001137BC">
        <w:t xml:space="preserve"> Penfill</w:t>
      </w:r>
      <w:r w:rsidRPr="006F1ED9">
        <w:rPr>
          <w:vertAlign w:val="superscript"/>
        </w:rPr>
        <w:t>®</w:t>
      </w:r>
      <w:r>
        <w:rPr>
          <w:vertAlign w:val="superscript"/>
        </w:rPr>
        <w:t xml:space="preserve"> </w:t>
      </w:r>
      <w:r>
        <w:t xml:space="preserve">to support a switch to an alternative insulin as soon as </w:t>
      </w:r>
      <w:r w:rsidR="00E06992">
        <w:t>practicable</w:t>
      </w:r>
      <w:r>
        <w:t>.</w:t>
      </w:r>
    </w:p>
    <w:p w14:paraId="10AC9254" w14:textId="72913F9A" w:rsidR="00E67B04" w:rsidRDefault="00E67B04" w:rsidP="008A1E1D">
      <w:pPr>
        <w:pStyle w:val="ListParagraph"/>
        <w:numPr>
          <w:ilvl w:val="0"/>
          <w:numId w:val="12"/>
        </w:numPr>
      </w:pPr>
      <w:r>
        <w:t>Where possible, ensure a continuous glucose monitor</w:t>
      </w:r>
      <w:r w:rsidR="008A1E1D">
        <w:t xml:space="preserve"> (CGM)</w:t>
      </w:r>
      <w:r>
        <w:t xml:space="preserve"> is in place to support the identification, monitoring and clinical review of dysglycaemia.</w:t>
      </w:r>
      <w:r w:rsidR="008A1E1D">
        <w:t xml:space="preserve"> </w:t>
      </w:r>
      <w:r w:rsidR="008A1E1D" w:rsidRPr="008A1E1D">
        <w:t>CGMs are subsidised through the National Diabetes Services Scheme (NDSS) for people with type 1 diabetes.</w:t>
      </w:r>
    </w:p>
    <w:p w14:paraId="7B1AECC0" w14:textId="2F175730" w:rsidR="000728D8" w:rsidRDefault="000728D8" w:rsidP="000728D8">
      <w:pPr>
        <w:pStyle w:val="ListParagraph"/>
        <w:numPr>
          <w:ilvl w:val="0"/>
          <w:numId w:val="12"/>
        </w:numPr>
      </w:pPr>
      <w:r>
        <w:t>Where CGM is not available, more frequent self-monitoring of blood glucose level</w:t>
      </w:r>
      <w:r w:rsidR="001344AB">
        <w:t>s</w:t>
      </w:r>
      <w:r>
        <w:t xml:space="preserve"> </w:t>
      </w:r>
      <w:r w:rsidR="001344AB">
        <w:t>may be required during the transition period,</w:t>
      </w:r>
      <w:r w:rsidRPr="000728D8">
        <w:t xml:space="preserve"> </w:t>
      </w:r>
      <w:r>
        <w:t>as clinically appropriate</w:t>
      </w:r>
      <w:r w:rsidR="001344AB">
        <w:t>.</w:t>
      </w:r>
    </w:p>
    <w:p w14:paraId="430E4263" w14:textId="2F2CB2AB" w:rsidR="00F43EA1" w:rsidRDefault="00F43EA1" w:rsidP="000728D8">
      <w:pPr>
        <w:pStyle w:val="ListParagraph"/>
        <w:numPr>
          <w:ilvl w:val="0"/>
          <w:numId w:val="12"/>
        </w:numPr>
      </w:pPr>
      <w:r w:rsidRPr="00F43EA1">
        <w:t xml:space="preserve">Engage relevant members of the </w:t>
      </w:r>
      <w:r w:rsidR="001344AB">
        <w:t>diabetes</w:t>
      </w:r>
      <w:r w:rsidRPr="00F43EA1">
        <w:t xml:space="preserve"> care team as appropriate to support</w:t>
      </w:r>
      <w:r w:rsidR="00D91684">
        <w:t xml:space="preserve"> </w:t>
      </w:r>
      <w:r w:rsidRPr="00F43EA1">
        <w:t>the transition to an alternative insulin</w:t>
      </w:r>
      <w:r w:rsidR="00B8204E">
        <w:t xml:space="preserve"> product</w:t>
      </w:r>
      <w:r w:rsidRPr="00F43EA1">
        <w:t>.</w:t>
      </w:r>
    </w:p>
    <w:p w14:paraId="477651BE" w14:textId="60F86CAB" w:rsidR="00E67B04" w:rsidRDefault="00E67B04" w:rsidP="00E67B04">
      <w:pPr>
        <w:pStyle w:val="ListParagraph"/>
        <w:numPr>
          <w:ilvl w:val="0"/>
          <w:numId w:val="12"/>
        </w:numPr>
      </w:pPr>
      <w:r>
        <w:t>Ensure individuals and their family</w:t>
      </w:r>
      <w:r w:rsidR="001344AB">
        <w:t xml:space="preserve">/friends </w:t>
      </w:r>
      <w:r>
        <w:t xml:space="preserve">understand </w:t>
      </w:r>
      <w:r w:rsidRPr="006D5CBD">
        <w:t>how to recognise and manage</w:t>
      </w:r>
      <w:r>
        <w:t xml:space="preserve"> </w:t>
      </w:r>
      <w:hyperlink r:id="rId14" w:history="1">
        <w:r w:rsidRPr="006D5CBD">
          <w:rPr>
            <w:rStyle w:val="Hyperlink"/>
          </w:rPr>
          <w:t>hypoglycaemia and hyperglycaemia</w:t>
        </w:r>
      </w:hyperlink>
      <w:r>
        <w:t>, including during period</w:t>
      </w:r>
      <w:r w:rsidR="002C0805">
        <w:t>s</w:t>
      </w:r>
      <w:r>
        <w:t xml:space="preserve"> of illness (</w:t>
      </w:r>
      <w:hyperlink r:id="rId15" w:history="1">
        <w:r w:rsidRPr="006D5CBD">
          <w:rPr>
            <w:rStyle w:val="Hyperlink"/>
          </w:rPr>
          <w:t>sick day management</w:t>
        </w:r>
      </w:hyperlink>
      <w:r>
        <w:t>)</w:t>
      </w:r>
      <w:r w:rsidR="00B50021">
        <w:t>,</w:t>
      </w:r>
      <w:r w:rsidR="00A31365">
        <w:t xml:space="preserve"> are aware of </w:t>
      </w:r>
      <w:hyperlink r:id="rId16" w:history="1">
        <w:r w:rsidR="00A31365" w:rsidRPr="00A31365">
          <w:rPr>
            <w:rStyle w:val="Hyperlink"/>
          </w:rPr>
          <w:t>safe driving requirements</w:t>
        </w:r>
      </w:hyperlink>
      <w:r w:rsidR="00B50021">
        <w:t xml:space="preserve"> and are able to administer glucagon if required.</w:t>
      </w:r>
    </w:p>
    <w:p w14:paraId="212ACCD4" w14:textId="3A2226AE" w:rsidR="00E67B04" w:rsidRDefault="00E67B04" w:rsidP="002F213A">
      <w:pPr>
        <w:pStyle w:val="ListParagraph"/>
        <w:numPr>
          <w:ilvl w:val="0"/>
          <w:numId w:val="12"/>
        </w:numPr>
      </w:pPr>
      <w:r w:rsidRPr="00C5340F">
        <w:t xml:space="preserve">Provide the required education, ideally via the teach-back method of understanding or refer to a </w:t>
      </w:r>
      <w:hyperlink r:id="rId17" w:history="1">
        <w:r w:rsidRPr="00DD1A3A">
          <w:rPr>
            <w:rStyle w:val="Hyperlink"/>
          </w:rPr>
          <w:t>credentialled diabetes educator</w:t>
        </w:r>
      </w:hyperlink>
      <w:r w:rsidRPr="00C5340F">
        <w:t xml:space="preserve"> for advice</w:t>
      </w:r>
      <w:r w:rsidR="002F213A">
        <w:t>.</w:t>
      </w:r>
      <w:r w:rsidR="00A31365">
        <w:t xml:space="preserve"> </w:t>
      </w:r>
      <w:r w:rsidRPr="00C5340F">
        <w:t xml:space="preserve">See </w:t>
      </w:r>
      <w:hyperlink r:id="rId18" w:history="1">
        <w:r w:rsidRPr="00C5340F">
          <w:rPr>
            <w:rStyle w:val="Hyperlink"/>
          </w:rPr>
          <w:t>Health Literacy - Supporting staff to meet health literacy needs fact sheet</w:t>
        </w:r>
      </w:hyperlink>
      <w:r w:rsidRPr="00C5340F">
        <w:t>.</w:t>
      </w:r>
    </w:p>
    <w:p w14:paraId="331C230B" w14:textId="4800880A" w:rsidR="0034717D" w:rsidRDefault="00E67B04" w:rsidP="00A12C29">
      <w:pPr>
        <w:pStyle w:val="ListParagraph"/>
        <w:numPr>
          <w:ilvl w:val="0"/>
          <w:numId w:val="12"/>
        </w:numPr>
      </w:pPr>
      <w:r>
        <w:t>R</w:t>
      </w:r>
      <w:r w:rsidRPr="00C5340F">
        <w:t xml:space="preserve">eview </w:t>
      </w:r>
      <w:r w:rsidR="00B8204E">
        <w:t xml:space="preserve">and monitor </w:t>
      </w:r>
      <w:r w:rsidRPr="00C5340F">
        <w:t xml:space="preserve">people with diabetes promptly following any insulin product changes to ensure </w:t>
      </w:r>
      <w:r w:rsidR="002B77DF">
        <w:t xml:space="preserve">appropriate use of the </w:t>
      </w:r>
      <w:r w:rsidRPr="00C5340F">
        <w:t>new</w:t>
      </w:r>
      <w:r>
        <w:t xml:space="preserve"> insulin</w:t>
      </w:r>
      <w:r w:rsidR="00B8204E">
        <w:t xml:space="preserve"> and</w:t>
      </w:r>
      <w:r w:rsidRPr="00C5340F">
        <w:t xml:space="preserve"> </w:t>
      </w:r>
      <w:r w:rsidR="002B77DF">
        <w:t>that</w:t>
      </w:r>
      <w:r w:rsidRPr="00C5340F">
        <w:t xml:space="preserve"> blood glucose levels </w:t>
      </w:r>
      <w:r w:rsidR="002B77DF">
        <w:t>remain</w:t>
      </w:r>
      <w:r w:rsidRPr="00C5340F">
        <w:t xml:space="preserve"> within</w:t>
      </w:r>
      <w:r w:rsidR="002B77DF">
        <w:t xml:space="preserve"> the</w:t>
      </w:r>
      <w:r w:rsidRPr="00C5340F">
        <w:t xml:space="preserve"> target range.</w:t>
      </w:r>
    </w:p>
    <w:p w14:paraId="47A7F5A6" w14:textId="1C2414E5" w:rsidR="00CF7E77" w:rsidRDefault="00CF7E77" w:rsidP="00EB3684">
      <w:r>
        <w:t xml:space="preserve">Refer to the </w:t>
      </w:r>
      <w:r w:rsidR="0015012E" w:rsidRPr="00903CE3">
        <w:t xml:space="preserve">Levemir </w:t>
      </w:r>
      <w:r w:rsidR="002C0805">
        <w:t>d</w:t>
      </w:r>
      <w:r w:rsidR="0015012E" w:rsidRPr="00903CE3">
        <w:t>iscontinuation</w:t>
      </w:r>
      <w:r w:rsidR="002C0805">
        <w:t xml:space="preserve"> r</w:t>
      </w:r>
      <w:r w:rsidR="0015012E" w:rsidRPr="00903CE3">
        <w:t>e</w:t>
      </w:r>
      <w:r w:rsidR="00D33E4E">
        <w:t>commendations</w:t>
      </w:r>
      <w:r w:rsidR="001E45AB">
        <w:t xml:space="preserve"> (in press)</w:t>
      </w:r>
      <w:r w:rsidR="0015012E">
        <w:t xml:space="preserve"> </w:t>
      </w:r>
      <w:r w:rsidRPr="00EB3684">
        <w:rPr>
          <w:rFonts w:cs="Arial"/>
          <w:color w:val="000000"/>
          <w:lang w:eastAsia="en-GB"/>
        </w:rPr>
        <w:t>for</w:t>
      </w:r>
      <w:r w:rsidR="00782507" w:rsidRPr="00EB3684">
        <w:rPr>
          <w:rFonts w:cs="Arial"/>
          <w:color w:val="000000"/>
          <w:lang w:eastAsia="en-GB"/>
        </w:rPr>
        <w:t xml:space="preserve"> c</w:t>
      </w:r>
      <w:r w:rsidR="00D729B7" w:rsidRPr="00EB3684">
        <w:rPr>
          <w:rFonts w:cs="Arial"/>
          <w:color w:val="000000"/>
          <w:lang w:eastAsia="en-GB"/>
        </w:rPr>
        <w:t>linical guidance on managing the transition</w:t>
      </w:r>
      <w:r w:rsidR="0015012E" w:rsidRPr="00EB3684">
        <w:rPr>
          <w:rFonts w:cs="Arial"/>
          <w:color w:val="000000"/>
          <w:lang w:eastAsia="en-GB"/>
        </w:rPr>
        <w:t xml:space="preserve"> from Levemir</w:t>
      </w:r>
      <w:r w:rsidR="001344AB" w:rsidRPr="006F1ED9">
        <w:rPr>
          <w:vertAlign w:val="superscript"/>
        </w:rPr>
        <w:t>®</w:t>
      </w:r>
      <w:r w:rsidR="00D729B7" w:rsidRPr="00EB3684">
        <w:rPr>
          <w:rFonts w:cs="Arial"/>
          <w:color w:val="000000"/>
          <w:lang w:eastAsia="en-GB"/>
        </w:rPr>
        <w:t xml:space="preserve"> and selecti</w:t>
      </w:r>
      <w:r w:rsidR="0015012E" w:rsidRPr="00EB3684">
        <w:rPr>
          <w:rFonts w:cs="Arial"/>
          <w:color w:val="000000"/>
          <w:lang w:eastAsia="en-GB"/>
        </w:rPr>
        <w:t>on of</w:t>
      </w:r>
      <w:r w:rsidR="00D729B7" w:rsidRPr="00EB3684">
        <w:rPr>
          <w:rFonts w:cs="Arial"/>
          <w:color w:val="000000"/>
          <w:lang w:eastAsia="en-GB"/>
        </w:rPr>
        <w:t xml:space="preserve"> appropriate alternative insulins</w:t>
      </w:r>
      <w:r w:rsidR="0015012E" w:rsidRPr="00EB3684">
        <w:rPr>
          <w:rFonts w:cs="Arial"/>
          <w:color w:val="000000"/>
          <w:lang w:eastAsia="en-GB"/>
        </w:rPr>
        <w:t xml:space="preserve">. </w:t>
      </w:r>
      <w:r w:rsidRPr="00EB3684">
        <w:rPr>
          <w:rFonts w:cs="Arial"/>
          <w:color w:val="000000"/>
          <w:lang w:eastAsia="en-GB"/>
        </w:rPr>
        <w:t xml:space="preserve">The </w:t>
      </w:r>
      <w:r w:rsidR="00D33E4E" w:rsidRPr="00EB3684">
        <w:rPr>
          <w:rFonts w:cs="Arial"/>
          <w:color w:val="000000"/>
          <w:lang w:eastAsia="en-GB"/>
        </w:rPr>
        <w:t>re</w:t>
      </w:r>
      <w:r w:rsidR="00D33E4E">
        <w:rPr>
          <w:rFonts w:cs="Arial"/>
          <w:color w:val="000000"/>
          <w:lang w:eastAsia="en-GB"/>
        </w:rPr>
        <w:t>commendations</w:t>
      </w:r>
      <w:r w:rsidRPr="00EB3684">
        <w:rPr>
          <w:rFonts w:cs="Arial"/>
          <w:color w:val="000000"/>
          <w:lang w:eastAsia="en-GB"/>
        </w:rPr>
        <w:t xml:space="preserve"> w</w:t>
      </w:r>
      <w:r w:rsidR="00DB3B59">
        <w:rPr>
          <w:rFonts w:cs="Arial"/>
          <w:color w:val="000000"/>
          <w:lang w:eastAsia="en-GB"/>
        </w:rPr>
        <w:t>ere</w:t>
      </w:r>
      <w:r w:rsidRPr="00EB3684">
        <w:rPr>
          <w:rFonts w:cs="Arial"/>
          <w:color w:val="000000"/>
          <w:lang w:eastAsia="en-GB"/>
        </w:rPr>
        <w:t xml:space="preserve"> developed by the Diabetes Alliance </w:t>
      </w:r>
      <w:r w:rsidR="0030029B">
        <w:rPr>
          <w:rFonts w:cs="Arial"/>
          <w:color w:val="000000"/>
          <w:lang w:eastAsia="en-GB"/>
        </w:rPr>
        <w:t>w</w:t>
      </w:r>
      <w:r w:rsidRPr="00EB3684">
        <w:rPr>
          <w:rFonts w:cs="Arial"/>
          <w:color w:val="000000"/>
          <w:lang w:eastAsia="en-GB"/>
        </w:rPr>
        <w:t xml:space="preserve">orking </w:t>
      </w:r>
      <w:r w:rsidR="0030029B">
        <w:rPr>
          <w:rFonts w:cs="Arial"/>
          <w:color w:val="000000"/>
          <w:lang w:eastAsia="en-GB"/>
        </w:rPr>
        <w:t>g</w:t>
      </w:r>
      <w:r w:rsidRPr="00EB3684">
        <w:rPr>
          <w:rFonts w:cs="Arial"/>
          <w:color w:val="000000"/>
          <w:lang w:eastAsia="en-GB"/>
        </w:rPr>
        <w:t xml:space="preserve">roup </w:t>
      </w:r>
      <w:r>
        <w:rPr>
          <w:rFonts w:cs="Arial"/>
          <w:color w:val="000000"/>
          <w:lang w:eastAsia="en-GB"/>
        </w:rPr>
        <w:t>with</w:t>
      </w:r>
      <w:r w:rsidRPr="00EB3684">
        <w:rPr>
          <w:rFonts w:cs="Arial"/>
          <w:color w:val="000000"/>
          <w:lang w:eastAsia="en-GB"/>
        </w:rPr>
        <w:t xml:space="preserve"> representatives from the </w:t>
      </w:r>
      <w:hyperlink r:id="rId19" w:history="1">
        <w:r w:rsidRPr="00CF7E77">
          <w:rPr>
            <w:rStyle w:val="Hyperlink"/>
            <w:rFonts w:cs="Arial"/>
            <w:lang w:eastAsia="en-GB"/>
          </w:rPr>
          <w:t>Australian Diabetes Society (ADS)</w:t>
        </w:r>
      </w:hyperlink>
      <w:r w:rsidRPr="00EB3684">
        <w:rPr>
          <w:rFonts w:cs="Arial"/>
          <w:color w:val="000000"/>
          <w:lang w:eastAsia="en-GB"/>
        </w:rPr>
        <w:t xml:space="preserve">, </w:t>
      </w:r>
      <w:hyperlink r:id="rId20" w:history="1">
        <w:r w:rsidRPr="00CF7E77">
          <w:rPr>
            <w:rStyle w:val="Hyperlink"/>
            <w:rFonts w:cs="Arial"/>
            <w:lang w:eastAsia="en-GB"/>
          </w:rPr>
          <w:t>Australasian Diabetes in Pregnancy Society (ADIPS)</w:t>
        </w:r>
      </w:hyperlink>
      <w:r w:rsidRPr="00EB3684">
        <w:rPr>
          <w:rFonts w:cs="Arial"/>
          <w:color w:val="000000"/>
          <w:lang w:eastAsia="en-GB"/>
        </w:rPr>
        <w:t xml:space="preserve">, </w:t>
      </w:r>
      <w:hyperlink r:id="rId21" w:history="1">
        <w:r w:rsidRPr="00CF7E77">
          <w:rPr>
            <w:rStyle w:val="Hyperlink"/>
            <w:rFonts w:cs="Arial"/>
            <w:lang w:eastAsia="en-GB"/>
          </w:rPr>
          <w:t>Australian Diabetes Educators Association (ADEA)</w:t>
        </w:r>
      </w:hyperlink>
      <w:r w:rsidRPr="00EB3684">
        <w:rPr>
          <w:rFonts w:cs="Arial"/>
          <w:color w:val="000000"/>
          <w:lang w:eastAsia="en-GB"/>
        </w:rPr>
        <w:t xml:space="preserve">, </w:t>
      </w:r>
      <w:hyperlink r:id="rId22" w:history="1">
        <w:r w:rsidRPr="00CF7E77">
          <w:rPr>
            <w:rStyle w:val="Hyperlink"/>
            <w:rFonts w:cs="Arial"/>
            <w:lang w:eastAsia="en-GB"/>
          </w:rPr>
          <w:t>Diabetes Australia (DA)</w:t>
        </w:r>
      </w:hyperlink>
      <w:r w:rsidRPr="00EB3684">
        <w:rPr>
          <w:rFonts w:cs="Arial"/>
          <w:color w:val="000000"/>
          <w:lang w:eastAsia="en-GB"/>
        </w:rPr>
        <w:t xml:space="preserve"> and the </w:t>
      </w:r>
      <w:hyperlink r:id="rId23" w:history="1">
        <w:r w:rsidRPr="00CF7E77">
          <w:rPr>
            <w:rStyle w:val="Hyperlink"/>
            <w:rFonts w:cs="Arial"/>
            <w:lang w:eastAsia="en-GB"/>
          </w:rPr>
          <w:t>Australia and New Zealand Society for Paediatric Endocrinology and Diabetes (ANZSPED)</w:t>
        </w:r>
      </w:hyperlink>
      <w:r w:rsidRPr="00EB3684">
        <w:rPr>
          <w:rFonts w:cs="Arial"/>
          <w:color w:val="000000"/>
          <w:lang w:eastAsia="en-GB"/>
        </w:rPr>
        <w:t>.</w:t>
      </w:r>
    </w:p>
    <w:p w14:paraId="5DE10D85" w14:textId="6F9EF29A" w:rsidR="00EF3FE1" w:rsidRDefault="004B3C1C" w:rsidP="009255E0">
      <w:pPr>
        <w:rPr>
          <w:rFonts w:cs="Arial"/>
          <w:color w:val="000000"/>
          <w:lang w:eastAsia="en-GB"/>
        </w:rPr>
      </w:pPr>
      <w:r>
        <w:rPr>
          <w:rFonts w:cs="Arial"/>
          <w:color w:val="000000"/>
          <w:lang w:eastAsia="en-GB"/>
        </w:rPr>
        <w:t xml:space="preserve">The </w:t>
      </w:r>
      <w:r w:rsidR="00CF7E77">
        <w:rPr>
          <w:rFonts w:cs="Arial"/>
          <w:color w:val="000000"/>
          <w:lang w:eastAsia="en-GB"/>
        </w:rPr>
        <w:t>re</w:t>
      </w:r>
      <w:r w:rsidR="00D33E4E">
        <w:rPr>
          <w:rFonts w:cs="Arial"/>
          <w:color w:val="000000"/>
          <w:lang w:eastAsia="en-GB"/>
        </w:rPr>
        <w:t>commendations</w:t>
      </w:r>
      <w:r w:rsidR="00CF7E77">
        <w:rPr>
          <w:rFonts w:cs="Arial"/>
          <w:color w:val="000000"/>
          <w:lang w:eastAsia="en-GB"/>
        </w:rPr>
        <w:t xml:space="preserve">’ </w:t>
      </w:r>
      <w:r>
        <w:rPr>
          <w:rFonts w:cs="Arial"/>
          <w:color w:val="000000"/>
          <w:lang w:eastAsia="en-GB"/>
        </w:rPr>
        <w:t>guidance</w:t>
      </w:r>
      <w:r w:rsidR="00782507">
        <w:rPr>
          <w:rFonts w:cs="Arial"/>
          <w:color w:val="000000"/>
          <w:lang w:eastAsia="en-GB"/>
        </w:rPr>
        <w:t xml:space="preserve"> was adapted from </w:t>
      </w:r>
      <w:hyperlink r:id="rId24" w:history="1">
        <w:r w:rsidR="00782507" w:rsidRPr="00782507">
          <w:rPr>
            <w:rStyle w:val="Hyperlink"/>
            <w:rFonts w:cs="Arial"/>
            <w:lang w:eastAsia="en-GB"/>
          </w:rPr>
          <w:t>Joint guidance</w:t>
        </w:r>
      </w:hyperlink>
      <w:r w:rsidR="00782507">
        <w:rPr>
          <w:rFonts w:cs="Arial"/>
          <w:color w:val="000000"/>
          <w:lang w:eastAsia="en-GB"/>
        </w:rPr>
        <w:t xml:space="preserve"> </w:t>
      </w:r>
      <w:r>
        <w:rPr>
          <w:rFonts w:cs="Arial"/>
          <w:color w:val="000000"/>
          <w:lang w:eastAsia="en-GB"/>
        </w:rPr>
        <w:t xml:space="preserve">published </w:t>
      </w:r>
      <w:r w:rsidR="00782507">
        <w:rPr>
          <w:rFonts w:cs="Arial"/>
          <w:color w:val="000000"/>
          <w:lang w:eastAsia="en-GB"/>
        </w:rPr>
        <w:t>b</w:t>
      </w:r>
      <w:r>
        <w:rPr>
          <w:rFonts w:cs="Arial"/>
          <w:color w:val="000000"/>
          <w:lang w:eastAsia="en-GB"/>
        </w:rPr>
        <w:t>y the</w:t>
      </w:r>
      <w:r w:rsidR="00782507">
        <w:rPr>
          <w:rFonts w:cs="Arial"/>
          <w:color w:val="000000"/>
          <w:lang w:eastAsia="en-GB"/>
        </w:rPr>
        <w:t xml:space="preserve"> </w:t>
      </w:r>
      <w:hyperlink r:id="rId25" w:history="1">
        <w:r w:rsidR="00782507" w:rsidRPr="00D067AE">
          <w:rPr>
            <w:rStyle w:val="Hyperlink"/>
          </w:rPr>
          <w:t>Association of British Clinical Diabetologists (ABCD)</w:t>
        </w:r>
      </w:hyperlink>
      <w:r w:rsidR="00782507" w:rsidRPr="007926CB">
        <w:t xml:space="preserve"> and </w:t>
      </w:r>
      <w:r>
        <w:t xml:space="preserve">the </w:t>
      </w:r>
      <w:hyperlink r:id="rId26" w:history="1">
        <w:r w:rsidR="00782507" w:rsidRPr="003C45FF">
          <w:rPr>
            <w:rStyle w:val="Hyperlink"/>
          </w:rPr>
          <w:t>Primary Care Diabetes &amp; Obesity (PCDO) Society</w:t>
        </w:r>
      </w:hyperlink>
      <w:r w:rsidR="00287AE0">
        <w:rPr>
          <w:rFonts w:cs="Arial"/>
          <w:color w:val="000000"/>
          <w:lang w:eastAsia="en-GB"/>
        </w:rPr>
        <w:t>, and</w:t>
      </w:r>
      <w:r>
        <w:rPr>
          <w:rFonts w:cs="Arial"/>
          <w:color w:val="000000"/>
          <w:lang w:eastAsia="en-GB"/>
        </w:rPr>
        <w:t xml:space="preserve"> is</w:t>
      </w:r>
      <w:r w:rsidR="00D729B7">
        <w:rPr>
          <w:rFonts w:cs="Arial"/>
          <w:color w:val="000000"/>
          <w:lang w:eastAsia="en-GB"/>
        </w:rPr>
        <w:t xml:space="preserve"> summarised in </w:t>
      </w:r>
      <w:r w:rsidR="00D729B7" w:rsidRPr="00782507">
        <w:rPr>
          <w:rFonts w:cs="Arial"/>
          <w:b/>
          <w:bCs/>
          <w:color w:val="000000"/>
          <w:lang w:eastAsia="en-GB"/>
        </w:rPr>
        <w:t>Figure</w:t>
      </w:r>
      <w:r w:rsidR="00F733F3" w:rsidRPr="00782507">
        <w:rPr>
          <w:rFonts w:cs="Arial"/>
          <w:b/>
          <w:bCs/>
          <w:color w:val="000000"/>
          <w:lang w:eastAsia="en-GB"/>
        </w:rPr>
        <w:t xml:space="preserve"> 1</w:t>
      </w:r>
      <w:r w:rsidR="00D729B7" w:rsidRPr="00782507">
        <w:rPr>
          <w:rFonts w:cs="Arial"/>
          <w:b/>
          <w:bCs/>
          <w:color w:val="000000"/>
          <w:lang w:eastAsia="en-GB"/>
        </w:rPr>
        <w:t>.</w:t>
      </w:r>
      <w:r w:rsidR="00D729B7">
        <w:rPr>
          <w:rFonts w:cs="Arial"/>
          <w:color w:val="000000"/>
          <w:lang w:eastAsia="en-GB"/>
        </w:rPr>
        <w:t xml:space="preserve"> </w:t>
      </w:r>
    </w:p>
    <w:p w14:paraId="51EB56FE" w14:textId="36DDF6E8" w:rsidR="00E57A4E" w:rsidRDefault="00E57A4E" w:rsidP="00E57A4E">
      <w:r>
        <w:t xml:space="preserve">The ABCD and PCDO Society recommend review at 2 to 3 week intervals to support dose titration. </w:t>
      </w:r>
      <w:r w:rsidR="0031463E">
        <w:t>Where feasible, review i</w:t>
      </w:r>
      <w:r>
        <w:t xml:space="preserve">ndividuals at higher risk of dysglycaemia within 1 to 2 weeks of the </w:t>
      </w:r>
      <w:r w:rsidR="002B77DF">
        <w:t xml:space="preserve">insulin </w:t>
      </w:r>
      <w:r>
        <w:t>change</w:t>
      </w:r>
      <w:r w:rsidR="0031463E">
        <w:t xml:space="preserve"> and provide</w:t>
      </w:r>
      <w:r>
        <w:t xml:space="preserve"> clear dose adjustment plans to support self-titration</w:t>
      </w:r>
      <w:r w:rsidR="002B77DF">
        <w:t>.</w:t>
      </w:r>
      <w:r w:rsidR="0031463E">
        <w:t xml:space="preserve"> Facilitate</w:t>
      </w:r>
      <w:r>
        <w:t xml:space="preserve"> earlier </w:t>
      </w:r>
      <w:r w:rsidR="0031463E">
        <w:t>review if dysglycaemia occurs.</w:t>
      </w:r>
    </w:p>
    <w:p w14:paraId="02AF8C35" w14:textId="45E2EA33" w:rsidR="00E57A4E" w:rsidRDefault="00E57A4E" w:rsidP="00E57A4E">
      <w:pPr>
        <w:rPr>
          <w:rFonts w:cs="Arial"/>
          <w:color w:val="000000"/>
          <w:lang w:eastAsia="en-GB"/>
        </w:rPr>
      </w:pPr>
      <w:r w:rsidRPr="00287AE0">
        <w:rPr>
          <w:rFonts w:cs="Arial"/>
          <w:color w:val="000000"/>
          <w:lang w:eastAsia="en-GB"/>
        </w:rPr>
        <w:t xml:space="preserve">A twice-daily regimen of insulin glargine or </w:t>
      </w:r>
      <w:r>
        <w:rPr>
          <w:rFonts w:cs="Arial"/>
          <w:color w:val="000000"/>
          <w:lang w:eastAsia="en-GB"/>
        </w:rPr>
        <w:t xml:space="preserve">insulin </w:t>
      </w:r>
      <w:r w:rsidRPr="00287AE0">
        <w:rPr>
          <w:rFonts w:cs="Arial"/>
          <w:color w:val="000000"/>
          <w:lang w:eastAsia="en-GB"/>
        </w:rPr>
        <w:t xml:space="preserve">degludec constitutes off-label use of insulin. </w:t>
      </w:r>
      <w:r>
        <w:rPr>
          <w:rFonts w:cs="Arial"/>
          <w:color w:val="000000"/>
          <w:lang w:eastAsia="en-GB"/>
        </w:rPr>
        <w:t>Refer to the</w:t>
      </w:r>
      <w:r w:rsidRPr="00287AE0">
        <w:rPr>
          <w:rFonts w:cs="Arial"/>
          <w:color w:val="000000"/>
          <w:lang w:eastAsia="en-GB"/>
        </w:rPr>
        <w:t xml:space="preserve"> </w:t>
      </w:r>
      <w:hyperlink r:id="rId27" w:history="1">
        <w:r w:rsidRPr="00287AE0">
          <w:rPr>
            <w:rStyle w:val="Hyperlink"/>
            <w:rFonts w:cs="Arial"/>
            <w:lang w:eastAsia="en-GB"/>
          </w:rPr>
          <w:t>Guiding Principles for the quality use of off-label medicines</w:t>
        </w:r>
      </w:hyperlink>
      <w:r w:rsidRPr="00287AE0">
        <w:rPr>
          <w:rFonts w:cs="Arial"/>
          <w:color w:val="000000"/>
          <w:lang w:eastAsia="en-GB"/>
        </w:rPr>
        <w:t xml:space="preserve"> to support safe</w:t>
      </w:r>
      <w:r>
        <w:rPr>
          <w:rFonts w:cs="Arial"/>
          <w:color w:val="000000"/>
          <w:lang w:eastAsia="en-GB"/>
        </w:rPr>
        <w:t xml:space="preserve">, </w:t>
      </w:r>
      <w:r w:rsidRPr="00287AE0">
        <w:rPr>
          <w:rFonts w:cs="Arial"/>
          <w:color w:val="000000"/>
          <w:lang w:eastAsia="en-GB"/>
        </w:rPr>
        <w:t xml:space="preserve">informed </w:t>
      </w:r>
      <w:r>
        <w:rPr>
          <w:rFonts w:cs="Arial"/>
          <w:color w:val="000000"/>
          <w:lang w:eastAsia="en-GB"/>
        </w:rPr>
        <w:t xml:space="preserve">and patient-centred </w:t>
      </w:r>
      <w:r w:rsidRPr="00287AE0">
        <w:rPr>
          <w:rFonts w:cs="Arial"/>
          <w:color w:val="000000"/>
          <w:lang w:eastAsia="en-GB"/>
        </w:rPr>
        <w:t>decision-making</w:t>
      </w:r>
      <w:r>
        <w:rPr>
          <w:rFonts w:cs="Arial"/>
          <w:color w:val="000000"/>
          <w:lang w:eastAsia="en-GB"/>
        </w:rPr>
        <w:t xml:space="preserve"> if this option is c</w:t>
      </w:r>
      <w:r w:rsidR="002B77DF">
        <w:rPr>
          <w:rFonts w:cs="Arial"/>
          <w:color w:val="000000"/>
          <w:lang w:eastAsia="en-GB"/>
        </w:rPr>
        <w:t>onsidered</w:t>
      </w:r>
      <w:r w:rsidRPr="00287AE0">
        <w:rPr>
          <w:rFonts w:cs="Arial"/>
          <w:color w:val="000000"/>
          <w:lang w:eastAsia="en-GB"/>
        </w:rPr>
        <w:t>.</w:t>
      </w:r>
    </w:p>
    <w:p w14:paraId="4F9B4585" w14:textId="2A52D747" w:rsidR="00E57A4E" w:rsidRDefault="00E57A4E" w:rsidP="009255E0">
      <w:pPr>
        <w:rPr>
          <w:rFonts w:cs="Arial"/>
          <w:color w:val="000000"/>
          <w:lang w:eastAsia="en-GB"/>
        </w:rPr>
      </w:pPr>
      <w:r>
        <w:rPr>
          <w:rFonts w:cs="Arial"/>
          <w:color w:val="000000"/>
          <w:lang w:eastAsia="en-GB"/>
        </w:rPr>
        <w:t>Levemir</w:t>
      </w:r>
      <w:r w:rsidRPr="006F1ED9">
        <w:rPr>
          <w:vertAlign w:val="superscript"/>
        </w:rPr>
        <w:t>®</w:t>
      </w:r>
      <w:r>
        <w:rPr>
          <w:rFonts w:cs="Arial"/>
          <w:color w:val="000000"/>
          <w:lang w:eastAsia="en-GB"/>
        </w:rPr>
        <w:t xml:space="preserve"> is </w:t>
      </w:r>
      <w:r w:rsidR="002B77DF">
        <w:rPr>
          <w:rFonts w:cs="Arial"/>
          <w:color w:val="000000"/>
          <w:lang w:eastAsia="en-GB"/>
        </w:rPr>
        <w:t>among</w:t>
      </w:r>
      <w:r>
        <w:rPr>
          <w:rFonts w:cs="Arial"/>
          <w:color w:val="000000"/>
          <w:lang w:eastAsia="en-GB"/>
        </w:rPr>
        <w:t xml:space="preserve"> a range of insulin products being discontinued</w:t>
      </w:r>
      <w:r w:rsidR="002B77DF">
        <w:rPr>
          <w:rFonts w:cs="Arial"/>
          <w:color w:val="000000"/>
          <w:lang w:eastAsia="en-GB"/>
        </w:rPr>
        <w:t>.</w:t>
      </w:r>
      <w:r>
        <w:rPr>
          <w:rFonts w:cs="Arial"/>
          <w:color w:val="000000"/>
          <w:lang w:eastAsia="en-GB"/>
        </w:rPr>
        <w:t xml:space="preserve"> </w:t>
      </w:r>
      <w:r w:rsidR="002B77DF">
        <w:rPr>
          <w:rFonts w:cs="Arial"/>
          <w:color w:val="000000"/>
          <w:lang w:eastAsia="en-GB"/>
        </w:rPr>
        <w:t>M</w:t>
      </w:r>
      <w:r>
        <w:rPr>
          <w:rFonts w:cs="Arial"/>
          <w:color w:val="000000"/>
          <w:lang w:eastAsia="en-GB"/>
        </w:rPr>
        <w:t xml:space="preserve">ore information about the </w:t>
      </w:r>
      <w:hyperlink r:id="rId28" w:history="1">
        <w:r w:rsidRPr="002C0805">
          <w:rPr>
            <w:rStyle w:val="Hyperlink"/>
            <w:rFonts w:cs="Arial"/>
            <w:lang w:eastAsia="en-GB"/>
          </w:rPr>
          <w:t>discontinuations</w:t>
        </w:r>
      </w:hyperlink>
      <w:r>
        <w:rPr>
          <w:rFonts w:cs="Arial"/>
          <w:color w:val="000000"/>
          <w:lang w:eastAsia="en-GB"/>
        </w:rPr>
        <w:t xml:space="preserve"> </w:t>
      </w:r>
      <w:r w:rsidR="002B77DF">
        <w:rPr>
          <w:rFonts w:cs="Arial"/>
          <w:color w:val="000000"/>
          <w:lang w:eastAsia="en-GB"/>
        </w:rPr>
        <w:t xml:space="preserve">is </w:t>
      </w:r>
      <w:r>
        <w:rPr>
          <w:rFonts w:cs="Arial"/>
          <w:color w:val="000000"/>
          <w:lang w:eastAsia="en-GB"/>
        </w:rPr>
        <w:t xml:space="preserve">available from the TGA. Refer to </w:t>
      </w:r>
      <w:hyperlink r:id="rId29" w:history="1">
        <w:r w:rsidRPr="00891B96">
          <w:rPr>
            <w:rStyle w:val="Hyperlink"/>
          </w:rPr>
          <w:t xml:space="preserve">Guidance - Discontinuation of </w:t>
        </w:r>
        <w:r w:rsidRPr="00891B96">
          <w:rPr>
            <w:rStyle w:val="Hyperlink"/>
          </w:rPr>
          <w:lastRenderedPageBreak/>
          <w:t>insulin products: Strategies and safety considerations</w:t>
        </w:r>
      </w:hyperlink>
      <w:r>
        <w:t xml:space="preserve"> for more information on changing or switching insulin products. </w:t>
      </w:r>
    </w:p>
    <w:p w14:paraId="0EE94ADA" w14:textId="77777777" w:rsidR="00622773" w:rsidRDefault="001C09E2" w:rsidP="001C09E2">
      <w:pPr>
        <w:pStyle w:val="Caption"/>
      </w:pPr>
      <w:r w:rsidRPr="001C09E2">
        <w:t>Transition guidance from Levemir</w:t>
      </w:r>
      <w:r w:rsidRPr="00A31365">
        <w:rPr>
          <w:vertAlign w:val="superscript"/>
        </w:rPr>
        <w:t>®</w:t>
      </w:r>
      <w:r w:rsidRPr="001C09E2">
        <w:t xml:space="preserve"> to insulin glargine (Optisulin</w:t>
      </w:r>
      <w:r w:rsidRPr="00143776">
        <w:rPr>
          <w:vertAlign w:val="superscript"/>
        </w:rPr>
        <w:t>®</w:t>
      </w:r>
      <w:r w:rsidRPr="001C09E2">
        <w:t xml:space="preserve"> or Toujeo</w:t>
      </w:r>
      <w:r w:rsidRPr="00143776">
        <w:rPr>
          <w:vertAlign w:val="superscript"/>
        </w:rPr>
        <w:t>®</w:t>
      </w:r>
      <w:r w:rsidRPr="001C09E2">
        <w:t>)</w:t>
      </w:r>
      <w:r w:rsidR="00622773">
        <w:t xml:space="preserve"> or degludec </w:t>
      </w:r>
    </w:p>
    <w:p w14:paraId="42D5A95F" w14:textId="6877E8D2" w:rsidR="00F31254" w:rsidRDefault="00622773" w:rsidP="005A7DB5">
      <w:pPr>
        <w:pStyle w:val="Caption"/>
        <w:numPr>
          <w:ilvl w:val="0"/>
          <w:numId w:val="0"/>
        </w:numPr>
        <w:ind w:left="814" w:firstLine="94"/>
      </w:pPr>
      <w:r>
        <w:t>(</w:t>
      </w:r>
      <w:r w:rsidRPr="00DA5ED2">
        <w:t>Tresiba</w:t>
      </w:r>
      <w:r w:rsidRPr="00DA5ED2">
        <w:rPr>
          <w:vertAlign w:val="superscript"/>
        </w:rPr>
        <w:t>®</w:t>
      </w:r>
      <w:r>
        <w:t>).</w:t>
      </w:r>
    </w:p>
    <w:p w14:paraId="68ADC314" w14:textId="471A314B" w:rsidR="00367A64" w:rsidRDefault="00315FDA" w:rsidP="009D0DBC">
      <w:pPr>
        <w:tabs>
          <w:tab w:val="left" w:pos="5670"/>
        </w:tabs>
        <w:ind w:left="-709"/>
      </w:pPr>
      <w:r>
        <w:rPr>
          <w:noProof/>
        </w:rPr>
        <w:drawing>
          <wp:inline distT="0" distB="0" distL="0" distR="0" wp14:anchorId="52E1DA45" wp14:editId="6DFA86C3">
            <wp:extent cx="6777990" cy="2552700"/>
            <wp:effectExtent l="0" t="0" r="60960" b="0"/>
            <wp:docPr id="531671403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0" r:lo="rId31" r:qs="rId32" r:cs="rId33"/>
              </a:graphicData>
            </a:graphic>
          </wp:inline>
        </w:drawing>
      </w:r>
    </w:p>
    <w:p w14:paraId="7B66ED07" w14:textId="7F9064B5" w:rsidR="00343F2E" w:rsidRDefault="00343F2E" w:rsidP="0096660B">
      <w:pPr>
        <w:pStyle w:val="Heading1"/>
      </w:pPr>
      <w:r w:rsidRPr="0096660B">
        <w:t>Useful resources</w:t>
      </w:r>
    </w:p>
    <w:p w14:paraId="681A0344" w14:textId="289C7C8F" w:rsidR="00343F2E" w:rsidRPr="00E57A4E" w:rsidRDefault="004A175B" w:rsidP="006105C9">
      <w:pPr>
        <w:pStyle w:val="ListParagraph"/>
        <w:numPr>
          <w:ilvl w:val="0"/>
          <w:numId w:val="11"/>
        </w:numPr>
      </w:pPr>
      <w:r w:rsidRPr="00E57A4E">
        <w:t xml:space="preserve">Levemir discontinuation </w:t>
      </w:r>
      <w:r w:rsidR="00D33E4E" w:rsidRPr="00E57A4E">
        <w:t>re</w:t>
      </w:r>
      <w:r w:rsidR="00D33E4E">
        <w:t>commendations</w:t>
      </w:r>
      <w:r w:rsidR="001E45AB">
        <w:t xml:space="preserve"> (in press)</w:t>
      </w:r>
      <w:r w:rsidRPr="00E57A4E">
        <w:t xml:space="preserve">. Diabetes Alliance </w:t>
      </w:r>
      <w:r w:rsidR="0030029B">
        <w:t>w</w:t>
      </w:r>
      <w:r w:rsidR="002C0805" w:rsidRPr="00E57A4E">
        <w:t xml:space="preserve">orking </w:t>
      </w:r>
      <w:r w:rsidR="0030029B">
        <w:t>g</w:t>
      </w:r>
      <w:r w:rsidRPr="00E57A4E">
        <w:t>roup. [cited</w:t>
      </w:r>
      <w:r w:rsidR="00A62FE8" w:rsidRPr="00E57A4E">
        <w:t xml:space="preserve"> </w:t>
      </w:r>
      <w:r w:rsidR="005217C8">
        <w:t>8 October</w:t>
      </w:r>
      <w:r w:rsidR="00A62FE8" w:rsidRPr="00E57A4E">
        <w:t xml:space="preserve"> </w:t>
      </w:r>
      <w:r w:rsidRPr="00E57A4E">
        <w:t>2026]</w:t>
      </w:r>
      <w:r w:rsidR="002C0805" w:rsidRPr="00E57A4E">
        <w:t xml:space="preserve">. </w:t>
      </w:r>
    </w:p>
    <w:p w14:paraId="0393EF3C" w14:textId="383FFEF4" w:rsidR="004A175B" w:rsidRPr="00E57A4E" w:rsidRDefault="00B91BCA" w:rsidP="006105C9">
      <w:pPr>
        <w:pStyle w:val="ListParagraph"/>
        <w:numPr>
          <w:ilvl w:val="0"/>
          <w:numId w:val="11"/>
        </w:numPr>
      </w:pPr>
      <w:hyperlink r:id="rId35" w:history="1">
        <w:r w:rsidRPr="00E57A4E">
          <w:rPr>
            <w:rStyle w:val="Hyperlink"/>
          </w:rPr>
          <w:t>C</w:t>
        </w:r>
        <w:r w:rsidR="004F3960" w:rsidRPr="00E57A4E">
          <w:rPr>
            <w:rStyle w:val="Hyperlink"/>
          </w:rPr>
          <w:t>hanges to the supply of insulin products</w:t>
        </w:r>
        <w:r w:rsidR="00E01D7C" w:rsidRPr="00E57A4E">
          <w:rPr>
            <w:rStyle w:val="Hyperlink"/>
          </w:rPr>
          <w:t>.</w:t>
        </w:r>
      </w:hyperlink>
      <w:r w:rsidR="00E01D7C" w:rsidRPr="00E57A4E">
        <w:t xml:space="preserve"> Therapeutic Goods Administration (TGA). [cited 2</w:t>
      </w:r>
      <w:r w:rsidR="006D5049" w:rsidRPr="00E57A4E">
        <w:t>6</w:t>
      </w:r>
      <w:r w:rsidR="00E01D7C" w:rsidRPr="00E57A4E">
        <w:t xml:space="preserve"> Jun</w:t>
      </w:r>
      <w:r w:rsidR="006D5CBD" w:rsidRPr="00E57A4E">
        <w:t>e</w:t>
      </w:r>
      <w:r w:rsidR="00E01D7C" w:rsidRPr="00E57A4E">
        <w:t xml:space="preserve"> 2026]</w:t>
      </w:r>
    </w:p>
    <w:p w14:paraId="2855819F" w14:textId="0A249C2D" w:rsidR="0085285D" w:rsidRPr="00E57A4E" w:rsidRDefault="00CA4E3E" w:rsidP="006105C9">
      <w:pPr>
        <w:pStyle w:val="ListParagraph"/>
        <w:numPr>
          <w:ilvl w:val="0"/>
          <w:numId w:val="11"/>
        </w:numPr>
      </w:pPr>
      <w:hyperlink r:id="rId36" w:history="1">
        <w:r w:rsidRPr="00E57A4E">
          <w:rPr>
            <w:rStyle w:val="Hyperlink"/>
          </w:rPr>
          <w:t>Discontinuation of Levemir (insulin detemir): Joint guidance from ACBD and PCDO Society – version 2 (27/05/26).</w:t>
        </w:r>
      </w:hyperlink>
      <w:r w:rsidRPr="00E57A4E">
        <w:t xml:space="preserve"> Association of British Clinical Diabetologists (ABCD) and Primary Care Diabetes &amp; Obesity (PCDO) Society</w:t>
      </w:r>
      <w:r w:rsidR="006D5049" w:rsidRPr="00E57A4E">
        <w:t>. [cited 26 Jun</w:t>
      </w:r>
      <w:r w:rsidR="006D5CBD" w:rsidRPr="00E57A4E">
        <w:t>e</w:t>
      </w:r>
      <w:r w:rsidR="006D5049" w:rsidRPr="00E57A4E">
        <w:t xml:space="preserve"> 2026]</w:t>
      </w:r>
    </w:p>
    <w:p w14:paraId="285C55D6" w14:textId="7E38A387" w:rsidR="00743C96" w:rsidRPr="00E57A4E" w:rsidRDefault="00743C96" w:rsidP="006105C9">
      <w:pPr>
        <w:pStyle w:val="ListParagraph"/>
        <w:numPr>
          <w:ilvl w:val="0"/>
          <w:numId w:val="11"/>
        </w:numPr>
      </w:pPr>
      <w:hyperlink r:id="rId37" w:history="1">
        <w:r w:rsidRPr="00E57A4E">
          <w:rPr>
            <w:rStyle w:val="Hyperlink"/>
          </w:rPr>
          <w:t>Rethinking medicines decision-making for off-label use of medicines</w:t>
        </w:r>
      </w:hyperlink>
      <w:r w:rsidRPr="00E57A4E">
        <w:t>. Council of Australian Therapeutic Advisory Groups (CATAG). [cited 3 July 2026]</w:t>
      </w:r>
    </w:p>
    <w:p w14:paraId="5E9C7264" w14:textId="03B3E671" w:rsidR="006D5CBD" w:rsidRPr="00E57A4E" w:rsidRDefault="006D5CBD" w:rsidP="006105C9">
      <w:pPr>
        <w:pStyle w:val="ListParagraph"/>
        <w:numPr>
          <w:ilvl w:val="0"/>
          <w:numId w:val="11"/>
        </w:numPr>
      </w:pPr>
      <w:hyperlink r:id="rId38" w:history="1">
        <w:r w:rsidRPr="00E57A4E">
          <w:rPr>
            <w:rStyle w:val="Hyperlink"/>
          </w:rPr>
          <w:t>Managing glycaemia emergencies</w:t>
        </w:r>
      </w:hyperlink>
      <w:r w:rsidRPr="00E57A4E">
        <w:t xml:space="preserve">. </w:t>
      </w:r>
      <w:r w:rsidR="00280B96" w:rsidRPr="00E57A4E">
        <w:t>Royal Australian College of General Practitioners.</w:t>
      </w:r>
    </w:p>
    <w:p w14:paraId="0223B46F" w14:textId="67DA292A" w:rsidR="00F43EA1" w:rsidRPr="00E57A4E" w:rsidRDefault="00F43EA1" w:rsidP="006105C9">
      <w:pPr>
        <w:pStyle w:val="ListParagraph"/>
        <w:numPr>
          <w:ilvl w:val="0"/>
          <w:numId w:val="11"/>
        </w:numPr>
      </w:pPr>
      <w:hyperlink r:id="rId39" w:history="1">
        <w:r w:rsidRPr="00E57A4E">
          <w:rPr>
            <w:rStyle w:val="Hyperlink"/>
          </w:rPr>
          <w:t>Reporting adverse events for health professionals</w:t>
        </w:r>
      </w:hyperlink>
      <w:r w:rsidRPr="00E57A4E">
        <w:t xml:space="preserve">. Therapeutic Goods Administration (TGA). [cited 11 August 2026] </w:t>
      </w:r>
    </w:p>
    <w:p w14:paraId="3DD924DF" w14:textId="446353BD" w:rsidR="00B01431" w:rsidRDefault="001A1734" w:rsidP="00427CEB">
      <w:pPr>
        <w:pStyle w:val="ListParagraph"/>
        <w:numPr>
          <w:ilvl w:val="0"/>
          <w:numId w:val="11"/>
        </w:numPr>
      </w:pPr>
      <w:r w:rsidRPr="00E57A4E">
        <w:t xml:space="preserve">NSW Health Safety Notice 023/25 </w:t>
      </w:r>
      <w:hyperlink r:id="rId40" w:history="1">
        <w:r w:rsidRPr="00E57A4E">
          <w:rPr>
            <w:rStyle w:val="Hyperlink"/>
          </w:rPr>
          <w:t>UPDATED</w:t>
        </w:r>
        <w:r w:rsidR="00B01431" w:rsidRPr="00E57A4E">
          <w:rPr>
            <w:rStyle w:val="Hyperlink"/>
          </w:rPr>
          <w:t>: Discontinuation of multiple insulin products</w:t>
        </w:r>
      </w:hyperlink>
      <w:r w:rsidR="00FD33ED" w:rsidRPr="00E57A4E">
        <w:t xml:space="preserve"> (23 Sept 2025)</w:t>
      </w:r>
    </w:p>
    <w:p w14:paraId="639B654E" w14:textId="0C7F9E9D" w:rsidR="00667824" w:rsidRDefault="00667824" w:rsidP="00667824">
      <w:pPr>
        <w:pStyle w:val="Heading1"/>
      </w:pPr>
      <w:r>
        <w:t>References</w:t>
      </w:r>
    </w:p>
    <w:p w14:paraId="5253DBAE" w14:textId="1ADBF7F9" w:rsidR="00667824" w:rsidRDefault="00440078" w:rsidP="00667824">
      <w:r>
        <w:t xml:space="preserve">1. </w:t>
      </w:r>
      <w:r w:rsidRPr="00440078">
        <w:t xml:space="preserve">Australian Medicines Handbook. </w:t>
      </w:r>
      <w:r>
        <w:t>Insulins</w:t>
      </w:r>
      <w:r w:rsidRPr="00440078">
        <w:t>: Australian Medicines Handbook; 202</w:t>
      </w:r>
      <w:r>
        <w:t>6</w:t>
      </w:r>
      <w:r w:rsidRPr="00440078">
        <w:t>.</w:t>
      </w:r>
    </w:p>
    <w:p w14:paraId="738CE2A6" w14:textId="6AC2E48D" w:rsidR="004F4210" w:rsidRPr="00440078" w:rsidRDefault="0096660B" w:rsidP="004F4210">
      <w:r>
        <w:br/>
      </w:r>
      <w:r w:rsidR="004F4210" w:rsidRPr="004F4210">
        <w:rPr>
          <w:b/>
          <w:bCs/>
        </w:rPr>
        <w:t>For more information</w:t>
      </w:r>
    </w:p>
    <w:p w14:paraId="2C473DD9" w14:textId="766D244D" w:rsidR="0092582D" w:rsidRDefault="0092582D" w:rsidP="0092582D">
      <w:r>
        <w:t xml:space="preserve">Please visit: </w:t>
      </w:r>
      <w:hyperlink r:id="rId41" w:history="1">
        <w:r w:rsidR="00F15B38" w:rsidRPr="00F15B38">
          <w:rPr>
            <w:rStyle w:val="Hyperlink"/>
          </w:rPr>
          <w:t>Therapeutic Goods Administration</w:t>
        </w:r>
      </w:hyperlink>
      <w:r w:rsidR="001A72FF" w:rsidRPr="001A72FF">
        <w:t xml:space="preserve"> </w:t>
      </w:r>
      <w:r w:rsidR="00FB6CBC">
        <w:t xml:space="preserve">or </w:t>
      </w:r>
      <w:r w:rsidR="001A72FF" w:rsidRPr="0039209D">
        <w:t xml:space="preserve">contact </w:t>
      </w:r>
      <w:hyperlink r:id="rId42" w:history="1">
        <w:r w:rsidR="001A72FF" w:rsidRPr="00C30CED">
          <w:rPr>
            <w:rStyle w:val="Hyperlink"/>
          </w:rPr>
          <w:t>1800MEDICARE</w:t>
        </w:r>
      </w:hyperlink>
      <w:r w:rsidR="001A72FF">
        <w:t xml:space="preserve"> (</w:t>
      </w:r>
      <w:r w:rsidR="001A72FF" w:rsidRPr="0039209D">
        <w:t xml:space="preserve">1800 </w:t>
      </w:r>
      <w:r w:rsidR="001A72FF">
        <w:t xml:space="preserve">633 422) or </w:t>
      </w:r>
      <w:r w:rsidR="001A72FF" w:rsidRPr="0039209D">
        <w:t xml:space="preserve">the </w:t>
      </w:r>
      <w:r w:rsidR="001A72FF">
        <w:t>Commission</w:t>
      </w:r>
      <w:r w:rsidR="001A72FF" w:rsidRPr="0039209D">
        <w:t xml:space="preserve"> at </w:t>
      </w:r>
      <w:hyperlink r:id="rId43" w:history="1">
        <w:r w:rsidR="001A72FF" w:rsidRPr="00143BE3">
          <w:rPr>
            <w:rStyle w:val="Hyperlink"/>
          </w:rPr>
          <w:t>medsafety@safetyandquality.gov.au</w:t>
        </w:r>
      </w:hyperlink>
      <w:r w:rsidR="00C8329F" w:rsidRPr="0039209D">
        <w:t>.</w:t>
      </w:r>
    </w:p>
    <w:p w14:paraId="19696BA5" w14:textId="232CEAD4" w:rsidR="003734D9" w:rsidRPr="003734D9" w:rsidRDefault="004F4210" w:rsidP="004F4210">
      <w:pPr>
        <w:rPr>
          <w:color w:val="EE0000"/>
        </w:rPr>
      </w:pPr>
      <w:r>
        <w:t>© Australian Commission on Safety and Quality in Health Care</w:t>
      </w:r>
      <w:r w:rsidRPr="00B356F0">
        <w:rPr>
          <w:color w:val="auto"/>
        </w:rPr>
        <w:t xml:space="preserve"> 20</w:t>
      </w:r>
      <w:r w:rsidR="00B356F0" w:rsidRPr="00B356F0">
        <w:rPr>
          <w:color w:val="auto"/>
        </w:rPr>
        <w:t>26</w:t>
      </w:r>
    </w:p>
    <w:sectPr w:rsidR="003734D9" w:rsidRPr="003734D9" w:rsidSect="00381281">
      <w:headerReference w:type="even" r:id="rId44"/>
      <w:headerReference w:type="default" r:id="rId45"/>
      <w:footerReference w:type="even" r:id="rId46"/>
      <w:footerReference w:type="default" r:id="rId47"/>
      <w:headerReference w:type="first" r:id="rId48"/>
      <w:footerReference w:type="first" r:id="rId49"/>
      <w:pgSz w:w="11906" w:h="16838" w:code="9"/>
      <w:pgMar w:top="2268" w:right="1531" w:bottom="1361" w:left="1531" w:header="62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B9414" w14:textId="77777777" w:rsidR="00AB2230" w:rsidRDefault="00AB2230" w:rsidP="001D0AFC">
      <w:r>
        <w:separator/>
      </w:r>
    </w:p>
    <w:p w14:paraId="1A2C9AB6" w14:textId="77777777" w:rsidR="00AB2230" w:rsidRDefault="00AB2230"/>
    <w:p w14:paraId="3C37EA9F" w14:textId="77777777" w:rsidR="00AB2230" w:rsidRDefault="00AB2230"/>
    <w:p w14:paraId="48309992" w14:textId="77777777" w:rsidR="00AB2230" w:rsidRDefault="00AB2230"/>
  </w:endnote>
  <w:endnote w:type="continuationSeparator" w:id="0">
    <w:p w14:paraId="56BB82EF" w14:textId="77777777" w:rsidR="00AB2230" w:rsidRDefault="00AB2230" w:rsidP="001D0AFC">
      <w:r>
        <w:continuationSeparator/>
      </w:r>
    </w:p>
    <w:p w14:paraId="729ADDFE" w14:textId="77777777" w:rsidR="00AB2230" w:rsidRDefault="00AB2230"/>
    <w:p w14:paraId="3A434AF1" w14:textId="77777777" w:rsidR="00AB2230" w:rsidRDefault="00AB2230"/>
    <w:p w14:paraId="429EC828" w14:textId="77777777" w:rsidR="00AB2230" w:rsidRDefault="00AB22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E2186" w14:textId="5D57B30A" w:rsidR="00C81DD7" w:rsidRDefault="00C81DD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0528" behindDoc="0" locked="0" layoutInCell="1" allowOverlap="1" wp14:anchorId="087C6C17" wp14:editId="653D671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52755"/>
              <wp:effectExtent l="0" t="0" r="6350" b="0"/>
              <wp:wrapNone/>
              <wp:docPr id="1099882803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52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E93564" w14:textId="3FB226C1" w:rsidR="00C81DD7" w:rsidRPr="00C81DD7" w:rsidRDefault="00C81DD7" w:rsidP="00C81DD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C81DD7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7C6C1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9pt;height:35.65pt;z-index:25167052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" filled="f" stroked="f">
              <v:textbox style="mso-fit-shape-to-text:t" inset="0,0,0,15pt">
                <w:txbxContent>
                  <w:p w14:paraId="5AE93564" w14:textId="3FB226C1" w:rsidR="00C81DD7" w:rsidRPr="00C81DD7" w:rsidRDefault="00C81DD7" w:rsidP="00C81DD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C81DD7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79AE5" w14:textId="1CA044D9" w:rsidR="00A2648F" w:rsidRPr="00A2648F" w:rsidRDefault="00A2648F" w:rsidP="00A2648F">
    <w:pPr>
      <w:pStyle w:val="Footer"/>
      <w:ind w:left="284"/>
      <w:rPr>
        <w:b/>
        <w:bCs/>
      </w:rPr>
    </w:pPr>
    <w:r w:rsidRPr="005F110C">
      <w:rPr>
        <w:noProof/>
        <w:color w:val="FF0000"/>
      </w:rPr>
      <w:drawing>
        <wp:anchor distT="0" distB="0" distL="114300" distR="114300" simplePos="0" relativeHeight="251659264" behindDoc="0" locked="0" layoutInCell="1" allowOverlap="1" wp14:anchorId="5C50E833" wp14:editId="69199A7E">
          <wp:simplePos x="0" y="0"/>
          <wp:positionH relativeFrom="column">
            <wp:posOffset>0</wp:posOffset>
          </wp:positionH>
          <wp:positionV relativeFrom="paragraph">
            <wp:posOffset>-27432</wp:posOffset>
          </wp:positionV>
          <wp:extent cx="138948" cy="180000"/>
          <wp:effectExtent l="0" t="0" r="0" b="0"/>
          <wp:wrapNone/>
          <wp:docPr id="2138744475" name="Picture 1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1222773" name="Picture 1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48" cy="1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21D0" w:rsidRPr="008321D0">
      <w:rPr>
        <w:color w:val="auto"/>
      </w:rPr>
      <w:t xml:space="preserve"> Fact sheet - Discontinuation of Levemir</w:t>
    </w:r>
    <w:r w:rsidR="008321D0" w:rsidRPr="00143776">
      <w:rPr>
        <w:color w:val="auto"/>
        <w:vertAlign w:val="superscript"/>
      </w:rPr>
      <w:t>®</w:t>
    </w:r>
    <w:r w:rsidR="008321D0" w:rsidRPr="008321D0">
      <w:rPr>
        <w:color w:val="auto"/>
      </w:rPr>
      <w:t xml:space="preserve"> </w:t>
    </w:r>
    <w:r w:rsidR="00527C61" w:rsidRPr="008321D0">
      <w:rPr>
        <w:color w:val="auto"/>
      </w:rPr>
      <w:t>(insulin detemir)</w:t>
    </w:r>
    <w:r w:rsidR="00527C61">
      <w:rPr>
        <w:color w:val="auto"/>
      </w:rPr>
      <w:t xml:space="preserve"> </w:t>
    </w:r>
    <w:r w:rsidR="008321D0" w:rsidRPr="008321D0">
      <w:rPr>
        <w:color w:val="auto"/>
      </w:rPr>
      <w:t>FlexPen</w:t>
    </w:r>
    <w:r w:rsidR="008321D0" w:rsidRPr="00143776">
      <w:rPr>
        <w:color w:val="auto"/>
        <w:vertAlign w:val="superscript"/>
      </w:rPr>
      <w:t>®</w:t>
    </w:r>
    <w:r w:rsidR="008321D0" w:rsidRPr="008321D0">
      <w:rPr>
        <w:color w:val="auto"/>
      </w:rPr>
      <w:t xml:space="preserve"> and Penfill</w:t>
    </w:r>
    <w:r w:rsidR="008321D0" w:rsidRPr="00143776">
      <w:rPr>
        <w:color w:val="auto"/>
        <w:vertAlign w:val="superscript"/>
      </w:rPr>
      <w:t>®</w:t>
    </w:r>
    <w:r w:rsidR="008321D0" w:rsidRPr="008321D0">
      <w:rPr>
        <w:color w:val="auto"/>
      </w:rPr>
      <w:t xml:space="preserve"> </w:t>
    </w:r>
    <w:r w:rsidR="008321D0">
      <w:rPr>
        <w:color w:val="auto"/>
      </w:rPr>
      <w:t>for clinicians</w:t>
    </w:r>
    <w:r w:rsidRPr="00033439">
      <w:tab/>
    </w:r>
    <w:r w:rsidRPr="00E74653">
      <w:rPr>
        <w:b/>
        <w:bCs/>
      </w:rPr>
      <w:fldChar w:fldCharType="begin"/>
    </w:r>
    <w:r w:rsidRPr="00E74653">
      <w:rPr>
        <w:b/>
        <w:bCs/>
      </w:rPr>
      <w:instrText xml:space="preserve"> PAGE   \* MERGEFORMAT </w:instrText>
    </w:r>
    <w:r w:rsidRPr="00E74653">
      <w:rPr>
        <w:b/>
        <w:bCs/>
      </w:rPr>
      <w:fldChar w:fldCharType="separate"/>
    </w:r>
    <w:r>
      <w:rPr>
        <w:b/>
        <w:bCs/>
      </w:rPr>
      <w:t>1</w:t>
    </w:r>
    <w:r w:rsidRPr="00E74653">
      <w:rPr>
        <w:b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3A49B" w14:textId="3BAB242B" w:rsidR="00BB429E" w:rsidRPr="008321D0" w:rsidRDefault="00BB429E" w:rsidP="00BB429E">
    <w:pPr>
      <w:pStyle w:val="Footer"/>
      <w:ind w:left="284"/>
      <w:rPr>
        <w:b/>
        <w:bCs/>
        <w:color w:val="auto"/>
      </w:rPr>
    </w:pPr>
    <w:r w:rsidRPr="008321D0">
      <w:rPr>
        <w:noProof/>
        <w:color w:val="auto"/>
      </w:rPr>
      <w:drawing>
        <wp:anchor distT="0" distB="0" distL="114300" distR="114300" simplePos="0" relativeHeight="251665408" behindDoc="0" locked="0" layoutInCell="1" allowOverlap="1" wp14:anchorId="1E455855" wp14:editId="47FB5827">
          <wp:simplePos x="0" y="0"/>
          <wp:positionH relativeFrom="column">
            <wp:posOffset>0</wp:posOffset>
          </wp:positionH>
          <wp:positionV relativeFrom="paragraph">
            <wp:posOffset>-27432</wp:posOffset>
          </wp:positionV>
          <wp:extent cx="138948" cy="180000"/>
          <wp:effectExtent l="0" t="0" r="0" b="0"/>
          <wp:wrapNone/>
          <wp:docPr id="916590061" name="Picture 1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3379742" name="Picture 1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48" cy="1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21D0" w:rsidRPr="008321D0">
      <w:rPr>
        <w:color w:val="auto"/>
      </w:rPr>
      <w:t>Fact sheet - Discontinuation of Levemir</w:t>
    </w:r>
    <w:r w:rsidR="008321D0" w:rsidRPr="00A31365">
      <w:rPr>
        <w:color w:val="auto"/>
        <w:vertAlign w:val="superscript"/>
      </w:rPr>
      <w:t>®</w:t>
    </w:r>
    <w:r w:rsidR="008321D0" w:rsidRPr="008321D0">
      <w:rPr>
        <w:color w:val="auto"/>
      </w:rPr>
      <w:t xml:space="preserve"> </w:t>
    </w:r>
    <w:r w:rsidR="00527C61" w:rsidRPr="008321D0">
      <w:rPr>
        <w:color w:val="auto"/>
      </w:rPr>
      <w:t>(insulin detemir)</w:t>
    </w:r>
    <w:r w:rsidR="00527C61">
      <w:rPr>
        <w:color w:val="auto"/>
      </w:rPr>
      <w:t xml:space="preserve"> </w:t>
    </w:r>
    <w:r w:rsidR="008321D0" w:rsidRPr="008321D0">
      <w:rPr>
        <w:color w:val="auto"/>
      </w:rPr>
      <w:t>FlexPen</w:t>
    </w:r>
    <w:r w:rsidR="008321D0" w:rsidRPr="00A31365">
      <w:rPr>
        <w:color w:val="auto"/>
        <w:vertAlign w:val="superscript"/>
      </w:rPr>
      <w:t>®</w:t>
    </w:r>
    <w:r w:rsidR="008321D0" w:rsidRPr="008321D0">
      <w:rPr>
        <w:color w:val="auto"/>
      </w:rPr>
      <w:t xml:space="preserve"> and Penfill</w:t>
    </w:r>
    <w:r w:rsidR="008321D0" w:rsidRPr="00A31365">
      <w:rPr>
        <w:color w:val="auto"/>
        <w:vertAlign w:val="superscript"/>
      </w:rPr>
      <w:t>®</w:t>
    </w:r>
    <w:r w:rsidR="008321D0" w:rsidRPr="008321D0">
      <w:rPr>
        <w:color w:val="auto"/>
      </w:rPr>
      <w:t xml:space="preserve"> </w:t>
    </w:r>
    <w:r w:rsidR="008321D0">
      <w:rPr>
        <w:color w:val="auto"/>
      </w:rPr>
      <w:t>for clinicians</w:t>
    </w:r>
    <w:r w:rsidRPr="008321D0">
      <w:rPr>
        <w:color w:val="auto"/>
      </w:rPr>
      <w:tab/>
    </w:r>
    <w:r w:rsidRPr="008321D0">
      <w:rPr>
        <w:b/>
        <w:bCs/>
        <w:color w:val="auto"/>
      </w:rPr>
      <w:fldChar w:fldCharType="begin"/>
    </w:r>
    <w:r w:rsidRPr="008321D0">
      <w:rPr>
        <w:b/>
        <w:bCs/>
        <w:color w:val="auto"/>
      </w:rPr>
      <w:instrText xml:space="preserve"> PAGE   \* MERGEFORMAT </w:instrText>
    </w:r>
    <w:r w:rsidRPr="008321D0">
      <w:rPr>
        <w:b/>
        <w:bCs/>
        <w:color w:val="auto"/>
      </w:rPr>
      <w:fldChar w:fldCharType="separate"/>
    </w:r>
    <w:r w:rsidRPr="008321D0">
      <w:rPr>
        <w:b/>
        <w:bCs/>
        <w:color w:val="auto"/>
      </w:rPr>
      <w:t>3</w:t>
    </w:r>
    <w:r w:rsidRPr="008321D0">
      <w:rPr>
        <w:b/>
        <w:bCs/>
        <w:color w:val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19BFA" w14:textId="77777777" w:rsidR="00AB2230" w:rsidRDefault="00AB2230" w:rsidP="001D0AFC">
      <w:r>
        <w:separator/>
      </w:r>
    </w:p>
    <w:p w14:paraId="21599F83" w14:textId="77777777" w:rsidR="00AB2230" w:rsidRDefault="00AB2230"/>
  </w:footnote>
  <w:footnote w:type="continuationSeparator" w:id="0">
    <w:p w14:paraId="3F9CD9C9" w14:textId="77777777" w:rsidR="00AB2230" w:rsidRDefault="00AB2230" w:rsidP="001D0AFC">
      <w:r>
        <w:continuationSeparator/>
      </w:r>
    </w:p>
    <w:p w14:paraId="7F5BC17E" w14:textId="77777777" w:rsidR="00AB2230" w:rsidRDefault="00AB2230"/>
  </w:footnote>
  <w:footnote w:type="continuationNotice" w:id="1">
    <w:p w14:paraId="6BA65AB9" w14:textId="77777777" w:rsidR="00AB2230" w:rsidRDefault="00AB2230">
      <w:pPr>
        <w:spacing w:before="0" w:after="0"/>
      </w:pPr>
    </w:p>
    <w:p w14:paraId="67F34F62" w14:textId="77777777" w:rsidR="00AB2230" w:rsidRDefault="00AB223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A7A43" w14:textId="52301665" w:rsidR="00C81DD7" w:rsidRDefault="00C81DD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19D7FCDB" wp14:editId="06EE86A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52755"/>
              <wp:effectExtent l="0" t="0" r="6350" b="4445"/>
              <wp:wrapNone/>
              <wp:docPr id="471176399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52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75168B" w14:textId="41EEA42C" w:rsidR="00C81DD7" w:rsidRPr="00C81DD7" w:rsidRDefault="00C81DD7" w:rsidP="00C81DD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C81DD7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D7FCD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5.65pt;z-index:25166745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" filled="f" stroked="f">
              <v:textbox style="mso-fit-shape-to-text:t" inset="0,15pt,0,0">
                <w:txbxContent>
                  <w:p w14:paraId="5775168B" w14:textId="41EEA42C" w:rsidR="00C81DD7" w:rsidRPr="00C81DD7" w:rsidRDefault="00C81DD7" w:rsidP="00C81DD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C81DD7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1" w:rightFromText="181" w:vertAnchor="page" w:horzAnchor="page" w:tblpX="625" w:tblpY="625"/>
      <w:tblOverlap w:val="never"/>
      <w:tblW w:w="10247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105"/>
      <w:gridCol w:w="2142"/>
    </w:tblGrid>
    <w:tr w:rsidR="00E6329D" w14:paraId="6EB3BACB" w14:textId="77777777" w:rsidTr="008450A2">
      <w:trPr>
        <w:trHeight w:hRule="exact" w:val="879"/>
      </w:trPr>
      <w:tc>
        <w:tcPr>
          <w:tcW w:w="8105" w:type="dxa"/>
        </w:tcPr>
        <w:p w14:paraId="707FBF3E" w14:textId="423B1283" w:rsidR="00E6329D" w:rsidRPr="008321D0" w:rsidRDefault="00E6329D" w:rsidP="008450A2">
          <w:pPr>
            <w:pStyle w:val="Header"/>
            <w:rPr>
              <w:color w:val="auto"/>
            </w:rPr>
          </w:pPr>
          <w:r w:rsidRPr="008321D0">
            <w:rPr>
              <w:noProof/>
              <w:color w:val="auto"/>
              <w:sz w:val="16"/>
              <w:szCs w:val="16"/>
            </w:rPr>
            <w:drawing>
              <wp:inline distT="0" distB="0" distL="0" distR="0" wp14:anchorId="24F90C3E" wp14:editId="6F420BF2">
                <wp:extent cx="1511250" cy="539305"/>
                <wp:effectExtent l="0" t="0" r="0" b="0"/>
                <wp:docPr id="1404827947" name="Graphic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3A7763C-B648-1C2B-592F-16266CACB79A}"/>
                    </a:ex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1298621" name="Graphic 11">
                          <a:extLst>
                            <a:ext uri="{FF2B5EF4-FFF2-40B4-BE49-F238E27FC236}">
                              <a16:creationId xmlns:a16="http://schemas.microsoft.com/office/drawing/2014/main" id="{03A7763C-B648-1C2B-592F-16266CACB79A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1250" cy="5393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42" w:type="dxa"/>
          <w:vAlign w:val="bottom"/>
        </w:tcPr>
        <w:p w14:paraId="6FD8AFD2" w14:textId="77777777" w:rsidR="00E6329D" w:rsidRPr="008321D0" w:rsidRDefault="005F110C" w:rsidP="008450A2">
          <w:pPr>
            <w:pStyle w:val="Header"/>
            <w:rPr>
              <w:b/>
              <w:bCs/>
              <w:color w:val="auto"/>
            </w:rPr>
          </w:pPr>
          <w:r w:rsidRPr="008321D0">
            <w:rPr>
              <w:b/>
              <w:bCs/>
              <w:color w:val="auto"/>
            </w:rPr>
            <w:t>Fact sheet</w:t>
          </w:r>
        </w:p>
        <w:p w14:paraId="66DE06B2" w14:textId="04425B01" w:rsidR="00E6329D" w:rsidRPr="008321D0" w:rsidRDefault="008321D0" w:rsidP="008450A2">
          <w:pPr>
            <w:pStyle w:val="Header"/>
            <w:rPr>
              <w:color w:val="auto"/>
            </w:rPr>
          </w:pPr>
          <w:r w:rsidRPr="008321D0">
            <w:rPr>
              <w:color w:val="auto"/>
            </w:rPr>
            <w:t>For clinicians</w:t>
          </w:r>
        </w:p>
      </w:tc>
    </w:tr>
  </w:tbl>
  <w:p w14:paraId="0011FFAD" w14:textId="035F09F7" w:rsidR="00E6329D" w:rsidRDefault="00E6329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1" w:rightFromText="181" w:vertAnchor="page" w:horzAnchor="page" w:tblpX="625" w:tblpY="625"/>
      <w:tblOverlap w:val="never"/>
      <w:tblW w:w="10247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105"/>
      <w:gridCol w:w="2142"/>
    </w:tblGrid>
    <w:tr w:rsidR="00BB429E" w14:paraId="3833260A" w14:textId="77777777" w:rsidTr="008450A2">
      <w:trPr>
        <w:trHeight w:hRule="exact" w:val="879"/>
      </w:trPr>
      <w:tc>
        <w:tcPr>
          <w:tcW w:w="8105" w:type="dxa"/>
        </w:tcPr>
        <w:p w14:paraId="0D288971" w14:textId="3AC9B444" w:rsidR="00BB429E" w:rsidRPr="008321D0" w:rsidRDefault="00BB429E" w:rsidP="008450A2">
          <w:pPr>
            <w:pStyle w:val="Header"/>
            <w:rPr>
              <w:color w:val="auto"/>
            </w:rPr>
          </w:pPr>
          <w:r w:rsidRPr="008321D0">
            <w:rPr>
              <w:noProof/>
              <w:color w:val="auto"/>
              <w:sz w:val="16"/>
              <w:szCs w:val="16"/>
            </w:rPr>
            <w:drawing>
              <wp:inline distT="0" distB="0" distL="0" distR="0" wp14:anchorId="5C52A5AC" wp14:editId="56CF6A26">
                <wp:extent cx="1511250" cy="539305"/>
                <wp:effectExtent l="0" t="0" r="0" b="0"/>
                <wp:docPr id="1437265837" name="Graphic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3A7763C-B648-1C2B-592F-16266CACB79A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53594319" name="Graphic 11">
                          <a:extLst>
                            <a:ext uri="{FF2B5EF4-FFF2-40B4-BE49-F238E27FC236}">
                              <a16:creationId xmlns:a16="http://schemas.microsoft.com/office/drawing/2014/main" id="{03A7763C-B648-1C2B-592F-16266CACB79A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1250" cy="5393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42" w:type="dxa"/>
          <w:vAlign w:val="bottom"/>
        </w:tcPr>
        <w:p w14:paraId="672D7CA7" w14:textId="77777777" w:rsidR="00BB429E" w:rsidRPr="008321D0" w:rsidRDefault="005F110C" w:rsidP="008450A2">
          <w:pPr>
            <w:pStyle w:val="Header"/>
            <w:rPr>
              <w:b/>
              <w:bCs/>
              <w:color w:val="auto"/>
            </w:rPr>
          </w:pPr>
          <w:r w:rsidRPr="008321D0">
            <w:rPr>
              <w:b/>
              <w:bCs/>
              <w:color w:val="auto"/>
            </w:rPr>
            <w:t>Fact sheet</w:t>
          </w:r>
        </w:p>
        <w:p w14:paraId="5714133E" w14:textId="6C4233E4" w:rsidR="00BB429E" w:rsidRPr="008321D0" w:rsidRDefault="008321D0" w:rsidP="008450A2">
          <w:pPr>
            <w:pStyle w:val="Header"/>
            <w:rPr>
              <w:color w:val="auto"/>
            </w:rPr>
          </w:pPr>
          <w:r w:rsidRPr="008321D0">
            <w:rPr>
              <w:color w:val="auto"/>
            </w:rPr>
            <w:t>For clinicians</w:t>
          </w:r>
        </w:p>
      </w:tc>
    </w:tr>
  </w:tbl>
  <w:p w14:paraId="1D47126B" w14:textId="6E65F739" w:rsidR="00BB429E" w:rsidRPr="00BB429E" w:rsidRDefault="00BB429E" w:rsidP="00BB429E">
    <w:pPr>
      <w:pStyle w:val="Head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4FC6CCA0" wp14:editId="4B37F21A">
          <wp:simplePos x="0" y="0"/>
          <wp:positionH relativeFrom="page">
            <wp:align>left</wp:align>
          </wp:positionH>
          <wp:positionV relativeFrom="page">
            <wp:posOffset>1440180</wp:posOffset>
          </wp:positionV>
          <wp:extent cx="7560000" cy="1515600"/>
          <wp:effectExtent l="0" t="0" r="3175" b="8890"/>
          <wp:wrapNone/>
          <wp:docPr id="141924222" name="Picture 2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8829952" name="Picture 2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51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ED84F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D3711"/>
    <w:multiLevelType w:val="hybridMultilevel"/>
    <w:tmpl w:val="6F3E0F4E"/>
    <w:lvl w:ilvl="0" w:tplc="66E009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4CB6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AB0A7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9609F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99473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B84F3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08060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4248D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836DE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45F6D0A"/>
    <w:multiLevelType w:val="hybridMultilevel"/>
    <w:tmpl w:val="C1A6A7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F77E30"/>
    <w:multiLevelType w:val="multilevel"/>
    <w:tmpl w:val="F3AA75CA"/>
    <w:lvl w:ilvl="0">
      <w:start w:val="1"/>
      <w:numFmt w:val="lowerLetter"/>
      <w:pStyle w:val="List"/>
      <w:lvlText w:val="%1."/>
      <w:lvlJc w:val="left"/>
      <w:pPr>
        <w:ind w:left="36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1">
      <w:start w:val="1"/>
      <w:numFmt w:val="lowerRoman"/>
      <w:lvlText w:val="%2."/>
      <w:lvlJc w:val="left"/>
      <w:pPr>
        <w:ind w:left="7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3">
      <w:start w:val="1"/>
      <w:numFmt w:val="lowerLetter"/>
      <w:lvlText w:val="(%4)"/>
      <w:lvlJc w:val="left"/>
      <w:pPr>
        <w:ind w:left="1440" w:hanging="360"/>
      </w:pPr>
      <w:rPr>
        <w:rFonts w:hint="default"/>
        <w:color w:val="auto"/>
      </w:rPr>
    </w:lvl>
    <w:lvl w:ilvl="4">
      <w:start w:val="1"/>
      <w:numFmt w:val="lowerRoman"/>
      <w:lvlText w:val="(%5)"/>
      <w:lvlJc w:val="left"/>
      <w:pPr>
        <w:ind w:left="1800" w:hanging="360"/>
      </w:pPr>
      <w:rPr>
        <w:rFonts w:hint="default"/>
        <w:color w:val="auto"/>
      </w:rPr>
    </w:lvl>
    <w:lvl w:ilvl="5">
      <w:start w:val="1"/>
      <w:numFmt w:val="upperLetter"/>
      <w:lvlText w:val="(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lowerLetter"/>
      <w:lvlText w:val="%7."/>
      <w:lvlJc w:val="left"/>
      <w:pPr>
        <w:ind w:left="2520" w:hanging="360"/>
      </w:pPr>
      <w:rPr>
        <w:rFonts w:hint="default"/>
        <w:color w:val="auto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hint="default"/>
        <w:color w:val="auto"/>
      </w:rPr>
    </w:lvl>
    <w:lvl w:ilvl="8">
      <w:start w:val="1"/>
      <w:numFmt w:val="upperLetter"/>
      <w:lvlText w:val="%9."/>
      <w:lvlJc w:val="left"/>
      <w:pPr>
        <w:ind w:left="3240" w:hanging="360"/>
      </w:pPr>
      <w:rPr>
        <w:rFonts w:hint="default"/>
        <w:color w:val="auto"/>
      </w:rPr>
    </w:lvl>
  </w:abstractNum>
  <w:abstractNum w:abstractNumId="4" w15:restartNumberingAfterBreak="0">
    <w:nsid w:val="4690552A"/>
    <w:multiLevelType w:val="hybridMultilevel"/>
    <w:tmpl w:val="CD8058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C15666"/>
    <w:multiLevelType w:val="hybridMultilevel"/>
    <w:tmpl w:val="1AAEF262"/>
    <w:lvl w:ilvl="0" w:tplc="3A40265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EE779B"/>
    <w:multiLevelType w:val="hybridMultilevel"/>
    <w:tmpl w:val="79F4F4C2"/>
    <w:lvl w:ilvl="0" w:tplc="E3D86758">
      <w:start w:val="1"/>
      <w:numFmt w:val="bullet"/>
      <w:lvlText w:val=""/>
      <w:lvlJc w:val="left"/>
      <w:pPr>
        <w:ind w:left="454" w:hanging="309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2D1492"/>
    <w:multiLevelType w:val="hybridMultilevel"/>
    <w:tmpl w:val="8F2C0B8A"/>
    <w:lvl w:ilvl="0" w:tplc="1368EF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EF872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F78F7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A4EB3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E38FD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0C03F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16C5D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2043D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1ECDE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661F7723"/>
    <w:multiLevelType w:val="multilevel"/>
    <w:tmpl w:val="50D0D142"/>
    <w:lvl w:ilvl="0">
      <w:start w:val="1"/>
      <w:numFmt w:val="decimal"/>
      <w:pStyle w:val="Caption"/>
      <w:lvlText w:val="Figure %1"/>
      <w:lvlJc w:val="left"/>
      <w:pPr>
        <w:ind w:left="360" w:hanging="360"/>
      </w:pPr>
      <w:rPr>
        <w:rFonts w:ascii="Arial Bold" w:hAnsi="Arial Bold" w:hint="default"/>
        <w:b/>
        <w:i w:val="0"/>
        <w:color w:val="auto"/>
        <w:spacing w:val="0"/>
        <w:w w:val="100"/>
        <w:position w:val="0"/>
        <w:sz w:val="20"/>
        <w:u w:val="none"/>
        <w14:ligatures w14:val="none"/>
        <w14:numForm w14:val="default"/>
        <w14:numSpacing w14:val="default"/>
        <w14:stylisticSet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681546A7"/>
    <w:multiLevelType w:val="multilevel"/>
    <w:tmpl w:val="6F709864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1">
      <w:start w:val="1"/>
      <w:numFmt w:val="lowerLetter"/>
      <w:pStyle w:val="ListNumber2"/>
      <w:lvlText w:val="%2."/>
      <w:lvlJc w:val="left"/>
      <w:pPr>
        <w:ind w:left="7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2">
      <w:start w:val="1"/>
      <w:numFmt w:val="lowerRoman"/>
      <w:pStyle w:val="ListNumber3"/>
      <w:lvlText w:val="%3."/>
      <w:lvlJc w:val="left"/>
      <w:pPr>
        <w:ind w:left="10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3">
      <w:start w:val="1"/>
      <w:numFmt w:val="decimal"/>
      <w:pStyle w:val="ListNumber4"/>
      <w:lvlText w:val="(%4)"/>
      <w:lvlJc w:val="left"/>
      <w:pPr>
        <w:ind w:left="144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4">
      <w:start w:val="1"/>
      <w:numFmt w:val="lowerLetter"/>
      <w:pStyle w:val="ListNumber5"/>
      <w:lvlText w:val="(%5)"/>
      <w:lvlJc w:val="left"/>
      <w:pPr>
        <w:ind w:left="180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Theme="minorHAnsi" w:hAnsiTheme="minorHAnsi" w:hint="default"/>
        <w:b/>
        <w:i w:val="0"/>
        <w:color w:val="auto"/>
        <w:sz w:val="20"/>
      </w:rPr>
    </w:lvl>
  </w:abstractNum>
  <w:abstractNum w:abstractNumId="10" w15:restartNumberingAfterBreak="0">
    <w:nsid w:val="71F6279A"/>
    <w:multiLevelType w:val="hybridMultilevel"/>
    <w:tmpl w:val="BE428D4E"/>
    <w:lvl w:ilvl="0" w:tplc="70DE524C">
      <w:start w:val="1"/>
      <w:numFmt w:val="decimal"/>
      <w:pStyle w:val="Tablecaption"/>
      <w:lvlText w:val="Table %1"/>
      <w:lvlJc w:val="left"/>
      <w:pPr>
        <w:ind w:left="720" w:hanging="360"/>
      </w:pPr>
      <w:rPr>
        <w:rFonts w:ascii="Arial Bold" w:hAnsi="Arial Bold" w:hint="default"/>
        <w:b/>
        <w:i w:val="0"/>
        <w:color w:val="auto"/>
        <w:spacing w:val="0"/>
        <w:w w:val="100"/>
        <w:position w:val="0"/>
        <w:sz w:val="20"/>
        <w:u w:val="none"/>
        <w14:ligatures w14:val="none"/>
        <w14:numForm w14:val="default"/>
        <w14:numSpacing w14:val="default"/>
        <w14:stylisticSets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F82BE3"/>
    <w:multiLevelType w:val="hybridMultilevel"/>
    <w:tmpl w:val="BC86D2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741557D"/>
    <w:multiLevelType w:val="hybridMultilevel"/>
    <w:tmpl w:val="8514C5A2"/>
    <w:lvl w:ilvl="0" w:tplc="E3D86758">
      <w:start w:val="1"/>
      <w:numFmt w:val="bullet"/>
      <w:lvlText w:val=""/>
      <w:lvlJc w:val="left"/>
      <w:pPr>
        <w:ind w:left="454" w:hanging="309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87E4D88"/>
    <w:multiLevelType w:val="multilevel"/>
    <w:tmpl w:val="CA804B26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pStyle w:val="ListBullet2"/>
      <w:lvlText w:val="o"/>
      <w:lvlJc w:val="left"/>
      <w:pPr>
        <w:ind w:left="720" w:hanging="360"/>
      </w:pPr>
      <w:rPr>
        <w:rFonts w:ascii="Courier New" w:hAnsi="Courier New" w:hint="default"/>
        <w:color w:val="auto"/>
        <w:sz w:val="22"/>
      </w:rPr>
    </w:lvl>
    <w:lvl w:ilvl="2">
      <w:start w:val="1"/>
      <w:numFmt w:val="bullet"/>
      <w:pStyle w:val="ListBullet3"/>
      <w:lvlText w:val=""/>
      <w:lvlJc w:val="left"/>
      <w:pPr>
        <w:ind w:left="1080" w:hanging="360"/>
      </w:pPr>
      <w:rPr>
        <w:rFonts w:ascii="Wingdings" w:hAnsi="Wingdings" w:hint="default"/>
        <w:color w:val="auto"/>
        <w:sz w:val="22"/>
      </w:rPr>
    </w:lvl>
    <w:lvl w:ilvl="3">
      <w:start w:val="1"/>
      <w:numFmt w:val="bullet"/>
      <w:pStyle w:val="ListBullet4"/>
      <w:lvlText w:val="–"/>
      <w:lvlJc w:val="left"/>
      <w:pPr>
        <w:ind w:left="1440" w:hanging="360"/>
      </w:pPr>
      <w:rPr>
        <w:rFonts w:ascii="Arial" w:hAnsi="Arial" w:hint="default"/>
        <w:color w:val="auto"/>
        <w:sz w:val="22"/>
      </w:rPr>
    </w:lvl>
    <w:lvl w:ilvl="4">
      <w:start w:val="1"/>
      <w:numFmt w:val="bullet"/>
      <w:pStyle w:val="ListBullet5"/>
      <w:lvlText w:val="–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–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–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 w16cid:durableId="186523040">
    <w:abstractNumId w:val="3"/>
  </w:num>
  <w:num w:numId="2" w16cid:durableId="1231190212">
    <w:abstractNumId w:val="9"/>
  </w:num>
  <w:num w:numId="3" w16cid:durableId="579215263">
    <w:abstractNumId w:val="8"/>
  </w:num>
  <w:num w:numId="4" w16cid:durableId="327100884">
    <w:abstractNumId w:val="13"/>
  </w:num>
  <w:num w:numId="5" w16cid:durableId="844396454">
    <w:abstractNumId w:val="0"/>
  </w:num>
  <w:num w:numId="6" w16cid:durableId="2069956620">
    <w:abstractNumId w:val="10"/>
  </w:num>
  <w:num w:numId="7" w16cid:durableId="1959675322">
    <w:abstractNumId w:val="11"/>
  </w:num>
  <w:num w:numId="8" w16cid:durableId="877279111">
    <w:abstractNumId w:val="5"/>
  </w:num>
  <w:num w:numId="9" w16cid:durableId="1910770107">
    <w:abstractNumId w:val="12"/>
  </w:num>
  <w:num w:numId="10" w16cid:durableId="515309994">
    <w:abstractNumId w:val="2"/>
  </w:num>
  <w:num w:numId="11" w16cid:durableId="288243447">
    <w:abstractNumId w:val="4"/>
  </w:num>
  <w:num w:numId="12" w16cid:durableId="1908681325">
    <w:abstractNumId w:val="6"/>
  </w:num>
  <w:num w:numId="13" w16cid:durableId="586036295">
    <w:abstractNumId w:val="7"/>
  </w:num>
  <w:num w:numId="14" w16cid:durableId="1002470087">
    <w:abstractNumId w:val="1"/>
  </w:num>
  <w:num w:numId="15" w16cid:durableId="968972740">
    <w:abstractNumId w:val="1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227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UzNjcyNTezMLI0MjdS0lEKTi0uzszPAykwrgUAl714LiwAAAA="/>
  </w:docVars>
  <w:rsids>
    <w:rsidRoot w:val="00C81DD7"/>
    <w:rsid w:val="0001021C"/>
    <w:rsid w:val="00011EBE"/>
    <w:rsid w:val="000121BA"/>
    <w:rsid w:val="000134CB"/>
    <w:rsid w:val="000136A5"/>
    <w:rsid w:val="00013E33"/>
    <w:rsid w:val="00015555"/>
    <w:rsid w:val="0001627D"/>
    <w:rsid w:val="000164A5"/>
    <w:rsid w:val="00016A07"/>
    <w:rsid w:val="00017B2A"/>
    <w:rsid w:val="00020CF3"/>
    <w:rsid w:val="0002234B"/>
    <w:rsid w:val="0002277C"/>
    <w:rsid w:val="0002374C"/>
    <w:rsid w:val="000237BA"/>
    <w:rsid w:val="00024813"/>
    <w:rsid w:val="0003148E"/>
    <w:rsid w:val="00032388"/>
    <w:rsid w:val="00033439"/>
    <w:rsid w:val="00034043"/>
    <w:rsid w:val="0003554F"/>
    <w:rsid w:val="00035A79"/>
    <w:rsid w:val="000369EA"/>
    <w:rsid w:val="00036FE5"/>
    <w:rsid w:val="00037DE5"/>
    <w:rsid w:val="0004069A"/>
    <w:rsid w:val="00041055"/>
    <w:rsid w:val="00046136"/>
    <w:rsid w:val="00053982"/>
    <w:rsid w:val="000555D8"/>
    <w:rsid w:val="00056BC0"/>
    <w:rsid w:val="00061B61"/>
    <w:rsid w:val="000635BC"/>
    <w:rsid w:val="0006369F"/>
    <w:rsid w:val="000658B5"/>
    <w:rsid w:val="00065F7E"/>
    <w:rsid w:val="000664E3"/>
    <w:rsid w:val="00066F40"/>
    <w:rsid w:val="00071A13"/>
    <w:rsid w:val="000728D8"/>
    <w:rsid w:val="00072AF5"/>
    <w:rsid w:val="000760F4"/>
    <w:rsid w:val="00080037"/>
    <w:rsid w:val="00081BFA"/>
    <w:rsid w:val="00083A58"/>
    <w:rsid w:val="00083FD2"/>
    <w:rsid w:val="000852C0"/>
    <w:rsid w:val="0008584C"/>
    <w:rsid w:val="000872A3"/>
    <w:rsid w:val="000876F4"/>
    <w:rsid w:val="00091744"/>
    <w:rsid w:val="00091A80"/>
    <w:rsid w:val="00094B67"/>
    <w:rsid w:val="00096866"/>
    <w:rsid w:val="000A054F"/>
    <w:rsid w:val="000A1273"/>
    <w:rsid w:val="000A1738"/>
    <w:rsid w:val="000A1916"/>
    <w:rsid w:val="000A1EF9"/>
    <w:rsid w:val="000A2E7B"/>
    <w:rsid w:val="000A336E"/>
    <w:rsid w:val="000A3F90"/>
    <w:rsid w:val="000A3FF6"/>
    <w:rsid w:val="000A4DA7"/>
    <w:rsid w:val="000A5B5A"/>
    <w:rsid w:val="000A66C9"/>
    <w:rsid w:val="000B01F3"/>
    <w:rsid w:val="000B156D"/>
    <w:rsid w:val="000B19D3"/>
    <w:rsid w:val="000B30E8"/>
    <w:rsid w:val="000B3106"/>
    <w:rsid w:val="000B3336"/>
    <w:rsid w:val="000B40C2"/>
    <w:rsid w:val="000B5598"/>
    <w:rsid w:val="000B5729"/>
    <w:rsid w:val="000B7DA2"/>
    <w:rsid w:val="000C0CA6"/>
    <w:rsid w:val="000C1B92"/>
    <w:rsid w:val="000C34FE"/>
    <w:rsid w:val="000C4291"/>
    <w:rsid w:val="000C5879"/>
    <w:rsid w:val="000D19FF"/>
    <w:rsid w:val="000D22A8"/>
    <w:rsid w:val="000D43A1"/>
    <w:rsid w:val="000D6E82"/>
    <w:rsid w:val="000D793D"/>
    <w:rsid w:val="000D7D92"/>
    <w:rsid w:val="000D7F92"/>
    <w:rsid w:val="000E552A"/>
    <w:rsid w:val="000E665B"/>
    <w:rsid w:val="000E76FA"/>
    <w:rsid w:val="000F0455"/>
    <w:rsid w:val="000F2461"/>
    <w:rsid w:val="000F2EDC"/>
    <w:rsid w:val="000F5698"/>
    <w:rsid w:val="000F5A29"/>
    <w:rsid w:val="000F5CB5"/>
    <w:rsid w:val="000F6463"/>
    <w:rsid w:val="000F6579"/>
    <w:rsid w:val="000F7990"/>
    <w:rsid w:val="00100584"/>
    <w:rsid w:val="001010A9"/>
    <w:rsid w:val="00103B28"/>
    <w:rsid w:val="00105012"/>
    <w:rsid w:val="00105CDB"/>
    <w:rsid w:val="0010640F"/>
    <w:rsid w:val="00106F60"/>
    <w:rsid w:val="001137BC"/>
    <w:rsid w:val="00113EA9"/>
    <w:rsid w:val="001141D0"/>
    <w:rsid w:val="00115171"/>
    <w:rsid w:val="00116BAB"/>
    <w:rsid w:val="001175CB"/>
    <w:rsid w:val="00117894"/>
    <w:rsid w:val="001178D7"/>
    <w:rsid w:val="0012062F"/>
    <w:rsid w:val="00120E3D"/>
    <w:rsid w:val="001239E7"/>
    <w:rsid w:val="0012449A"/>
    <w:rsid w:val="001254A8"/>
    <w:rsid w:val="001279BB"/>
    <w:rsid w:val="00131D34"/>
    <w:rsid w:val="00133231"/>
    <w:rsid w:val="00133783"/>
    <w:rsid w:val="001338BA"/>
    <w:rsid w:val="001344AB"/>
    <w:rsid w:val="0013587F"/>
    <w:rsid w:val="001368BE"/>
    <w:rsid w:val="00136B50"/>
    <w:rsid w:val="00137937"/>
    <w:rsid w:val="00137EB6"/>
    <w:rsid w:val="0014149B"/>
    <w:rsid w:val="001425A7"/>
    <w:rsid w:val="001432FE"/>
    <w:rsid w:val="00143776"/>
    <w:rsid w:val="00144282"/>
    <w:rsid w:val="00144718"/>
    <w:rsid w:val="00144E74"/>
    <w:rsid w:val="001457C0"/>
    <w:rsid w:val="00145B28"/>
    <w:rsid w:val="0015012E"/>
    <w:rsid w:val="0015052A"/>
    <w:rsid w:val="00151F47"/>
    <w:rsid w:val="00152AC1"/>
    <w:rsid w:val="00153AEF"/>
    <w:rsid w:val="001547CB"/>
    <w:rsid w:val="00154C1A"/>
    <w:rsid w:val="00156042"/>
    <w:rsid w:val="001567DD"/>
    <w:rsid w:val="00156D02"/>
    <w:rsid w:val="00157AB6"/>
    <w:rsid w:val="00157CE7"/>
    <w:rsid w:val="00165F83"/>
    <w:rsid w:val="001714D3"/>
    <w:rsid w:val="001717AF"/>
    <w:rsid w:val="001732F1"/>
    <w:rsid w:val="00174708"/>
    <w:rsid w:val="00180461"/>
    <w:rsid w:val="00180DF9"/>
    <w:rsid w:val="00182D27"/>
    <w:rsid w:val="00187C93"/>
    <w:rsid w:val="00191178"/>
    <w:rsid w:val="00191513"/>
    <w:rsid w:val="00191CC2"/>
    <w:rsid w:val="00192329"/>
    <w:rsid w:val="00193699"/>
    <w:rsid w:val="00194FCB"/>
    <w:rsid w:val="0019577F"/>
    <w:rsid w:val="00197290"/>
    <w:rsid w:val="0019759D"/>
    <w:rsid w:val="00197ADC"/>
    <w:rsid w:val="00197E66"/>
    <w:rsid w:val="001A03FE"/>
    <w:rsid w:val="001A0E88"/>
    <w:rsid w:val="001A1478"/>
    <w:rsid w:val="001A1734"/>
    <w:rsid w:val="001A2146"/>
    <w:rsid w:val="001A2B7F"/>
    <w:rsid w:val="001A41EB"/>
    <w:rsid w:val="001A4611"/>
    <w:rsid w:val="001A51F2"/>
    <w:rsid w:val="001A5727"/>
    <w:rsid w:val="001A6B3F"/>
    <w:rsid w:val="001A72FF"/>
    <w:rsid w:val="001A7D74"/>
    <w:rsid w:val="001B03FA"/>
    <w:rsid w:val="001B116E"/>
    <w:rsid w:val="001B25E9"/>
    <w:rsid w:val="001B3928"/>
    <w:rsid w:val="001B3F8B"/>
    <w:rsid w:val="001B6A3F"/>
    <w:rsid w:val="001B709F"/>
    <w:rsid w:val="001B7FA1"/>
    <w:rsid w:val="001C09E2"/>
    <w:rsid w:val="001C28D3"/>
    <w:rsid w:val="001C3BEB"/>
    <w:rsid w:val="001C3FD0"/>
    <w:rsid w:val="001C48D8"/>
    <w:rsid w:val="001C4B8A"/>
    <w:rsid w:val="001C5149"/>
    <w:rsid w:val="001C52C2"/>
    <w:rsid w:val="001C6BB6"/>
    <w:rsid w:val="001D0AFC"/>
    <w:rsid w:val="001D1EF4"/>
    <w:rsid w:val="001D2019"/>
    <w:rsid w:val="001D3383"/>
    <w:rsid w:val="001D7528"/>
    <w:rsid w:val="001D76E4"/>
    <w:rsid w:val="001E3A54"/>
    <w:rsid w:val="001E41E5"/>
    <w:rsid w:val="001E45AB"/>
    <w:rsid w:val="001E45F1"/>
    <w:rsid w:val="001E49C9"/>
    <w:rsid w:val="001E50A1"/>
    <w:rsid w:val="001E5108"/>
    <w:rsid w:val="001E5F8E"/>
    <w:rsid w:val="001F1430"/>
    <w:rsid w:val="001F25C8"/>
    <w:rsid w:val="001F3C12"/>
    <w:rsid w:val="001F40EE"/>
    <w:rsid w:val="001F5302"/>
    <w:rsid w:val="00202C71"/>
    <w:rsid w:val="00202F7F"/>
    <w:rsid w:val="0020561C"/>
    <w:rsid w:val="00207CBE"/>
    <w:rsid w:val="00210409"/>
    <w:rsid w:val="002105F2"/>
    <w:rsid w:val="00210E8D"/>
    <w:rsid w:val="0021123A"/>
    <w:rsid w:val="0021134B"/>
    <w:rsid w:val="00213B67"/>
    <w:rsid w:val="00216854"/>
    <w:rsid w:val="00217D19"/>
    <w:rsid w:val="0022009C"/>
    <w:rsid w:val="00223F37"/>
    <w:rsid w:val="0022596C"/>
    <w:rsid w:val="00226249"/>
    <w:rsid w:val="00227152"/>
    <w:rsid w:val="002307E1"/>
    <w:rsid w:val="00230B7B"/>
    <w:rsid w:val="00231BB5"/>
    <w:rsid w:val="002320CE"/>
    <w:rsid w:val="00233385"/>
    <w:rsid w:val="002333C5"/>
    <w:rsid w:val="002349BF"/>
    <w:rsid w:val="00242034"/>
    <w:rsid w:val="002422FD"/>
    <w:rsid w:val="00244887"/>
    <w:rsid w:val="00244E46"/>
    <w:rsid w:val="00245FAC"/>
    <w:rsid w:val="002468CF"/>
    <w:rsid w:val="00250FF3"/>
    <w:rsid w:val="00253E2B"/>
    <w:rsid w:val="002574B2"/>
    <w:rsid w:val="00257A55"/>
    <w:rsid w:val="00260209"/>
    <w:rsid w:val="0026086E"/>
    <w:rsid w:val="00262769"/>
    <w:rsid w:val="002632B7"/>
    <w:rsid w:val="00264464"/>
    <w:rsid w:val="0026489B"/>
    <w:rsid w:val="00264F4D"/>
    <w:rsid w:val="002669C7"/>
    <w:rsid w:val="00266E77"/>
    <w:rsid w:val="00272523"/>
    <w:rsid w:val="00272AAC"/>
    <w:rsid w:val="00274521"/>
    <w:rsid w:val="00275504"/>
    <w:rsid w:val="002776FA"/>
    <w:rsid w:val="00277E47"/>
    <w:rsid w:val="0028070D"/>
    <w:rsid w:val="00280B96"/>
    <w:rsid w:val="002871D8"/>
    <w:rsid w:val="002873D7"/>
    <w:rsid w:val="00287AE0"/>
    <w:rsid w:val="002900D8"/>
    <w:rsid w:val="00291082"/>
    <w:rsid w:val="002934C0"/>
    <w:rsid w:val="00295234"/>
    <w:rsid w:val="00296ADC"/>
    <w:rsid w:val="00297206"/>
    <w:rsid w:val="00297CB5"/>
    <w:rsid w:val="002A02B1"/>
    <w:rsid w:val="002A08FA"/>
    <w:rsid w:val="002A0902"/>
    <w:rsid w:val="002A1060"/>
    <w:rsid w:val="002A1211"/>
    <w:rsid w:val="002A12DA"/>
    <w:rsid w:val="002A1929"/>
    <w:rsid w:val="002A2652"/>
    <w:rsid w:val="002A2964"/>
    <w:rsid w:val="002A50AE"/>
    <w:rsid w:val="002A521B"/>
    <w:rsid w:val="002A66E5"/>
    <w:rsid w:val="002B0323"/>
    <w:rsid w:val="002B1417"/>
    <w:rsid w:val="002B161A"/>
    <w:rsid w:val="002B16A7"/>
    <w:rsid w:val="002B1EF2"/>
    <w:rsid w:val="002B342D"/>
    <w:rsid w:val="002B38C1"/>
    <w:rsid w:val="002B3C79"/>
    <w:rsid w:val="002B681A"/>
    <w:rsid w:val="002B77DF"/>
    <w:rsid w:val="002C0805"/>
    <w:rsid w:val="002C0BE4"/>
    <w:rsid w:val="002C147F"/>
    <w:rsid w:val="002C15FD"/>
    <w:rsid w:val="002C1E4B"/>
    <w:rsid w:val="002C2769"/>
    <w:rsid w:val="002C2E1B"/>
    <w:rsid w:val="002C3AFC"/>
    <w:rsid w:val="002C4209"/>
    <w:rsid w:val="002D046A"/>
    <w:rsid w:val="002D1A9A"/>
    <w:rsid w:val="002D291F"/>
    <w:rsid w:val="002D374F"/>
    <w:rsid w:val="002D521E"/>
    <w:rsid w:val="002D5552"/>
    <w:rsid w:val="002D62CE"/>
    <w:rsid w:val="002D67D3"/>
    <w:rsid w:val="002D7462"/>
    <w:rsid w:val="002E001E"/>
    <w:rsid w:val="002E038B"/>
    <w:rsid w:val="002E0740"/>
    <w:rsid w:val="002E1998"/>
    <w:rsid w:val="002E2CB1"/>
    <w:rsid w:val="002E2F01"/>
    <w:rsid w:val="002E41A9"/>
    <w:rsid w:val="002E6D7C"/>
    <w:rsid w:val="002E7E37"/>
    <w:rsid w:val="002E7F8B"/>
    <w:rsid w:val="002F0E89"/>
    <w:rsid w:val="002F208B"/>
    <w:rsid w:val="002F213A"/>
    <w:rsid w:val="002F2926"/>
    <w:rsid w:val="002F2993"/>
    <w:rsid w:val="002F52F7"/>
    <w:rsid w:val="002F6F32"/>
    <w:rsid w:val="0030029B"/>
    <w:rsid w:val="003004FA"/>
    <w:rsid w:val="00303CD4"/>
    <w:rsid w:val="0030669E"/>
    <w:rsid w:val="0030795C"/>
    <w:rsid w:val="00313F81"/>
    <w:rsid w:val="0031463E"/>
    <w:rsid w:val="00315FDA"/>
    <w:rsid w:val="00317D6E"/>
    <w:rsid w:val="00320667"/>
    <w:rsid w:val="003233EA"/>
    <w:rsid w:val="003262C4"/>
    <w:rsid w:val="00327466"/>
    <w:rsid w:val="003300BD"/>
    <w:rsid w:val="0033179E"/>
    <w:rsid w:val="003343F7"/>
    <w:rsid w:val="00336E8A"/>
    <w:rsid w:val="00337255"/>
    <w:rsid w:val="00337769"/>
    <w:rsid w:val="0033785B"/>
    <w:rsid w:val="00340EFB"/>
    <w:rsid w:val="0034210B"/>
    <w:rsid w:val="003424E9"/>
    <w:rsid w:val="00342671"/>
    <w:rsid w:val="00342B0C"/>
    <w:rsid w:val="00343AD6"/>
    <w:rsid w:val="00343C87"/>
    <w:rsid w:val="00343F2E"/>
    <w:rsid w:val="003450AC"/>
    <w:rsid w:val="003467E9"/>
    <w:rsid w:val="0034717D"/>
    <w:rsid w:val="003506B1"/>
    <w:rsid w:val="00351CED"/>
    <w:rsid w:val="00352C79"/>
    <w:rsid w:val="0035330E"/>
    <w:rsid w:val="00353DC5"/>
    <w:rsid w:val="003551E4"/>
    <w:rsid w:val="00360BC0"/>
    <w:rsid w:val="0036434E"/>
    <w:rsid w:val="00364559"/>
    <w:rsid w:val="00367A64"/>
    <w:rsid w:val="003734D9"/>
    <w:rsid w:val="00375370"/>
    <w:rsid w:val="003806F0"/>
    <w:rsid w:val="00380AA5"/>
    <w:rsid w:val="00381281"/>
    <w:rsid w:val="0038259F"/>
    <w:rsid w:val="00383855"/>
    <w:rsid w:val="00384233"/>
    <w:rsid w:val="003845DF"/>
    <w:rsid w:val="00387AAC"/>
    <w:rsid w:val="00395A3D"/>
    <w:rsid w:val="00396067"/>
    <w:rsid w:val="00397100"/>
    <w:rsid w:val="00397A3B"/>
    <w:rsid w:val="003A0533"/>
    <w:rsid w:val="003A314D"/>
    <w:rsid w:val="003A36D9"/>
    <w:rsid w:val="003A5810"/>
    <w:rsid w:val="003A5F1D"/>
    <w:rsid w:val="003A616B"/>
    <w:rsid w:val="003A67D8"/>
    <w:rsid w:val="003A68CB"/>
    <w:rsid w:val="003B3D1A"/>
    <w:rsid w:val="003B3FF7"/>
    <w:rsid w:val="003B4E4D"/>
    <w:rsid w:val="003B551F"/>
    <w:rsid w:val="003B5C68"/>
    <w:rsid w:val="003C1731"/>
    <w:rsid w:val="003C17BB"/>
    <w:rsid w:val="003C27E2"/>
    <w:rsid w:val="003C30E1"/>
    <w:rsid w:val="003C3CC4"/>
    <w:rsid w:val="003C45FF"/>
    <w:rsid w:val="003C469B"/>
    <w:rsid w:val="003C7C1B"/>
    <w:rsid w:val="003D0D9C"/>
    <w:rsid w:val="003D17FB"/>
    <w:rsid w:val="003D2652"/>
    <w:rsid w:val="003D2B5A"/>
    <w:rsid w:val="003D3C6D"/>
    <w:rsid w:val="003D5D9E"/>
    <w:rsid w:val="003D70C7"/>
    <w:rsid w:val="003E0987"/>
    <w:rsid w:val="003E0F3F"/>
    <w:rsid w:val="003E1362"/>
    <w:rsid w:val="003E13E3"/>
    <w:rsid w:val="003E14DC"/>
    <w:rsid w:val="003E18DE"/>
    <w:rsid w:val="003E19F9"/>
    <w:rsid w:val="003E1AC6"/>
    <w:rsid w:val="003E260A"/>
    <w:rsid w:val="003E37B6"/>
    <w:rsid w:val="003E3CF0"/>
    <w:rsid w:val="003E4D00"/>
    <w:rsid w:val="003E7795"/>
    <w:rsid w:val="003E7B28"/>
    <w:rsid w:val="003F0176"/>
    <w:rsid w:val="003F0791"/>
    <w:rsid w:val="003F0DE2"/>
    <w:rsid w:val="003F4194"/>
    <w:rsid w:val="003F4615"/>
    <w:rsid w:val="003F4678"/>
    <w:rsid w:val="004003DB"/>
    <w:rsid w:val="00401788"/>
    <w:rsid w:val="00402E02"/>
    <w:rsid w:val="00402F1C"/>
    <w:rsid w:val="00406445"/>
    <w:rsid w:val="00407E7F"/>
    <w:rsid w:val="00411636"/>
    <w:rsid w:val="00411B7D"/>
    <w:rsid w:val="00412982"/>
    <w:rsid w:val="00413C8A"/>
    <w:rsid w:val="00416267"/>
    <w:rsid w:val="00416788"/>
    <w:rsid w:val="00417097"/>
    <w:rsid w:val="0042039D"/>
    <w:rsid w:val="00421E76"/>
    <w:rsid w:val="00421E99"/>
    <w:rsid w:val="004223ED"/>
    <w:rsid w:val="00424406"/>
    <w:rsid w:val="004252F4"/>
    <w:rsid w:val="00425C5C"/>
    <w:rsid w:val="004265BE"/>
    <w:rsid w:val="00427CEB"/>
    <w:rsid w:val="00431975"/>
    <w:rsid w:val="00431D91"/>
    <w:rsid w:val="00433093"/>
    <w:rsid w:val="004339D6"/>
    <w:rsid w:val="00435303"/>
    <w:rsid w:val="004373A0"/>
    <w:rsid w:val="00440078"/>
    <w:rsid w:val="00440993"/>
    <w:rsid w:val="0044217F"/>
    <w:rsid w:val="004438AC"/>
    <w:rsid w:val="004444AD"/>
    <w:rsid w:val="00444B74"/>
    <w:rsid w:val="00445CD1"/>
    <w:rsid w:val="00445F6A"/>
    <w:rsid w:val="00446FA5"/>
    <w:rsid w:val="0044750A"/>
    <w:rsid w:val="00447F86"/>
    <w:rsid w:val="00450AEF"/>
    <w:rsid w:val="00453931"/>
    <w:rsid w:val="0045454F"/>
    <w:rsid w:val="0045567D"/>
    <w:rsid w:val="004562F3"/>
    <w:rsid w:val="00457C86"/>
    <w:rsid w:val="004622D6"/>
    <w:rsid w:val="004624F7"/>
    <w:rsid w:val="00462C1E"/>
    <w:rsid w:val="0046344D"/>
    <w:rsid w:val="004642D9"/>
    <w:rsid w:val="00466AF8"/>
    <w:rsid w:val="00467B74"/>
    <w:rsid w:val="00467CE7"/>
    <w:rsid w:val="0047130C"/>
    <w:rsid w:val="00473D7E"/>
    <w:rsid w:val="004751CC"/>
    <w:rsid w:val="004753EA"/>
    <w:rsid w:val="0047611C"/>
    <w:rsid w:val="00480B88"/>
    <w:rsid w:val="004817BC"/>
    <w:rsid w:val="004823FC"/>
    <w:rsid w:val="0048437F"/>
    <w:rsid w:val="00485F56"/>
    <w:rsid w:val="00495969"/>
    <w:rsid w:val="00497959"/>
    <w:rsid w:val="004A0ED4"/>
    <w:rsid w:val="004A1736"/>
    <w:rsid w:val="004A175B"/>
    <w:rsid w:val="004A1BC5"/>
    <w:rsid w:val="004A3278"/>
    <w:rsid w:val="004A4B45"/>
    <w:rsid w:val="004A58E5"/>
    <w:rsid w:val="004A6A7C"/>
    <w:rsid w:val="004A6D7F"/>
    <w:rsid w:val="004A7DA8"/>
    <w:rsid w:val="004B1689"/>
    <w:rsid w:val="004B17FB"/>
    <w:rsid w:val="004B3359"/>
    <w:rsid w:val="004B38F6"/>
    <w:rsid w:val="004B3C1C"/>
    <w:rsid w:val="004B4657"/>
    <w:rsid w:val="004C1B6F"/>
    <w:rsid w:val="004C26DA"/>
    <w:rsid w:val="004C2CBD"/>
    <w:rsid w:val="004C2D38"/>
    <w:rsid w:val="004C41BB"/>
    <w:rsid w:val="004C6084"/>
    <w:rsid w:val="004C6C62"/>
    <w:rsid w:val="004D0029"/>
    <w:rsid w:val="004D0DC8"/>
    <w:rsid w:val="004D181B"/>
    <w:rsid w:val="004D1D34"/>
    <w:rsid w:val="004D1FE3"/>
    <w:rsid w:val="004D28CC"/>
    <w:rsid w:val="004D3380"/>
    <w:rsid w:val="004D7430"/>
    <w:rsid w:val="004E0042"/>
    <w:rsid w:val="004E06CD"/>
    <w:rsid w:val="004E0750"/>
    <w:rsid w:val="004E169F"/>
    <w:rsid w:val="004E18F2"/>
    <w:rsid w:val="004E2765"/>
    <w:rsid w:val="004E38D4"/>
    <w:rsid w:val="004E5861"/>
    <w:rsid w:val="004E5EEB"/>
    <w:rsid w:val="004F007E"/>
    <w:rsid w:val="004F16FA"/>
    <w:rsid w:val="004F31E4"/>
    <w:rsid w:val="004F3960"/>
    <w:rsid w:val="004F4210"/>
    <w:rsid w:val="004F6546"/>
    <w:rsid w:val="005019E4"/>
    <w:rsid w:val="00504AE4"/>
    <w:rsid w:val="00505381"/>
    <w:rsid w:val="005062D4"/>
    <w:rsid w:val="0050706D"/>
    <w:rsid w:val="005071B9"/>
    <w:rsid w:val="00507D3A"/>
    <w:rsid w:val="00507DED"/>
    <w:rsid w:val="00510A99"/>
    <w:rsid w:val="00512BE7"/>
    <w:rsid w:val="0051366D"/>
    <w:rsid w:val="005138A5"/>
    <w:rsid w:val="00515751"/>
    <w:rsid w:val="00520281"/>
    <w:rsid w:val="005217C8"/>
    <w:rsid w:val="00521C5A"/>
    <w:rsid w:val="00521CCB"/>
    <w:rsid w:val="005234AB"/>
    <w:rsid w:val="005266C3"/>
    <w:rsid w:val="00527C61"/>
    <w:rsid w:val="00527D0A"/>
    <w:rsid w:val="0053125F"/>
    <w:rsid w:val="005316C5"/>
    <w:rsid w:val="00537ECB"/>
    <w:rsid w:val="005410C1"/>
    <w:rsid w:val="005520BC"/>
    <w:rsid w:val="00552F86"/>
    <w:rsid w:val="005532C6"/>
    <w:rsid w:val="005559C1"/>
    <w:rsid w:val="00562DF0"/>
    <w:rsid w:val="005634B4"/>
    <w:rsid w:val="0056463F"/>
    <w:rsid w:val="005646CD"/>
    <w:rsid w:val="0056489B"/>
    <w:rsid w:val="00570151"/>
    <w:rsid w:val="005743DF"/>
    <w:rsid w:val="00574610"/>
    <w:rsid w:val="00581C79"/>
    <w:rsid w:val="00582037"/>
    <w:rsid w:val="00583BF3"/>
    <w:rsid w:val="00584EA0"/>
    <w:rsid w:val="00585314"/>
    <w:rsid w:val="00585FC6"/>
    <w:rsid w:val="00586756"/>
    <w:rsid w:val="005915AE"/>
    <w:rsid w:val="00592E64"/>
    <w:rsid w:val="0059331F"/>
    <w:rsid w:val="00593C4E"/>
    <w:rsid w:val="005943E4"/>
    <w:rsid w:val="00594996"/>
    <w:rsid w:val="00595909"/>
    <w:rsid w:val="005963C4"/>
    <w:rsid w:val="005A22A5"/>
    <w:rsid w:val="005A647D"/>
    <w:rsid w:val="005A6D61"/>
    <w:rsid w:val="005A7DB5"/>
    <w:rsid w:val="005B158F"/>
    <w:rsid w:val="005B1BD1"/>
    <w:rsid w:val="005B3A1A"/>
    <w:rsid w:val="005B4808"/>
    <w:rsid w:val="005B5231"/>
    <w:rsid w:val="005C317B"/>
    <w:rsid w:val="005C3BCC"/>
    <w:rsid w:val="005C3C53"/>
    <w:rsid w:val="005C3D26"/>
    <w:rsid w:val="005C433E"/>
    <w:rsid w:val="005C5391"/>
    <w:rsid w:val="005C76E3"/>
    <w:rsid w:val="005D0C2F"/>
    <w:rsid w:val="005D1997"/>
    <w:rsid w:val="005D257E"/>
    <w:rsid w:val="005D32BE"/>
    <w:rsid w:val="005D53D2"/>
    <w:rsid w:val="005D65FE"/>
    <w:rsid w:val="005D7DCC"/>
    <w:rsid w:val="005E20D8"/>
    <w:rsid w:val="005E36BC"/>
    <w:rsid w:val="005E3C4D"/>
    <w:rsid w:val="005E3E4E"/>
    <w:rsid w:val="005E4815"/>
    <w:rsid w:val="005F08D9"/>
    <w:rsid w:val="005F110C"/>
    <w:rsid w:val="005F36C3"/>
    <w:rsid w:val="005F4740"/>
    <w:rsid w:val="005F59AA"/>
    <w:rsid w:val="00600E3E"/>
    <w:rsid w:val="0060327D"/>
    <w:rsid w:val="00603D3A"/>
    <w:rsid w:val="00606736"/>
    <w:rsid w:val="00606ED1"/>
    <w:rsid w:val="0060777F"/>
    <w:rsid w:val="00607D8E"/>
    <w:rsid w:val="00610149"/>
    <w:rsid w:val="006105C9"/>
    <w:rsid w:val="0061259C"/>
    <w:rsid w:val="00615070"/>
    <w:rsid w:val="00616063"/>
    <w:rsid w:val="00616A8F"/>
    <w:rsid w:val="0062006A"/>
    <w:rsid w:val="00620692"/>
    <w:rsid w:val="00620840"/>
    <w:rsid w:val="00622773"/>
    <w:rsid w:val="00622A8D"/>
    <w:rsid w:val="0062348C"/>
    <w:rsid w:val="00625EF9"/>
    <w:rsid w:val="00632AED"/>
    <w:rsid w:val="006330DA"/>
    <w:rsid w:val="006356DD"/>
    <w:rsid w:val="006367D6"/>
    <w:rsid w:val="00640006"/>
    <w:rsid w:val="0064041E"/>
    <w:rsid w:val="00640B02"/>
    <w:rsid w:val="00641AC0"/>
    <w:rsid w:val="00644446"/>
    <w:rsid w:val="00644F41"/>
    <w:rsid w:val="00645326"/>
    <w:rsid w:val="006454C7"/>
    <w:rsid w:val="006458A1"/>
    <w:rsid w:val="0064638E"/>
    <w:rsid w:val="00646970"/>
    <w:rsid w:val="00647F38"/>
    <w:rsid w:val="00650DF1"/>
    <w:rsid w:val="00651DFF"/>
    <w:rsid w:val="00652DDC"/>
    <w:rsid w:val="00653094"/>
    <w:rsid w:val="00656D2E"/>
    <w:rsid w:val="0065754D"/>
    <w:rsid w:val="00662B82"/>
    <w:rsid w:val="00663A07"/>
    <w:rsid w:val="00663EB2"/>
    <w:rsid w:val="00664625"/>
    <w:rsid w:val="00665F53"/>
    <w:rsid w:val="006666F0"/>
    <w:rsid w:val="00667824"/>
    <w:rsid w:val="0067018E"/>
    <w:rsid w:val="00672B48"/>
    <w:rsid w:val="006761D1"/>
    <w:rsid w:val="0067639F"/>
    <w:rsid w:val="00677184"/>
    <w:rsid w:val="0068065E"/>
    <w:rsid w:val="006818CB"/>
    <w:rsid w:val="00681DC4"/>
    <w:rsid w:val="00682690"/>
    <w:rsid w:val="00686747"/>
    <w:rsid w:val="006869E7"/>
    <w:rsid w:val="00687FC3"/>
    <w:rsid w:val="006909B3"/>
    <w:rsid w:val="006910B9"/>
    <w:rsid w:val="00691B1E"/>
    <w:rsid w:val="00693793"/>
    <w:rsid w:val="00693A71"/>
    <w:rsid w:val="00693D43"/>
    <w:rsid w:val="006A0D5B"/>
    <w:rsid w:val="006A261D"/>
    <w:rsid w:val="006A35DD"/>
    <w:rsid w:val="006A3CDA"/>
    <w:rsid w:val="006A3D01"/>
    <w:rsid w:val="006A780A"/>
    <w:rsid w:val="006A7FC2"/>
    <w:rsid w:val="006B0C33"/>
    <w:rsid w:val="006B3A4B"/>
    <w:rsid w:val="006B616A"/>
    <w:rsid w:val="006B67CA"/>
    <w:rsid w:val="006B6CB3"/>
    <w:rsid w:val="006B78F2"/>
    <w:rsid w:val="006B7DBE"/>
    <w:rsid w:val="006C1340"/>
    <w:rsid w:val="006C1E76"/>
    <w:rsid w:val="006C2102"/>
    <w:rsid w:val="006C2813"/>
    <w:rsid w:val="006C2EEC"/>
    <w:rsid w:val="006C3EE5"/>
    <w:rsid w:val="006C3FCD"/>
    <w:rsid w:val="006C4497"/>
    <w:rsid w:val="006C47F3"/>
    <w:rsid w:val="006C5560"/>
    <w:rsid w:val="006C5BC4"/>
    <w:rsid w:val="006C643E"/>
    <w:rsid w:val="006D0E06"/>
    <w:rsid w:val="006D118B"/>
    <w:rsid w:val="006D16CC"/>
    <w:rsid w:val="006D2526"/>
    <w:rsid w:val="006D41CA"/>
    <w:rsid w:val="006D5049"/>
    <w:rsid w:val="006D5CBD"/>
    <w:rsid w:val="006D6392"/>
    <w:rsid w:val="006D744B"/>
    <w:rsid w:val="006E0022"/>
    <w:rsid w:val="006E281A"/>
    <w:rsid w:val="006E362E"/>
    <w:rsid w:val="006E546F"/>
    <w:rsid w:val="006E5981"/>
    <w:rsid w:val="006E6195"/>
    <w:rsid w:val="006E777C"/>
    <w:rsid w:val="006E7EA8"/>
    <w:rsid w:val="006F0D69"/>
    <w:rsid w:val="006F169C"/>
    <w:rsid w:val="006F1ED9"/>
    <w:rsid w:val="006F297E"/>
    <w:rsid w:val="006F3439"/>
    <w:rsid w:val="006F50F5"/>
    <w:rsid w:val="006F5C6F"/>
    <w:rsid w:val="006F7CB3"/>
    <w:rsid w:val="007023B2"/>
    <w:rsid w:val="0070784B"/>
    <w:rsid w:val="00707B0F"/>
    <w:rsid w:val="00710AEE"/>
    <w:rsid w:val="00711370"/>
    <w:rsid w:val="00716958"/>
    <w:rsid w:val="007175A9"/>
    <w:rsid w:val="0072344E"/>
    <w:rsid w:val="00724799"/>
    <w:rsid w:val="00732675"/>
    <w:rsid w:val="00732F33"/>
    <w:rsid w:val="00733BB6"/>
    <w:rsid w:val="00734448"/>
    <w:rsid w:val="007345C6"/>
    <w:rsid w:val="007365AC"/>
    <w:rsid w:val="0073698E"/>
    <w:rsid w:val="007369FD"/>
    <w:rsid w:val="00740F95"/>
    <w:rsid w:val="00742A2A"/>
    <w:rsid w:val="00742D15"/>
    <w:rsid w:val="00743223"/>
    <w:rsid w:val="00743C96"/>
    <w:rsid w:val="00743F2B"/>
    <w:rsid w:val="007454B9"/>
    <w:rsid w:val="007467E3"/>
    <w:rsid w:val="00747884"/>
    <w:rsid w:val="00751B97"/>
    <w:rsid w:val="00752D37"/>
    <w:rsid w:val="007531C4"/>
    <w:rsid w:val="00754851"/>
    <w:rsid w:val="00754945"/>
    <w:rsid w:val="00755A69"/>
    <w:rsid w:val="00756E38"/>
    <w:rsid w:val="007577DB"/>
    <w:rsid w:val="00760E66"/>
    <w:rsid w:val="007620C5"/>
    <w:rsid w:val="00762818"/>
    <w:rsid w:val="00763211"/>
    <w:rsid w:val="007641A7"/>
    <w:rsid w:val="0076540B"/>
    <w:rsid w:val="00771065"/>
    <w:rsid w:val="0077172B"/>
    <w:rsid w:val="00772BCA"/>
    <w:rsid w:val="007742F9"/>
    <w:rsid w:val="0077668B"/>
    <w:rsid w:val="007776CE"/>
    <w:rsid w:val="00780046"/>
    <w:rsid w:val="00780A83"/>
    <w:rsid w:val="007819DD"/>
    <w:rsid w:val="00781D4D"/>
    <w:rsid w:val="00782507"/>
    <w:rsid w:val="0078366D"/>
    <w:rsid w:val="007841CA"/>
    <w:rsid w:val="00785B00"/>
    <w:rsid w:val="00785DEC"/>
    <w:rsid w:val="007926CB"/>
    <w:rsid w:val="00794B20"/>
    <w:rsid w:val="00796DE6"/>
    <w:rsid w:val="007A049D"/>
    <w:rsid w:val="007A63DD"/>
    <w:rsid w:val="007B03B8"/>
    <w:rsid w:val="007B20FE"/>
    <w:rsid w:val="007B3904"/>
    <w:rsid w:val="007B5FB6"/>
    <w:rsid w:val="007B730B"/>
    <w:rsid w:val="007C0D01"/>
    <w:rsid w:val="007C13F1"/>
    <w:rsid w:val="007C5286"/>
    <w:rsid w:val="007C5B4F"/>
    <w:rsid w:val="007C5FAE"/>
    <w:rsid w:val="007C68A4"/>
    <w:rsid w:val="007D0359"/>
    <w:rsid w:val="007D1CC1"/>
    <w:rsid w:val="007D302D"/>
    <w:rsid w:val="007E4792"/>
    <w:rsid w:val="007E6C0C"/>
    <w:rsid w:val="007F1006"/>
    <w:rsid w:val="007F15BC"/>
    <w:rsid w:val="007F5E19"/>
    <w:rsid w:val="007F6088"/>
    <w:rsid w:val="007F7683"/>
    <w:rsid w:val="007F7F9B"/>
    <w:rsid w:val="008004A3"/>
    <w:rsid w:val="00800F49"/>
    <w:rsid w:val="00802574"/>
    <w:rsid w:val="00803042"/>
    <w:rsid w:val="008043C0"/>
    <w:rsid w:val="008044C2"/>
    <w:rsid w:val="00805155"/>
    <w:rsid w:val="00805538"/>
    <w:rsid w:val="00805756"/>
    <w:rsid w:val="0080602B"/>
    <w:rsid w:val="00806A1D"/>
    <w:rsid w:val="00807516"/>
    <w:rsid w:val="0080756E"/>
    <w:rsid w:val="00807B89"/>
    <w:rsid w:val="008106C1"/>
    <w:rsid w:val="00810F2C"/>
    <w:rsid w:val="00812B2F"/>
    <w:rsid w:val="00813D71"/>
    <w:rsid w:val="00814EB6"/>
    <w:rsid w:val="00814EEE"/>
    <w:rsid w:val="00815B59"/>
    <w:rsid w:val="00823B41"/>
    <w:rsid w:val="00823BFA"/>
    <w:rsid w:val="008254F9"/>
    <w:rsid w:val="00825F78"/>
    <w:rsid w:val="00826D89"/>
    <w:rsid w:val="0082700C"/>
    <w:rsid w:val="00831855"/>
    <w:rsid w:val="008321D0"/>
    <w:rsid w:val="008326EB"/>
    <w:rsid w:val="008327AB"/>
    <w:rsid w:val="00834459"/>
    <w:rsid w:val="00835736"/>
    <w:rsid w:val="00835D56"/>
    <w:rsid w:val="008375B1"/>
    <w:rsid w:val="008450A2"/>
    <w:rsid w:val="00846CC0"/>
    <w:rsid w:val="0085073C"/>
    <w:rsid w:val="008520E2"/>
    <w:rsid w:val="0085285D"/>
    <w:rsid w:val="00853537"/>
    <w:rsid w:val="0086000C"/>
    <w:rsid w:val="008603FF"/>
    <w:rsid w:val="00862CD1"/>
    <w:rsid w:val="00862D9B"/>
    <w:rsid w:val="0086323A"/>
    <w:rsid w:val="00864F9E"/>
    <w:rsid w:val="0086559C"/>
    <w:rsid w:val="00867C7F"/>
    <w:rsid w:val="00867FD1"/>
    <w:rsid w:val="00870276"/>
    <w:rsid w:val="0087184C"/>
    <w:rsid w:val="0087248E"/>
    <w:rsid w:val="00872DBB"/>
    <w:rsid w:val="00873EEA"/>
    <w:rsid w:val="00875309"/>
    <w:rsid w:val="00875B30"/>
    <w:rsid w:val="00880FAF"/>
    <w:rsid w:val="008842A4"/>
    <w:rsid w:val="008877E5"/>
    <w:rsid w:val="0088797B"/>
    <w:rsid w:val="00891B96"/>
    <w:rsid w:val="00894893"/>
    <w:rsid w:val="00895E23"/>
    <w:rsid w:val="00896164"/>
    <w:rsid w:val="00896722"/>
    <w:rsid w:val="008969F7"/>
    <w:rsid w:val="00896BFF"/>
    <w:rsid w:val="00897C17"/>
    <w:rsid w:val="008A0298"/>
    <w:rsid w:val="008A1E1D"/>
    <w:rsid w:val="008A1F47"/>
    <w:rsid w:val="008A4854"/>
    <w:rsid w:val="008A6F64"/>
    <w:rsid w:val="008B0557"/>
    <w:rsid w:val="008B08F4"/>
    <w:rsid w:val="008B1718"/>
    <w:rsid w:val="008B182D"/>
    <w:rsid w:val="008B1EDB"/>
    <w:rsid w:val="008B4110"/>
    <w:rsid w:val="008B41E5"/>
    <w:rsid w:val="008B4594"/>
    <w:rsid w:val="008B513E"/>
    <w:rsid w:val="008B6BA7"/>
    <w:rsid w:val="008C20AC"/>
    <w:rsid w:val="008C3C5D"/>
    <w:rsid w:val="008D1C45"/>
    <w:rsid w:val="008D1DE2"/>
    <w:rsid w:val="008D5474"/>
    <w:rsid w:val="008D5EA6"/>
    <w:rsid w:val="008D6976"/>
    <w:rsid w:val="008D7966"/>
    <w:rsid w:val="008E0596"/>
    <w:rsid w:val="008E0BDC"/>
    <w:rsid w:val="008E2748"/>
    <w:rsid w:val="008E37C3"/>
    <w:rsid w:val="008E6310"/>
    <w:rsid w:val="008E76B2"/>
    <w:rsid w:val="008F1599"/>
    <w:rsid w:val="008F22DF"/>
    <w:rsid w:val="008F348D"/>
    <w:rsid w:val="008F572B"/>
    <w:rsid w:val="008F68E6"/>
    <w:rsid w:val="009002B9"/>
    <w:rsid w:val="00903CE3"/>
    <w:rsid w:val="009042B2"/>
    <w:rsid w:val="00905EE7"/>
    <w:rsid w:val="00907414"/>
    <w:rsid w:val="009078A0"/>
    <w:rsid w:val="00907D31"/>
    <w:rsid w:val="009148B4"/>
    <w:rsid w:val="009173AC"/>
    <w:rsid w:val="00924284"/>
    <w:rsid w:val="009255E0"/>
    <w:rsid w:val="0092582D"/>
    <w:rsid w:val="00930132"/>
    <w:rsid w:val="009301DA"/>
    <w:rsid w:val="009306C0"/>
    <w:rsid w:val="00930D4E"/>
    <w:rsid w:val="00932857"/>
    <w:rsid w:val="00933C7C"/>
    <w:rsid w:val="0093453C"/>
    <w:rsid w:val="00934F89"/>
    <w:rsid w:val="009363FF"/>
    <w:rsid w:val="0093688A"/>
    <w:rsid w:val="00936D50"/>
    <w:rsid w:val="00943667"/>
    <w:rsid w:val="00944428"/>
    <w:rsid w:val="00944B83"/>
    <w:rsid w:val="00944E01"/>
    <w:rsid w:val="009473E8"/>
    <w:rsid w:val="00950CB7"/>
    <w:rsid w:val="00951EA7"/>
    <w:rsid w:val="009527AE"/>
    <w:rsid w:val="0095289A"/>
    <w:rsid w:val="00953AB2"/>
    <w:rsid w:val="0095480D"/>
    <w:rsid w:val="00957C0B"/>
    <w:rsid w:val="009643B7"/>
    <w:rsid w:val="0096660B"/>
    <w:rsid w:val="0096683E"/>
    <w:rsid w:val="009673AA"/>
    <w:rsid w:val="009675CD"/>
    <w:rsid w:val="009720E5"/>
    <w:rsid w:val="00973C07"/>
    <w:rsid w:val="0097559E"/>
    <w:rsid w:val="00975F8B"/>
    <w:rsid w:val="009805D1"/>
    <w:rsid w:val="00981CB9"/>
    <w:rsid w:val="00983A0C"/>
    <w:rsid w:val="00983A58"/>
    <w:rsid w:val="0098562A"/>
    <w:rsid w:val="00985941"/>
    <w:rsid w:val="009875F1"/>
    <w:rsid w:val="00992559"/>
    <w:rsid w:val="009939C2"/>
    <w:rsid w:val="009949CF"/>
    <w:rsid w:val="009951D1"/>
    <w:rsid w:val="009960B6"/>
    <w:rsid w:val="009967DA"/>
    <w:rsid w:val="00996A28"/>
    <w:rsid w:val="009A1343"/>
    <w:rsid w:val="009A244B"/>
    <w:rsid w:val="009A3301"/>
    <w:rsid w:val="009A4C5E"/>
    <w:rsid w:val="009A4CF8"/>
    <w:rsid w:val="009A7E7C"/>
    <w:rsid w:val="009B08C9"/>
    <w:rsid w:val="009B2BD5"/>
    <w:rsid w:val="009B4512"/>
    <w:rsid w:val="009B626A"/>
    <w:rsid w:val="009B6A74"/>
    <w:rsid w:val="009C0985"/>
    <w:rsid w:val="009C19D0"/>
    <w:rsid w:val="009C58B5"/>
    <w:rsid w:val="009C6862"/>
    <w:rsid w:val="009C69D1"/>
    <w:rsid w:val="009D04F8"/>
    <w:rsid w:val="009D0DBC"/>
    <w:rsid w:val="009D18FC"/>
    <w:rsid w:val="009D27F9"/>
    <w:rsid w:val="009D5542"/>
    <w:rsid w:val="009D5614"/>
    <w:rsid w:val="009D6BAB"/>
    <w:rsid w:val="009D7365"/>
    <w:rsid w:val="009D7A5F"/>
    <w:rsid w:val="009E016F"/>
    <w:rsid w:val="009E0D5D"/>
    <w:rsid w:val="009E0E0C"/>
    <w:rsid w:val="009E373E"/>
    <w:rsid w:val="009E3ABE"/>
    <w:rsid w:val="009E40CB"/>
    <w:rsid w:val="009E5530"/>
    <w:rsid w:val="009E60EC"/>
    <w:rsid w:val="009E6F36"/>
    <w:rsid w:val="009F1238"/>
    <w:rsid w:val="009F1578"/>
    <w:rsid w:val="009F3EB9"/>
    <w:rsid w:val="009F4403"/>
    <w:rsid w:val="009F5E32"/>
    <w:rsid w:val="00A002B2"/>
    <w:rsid w:val="00A037C8"/>
    <w:rsid w:val="00A0390D"/>
    <w:rsid w:val="00A040B2"/>
    <w:rsid w:val="00A049AD"/>
    <w:rsid w:val="00A05877"/>
    <w:rsid w:val="00A05B14"/>
    <w:rsid w:val="00A05CB3"/>
    <w:rsid w:val="00A10C8D"/>
    <w:rsid w:val="00A11010"/>
    <w:rsid w:val="00A121BE"/>
    <w:rsid w:val="00A124BD"/>
    <w:rsid w:val="00A12C29"/>
    <w:rsid w:val="00A169E0"/>
    <w:rsid w:val="00A1740D"/>
    <w:rsid w:val="00A2102A"/>
    <w:rsid w:val="00A21250"/>
    <w:rsid w:val="00A237CC"/>
    <w:rsid w:val="00A239E9"/>
    <w:rsid w:val="00A23CEE"/>
    <w:rsid w:val="00A24E7E"/>
    <w:rsid w:val="00A26237"/>
    <w:rsid w:val="00A263AC"/>
    <w:rsid w:val="00A2648F"/>
    <w:rsid w:val="00A270F4"/>
    <w:rsid w:val="00A27D1A"/>
    <w:rsid w:val="00A305C0"/>
    <w:rsid w:val="00A30B24"/>
    <w:rsid w:val="00A30B2F"/>
    <w:rsid w:val="00A30CA2"/>
    <w:rsid w:val="00A311EC"/>
    <w:rsid w:val="00A31365"/>
    <w:rsid w:val="00A31F47"/>
    <w:rsid w:val="00A3271C"/>
    <w:rsid w:val="00A32CE7"/>
    <w:rsid w:val="00A3563F"/>
    <w:rsid w:val="00A36F6E"/>
    <w:rsid w:val="00A37834"/>
    <w:rsid w:val="00A379D0"/>
    <w:rsid w:val="00A406C2"/>
    <w:rsid w:val="00A40702"/>
    <w:rsid w:val="00A409D2"/>
    <w:rsid w:val="00A40E79"/>
    <w:rsid w:val="00A41D2C"/>
    <w:rsid w:val="00A438DA"/>
    <w:rsid w:val="00A44C2B"/>
    <w:rsid w:val="00A45CA9"/>
    <w:rsid w:val="00A46233"/>
    <w:rsid w:val="00A549C7"/>
    <w:rsid w:val="00A54B77"/>
    <w:rsid w:val="00A554CC"/>
    <w:rsid w:val="00A57BEE"/>
    <w:rsid w:val="00A60798"/>
    <w:rsid w:val="00A608A2"/>
    <w:rsid w:val="00A61580"/>
    <w:rsid w:val="00A62057"/>
    <w:rsid w:val="00A62BBD"/>
    <w:rsid w:val="00A62FE8"/>
    <w:rsid w:val="00A648FA"/>
    <w:rsid w:val="00A6586C"/>
    <w:rsid w:val="00A6719F"/>
    <w:rsid w:val="00A72917"/>
    <w:rsid w:val="00A738DB"/>
    <w:rsid w:val="00A76319"/>
    <w:rsid w:val="00A76331"/>
    <w:rsid w:val="00A80C22"/>
    <w:rsid w:val="00A8239E"/>
    <w:rsid w:val="00A82C5F"/>
    <w:rsid w:val="00A84ECC"/>
    <w:rsid w:val="00A857C9"/>
    <w:rsid w:val="00A866B8"/>
    <w:rsid w:val="00A91389"/>
    <w:rsid w:val="00A9727D"/>
    <w:rsid w:val="00A97298"/>
    <w:rsid w:val="00A97EE7"/>
    <w:rsid w:val="00AA3980"/>
    <w:rsid w:val="00AA6786"/>
    <w:rsid w:val="00AB0BBD"/>
    <w:rsid w:val="00AB0D0F"/>
    <w:rsid w:val="00AB2230"/>
    <w:rsid w:val="00AB30E8"/>
    <w:rsid w:val="00AB3114"/>
    <w:rsid w:val="00AB3259"/>
    <w:rsid w:val="00AB396A"/>
    <w:rsid w:val="00AB3C56"/>
    <w:rsid w:val="00AB3E03"/>
    <w:rsid w:val="00AB6449"/>
    <w:rsid w:val="00AB64A7"/>
    <w:rsid w:val="00AC04BB"/>
    <w:rsid w:val="00AC2041"/>
    <w:rsid w:val="00AC2C84"/>
    <w:rsid w:val="00AC4303"/>
    <w:rsid w:val="00AC4B47"/>
    <w:rsid w:val="00AC4CF0"/>
    <w:rsid w:val="00AC6350"/>
    <w:rsid w:val="00AC75DC"/>
    <w:rsid w:val="00AD10B5"/>
    <w:rsid w:val="00AD374F"/>
    <w:rsid w:val="00AD3B5E"/>
    <w:rsid w:val="00AD45AC"/>
    <w:rsid w:val="00AD54DB"/>
    <w:rsid w:val="00AD587F"/>
    <w:rsid w:val="00AD5C27"/>
    <w:rsid w:val="00AD69A2"/>
    <w:rsid w:val="00AE0D1B"/>
    <w:rsid w:val="00AE2702"/>
    <w:rsid w:val="00AE2E3A"/>
    <w:rsid w:val="00AE5580"/>
    <w:rsid w:val="00AE5EDF"/>
    <w:rsid w:val="00AE6670"/>
    <w:rsid w:val="00AE6C50"/>
    <w:rsid w:val="00AE7D1E"/>
    <w:rsid w:val="00AF1121"/>
    <w:rsid w:val="00AF4BE5"/>
    <w:rsid w:val="00AF72A3"/>
    <w:rsid w:val="00AF74B0"/>
    <w:rsid w:val="00B01431"/>
    <w:rsid w:val="00B014AA"/>
    <w:rsid w:val="00B01D4F"/>
    <w:rsid w:val="00B0201E"/>
    <w:rsid w:val="00B03FC2"/>
    <w:rsid w:val="00B044AE"/>
    <w:rsid w:val="00B0751F"/>
    <w:rsid w:val="00B07921"/>
    <w:rsid w:val="00B07DC5"/>
    <w:rsid w:val="00B10212"/>
    <w:rsid w:val="00B10760"/>
    <w:rsid w:val="00B12ADD"/>
    <w:rsid w:val="00B146CB"/>
    <w:rsid w:val="00B14B50"/>
    <w:rsid w:val="00B22EE5"/>
    <w:rsid w:val="00B232F6"/>
    <w:rsid w:val="00B23442"/>
    <w:rsid w:val="00B2489D"/>
    <w:rsid w:val="00B3112C"/>
    <w:rsid w:val="00B33686"/>
    <w:rsid w:val="00B356F0"/>
    <w:rsid w:val="00B35804"/>
    <w:rsid w:val="00B36484"/>
    <w:rsid w:val="00B36C02"/>
    <w:rsid w:val="00B41440"/>
    <w:rsid w:val="00B41C57"/>
    <w:rsid w:val="00B42F1B"/>
    <w:rsid w:val="00B46E65"/>
    <w:rsid w:val="00B50021"/>
    <w:rsid w:val="00B52143"/>
    <w:rsid w:val="00B543B5"/>
    <w:rsid w:val="00B57046"/>
    <w:rsid w:val="00B5778A"/>
    <w:rsid w:val="00B6176C"/>
    <w:rsid w:val="00B6203C"/>
    <w:rsid w:val="00B62340"/>
    <w:rsid w:val="00B627EB"/>
    <w:rsid w:val="00B62E1A"/>
    <w:rsid w:val="00B64364"/>
    <w:rsid w:val="00B67DE1"/>
    <w:rsid w:val="00B71030"/>
    <w:rsid w:val="00B715FF"/>
    <w:rsid w:val="00B72F90"/>
    <w:rsid w:val="00B761FF"/>
    <w:rsid w:val="00B811AC"/>
    <w:rsid w:val="00B81FB3"/>
    <w:rsid w:val="00B8204E"/>
    <w:rsid w:val="00B846A2"/>
    <w:rsid w:val="00B848DC"/>
    <w:rsid w:val="00B85E9A"/>
    <w:rsid w:val="00B9092E"/>
    <w:rsid w:val="00B91BCA"/>
    <w:rsid w:val="00B93D2E"/>
    <w:rsid w:val="00B94743"/>
    <w:rsid w:val="00B949E0"/>
    <w:rsid w:val="00B94A36"/>
    <w:rsid w:val="00BA28F9"/>
    <w:rsid w:val="00BA2B7C"/>
    <w:rsid w:val="00BA2D5F"/>
    <w:rsid w:val="00BA2E9D"/>
    <w:rsid w:val="00BA32F1"/>
    <w:rsid w:val="00BA39FF"/>
    <w:rsid w:val="00BA6AD7"/>
    <w:rsid w:val="00BA6ADC"/>
    <w:rsid w:val="00BA7EF2"/>
    <w:rsid w:val="00BB03F1"/>
    <w:rsid w:val="00BB1DCF"/>
    <w:rsid w:val="00BB3E60"/>
    <w:rsid w:val="00BB4210"/>
    <w:rsid w:val="00BB429E"/>
    <w:rsid w:val="00BB7373"/>
    <w:rsid w:val="00BC05DE"/>
    <w:rsid w:val="00BC2986"/>
    <w:rsid w:val="00BC4040"/>
    <w:rsid w:val="00BC4754"/>
    <w:rsid w:val="00BC488E"/>
    <w:rsid w:val="00BC4E55"/>
    <w:rsid w:val="00BD37B2"/>
    <w:rsid w:val="00BD5153"/>
    <w:rsid w:val="00BD68A2"/>
    <w:rsid w:val="00BE29D9"/>
    <w:rsid w:val="00BE2A20"/>
    <w:rsid w:val="00BE2D6D"/>
    <w:rsid w:val="00BE2DF2"/>
    <w:rsid w:val="00BE55DC"/>
    <w:rsid w:val="00BE5DF1"/>
    <w:rsid w:val="00BE6AD3"/>
    <w:rsid w:val="00BF4B63"/>
    <w:rsid w:val="00BF5BE1"/>
    <w:rsid w:val="00BF5F0E"/>
    <w:rsid w:val="00BF6B6C"/>
    <w:rsid w:val="00BF6D6A"/>
    <w:rsid w:val="00C02412"/>
    <w:rsid w:val="00C02EA8"/>
    <w:rsid w:val="00C05C65"/>
    <w:rsid w:val="00C064C8"/>
    <w:rsid w:val="00C069B5"/>
    <w:rsid w:val="00C0711B"/>
    <w:rsid w:val="00C10D9D"/>
    <w:rsid w:val="00C115C2"/>
    <w:rsid w:val="00C11AB0"/>
    <w:rsid w:val="00C11B57"/>
    <w:rsid w:val="00C11EC4"/>
    <w:rsid w:val="00C1216D"/>
    <w:rsid w:val="00C1257C"/>
    <w:rsid w:val="00C127FA"/>
    <w:rsid w:val="00C162F2"/>
    <w:rsid w:val="00C16318"/>
    <w:rsid w:val="00C17953"/>
    <w:rsid w:val="00C2062C"/>
    <w:rsid w:val="00C207DA"/>
    <w:rsid w:val="00C213C2"/>
    <w:rsid w:val="00C217DF"/>
    <w:rsid w:val="00C21834"/>
    <w:rsid w:val="00C227EC"/>
    <w:rsid w:val="00C238D8"/>
    <w:rsid w:val="00C245B9"/>
    <w:rsid w:val="00C24FE9"/>
    <w:rsid w:val="00C31329"/>
    <w:rsid w:val="00C31441"/>
    <w:rsid w:val="00C328CC"/>
    <w:rsid w:val="00C34E35"/>
    <w:rsid w:val="00C3513D"/>
    <w:rsid w:val="00C409A5"/>
    <w:rsid w:val="00C41070"/>
    <w:rsid w:val="00C45B5E"/>
    <w:rsid w:val="00C46294"/>
    <w:rsid w:val="00C46F97"/>
    <w:rsid w:val="00C471C4"/>
    <w:rsid w:val="00C506C5"/>
    <w:rsid w:val="00C50FF3"/>
    <w:rsid w:val="00C516A4"/>
    <w:rsid w:val="00C51F57"/>
    <w:rsid w:val="00C530D6"/>
    <w:rsid w:val="00C5340F"/>
    <w:rsid w:val="00C54D84"/>
    <w:rsid w:val="00C5647F"/>
    <w:rsid w:val="00C56A46"/>
    <w:rsid w:val="00C57E87"/>
    <w:rsid w:val="00C646A8"/>
    <w:rsid w:val="00C6547C"/>
    <w:rsid w:val="00C66147"/>
    <w:rsid w:val="00C663C0"/>
    <w:rsid w:val="00C671BA"/>
    <w:rsid w:val="00C72800"/>
    <w:rsid w:val="00C754A0"/>
    <w:rsid w:val="00C76B8E"/>
    <w:rsid w:val="00C771DB"/>
    <w:rsid w:val="00C77E67"/>
    <w:rsid w:val="00C80AA9"/>
    <w:rsid w:val="00C80B2D"/>
    <w:rsid w:val="00C80DDE"/>
    <w:rsid w:val="00C8199C"/>
    <w:rsid w:val="00C81DD7"/>
    <w:rsid w:val="00C8329F"/>
    <w:rsid w:val="00C840D8"/>
    <w:rsid w:val="00C84E10"/>
    <w:rsid w:val="00C85349"/>
    <w:rsid w:val="00C86AF1"/>
    <w:rsid w:val="00C87394"/>
    <w:rsid w:val="00C87D99"/>
    <w:rsid w:val="00C9029F"/>
    <w:rsid w:val="00C9039F"/>
    <w:rsid w:val="00C92477"/>
    <w:rsid w:val="00C92A32"/>
    <w:rsid w:val="00C9668B"/>
    <w:rsid w:val="00C96C49"/>
    <w:rsid w:val="00CA27B7"/>
    <w:rsid w:val="00CA2E95"/>
    <w:rsid w:val="00CA4E3E"/>
    <w:rsid w:val="00CA7572"/>
    <w:rsid w:val="00CA7F74"/>
    <w:rsid w:val="00CB0C32"/>
    <w:rsid w:val="00CB11E0"/>
    <w:rsid w:val="00CB1248"/>
    <w:rsid w:val="00CB16D2"/>
    <w:rsid w:val="00CB1D9F"/>
    <w:rsid w:val="00CB1DFC"/>
    <w:rsid w:val="00CB2A32"/>
    <w:rsid w:val="00CB2D65"/>
    <w:rsid w:val="00CB32A0"/>
    <w:rsid w:val="00CB6246"/>
    <w:rsid w:val="00CC05CE"/>
    <w:rsid w:val="00CC0759"/>
    <w:rsid w:val="00CC2FF1"/>
    <w:rsid w:val="00CC3160"/>
    <w:rsid w:val="00CC4243"/>
    <w:rsid w:val="00CD1D7F"/>
    <w:rsid w:val="00CD2DBF"/>
    <w:rsid w:val="00CD4E24"/>
    <w:rsid w:val="00CD6207"/>
    <w:rsid w:val="00CD72A6"/>
    <w:rsid w:val="00CD7E97"/>
    <w:rsid w:val="00CE1F71"/>
    <w:rsid w:val="00CE330B"/>
    <w:rsid w:val="00CE39B8"/>
    <w:rsid w:val="00CE4A83"/>
    <w:rsid w:val="00CE525E"/>
    <w:rsid w:val="00CE5CF3"/>
    <w:rsid w:val="00CF1591"/>
    <w:rsid w:val="00CF1689"/>
    <w:rsid w:val="00CF2087"/>
    <w:rsid w:val="00CF4344"/>
    <w:rsid w:val="00CF5164"/>
    <w:rsid w:val="00CF55E6"/>
    <w:rsid w:val="00CF5B88"/>
    <w:rsid w:val="00CF72D7"/>
    <w:rsid w:val="00CF7E77"/>
    <w:rsid w:val="00D0023D"/>
    <w:rsid w:val="00D00689"/>
    <w:rsid w:val="00D014A6"/>
    <w:rsid w:val="00D015A4"/>
    <w:rsid w:val="00D02F69"/>
    <w:rsid w:val="00D044FB"/>
    <w:rsid w:val="00D067AE"/>
    <w:rsid w:val="00D108BF"/>
    <w:rsid w:val="00D1092B"/>
    <w:rsid w:val="00D11DB8"/>
    <w:rsid w:val="00D1423F"/>
    <w:rsid w:val="00D167D0"/>
    <w:rsid w:val="00D177A0"/>
    <w:rsid w:val="00D20092"/>
    <w:rsid w:val="00D2069B"/>
    <w:rsid w:val="00D22629"/>
    <w:rsid w:val="00D2293A"/>
    <w:rsid w:val="00D22E65"/>
    <w:rsid w:val="00D22EAF"/>
    <w:rsid w:val="00D2430E"/>
    <w:rsid w:val="00D251B7"/>
    <w:rsid w:val="00D2717B"/>
    <w:rsid w:val="00D3078B"/>
    <w:rsid w:val="00D3118E"/>
    <w:rsid w:val="00D335B1"/>
    <w:rsid w:val="00D33E4E"/>
    <w:rsid w:val="00D34561"/>
    <w:rsid w:val="00D34BC5"/>
    <w:rsid w:val="00D358D2"/>
    <w:rsid w:val="00D36BA1"/>
    <w:rsid w:val="00D36C76"/>
    <w:rsid w:val="00D37F07"/>
    <w:rsid w:val="00D400D8"/>
    <w:rsid w:val="00D41BB8"/>
    <w:rsid w:val="00D432BC"/>
    <w:rsid w:val="00D444E3"/>
    <w:rsid w:val="00D44688"/>
    <w:rsid w:val="00D45C06"/>
    <w:rsid w:val="00D52999"/>
    <w:rsid w:val="00D52AFA"/>
    <w:rsid w:val="00D5566B"/>
    <w:rsid w:val="00D57CA5"/>
    <w:rsid w:val="00D605D2"/>
    <w:rsid w:val="00D6102D"/>
    <w:rsid w:val="00D61EB3"/>
    <w:rsid w:val="00D62109"/>
    <w:rsid w:val="00D63381"/>
    <w:rsid w:val="00D643F8"/>
    <w:rsid w:val="00D67892"/>
    <w:rsid w:val="00D7119E"/>
    <w:rsid w:val="00D71AFF"/>
    <w:rsid w:val="00D71BF6"/>
    <w:rsid w:val="00D729B7"/>
    <w:rsid w:val="00D73BF9"/>
    <w:rsid w:val="00D7590F"/>
    <w:rsid w:val="00D75ED8"/>
    <w:rsid w:val="00D85001"/>
    <w:rsid w:val="00D85656"/>
    <w:rsid w:val="00D9140A"/>
    <w:rsid w:val="00D91684"/>
    <w:rsid w:val="00D938D8"/>
    <w:rsid w:val="00DA0143"/>
    <w:rsid w:val="00DA0378"/>
    <w:rsid w:val="00DA0AF5"/>
    <w:rsid w:val="00DA0EA5"/>
    <w:rsid w:val="00DA10DB"/>
    <w:rsid w:val="00DA1664"/>
    <w:rsid w:val="00DA1812"/>
    <w:rsid w:val="00DA1F3F"/>
    <w:rsid w:val="00DA258B"/>
    <w:rsid w:val="00DA33AC"/>
    <w:rsid w:val="00DA4D73"/>
    <w:rsid w:val="00DA5ED2"/>
    <w:rsid w:val="00DA68B1"/>
    <w:rsid w:val="00DB13D3"/>
    <w:rsid w:val="00DB2247"/>
    <w:rsid w:val="00DB3B59"/>
    <w:rsid w:val="00DB62E8"/>
    <w:rsid w:val="00DB65A3"/>
    <w:rsid w:val="00DB78FC"/>
    <w:rsid w:val="00DB7E4B"/>
    <w:rsid w:val="00DC0F37"/>
    <w:rsid w:val="00DC18AE"/>
    <w:rsid w:val="00DC2985"/>
    <w:rsid w:val="00DC57CD"/>
    <w:rsid w:val="00DC58F4"/>
    <w:rsid w:val="00DC5BFB"/>
    <w:rsid w:val="00DC6912"/>
    <w:rsid w:val="00DD1A3A"/>
    <w:rsid w:val="00DD3EA6"/>
    <w:rsid w:val="00DD4036"/>
    <w:rsid w:val="00DD588C"/>
    <w:rsid w:val="00DD5CF9"/>
    <w:rsid w:val="00DD7706"/>
    <w:rsid w:val="00DE0022"/>
    <w:rsid w:val="00DE019E"/>
    <w:rsid w:val="00DE08B3"/>
    <w:rsid w:val="00DE1D8B"/>
    <w:rsid w:val="00DE251A"/>
    <w:rsid w:val="00DE29A8"/>
    <w:rsid w:val="00DE2C1D"/>
    <w:rsid w:val="00DE4533"/>
    <w:rsid w:val="00DE49E1"/>
    <w:rsid w:val="00DE596C"/>
    <w:rsid w:val="00DE6443"/>
    <w:rsid w:val="00DE7206"/>
    <w:rsid w:val="00DF0CB9"/>
    <w:rsid w:val="00DF172C"/>
    <w:rsid w:val="00DF5286"/>
    <w:rsid w:val="00DF618B"/>
    <w:rsid w:val="00DF6E4E"/>
    <w:rsid w:val="00DF7FFC"/>
    <w:rsid w:val="00E01684"/>
    <w:rsid w:val="00E01D1F"/>
    <w:rsid w:val="00E01D7C"/>
    <w:rsid w:val="00E055E6"/>
    <w:rsid w:val="00E05B3F"/>
    <w:rsid w:val="00E06266"/>
    <w:rsid w:val="00E06992"/>
    <w:rsid w:val="00E06A9D"/>
    <w:rsid w:val="00E07146"/>
    <w:rsid w:val="00E0783E"/>
    <w:rsid w:val="00E15F80"/>
    <w:rsid w:val="00E1613D"/>
    <w:rsid w:val="00E20619"/>
    <w:rsid w:val="00E206B7"/>
    <w:rsid w:val="00E23775"/>
    <w:rsid w:val="00E238C6"/>
    <w:rsid w:val="00E26DB0"/>
    <w:rsid w:val="00E277FE"/>
    <w:rsid w:val="00E3101E"/>
    <w:rsid w:val="00E315FC"/>
    <w:rsid w:val="00E321E1"/>
    <w:rsid w:val="00E345A7"/>
    <w:rsid w:val="00E352A5"/>
    <w:rsid w:val="00E364A7"/>
    <w:rsid w:val="00E36B78"/>
    <w:rsid w:val="00E40C21"/>
    <w:rsid w:val="00E40D42"/>
    <w:rsid w:val="00E40DD3"/>
    <w:rsid w:val="00E410F8"/>
    <w:rsid w:val="00E41313"/>
    <w:rsid w:val="00E433F1"/>
    <w:rsid w:val="00E442CC"/>
    <w:rsid w:val="00E46236"/>
    <w:rsid w:val="00E47469"/>
    <w:rsid w:val="00E504AA"/>
    <w:rsid w:val="00E5573E"/>
    <w:rsid w:val="00E570B7"/>
    <w:rsid w:val="00E573AC"/>
    <w:rsid w:val="00E579E2"/>
    <w:rsid w:val="00E57A4E"/>
    <w:rsid w:val="00E6120F"/>
    <w:rsid w:val="00E63092"/>
    <w:rsid w:val="00E6329D"/>
    <w:rsid w:val="00E65AC2"/>
    <w:rsid w:val="00E66116"/>
    <w:rsid w:val="00E67B04"/>
    <w:rsid w:val="00E70C67"/>
    <w:rsid w:val="00E74653"/>
    <w:rsid w:val="00E7489D"/>
    <w:rsid w:val="00E753E2"/>
    <w:rsid w:val="00E7548B"/>
    <w:rsid w:val="00E75C04"/>
    <w:rsid w:val="00E768ED"/>
    <w:rsid w:val="00E76C1B"/>
    <w:rsid w:val="00E7711C"/>
    <w:rsid w:val="00E773FF"/>
    <w:rsid w:val="00E77A3D"/>
    <w:rsid w:val="00E80627"/>
    <w:rsid w:val="00E817BE"/>
    <w:rsid w:val="00E82472"/>
    <w:rsid w:val="00E87B62"/>
    <w:rsid w:val="00E903E4"/>
    <w:rsid w:val="00E93EE9"/>
    <w:rsid w:val="00E944D9"/>
    <w:rsid w:val="00E956CF"/>
    <w:rsid w:val="00EA114E"/>
    <w:rsid w:val="00EA1341"/>
    <w:rsid w:val="00EA13D1"/>
    <w:rsid w:val="00EA1B2E"/>
    <w:rsid w:val="00EA1C66"/>
    <w:rsid w:val="00EA6D57"/>
    <w:rsid w:val="00EA73F8"/>
    <w:rsid w:val="00EA788E"/>
    <w:rsid w:val="00EB09A8"/>
    <w:rsid w:val="00EB361C"/>
    <w:rsid w:val="00EB3684"/>
    <w:rsid w:val="00EB4D1D"/>
    <w:rsid w:val="00EC21BE"/>
    <w:rsid w:val="00EC3938"/>
    <w:rsid w:val="00EC4D13"/>
    <w:rsid w:val="00EC4F17"/>
    <w:rsid w:val="00EC643A"/>
    <w:rsid w:val="00EC6B5C"/>
    <w:rsid w:val="00ED244D"/>
    <w:rsid w:val="00ED5643"/>
    <w:rsid w:val="00ED75F4"/>
    <w:rsid w:val="00ED7ED8"/>
    <w:rsid w:val="00EE0E86"/>
    <w:rsid w:val="00EE36B2"/>
    <w:rsid w:val="00EE36E8"/>
    <w:rsid w:val="00EE49E7"/>
    <w:rsid w:val="00EE54B9"/>
    <w:rsid w:val="00EE5A67"/>
    <w:rsid w:val="00EF0A0C"/>
    <w:rsid w:val="00EF11B5"/>
    <w:rsid w:val="00EF3FE1"/>
    <w:rsid w:val="00EF4E2A"/>
    <w:rsid w:val="00EF4E50"/>
    <w:rsid w:val="00EF53BF"/>
    <w:rsid w:val="00EF5E63"/>
    <w:rsid w:val="00F006B5"/>
    <w:rsid w:val="00F0134F"/>
    <w:rsid w:val="00F0366B"/>
    <w:rsid w:val="00F03A23"/>
    <w:rsid w:val="00F05DDD"/>
    <w:rsid w:val="00F07DC3"/>
    <w:rsid w:val="00F07E01"/>
    <w:rsid w:val="00F07FD9"/>
    <w:rsid w:val="00F11465"/>
    <w:rsid w:val="00F1198E"/>
    <w:rsid w:val="00F12B0C"/>
    <w:rsid w:val="00F12EA8"/>
    <w:rsid w:val="00F138F0"/>
    <w:rsid w:val="00F13AC6"/>
    <w:rsid w:val="00F14072"/>
    <w:rsid w:val="00F14231"/>
    <w:rsid w:val="00F142BA"/>
    <w:rsid w:val="00F15B38"/>
    <w:rsid w:val="00F15CD5"/>
    <w:rsid w:val="00F16059"/>
    <w:rsid w:val="00F16393"/>
    <w:rsid w:val="00F16759"/>
    <w:rsid w:val="00F20C42"/>
    <w:rsid w:val="00F210BE"/>
    <w:rsid w:val="00F21464"/>
    <w:rsid w:val="00F23153"/>
    <w:rsid w:val="00F2533F"/>
    <w:rsid w:val="00F306EF"/>
    <w:rsid w:val="00F30EEE"/>
    <w:rsid w:val="00F31254"/>
    <w:rsid w:val="00F34472"/>
    <w:rsid w:val="00F3483C"/>
    <w:rsid w:val="00F348CF"/>
    <w:rsid w:val="00F35E47"/>
    <w:rsid w:val="00F36144"/>
    <w:rsid w:val="00F36D7A"/>
    <w:rsid w:val="00F37592"/>
    <w:rsid w:val="00F400A4"/>
    <w:rsid w:val="00F400EF"/>
    <w:rsid w:val="00F41EF2"/>
    <w:rsid w:val="00F42218"/>
    <w:rsid w:val="00F4256C"/>
    <w:rsid w:val="00F42D4B"/>
    <w:rsid w:val="00F43D14"/>
    <w:rsid w:val="00F43EA1"/>
    <w:rsid w:val="00F4572A"/>
    <w:rsid w:val="00F45ABD"/>
    <w:rsid w:val="00F4610C"/>
    <w:rsid w:val="00F46845"/>
    <w:rsid w:val="00F46CFF"/>
    <w:rsid w:val="00F46F24"/>
    <w:rsid w:val="00F47F82"/>
    <w:rsid w:val="00F50BBD"/>
    <w:rsid w:val="00F50CB9"/>
    <w:rsid w:val="00F515E6"/>
    <w:rsid w:val="00F52BFF"/>
    <w:rsid w:val="00F52EE5"/>
    <w:rsid w:val="00F538A1"/>
    <w:rsid w:val="00F53E64"/>
    <w:rsid w:val="00F540B3"/>
    <w:rsid w:val="00F545EB"/>
    <w:rsid w:val="00F56218"/>
    <w:rsid w:val="00F56615"/>
    <w:rsid w:val="00F601E2"/>
    <w:rsid w:val="00F676E2"/>
    <w:rsid w:val="00F71556"/>
    <w:rsid w:val="00F72E68"/>
    <w:rsid w:val="00F733F3"/>
    <w:rsid w:val="00F73845"/>
    <w:rsid w:val="00F76366"/>
    <w:rsid w:val="00F82439"/>
    <w:rsid w:val="00F834B3"/>
    <w:rsid w:val="00F84798"/>
    <w:rsid w:val="00F85300"/>
    <w:rsid w:val="00F866F9"/>
    <w:rsid w:val="00F87AFD"/>
    <w:rsid w:val="00F90A25"/>
    <w:rsid w:val="00F90B8D"/>
    <w:rsid w:val="00F91F2A"/>
    <w:rsid w:val="00F92588"/>
    <w:rsid w:val="00F92885"/>
    <w:rsid w:val="00F93B56"/>
    <w:rsid w:val="00F95BEA"/>
    <w:rsid w:val="00FA135F"/>
    <w:rsid w:val="00FA1B12"/>
    <w:rsid w:val="00FA1ED8"/>
    <w:rsid w:val="00FA35D8"/>
    <w:rsid w:val="00FA3876"/>
    <w:rsid w:val="00FA55BC"/>
    <w:rsid w:val="00FB0353"/>
    <w:rsid w:val="00FB5748"/>
    <w:rsid w:val="00FB5DAB"/>
    <w:rsid w:val="00FB67B6"/>
    <w:rsid w:val="00FB6ACA"/>
    <w:rsid w:val="00FB6CBC"/>
    <w:rsid w:val="00FB7404"/>
    <w:rsid w:val="00FC2C83"/>
    <w:rsid w:val="00FC3883"/>
    <w:rsid w:val="00FC3E07"/>
    <w:rsid w:val="00FC6061"/>
    <w:rsid w:val="00FD057D"/>
    <w:rsid w:val="00FD0EEF"/>
    <w:rsid w:val="00FD2908"/>
    <w:rsid w:val="00FD33ED"/>
    <w:rsid w:val="00FD38BE"/>
    <w:rsid w:val="00FD3AC0"/>
    <w:rsid w:val="00FD59F8"/>
    <w:rsid w:val="00FD6233"/>
    <w:rsid w:val="00FD662D"/>
    <w:rsid w:val="00FD7896"/>
    <w:rsid w:val="00FE0D43"/>
    <w:rsid w:val="00FE13CD"/>
    <w:rsid w:val="00FE19A6"/>
    <w:rsid w:val="00FE1E79"/>
    <w:rsid w:val="00FE21FF"/>
    <w:rsid w:val="00FE5BFC"/>
    <w:rsid w:val="00FF2332"/>
    <w:rsid w:val="00FF302B"/>
    <w:rsid w:val="00FF4975"/>
    <w:rsid w:val="00FF4A25"/>
    <w:rsid w:val="00FF4D6B"/>
    <w:rsid w:val="00FF52CA"/>
    <w:rsid w:val="00FF5897"/>
    <w:rsid w:val="00FF5FE1"/>
    <w:rsid w:val="00FF6A46"/>
    <w:rsid w:val="00FF7952"/>
    <w:rsid w:val="00FF7A53"/>
    <w:rsid w:val="00FF7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876928"/>
  <w15:docId w15:val="{D46ED76B-E289-4E53-9161-FEE5D5F1C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color w:val="000000" w:themeColor="text1"/>
        <w:sz w:val="22"/>
        <w:szCs w:val="22"/>
        <w:lang w:val="en-AU" w:eastAsia="en-US" w:bidi="ar-SA"/>
      </w:rPr>
    </w:rPrDefault>
    <w:pPrDefault>
      <w:pPr>
        <w:spacing w:before="120" w:after="120"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/>
    <w:lsdException w:name="heading 6" w:uiPriority="9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2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 w:qFormat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2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1EC4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D302D"/>
    <w:pPr>
      <w:keepNext/>
      <w:keepLines/>
      <w:spacing w:before="360"/>
      <w:contextualSpacing/>
      <w:outlineLvl w:val="0"/>
    </w:pPr>
    <w:rPr>
      <w:rFonts w:asciiTheme="majorHAnsi" w:hAnsiTheme="majorHAnsi"/>
      <w:b/>
      <w:sz w:val="30"/>
      <w:szCs w:val="44"/>
    </w:rPr>
  </w:style>
  <w:style w:type="paragraph" w:styleId="Heading2">
    <w:name w:val="heading 2"/>
    <w:basedOn w:val="Normal"/>
    <w:next w:val="Normal"/>
    <w:link w:val="Heading2Char"/>
    <w:autoRedefine/>
    <w:uiPriority w:val="9"/>
    <w:qFormat/>
    <w:rsid w:val="007D302D"/>
    <w:pPr>
      <w:keepNext/>
      <w:keepLines/>
      <w:spacing w:before="240"/>
      <w:contextualSpacing/>
      <w:outlineLvl w:val="1"/>
    </w:pPr>
    <w:rPr>
      <w:rFonts w:asciiTheme="majorHAnsi" w:hAnsiTheme="majorHAnsi"/>
      <w:b/>
      <w:sz w:val="26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A2648F"/>
    <w:pPr>
      <w:keepNext/>
      <w:keepLines/>
      <w:spacing w:before="240"/>
      <w:contextualSpacing/>
      <w:outlineLvl w:val="2"/>
    </w:pPr>
    <w:rPr>
      <w:rFonts w:asciiTheme="majorHAnsi" w:hAnsiTheme="majorHAnsi"/>
      <w:b/>
      <w:color w:val="auto"/>
    </w:rPr>
  </w:style>
  <w:style w:type="paragraph" w:styleId="Heading4">
    <w:name w:val="heading 4"/>
    <w:basedOn w:val="Normal"/>
    <w:next w:val="Normal"/>
    <w:link w:val="Heading4Char"/>
    <w:autoRedefine/>
    <w:uiPriority w:val="9"/>
    <w:qFormat/>
    <w:rsid w:val="007D302D"/>
    <w:pPr>
      <w:keepNext/>
      <w:keepLines/>
      <w:spacing w:before="240"/>
      <w:contextualSpacing/>
      <w:outlineLvl w:val="3"/>
    </w:pPr>
    <w:rPr>
      <w:rFonts w:asciiTheme="majorHAnsi" w:eastAsiaTheme="majorEastAsia" w:hAnsiTheme="majorHAnsi" w:cstheme="majorBidi"/>
      <w:b/>
      <w:i/>
      <w:iCs/>
    </w:rPr>
  </w:style>
  <w:style w:type="paragraph" w:styleId="Heading5">
    <w:name w:val="heading 5"/>
    <w:basedOn w:val="Normal"/>
    <w:next w:val="Normal"/>
    <w:link w:val="Heading5Char"/>
    <w:uiPriority w:val="9"/>
    <w:rsid w:val="00A2648F"/>
    <w:pPr>
      <w:keepNext/>
      <w:keepLines/>
      <w:spacing w:before="240"/>
      <w:contextualSpacing/>
      <w:outlineLvl w:val="4"/>
    </w:pPr>
    <w:rPr>
      <w:rFonts w:asciiTheme="majorHAnsi" w:eastAsiaTheme="majorEastAsia" w:hAnsiTheme="majorHAnsi" w:cstheme="majorBidi"/>
      <w:b/>
      <w:i/>
      <w:color w:val="auto"/>
    </w:rPr>
  </w:style>
  <w:style w:type="paragraph" w:styleId="Heading6">
    <w:name w:val="heading 6"/>
    <w:basedOn w:val="Normal"/>
    <w:next w:val="Normal"/>
    <w:link w:val="Heading6Char"/>
    <w:uiPriority w:val="9"/>
    <w:rsid w:val="00A2648F"/>
    <w:pPr>
      <w:keepNext/>
      <w:keepLines/>
      <w:spacing w:before="240"/>
      <w:contextualSpacing/>
      <w:outlineLvl w:val="5"/>
    </w:pPr>
    <w:rPr>
      <w:rFonts w:asciiTheme="majorHAnsi" w:eastAsiaTheme="majorEastAsia" w:hAnsiTheme="majorHAnsi" w:cstheme="majorBidi"/>
      <w:i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A4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link w:val="SubtitleChar"/>
    <w:uiPriority w:val="18"/>
    <w:rsid w:val="0077172B"/>
    <w:pPr>
      <w:spacing w:before="0" w:after="0" w:line="240" w:lineRule="auto"/>
      <w:ind w:right="567"/>
    </w:pPr>
    <w:rPr>
      <w:b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8"/>
    <w:rsid w:val="0077172B"/>
    <w:rPr>
      <w:b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4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47F"/>
    <w:rPr>
      <w:rFonts w:ascii="Tahoma" w:eastAsia="MS Mincho" w:hAnsi="Tahoma" w:cs="Tahoma"/>
      <w:sz w:val="16"/>
      <w:szCs w:val="16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C11EC4"/>
    <w:pPr>
      <w:tabs>
        <w:tab w:val="center" w:pos="4513"/>
        <w:tab w:val="right" w:pos="9026"/>
      </w:tabs>
      <w:spacing w:before="0" w:after="0" w:line="240" w:lineRule="auto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C11EC4"/>
    <w:rPr>
      <w:sz w:val="20"/>
    </w:rPr>
  </w:style>
  <w:style w:type="paragraph" w:styleId="Footer">
    <w:name w:val="footer"/>
    <w:basedOn w:val="Normal"/>
    <w:link w:val="FooterChar"/>
    <w:uiPriority w:val="99"/>
    <w:unhideWhenUsed/>
    <w:rsid w:val="00E74653"/>
    <w:pPr>
      <w:tabs>
        <w:tab w:val="right" w:pos="10206"/>
      </w:tabs>
      <w:spacing w:before="0"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74653"/>
    <w:rPr>
      <w:sz w:val="18"/>
    </w:rPr>
  </w:style>
  <w:style w:type="paragraph" w:styleId="Title">
    <w:name w:val="Title"/>
    <w:basedOn w:val="Normal"/>
    <w:link w:val="TitleChar"/>
    <w:uiPriority w:val="17"/>
    <w:rsid w:val="0077172B"/>
    <w:pPr>
      <w:spacing w:before="0" w:after="240" w:line="240" w:lineRule="auto"/>
      <w:ind w:right="567"/>
      <w:contextualSpacing/>
    </w:pPr>
    <w:rPr>
      <w:sz w:val="56"/>
      <w:szCs w:val="82"/>
    </w:rPr>
  </w:style>
  <w:style w:type="character" w:customStyle="1" w:styleId="TitleChar">
    <w:name w:val="Title Char"/>
    <w:basedOn w:val="DefaultParagraphFont"/>
    <w:link w:val="Title"/>
    <w:uiPriority w:val="17"/>
    <w:rsid w:val="0077172B"/>
    <w:rPr>
      <w:sz w:val="56"/>
      <w:szCs w:val="82"/>
    </w:rPr>
  </w:style>
  <w:style w:type="paragraph" w:customStyle="1" w:styleId="Address">
    <w:name w:val="Address"/>
    <w:basedOn w:val="Normal"/>
    <w:semiHidden/>
    <w:rsid w:val="00191178"/>
    <w:pPr>
      <w:spacing w:before="0" w:after="0"/>
    </w:pPr>
    <w:rPr>
      <w:b/>
      <w:color w:val="421A75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7D302D"/>
    <w:rPr>
      <w:rFonts w:asciiTheme="majorHAnsi" w:hAnsiTheme="majorHAnsi"/>
      <w:b/>
      <w:sz w:val="30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7D302D"/>
    <w:rPr>
      <w:rFonts w:asciiTheme="majorHAnsi" w:hAnsiTheme="majorHAnsi"/>
      <w:b/>
      <w:sz w:val="26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A2648F"/>
    <w:rPr>
      <w:rFonts w:asciiTheme="majorHAnsi" w:hAnsiTheme="majorHAnsi"/>
      <w:b/>
      <w:color w:val="auto"/>
      <w:sz w:val="22"/>
    </w:rPr>
  </w:style>
  <w:style w:type="paragraph" w:styleId="TOCHeading">
    <w:name w:val="TOC Heading"/>
    <w:basedOn w:val="Heading1"/>
    <w:next w:val="Normal"/>
    <w:uiPriority w:val="39"/>
    <w:rsid w:val="00FF52CA"/>
    <w:pPr>
      <w:spacing w:after="1080"/>
      <w:outlineLvl w:val="9"/>
    </w:pPr>
    <w:rPr>
      <w:rFonts w:eastAsiaTheme="majorEastAsia" w:cstheme="majorBidi"/>
      <w:bCs/>
      <w:sz w:val="64"/>
      <w:szCs w:val="28"/>
    </w:rPr>
  </w:style>
  <w:style w:type="character" w:styleId="FootnoteReference">
    <w:name w:val="footnote reference"/>
    <w:basedOn w:val="DefaultParagraphFont"/>
    <w:uiPriority w:val="99"/>
    <w:semiHidden/>
    <w:unhideWhenUsed/>
    <w:rsid w:val="00C5647F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4D0DC8"/>
    <w:pPr>
      <w:spacing w:before="0" w:after="0" w:line="240" w:lineRule="auto"/>
    </w:pPr>
    <w:rPr>
      <w:sz w:val="1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D0DC8"/>
    <w:rPr>
      <w:sz w:val="14"/>
    </w:rPr>
  </w:style>
  <w:style w:type="character" w:styleId="Hyperlink">
    <w:name w:val="Hyperlink"/>
    <w:basedOn w:val="DefaultParagraphFont"/>
    <w:uiPriority w:val="99"/>
    <w:unhideWhenUsed/>
    <w:qFormat/>
    <w:rsid w:val="005F110C"/>
    <w:rPr>
      <w:b w:val="0"/>
      <w:color w:val="282EA0"/>
      <w:u w:val="single"/>
    </w:rPr>
  </w:style>
  <w:style w:type="paragraph" w:styleId="ListBullet">
    <w:name w:val="List Bullet"/>
    <w:basedOn w:val="Normal"/>
    <w:uiPriority w:val="2"/>
    <w:qFormat/>
    <w:rsid w:val="008B1EDB"/>
    <w:pPr>
      <w:numPr>
        <w:numId w:val="4"/>
      </w:numPr>
    </w:pPr>
    <w:rPr>
      <w:rFonts w:eastAsia="Times New Roman"/>
      <w:lang w:eastAsia="en-AU"/>
    </w:rPr>
  </w:style>
  <w:style w:type="paragraph" w:styleId="ListNumber">
    <w:name w:val="List Number"/>
    <w:basedOn w:val="Normal"/>
    <w:uiPriority w:val="2"/>
    <w:qFormat/>
    <w:rsid w:val="00F71556"/>
    <w:pPr>
      <w:numPr>
        <w:numId w:val="2"/>
      </w:numPr>
    </w:pPr>
    <w:rPr>
      <w:rFonts w:eastAsia="Times New Roman"/>
      <w:lang w:eastAsia="en-AU"/>
    </w:rPr>
  </w:style>
  <w:style w:type="table" w:customStyle="1" w:styleId="SQHTable">
    <w:name w:val="SQH Table"/>
    <w:basedOn w:val="TableNormal"/>
    <w:uiPriority w:val="99"/>
    <w:rsid w:val="00BA2E9D"/>
    <w:pPr>
      <w:spacing w:line="240" w:lineRule="auto"/>
    </w:pPr>
    <w:rPr>
      <w:sz w:val="20"/>
    </w:rPr>
    <w:tblPr>
      <w:tblStyleRowBandSize w:val="1"/>
      <w:tblBorders>
        <w:top w:val="single" w:sz="4" w:space="0" w:color="F0E8FE" w:themeColor="background2"/>
        <w:bottom w:val="single" w:sz="4" w:space="0" w:color="F0E8FE" w:themeColor="background2"/>
        <w:insideH w:val="single" w:sz="4" w:space="0" w:color="F0E8FE" w:themeColor="background2"/>
      </w:tblBorders>
    </w:tblPr>
    <w:tblStylePr w:type="firstRow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21A75" w:themeFill="accent1"/>
      </w:tcPr>
    </w:tblStylePr>
    <w:tblStylePr w:type="band2Horz">
      <w:tblPr/>
      <w:tcPr>
        <w:shd w:val="clear" w:color="auto" w:fill="F0E8FE" w:themeFill="background2"/>
      </w:tcPr>
    </w:tblStylePr>
  </w:style>
  <w:style w:type="paragraph" w:styleId="TOC1">
    <w:name w:val="toc 1"/>
    <w:basedOn w:val="Normal"/>
    <w:next w:val="Normal"/>
    <w:autoRedefine/>
    <w:uiPriority w:val="39"/>
    <w:rsid w:val="008C3C5D"/>
    <w:pPr>
      <w:tabs>
        <w:tab w:val="right" w:pos="9174"/>
      </w:tabs>
      <w:spacing w:before="360" w:line="240" w:lineRule="auto"/>
    </w:pPr>
    <w:rPr>
      <w:b/>
    </w:rPr>
  </w:style>
  <w:style w:type="table" w:styleId="LightShading-Accent1">
    <w:name w:val="Light Shading Accent 1"/>
    <w:basedOn w:val="TableNormal"/>
    <w:uiPriority w:val="60"/>
    <w:rsid w:val="00056BC0"/>
    <w:rPr>
      <w:color w:val="311357" w:themeColor="accent1" w:themeShade="BF"/>
    </w:rPr>
    <w:tblPr>
      <w:tblStyleRowBandSize w:val="1"/>
      <w:tblStyleColBandSize w:val="1"/>
      <w:tblBorders>
        <w:top w:val="single" w:sz="8" w:space="0" w:color="421A75" w:themeColor="accent1"/>
        <w:bottom w:val="single" w:sz="8" w:space="0" w:color="421A7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21A75" w:themeColor="accent1"/>
          <w:left w:val="nil"/>
          <w:bottom w:val="single" w:sz="8" w:space="0" w:color="421A7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21A75" w:themeColor="accent1"/>
          <w:left w:val="nil"/>
          <w:bottom w:val="single" w:sz="8" w:space="0" w:color="421A7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B4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DB4EE" w:themeFill="accent1" w:themeFillTint="3F"/>
      </w:tcPr>
    </w:tblStylePr>
  </w:style>
  <w:style w:type="table" w:styleId="MediumShading2">
    <w:name w:val="Medium Shading 2"/>
    <w:basedOn w:val="TableNormal"/>
    <w:uiPriority w:val="64"/>
    <w:rsid w:val="00056BC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056BC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21A7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21A7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21A7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TOC2">
    <w:name w:val="toc 2"/>
    <w:basedOn w:val="Normal"/>
    <w:next w:val="Normal"/>
    <w:autoRedefine/>
    <w:uiPriority w:val="39"/>
    <w:rsid w:val="008C3C5D"/>
    <w:pPr>
      <w:pBdr>
        <w:bottom w:val="single" w:sz="4" w:space="4" w:color="D3BBFD" w:themeColor="text2"/>
        <w:between w:val="single" w:sz="4" w:space="4" w:color="D3BBFD" w:themeColor="text2"/>
      </w:pBdr>
      <w:tabs>
        <w:tab w:val="right" w:pos="9174"/>
      </w:tabs>
      <w:spacing w:before="0" w:after="0" w:line="240" w:lineRule="auto"/>
    </w:pPr>
    <w:rPr>
      <w:noProof/>
    </w:rPr>
  </w:style>
  <w:style w:type="paragraph" w:styleId="ListBullet2">
    <w:name w:val="List Bullet 2"/>
    <w:basedOn w:val="Normal"/>
    <w:uiPriority w:val="2"/>
    <w:semiHidden/>
    <w:qFormat/>
    <w:rsid w:val="008B1EDB"/>
    <w:pPr>
      <w:numPr>
        <w:ilvl w:val="1"/>
        <w:numId w:val="4"/>
      </w:numPr>
    </w:pPr>
    <w:rPr>
      <w:rFonts w:eastAsia="Times New Roman"/>
      <w:lang w:eastAsia="en-AU"/>
    </w:rPr>
  </w:style>
  <w:style w:type="character" w:customStyle="1" w:styleId="Heading4Char">
    <w:name w:val="Heading 4 Char"/>
    <w:basedOn w:val="DefaultParagraphFont"/>
    <w:link w:val="Heading4"/>
    <w:uiPriority w:val="9"/>
    <w:rsid w:val="007D302D"/>
    <w:rPr>
      <w:rFonts w:asciiTheme="majorHAnsi" w:eastAsiaTheme="majorEastAsia" w:hAnsiTheme="majorHAnsi" w:cstheme="majorBidi"/>
      <w:b/>
      <w:i/>
      <w:iCs/>
    </w:rPr>
  </w:style>
  <w:style w:type="paragraph" w:styleId="ListBullet3">
    <w:name w:val="List Bullet 3"/>
    <w:basedOn w:val="Normal"/>
    <w:uiPriority w:val="2"/>
    <w:semiHidden/>
    <w:rsid w:val="008B1EDB"/>
    <w:pPr>
      <w:numPr>
        <w:ilvl w:val="2"/>
        <w:numId w:val="4"/>
      </w:numPr>
    </w:pPr>
    <w:rPr>
      <w:rFonts w:eastAsia="Times New Roman"/>
      <w:lang w:eastAsia="en-AU"/>
    </w:rPr>
  </w:style>
  <w:style w:type="paragraph" w:styleId="ListBullet4">
    <w:name w:val="List Bullet 4"/>
    <w:basedOn w:val="Normal"/>
    <w:uiPriority w:val="2"/>
    <w:semiHidden/>
    <w:rsid w:val="008B1EDB"/>
    <w:pPr>
      <w:numPr>
        <w:ilvl w:val="3"/>
        <w:numId w:val="4"/>
      </w:numPr>
    </w:pPr>
    <w:rPr>
      <w:rFonts w:eastAsia="Times New Roman"/>
      <w:lang w:eastAsia="en-AU"/>
    </w:rPr>
  </w:style>
  <w:style w:type="paragraph" w:styleId="ListBullet5">
    <w:name w:val="List Bullet 5"/>
    <w:basedOn w:val="Normal"/>
    <w:uiPriority w:val="2"/>
    <w:semiHidden/>
    <w:rsid w:val="008B1EDB"/>
    <w:pPr>
      <w:numPr>
        <w:ilvl w:val="4"/>
        <w:numId w:val="4"/>
      </w:numPr>
    </w:pPr>
    <w:rPr>
      <w:rFonts w:eastAsia="Times New Roman"/>
      <w:lang w:eastAsia="en-AU"/>
    </w:rPr>
  </w:style>
  <w:style w:type="paragraph" w:styleId="ListNumber2">
    <w:name w:val="List Number 2"/>
    <w:basedOn w:val="Normal"/>
    <w:uiPriority w:val="2"/>
    <w:semiHidden/>
    <w:rsid w:val="00F71556"/>
    <w:pPr>
      <w:numPr>
        <w:ilvl w:val="1"/>
        <w:numId w:val="2"/>
      </w:numPr>
    </w:pPr>
    <w:rPr>
      <w:rFonts w:eastAsia="Times New Roman"/>
      <w:lang w:eastAsia="en-AU"/>
    </w:rPr>
  </w:style>
  <w:style w:type="paragraph" w:styleId="ListNumber3">
    <w:name w:val="List Number 3"/>
    <w:basedOn w:val="Normal"/>
    <w:uiPriority w:val="2"/>
    <w:semiHidden/>
    <w:rsid w:val="00F71556"/>
    <w:pPr>
      <w:numPr>
        <w:ilvl w:val="2"/>
        <w:numId w:val="2"/>
      </w:numPr>
    </w:pPr>
    <w:rPr>
      <w:rFonts w:eastAsia="Times New Roman"/>
      <w:lang w:eastAsia="en-AU"/>
    </w:rPr>
  </w:style>
  <w:style w:type="paragraph" w:styleId="ListNumber4">
    <w:name w:val="List Number 4"/>
    <w:basedOn w:val="Normal"/>
    <w:uiPriority w:val="2"/>
    <w:semiHidden/>
    <w:rsid w:val="00F71556"/>
    <w:pPr>
      <w:numPr>
        <w:ilvl w:val="3"/>
        <w:numId w:val="2"/>
      </w:numPr>
    </w:pPr>
    <w:rPr>
      <w:rFonts w:eastAsia="Times New Roman"/>
      <w:lang w:eastAsia="en-AU"/>
    </w:rPr>
  </w:style>
  <w:style w:type="paragraph" w:styleId="ListNumber5">
    <w:name w:val="List Number 5"/>
    <w:basedOn w:val="Normal"/>
    <w:uiPriority w:val="2"/>
    <w:semiHidden/>
    <w:rsid w:val="00F71556"/>
    <w:pPr>
      <w:numPr>
        <w:ilvl w:val="4"/>
        <w:numId w:val="2"/>
      </w:numPr>
    </w:pPr>
    <w:rPr>
      <w:rFonts w:eastAsia="Times New Roman"/>
      <w:lang w:eastAsia="en-AU"/>
    </w:rPr>
  </w:style>
  <w:style w:type="paragraph" w:styleId="List">
    <w:name w:val="List"/>
    <w:aliases w:val="Letter"/>
    <w:basedOn w:val="Normal"/>
    <w:uiPriority w:val="2"/>
    <w:rsid w:val="00F71556"/>
    <w:pPr>
      <w:numPr>
        <w:numId w:val="1"/>
      </w:numPr>
    </w:pPr>
    <w:rPr>
      <w:rFonts w:eastAsia="Times New Roman"/>
      <w:lang w:eastAsia="en-AU"/>
    </w:rPr>
  </w:style>
  <w:style w:type="paragraph" w:customStyle="1" w:styleId="SectionHeading">
    <w:name w:val="Section Heading"/>
    <w:basedOn w:val="Normal"/>
    <w:uiPriority w:val="8"/>
    <w:rsid w:val="00907414"/>
    <w:pPr>
      <w:spacing w:before="0" w:after="0" w:line="240" w:lineRule="auto"/>
      <w:ind w:right="450"/>
    </w:pPr>
    <w:rPr>
      <w:rFonts w:asciiTheme="majorHAnsi" w:hAnsiTheme="majorHAnsi"/>
      <w:color w:val="auto"/>
      <w:sz w:val="64"/>
      <w:szCs w:val="60"/>
    </w:rPr>
  </w:style>
  <w:style w:type="paragraph" w:styleId="Caption">
    <w:name w:val="caption"/>
    <w:basedOn w:val="Normal"/>
    <w:next w:val="Normal"/>
    <w:link w:val="CaptionChar"/>
    <w:autoRedefine/>
    <w:uiPriority w:val="12"/>
    <w:qFormat/>
    <w:rsid w:val="004438AC"/>
    <w:pPr>
      <w:keepNext/>
      <w:keepLines/>
      <w:numPr>
        <w:numId w:val="3"/>
      </w:numPr>
      <w:spacing w:before="360" w:line="240" w:lineRule="auto"/>
      <w:contextualSpacing/>
    </w:pPr>
    <w:rPr>
      <w:iCs/>
      <w:sz w:val="20"/>
    </w:rPr>
  </w:style>
  <w:style w:type="character" w:styleId="PlaceholderText">
    <w:name w:val="Placeholder Text"/>
    <w:basedOn w:val="DefaultParagraphFont"/>
    <w:uiPriority w:val="99"/>
    <w:semiHidden/>
    <w:rsid w:val="00D02F69"/>
    <w:rPr>
      <w:color w:val="666666"/>
    </w:rPr>
  </w:style>
  <w:style w:type="paragraph" w:styleId="TOC3">
    <w:name w:val="toc 3"/>
    <w:basedOn w:val="Normal"/>
    <w:next w:val="Normal"/>
    <w:autoRedefine/>
    <w:uiPriority w:val="39"/>
    <w:unhideWhenUsed/>
    <w:rsid w:val="005F36C3"/>
    <w:pPr>
      <w:spacing w:line="240" w:lineRule="auto"/>
      <w:ind w:left="357"/>
      <w:contextualSpacing/>
    </w:pPr>
  </w:style>
  <w:style w:type="table" w:styleId="GridTable3">
    <w:name w:val="Grid Table 3"/>
    <w:basedOn w:val="TableNormal"/>
    <w:uiPriority w:val="48"/>
    <w:rsid w:val="0080304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ListTable2">
    <w:name w:val="List Table 2"/>
    <w:basedOn w:val="TableNormal"/>
    <w:uiPriority w:val="47"/>
    <w:rsid w:val="0080304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4">
    <w:name w:val="List Table 2 Accent 4"/>
    <w:basedOn w:val="TableNormal"/>
    <w:uiPriority w:val="47"/>
    <w:rsid w:val="007531C4"/>
    <w:tblPr>
      <w:tblStyleRowBandSize w:val="1"/>
      <w:tblStyleColBandSize w:val="1"/>
      <w:tblBorders>
        <w:top w:val="single" w:sz="4" w:space="0" w:color="D2BBFC" w:themeColor="accent4" w:themeTint="99"/>
        <w:bottom w:val="single" w:sz="4" w:space="0" w:color="D2BBFC" w:themeColor="accent4" w:themeTint="99"/>
        <w:insideH w:val="single" w:sz="4" w:space="0" w:color="D2BBFC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8FE" w:themeFill="accent4" w:themeFillTint="33"/>
      </w:tcPr>
    </w:tblStylePr>
    <w:tblStylePr w:type="band1Horz">
      <w:tblPr/>
      <w:tcPr>
        <w:shd w:val="clear" w:color="auto" w:fill="EFE8FE" w:themeFill="accent4" w:themeFillTint="33"/>
      </w:tcPr>
    </w:tblStylePr>
  </w:style>
  <w:style w:type="paragraph" w:styleId="Date">
    <w:name w:val="Date"/>
    <w:basedOn w:val="Normal"/>
    <w:next w:val="Normal"/>
    <w:link w:val="DateChar"/>
    <w:uiPriority w:val="99"/>
    <w:rsid w:val="00907D31"/>
    <w:pPr>
      <w:spacing w:before="0" w:after="0" w:line="320" w:lineRule="atLeast"/>
    </w:pPr>
    <w:rPr>
      <w:b/>
      <w:color w:val="FFFFFF" w:themeColor="background1"/>
      <w:sz w:val="24"/>
    </w:rPr>
  </w:style>
  <w:style w:type="character" w:customStyle="1" w:styleId="DateChar">
    <w:name w:val="Date Char"/>
    <w:basedOn w:val="DefaultParagraphFont"/>
    <w:link w:val="Date"/>
    <w:uiPriority w:val="99"/>
    <w:rsid w:val="00907D31"/>
    <w:rPr>
      <w:b/>
      <w:color w:val="FFFFFF" w:themeColor="background1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A2648F"/>
    <w:rPr>
      <w:rFonts w:asciiTheme="majorHAnsi" w:eastAsiaTheme="majorEastAsia" w:hAnsiTheme="majorHAnsi" w:cstheme="majorBidi"/>
      <w:b/>
      <w:i/>
      <w:color w:val="auto"/>
    </w:rPr>
  </w:style>
  <w:style w:type="character" w:customStyle="1" w:styleId="Heading6Char">
    <w:name w:val="Heading 6 Char"/>
    <w:basedOn w:val="DefaultParagraphFont"/>
    <w:link w:val="Heading6"/>
    <w:uiPriority w:val="9"/>
    <w:rsid w:val="00A2648F"/>
    <w:rPr>
      <w:rFonts w:asciiTheme="majorHAnsi" w:eastAsiaTheme="majorEastAsia" w:hAnsiTheme="majorHAnsi" w:cstheme="majorBidi"/>
      <w:i/>
      <w:color w:val="auto"/>
    </w:rPr>
  </w:style>
  <w:style w:type="paragraph" w:styleId="NoSpacing">
    <w:name w:val="No Spacing"/>
    <w:uiPriority w:val="1"/>
    <w:rsid w:val="003A5810"/>
    <w:pPr>
      <w:spacing w:before="0"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AC4B47"/>
    <w:rPr>
      <w:color w:val="605E5C"/>
      <w:shd w:val="clear" w:color="auto" w:fill="E1DFDD"/>
    </w:rPr>
  </w:style>
  <w:style w:type="table" w:styleId="GridTable4-Accent4">
    <w:name w:val="Grid Table 4 Accent 4"/>
    <w:basedOn w:val="TableNormal"/>
    <w:uiPriority w:val="49"/>
    <w:rsid w:val="00F400EF"/>
    <w:pPr>
      <w:spacing w:after="0" w:line="240" w:lineRule="auto"/>
    </w:pPr>
    <w:tblPr>
      <w:tblStyleRowBandSize w:val="1"/>
      <w:tblStyleColBandSize w:val="1"/>
      <w:tblBorders>
        <w:top w:val="single" w:sz="4" w:space="0" w:color="D2BBFC" w:themeColor="accent4" w:themeTint="99"/>
        <w:left w:val="single" w:sz="4" w:space="0" w:color="D2BBFC" w:themeColor="accent4" w:themeTint="99"/>
        <w:bottom w:val="single" w:sz="4" w:space="0" w:color="D2BBFC" w:themeColor="accent4" w:themeTint="99"/>
        <w:right w:val="single" w:sz="4" w:space="0" w:color="D2BBFC" w:themeColor="accent4" w:themeTint="99"/>
        <w:insideH w:val="single" w:sz="4" w:space="0" w:color="D2BBFC" w:themeColor="accent4" w:themeTint="99"/>
        <w:insideV w:val="single" w:sz="4" w:space="0" w:color="D2BBFC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58EFB" w:themeColor="accent4"/>
          <w:left w:val="single" w:sz="4" w:space="0" w:color="B58EFB" w:themeColor="accent4"/>
          <w:bottom w:val="single" w:sz="4" w:space="0" w:color="B58EFB" w:themeColor="accent4"/>
          <w:right w:val="single" w:sz="4" w:space="0" w:color="B58EFB" w:themeColor="accent4"/>
          <w:insideH w:val="nil"/>
          <w:insideV w:val="nil"/>
        </w:tcBorders>
        <w:shd w:val="clear" w:color="auto" w:fill="B58EFB" w:themeFill="accent4"/>
      </w:tcPr>
    </w:tblStylePr>
    <w:tblStylePr w:type="lastRow">
      <w:rPr>
        <w:b/>
        <w:bCs/>
      </w:rPr>
      <w:tblPr/>
      <w:tcPr>
        <w:tcBorders>
          <w:top w:val="double" w:sz="4" w:space="0" w:color="B58EF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8FE" w:themeFill="accent4" w:themeFillTint="33"/>
      </w:tcPr>
    </w:tblStylePr>
    <w:tblStylePr w:type="band1Horz">
      <w:tblPr/>
      <w:tcPr>
        <w:shd w:val="clear" w:color="auto" w:fill="EFE8FE" w:themeFill="accent4" w:themeFillTint="33"/>
      </w:tcPr>
    </w:tblStylePr>
  </w:style>
  <w:style w:type="paragraph" w:customStyle="1" w:styleId="BoxHeading">
    <w:name w:val="Box Heading"/>
    <w:basedOn w:val="Normal"/>
    <w:next w:val="Normal"/>
    <w:uiPriority w:val="10"/>
    <w:qFormat/>
    <w:rsid w:val="002B3C79"/>
    <w:rPr>
      <w:b/>
      <w:bCs/>
      <w:sz w:val="24"/>
      <w:szCs w:val="24"/>
    </w:rPr>
  </w:style>
  <w:style w:type="paragraph" w:customStyle="1" w:styleId="IntroPara">
    <w:name w:val="Intro Para"/>
    <w:basedOn w:val="Normal"/>
    <w:next w:val="Normal"/>
    <w:uiPriority w:val="11"/>
    <w:qFormat/>
    <w:rsid w:val="00BD5153"/>
    <w:pPr>
      <w:spacing w:before="360" w:after="360"/>
      <w:contextualSpacing/>
    </w:pPr>
    <w:rPr>
      <w:sz w:val="26"/>
      <w:szCs w:val="26"/>
    </w:rPr>
  </w:style>
  <w:style w:type="paragraph" w:customStyle="1" w:styleId="Tablecaption">
    <w:name w:val="Table caption"/>
    <w:basedOn w:val="Caption"/>
    <w:link w:val="TablecaptionChar"/>
    <w:autoRedefine/>
    <w:qFormat/>
    <w:rsid w:val="004438AC"/>
    <w:pPr>
      <w:numPr>
        <w:numId w:val="6"/>
      </w:numPr>
      <w:ind w:left="0" w:firstLine="0"/>
    </w:pPr>
  </w:style>
  <w:style w:type="character" w:customStyle="1" w:styleId="CaptionChar">
    <w:name w:val="Caption Char"/>
    <w:basedOn w:val="DefaultParagraphFont"/>
    <w:link w:val="Caption"/>
    <w:uiPriority w:val="12"/>
    <w:rsid w:val="004438AC"/>
    <w:rPr>
      <w:iCs/>
      <w:sz w:val="20"/>
    </w:rPr>
  </w:style>
  <w:style w:type="character" w:customStyle="1" w:styleId="TablecaptionChar">
    <w:name w:val="Table caption Char"/>
    <w:basedOn w:val="CaptionChar"/>
    <w:link w:val="Tablecaption"/>
    <w:rsid w:val="004438AC"/>
    <w:rPr>
      <w:iCs/>
      <w:sz w:val="20"/>
    </w:rPr>
  </w:style>
  <w:style w:type="paragraph" w:styleId="ListParagraph">
    <w:name w:val="List Paragraph"/>
    <w:aliases w:val="NFP GP Bulleted List,List Paragraph1,Recommendation,Bullet table,Bullet point,CV text,Dot pt,F5 List Paragraph,FooterText,L,List Paragraph11,List Paragraph111,List Paragraph2,Medium Grid 1 - Accent 21,NAST Quote,Numbered Paragraph"/>
    <w:basedOn w:val="Normal"/>
    <w:link w:val="ListParagraphChar"/>
    <w:uiPriority w:val="99"/>
    <w:qFormat/>
    <w:rsid w:val="00EA13D1"/>
    <w:pPr>
      <w:spacing w:line="240" w:lineRule="auto"/>
      <w:ind w:left="720"/>
      <w:contextualSpacing/>
    </w:pPr>
    <w:rPr>
      <w:rFonts w:ascii="Arial" w:eastAsia="Times New Roman" w:hAnsi="Arial"/>
      <w:color w:val="auto"/>
      <w:lang w:eastAsia="en-AU"/>
    </w:rPr>
  </w:style>
  <w:style w:type="character" w:customStyle="1" w:styleId="ListParagraphChar">
    <w:name w:val="List Paragraph Char"/>
    <w:aliases w:val="NFP GP Bulleted List Char,List Paragraph1 Char,Recommendation Char,Bullet table Char,Bullet point Char,CV text Char,Dot pt Char,F5 List Paragraph Char,FooterText Char,L Char,List Paragraph11 Char,List Paragraph111 Char"/>
    <w:basedOn w:val="DefaultParagraphFont"/>
    <w:link w:val="ListParagraph"/>
    <w:uiPriority w:val="99"/>
    <w:rsid w:val="00EA13D1"/>
    <w:rPr>
      <w:rFonts w:ascii="Arial" w:eastAsia="Times New Roman" w:hAnsi="Arial"/>
      <w:color w:val="auto"/>
      <w:lang w:eastAsia="en-AU"/>
    </w:rPr>
  </w:style>
  <w:style w:type="character" w:styleId="CommentReference">
    <w:name w:val="annotation reference"/>
    <w:basedOn w:val="DefaultParagraphFont"/>
    <w:semiHidden/>
    <w:unhideWhenUsed/>
    <w:rsid w:val="00EA13D1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EA13D1"/>
    <w:pPr>
      <w:spacing w:line="240" w:lineRule="auto"/>
    </w:pPr>
    <w:rPr>
      <w:rFonts w:ascii="Arial" w:eastAsia="Times New Roman" w:hAnsi="Arial"/>
      <w:color w:val="auto"/>
      <w:sz w:val="20"/>
      <w:szCs w:val="20"/>
      <w:lang w:eastAsia="en-AU"/>
    </w:rPr>
  </w:style>
  <w:style w:type="character" w:customStyle="1" w:styleId="CommentTextChar">
    <w:name w:val="Comment Text Char"/>
    <w:basedOn w:val="DefaultParagraphFont"/>
    <w:link w:val="CommentText"/>
    <w:rsid w:val="00EA13D1"/>
    <w:rPr>
      <w:rFonts w:ascii="Arial" w:eastAsia="Times New Roman" w:hAnsi="Arial"/>
      <w:color w:val="auto"/>
      <w:sz w:val="20"/>
      <w:szCs w:val="20"/>
      <w:lang w:eastAsia="en-AU"/>
    </w:rPr>
  </w:style>
  <w:style w:type="character" w:styleId="FollowedHyperlink">
    <w:name w:val="FollowedHyperlink"/>
    <w:basedOn w:val="DefaultParagraphFont"/>
    <w:uiPriority w:val="99"/>
    <w:semiHidden/>
    <w:unhideWhenUsed/>
    <w:rsid w:val="00EA13D1"/>
    <w:rPr>
      <w:color w:val="000000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6970"/>
    <w:rPr>
      <w:rFonts w:asciiTheme="minorHAnsi" w:eastAsiaTheme="minorHAnsi" w:hAnsiTheme="minorHAnsi"/>
      <w:b/>
      <w:bCs/>
      <w:color w:val="000000" w:themeColor="text1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6970"/>
    <w:rPr>
      <w:rFonts w:ascii="Arial" w:eastAsia="Times New Roman" w:hAnsi="Arial"/>
      <w:b/>
      <w:bCs/>
      <w:color w:val="auto"/>
      <w:sz w:val="20"/>
      <w:szCs w:val="20"/>
      <w:lang w:eastAsia="en-AU"/>
    </w:rPr>
  </w:style>
  <w:style w:type="paragraph" w:styleId="NormalWeb">
    <w:name w:val="Normal (Web)"/>
    <w:basedOn w:val="Normal"/>
    <w:uiPriority w:val="99"/>
    <w:semiHidden/>
    <w:unhideWhenUsed/>
    <w:rsid w:val="00457C86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en-AU"/>
    </w:rPr>
  </w:style>
  <w:style w:type="paragraph" w:styleId="Revision">
    <w:name w:val="Revision"/>
    <w:hidden/>
    <w:uiPriority w:val="99"/>
    <w:semiHidden/>
    <w:rsid w:val="00D22629"/>
    <w:pPr>
      <w:spacing w:before="0" w:after="0" w:line="240" w:lineRule="auto"/>
    </w:pPr>
  </w:style>
  <w:style w:type="character" w:styleId="Emphasis">
    <w:name w:val="Emphasis"/>
    <w:basedOn w:val="DefaultParagraphFont"/>
    <w:uiPriority w:val="20"/>
    <w:qFormat/>
    <w:rsid w:val="002F213A"/>
    <w:rPr>
      <w:i/>
      <w:iCs/>
    </w:rPr>
  </w:style>
  <w:style w:type="character" w:styleId="Strong">
    <w:name w:val="Strong"/>
    <w:basedOn w:val="DefaultParagraphFont"/>
    <w:uiPriority w:val="22"/>
    <w:qFormat/>
    <w:rsid w:val="002F21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afetyandquality.gov.au/publications-and-resources/resource-library/discontinuation-insulin-products-strategies-and-safety-considerations" TargetMode="External"/><Relationship Id="rId18" Type="http://schemas.openxmlformats.org/officeDocument/2006/relationships/hyperlink" Target="https://www.safetyandquality.gov.au/resources/fact-sheet-5-health-literacy-supporting-staff-meet-health-literacy-needs" TargetMode="External"/><Relationship Id="rId26" Type="http://schemas.openxmlformats.org/officeDocument/2006/relationships/hyperlink" Target="https://www.pcdosociety.org/" TargetMode="External"/><Relationship Id="rId39" Type="http://schemas.openxmlformats.org/officeDocument/2006/relationships/hyperlink" Target="https://www.tga.gov.au/safety/report-problem/report-adverse-event-or-safety-problem/reporting-adverse-events-health-professionals" TargetMode="External"/><Relationship Id="rId21" Type="http://schemas.openxmlformats.org/officeDocument/2006/relationships/hyperlink" Target="https://www.adea.com.au/" TargetMode="External"/><Relationship Id="rId34" Type="http://schemas.microsoft.com/office/2007/relationships/diagramDrawing" Target="diagrams/drawing1.xml"/><Relationship Id="rId42" Type="http://schemas.openxmlformats.org/officeDocument/2006/relationships/hyperlink" Target="https://www.1800medicare.gov.au/" TargetMode="External"/><Relationship Id="rId47" Type="http://schemas.openxmlformats.org/officeDocument/2006/relationships/footer" Target="footer2.xml"/><Relationship Id="rId50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ndss.com.au/living-with-diabetes/driving-and-travel/driving/" TargetMode="External"/><Relationship Id="rId29" Type="http://schemas.openxmlformats.org/officeDocument/2006/relationships/hyperlink" Target="https://www.safetyandquality.gov.au/resources/discontinuation-insulin-products-strategies-and-safety-considerations" TargetMode="External"/><Relationship Id="rId11" Type="http://schemas.openxmlformats.org/officeDocument/2006/relationships/hyperlink" Target="https://www.tga.gov.au/safety/shortages-and-supply-disruptions/medicine-shortages/major-or-ongoing-medicine-shortages/about-changes-supply-insulin-products" TargetMode="External"/><Relationship Id="rId24" Type="http://schemas.openxmlformats.org/officeDocument/2006/relationships/hyperlink" Target="https://www.pcdosociety.org/guidance/levemir-discontinuation" TargetMode="External"/><Relationship Id="rId32" Type="http://schemas.openxmlformats.org/officeDocument/2006/relationships/diagramQuickStyle" Target="diagrams/quickStyle1.xml"/><Relationship Id="rId37" Type="http://schemas.openxmlformats.org/officeDocument/2006/relationships/hyperlink" Target="https://catag.org.au/resource/rethinking-medicines-decision-making-in-australian-hospitals/" TargetMode="External"/><Relationship Id="rId40" Type="http://schemas.openxmlformats.org/officeDocument/2006/relationships/hyperlink" Target="https://www.health.nsw.gov.au/sabs/Documents/2025-sn-023.pdf" TargetMode="External"/><Relationship Id="rId45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hyperlink" Target="https://www.diabetesaustralia.com.au/sick-day-management/" TargetMode="External"/><Relationship Id="rId23" Type="http://schemas.openxmlformats.org/officeDocument/2006/relationships/hyperlink" Target="https://anzsped.org/" TargetMode="External"/><Relationship Id="rId28" Type="http://schemas.openxmlformats.org/officeDocument/2006/relationships/hyperlink" Target="https://www.tga.gov.au/safety/shortages-and-supply-disruptions/medicine-shortages/major-or-ongoing-medicine-shortages/about-changes-supply-insulin-products" TargetMode="External"/><Relationship Id="rId36" Type="http://schemas.openxmlformats.org/officeDocument/2006/relationships/hyperlink" Target="https://www.pcdosociety.org/guidance/levemir-discontinuation" TargetMode="External"/><Relationship Id="rId49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yperlink" Target="https://www.diabetessociety.com.au/" TargetMode="External"/><Relationship Id="rId31" Type="http://schemas.openxmlformats.org/officeDocument/2006/relationships/diagramLayout" Target="diagrams/layout1.xml"/><Relationship Id="rId44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diabetesaustralia.com.au/managing-diabetes/hypo-hyperglycaemia/" TargetMode="External"/><Relationship Id="rId22" Type="http://schemas.openxmlformats.org/officeDocument/2006/relationships/hyperlink" Target="https://www.diabetesaustralia.com.au/" TargetMode="External"/><Relationship Id="rId27" Type="http://schemas.openxmlformats.org/officeDocument/2006/relationships/hyperlink" Target="https://catag.org.au/resource/rethinking-medicines-decision-making-in-australian-hospitals/" TargetMode="External"/><Relationship Id="rId30" Type="http://schemas.openxmlformats.org/officeDocument/2006/relationships/diagramData" Target="diagrams/data1.xml"/><Relationship Id="rId35" Type="http://schemas.openxmlformats.org/officeDocument/2006/relationships/hyperlink" Target="https://www.tga.gov.au/safety/shortages-and-supply-disruptions/medicine-shortages/major-or-ongoing-medicine-shortages/about-changes-supply-insulin-products" TargetMode="External"/><Relationship Id="rId43" Type="http://schemas.openxmlformats.org/officeDocument/2006/relationships/hyperlink" Target="mailto:medsafety@safetyandquality.gov.au" TargetMode="External"/><Relationship Id="rId48" Type="http://schemas.openxmlformats.org/officeDocument/2006/relationships/header" Target="header3.xml"/><Relationship Id="rId8" Type="http://schemas.openxmlformats.org/officeDocument/2006/relationships/webSettings" Target="webSettings.xml"/><Relationship Id="rId51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hyperlink" Target="https://www.safetyandquality.gov.au/resources/safer-insulin-prescribing-fact-sheet" TargetMode="External"/><Relationship Id="rId17" Type="http://schemas.openxmlformats.org/officeDocument/2006/relationships/hyperlink" Target="https://portal.adea.com.au/portal/Portal/Public-Directories/FAC/Find-A-CDE.aspx" TargetMode="External"/><Relationship Id="rId25" Type="http://schemas.openxmlformats.org/officeDocument/2006/relationships/hyperlink" Target="https://abcd.care/" TargetMode="External"/><Relationship Id="rId33" Type="http://schemas.openxmlformats.org/officeDocument/2006/relationships/diagramColors" Target="diagrams/colors1.xml"/><Relationship Id="rId38" Type="http://schemas.openxmlformats.org/officeDocument/2006/relationships/hyperlink" Target="https://www.racgp.org.au/clinical-resources/clinical-guidelines/key-racgp-guidelines/view-all-racgp-guidelines/management-of-type-2-diabetes/managing-glycaemic-emergencies" TargetMode="External"/><Relationship Id="rId46" Type="http://schemas.openxmlformats.org/officeDocument/2006/relationships/footer" Target="footer1.xml"/><Relationship Id="rId20" Type="http://schemas.openxmlformats.org/officeDocument/2006/relationships/hyperlink" Target="https://www.adips.org/" TargetMode="External"/><Relationship Id="rId41" Type="http://schemas.openxmlformats.org/officeDocument/2006/relationships/hyperlink" Target="https://www.tga.gov.au/safety/shortages-and-supply-disruptions/medicine-shortages/major-or-ongoing-medicine-shortages/about-changes-supply-insulin-product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LENS\AppData\Roaming\Micro%20Focus\Content%20Manager\TRIM\TEMP\HPTRIM.6392\D25-28526%20%20Template%20-%20ACSQHC%20-%20Fact%20sheet%20-%20Corporate%20-%204%20page%20max%20-%20July%202025(3).DOTX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#2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6F99611-4D48-45A7-BA9F-12B87615A484}" type="doc">
      <dgm:prSet loTypeId="urn:microsoft.com/office/officeart/2005/8/layout/orgChart1" loCatId="hierarchy" qsTypeId="urn:microsoft.com/office/officeart/2005/8/quickstyle/simple1#2" qsCatId="simple" csTypeId="urn:microsoft.com/office/officeart/2005/8/colors/colorful5#2" csCatId="colorful" phldr="1"/>
      <dgm:spPr/>
      <dgm:t>
        <a:bodyPr/>
        <a:lstStyle/>
        <a:p>
          <a:endParaRPr lang="en-AU"/>
        </a:p>
      </dgm:t>
    </dgm:pt>
    <dgm:pt modelId="{6D8DCD26-F6F6-4BC3-8720-315F75169135}">
      <dgm:prSet phldrT="[Text]" custT="1"/>
      <dgm:spPr>
        <a:solidFill>
          <a:schemeClr val="tx2">
            <a:lumMod val="75000"/>
          </a:schemeClr>
        </a:solidFill>
      </dgm:spPr>
      <dgm:t>
        <a:bodyPr/>
        <a:lstStyle/>
        <a:p>
          <a:r>
            <a:rPr lang="en-AU" sz="1000">
              <a:solidFill>
                <a:schemeClr val="bg1"/>
              </a:solidFill>
            </a:rPr>
            <a:t>Individuals using Levemir</a:t>
          </a:r>
          <a:r>
            <a:rPr lang="en-AU" sz="1000" baseline="30000">
              <a:solidFill>
                <a:schemeClr val="bg1"/>
              </a:solidFill>
            </a:rPr>
            <a:t>®</a:t>
          </a:r>
          <a:r>
            <a:rPr lang="en-AU" sz="1000" baseline="0">
              <a:solidFill>
                <a:schemeClr val="bg1"/>
              </a:solidFill>
            </a:rPr>
            <a:t> (insulin detemir</a:t>
          </a:r>
          <a:r>
            <a:rPr lang="en-AU" sz="1000" baseline="0"/>
            <a:t>)</a:t>
          </a:r>
          <a:endParaRPr lang="en-AU" sz="1000" baseline="30000"/>
        </a:p>
      </dgm:t>
    </dgm:pt>
    <dgm:pt modelId="{63C6E4CE-A19F-46AD-B9BE-3325157AB980}" type="parTrans" cxnId="{E7F283CC-AE74-473D-ADBF-7F2688176D59}">
      <dgm:prSet/>
      <dgm:spPr/>
      <dgm:t>
        <a:bodyPr/>
        <a:lstStyle/>
        <a:p>
          <a:endParaRPr lang="en-AU" sz="1000"/>
        </a:p>
      </dgm:t>
    </dgm:pt>
    <dgm:pt modelId="{106829F2-2DC6-443A-A8CF-9DED9DCF3DAA}" type="sibTrans" cxnId="{E7F283CC-AE74-473D-ADBF-7F2688176D59}">
      <dgm:prSet/>
      <dgm:spPr/>
      <dgm:t>
        <a:bodyPr/>
        <a:lstStyle/>
        <a:p>
          <a:endParaRPr lang="en-AU" sz="1000"/>
        </a:p>
      </dgm:t>
    </dgm:pt>
    <dgm:pt modelId="{6B8410C3-30BA-435C-A67B-0447E9EFDF77}">
      <dgm:prSet phldrT="[Text]" custT="1"/>
      <dgm:spPr>
        <a:solidFill>
          <a:srgbClr val="004C6E"/>
        </a:solidFill>
      </dgm:spPr>
      <dgm:t>
        <a:bodyPr/>
        <a:lstStyle/>
        <a:p>
          <a:r>
            <a:rPr lang="en-AU" sz="1000"/>
            <a:t>Once daily Levemir</a:t>
          </a:r>
          <a:r>
            <a:rPr lang="en-AU" sz="1000" baseline="30000"/>
            <a:t>®</a:t>
          </a:r>
        </a:p>
      </dgm:t>
    </dgm:pt>
    <dgm:pt modelId="{BE18D17F-F7C4-4793-AC9F-F99A0C595354}" type="sibTrans" cxnId="{B6EE6980-5305-47A3-81A0-E5BCE3F60926}">
      <dgm:prSet/>
      <dgm:spPr/>
      <dgm:t>
        <a:bodyPr/>
        <a:lstStyle/>
        <a:p>
          <a:endParaRPr lang="en-AU" sz="1000"/>
        </a:p>
      </dgm:t>
    </dgm:pt>
    <dgm:pt modelId="{90D7B7EC-BC06-470D-8D95-7BB991915F2A}" type="parTrans" cxnId="{B6EE6980-5305-47A3-81A0-E5BCE3F60926}">
      <dgm:prSet/>
      <dgm:spPr>
        <a:ln>
          <a:solidFill>
            <a:srgbClr val="004C6E"/>
          </a:solidFill>
        </a:ln>
      </dgm:spPr>
      <dgm:t>
        <a:bodyPr/>
        <a:lstStyle/>
        <a:p>
          <a:endParaRPr lang="en-AU" sz="1000"/>
        </a:p>
      </dgm:t>
    </dgm:pt>
    <dgm:pt modelId="{5C244229-6757-4736-A13C-D918290AEBB7}">
      <dgm:prSet phldrT="[Text]" custT="1"/>
      <dgm:spPr/>
      <dgm:t>
        <a:bodyPr/>
        <a:lstStyle/>
        <a:p>
          <a:pPr>
            <a:buNone/>
          </a:pPr>
          <a:r>
            <a:rPr lang="en-AU" sz="1000"/>
            <a:t>Once daily insulin glargine or degludec at </a:t>
          </a:r>
          <a:br>
            <a:rPr lang="en-AU" sz="1000"/>
          </a:br>
          <a:r>
            <a:rPr lang="en-AU" sz="1000"/>
            <a:t>80-90% of the total daily </a:t>
          </a:r>
          <a:br>
            <a:rPr lang="en-AU" sz="1000"/>
          </a:br>
          <a:r>
            <a:rPr lang="en-AU" sz="1000"/>
            <a:t>basal insulin dose </a:t>
          </a:r>
          <a:endParaRPr lang="en-AU" sz="1000" baseline="30000"/>
        </a:p>
      </dgm:t>
    </dgm:pt>
    <dgm:pt modelId="{DB042BEE-760E-4C0F-8182-73D483EC5502}" type="sibTrans" cxnId="{2F81468B-2D4E-44CA-96CB-CDA85E84512D}">
      <dgm:prSet/>
      <dgm:spPr/>
      <dgm:t>
        <a:bodyPr/>
        <a:lstStyle/>
        <a:p>
          <a:endParaRPr lang="en-AU" sz="1000"/>
        </a:p>
      </dgm:t>
    </dgm:pt>
    <dgm:pt modelId="{51FA2470-F3AD-4922-BDB6-333854316D50}" type="parTrans" cxnId="{2F81468B-2D4E-44CA-96CB-CDA85E84512D}">
      <dgm:prSet/>
      <dgm:spPr/>
      <dgm:t>
        <a:bodyPr/>
        <a:lstStyle/>
        <a:p>
          <a:endParaRPr lang="en-AU" sz="1000"/>
        </a:p>
      </dgm:t>
    </dgm:pt>
    <dgm:pt modelId="{11F605FE-8AAD-44F6-9ACB-96273E79492F}">
      <dgm:prSet phldrT="[Text]" custT="1"/>
      <dgm:spPr>
        <a:solidFill>
          <a:srgbClr val="004C6E"/>
        </a:solidFill>
      </dgm:spPr>
      <dgm:t>
        <a:bodyPr/>
        <a:lstStyle/>
        <a:p>
          <a:pPr>
            <a:buNone/>
          </a:pPr>
          <a:r>
            <a:rPr lang="en-AU" sz="1000"/>
            <a:t>Twice daily Levemir</a:t>
          </a:r>
          <a:r>
            <a:rPr lang="en-AU" sz="1000" baseline="30000"/>
            <a:t>®</a:t>
          </a:r>
          <a:r>
            <a:rPr lang="en-AU" sz="1000"/>
            <a:t>, unequal doses (more than 20% difference between two doses)</a:t>
          </a:r>
          <a:endParaRPr lang="en-AU" sz="1000" baseline="30000"/>
        </a:p>
      </dgm:t>
    </dgm:pt>
    <dgm:pt modelId="{F8A0DDD1-0EEB-4725-822C-60CF4334F030}" type="sibTrans" cxnId="{9E1E213F-8318-415A-B982-73D5A18B5AA4}">
      <dgm:prSet/>
      <dgm:spPr/>
      <dgm:t>
        <a:bodyPr/>
        <a:lstStyle/>
        <a:p>
          <a:endParaRPr lang="en-AU" sz="1000"/>
        </a:p>
      </dgm:t>
    </dgm:pt>
    <dgm:pt modelId="{D4646046-F763-4382-B411-30E55A61F89A}" type="parTrans" cxnId="{9E1E213F-8318-415A-B982-73D5A18B5AA4}">
      <dgm:prSet/>
      <dgm:spPr>
        <a:ln>
          <a:solidFill>
            <a:srgbClr val="004C6E"/>
          </a:solidFill>
        </a:ln>
      </dgm:spPr>
      <dgm:t>
        <a:bodyPr/>
        <a:lstStyle/>
        <a:p>
          <a:endParaRPr lang="en-AU" sz="1000"/>
        </a:p>
      </dgm:t>
    </dgm:pt>
    <dgm:pt modelId="{5AF56867-D64F-4A6F-9273-04B88CDC2484}">
      <dgm:prSet phldrT="[Text]" custT="1"/>
      <dgm:spPr>
        <a:solidFill>
          <a:srgbClr val="004C6E"/>
        </a:solidFill>
      </dgm:spPr>
      <dgm:t>
        <a:bodyPr/>
        <a:lstStyle/>
        <a:p>
          <a:pPr>
            <a:buFont typeface="Times New Roman" panose="02020603050405020304" pitchFamily="18" charset="0"/>
            <a:buChar char="•"/>
          </a:pPr>
          <a:r>
            <a:rPr lang="en-AU" sz="1000"/>
            <a:t>Twice daily Levemir</a:t>
          </a:r>
          <a:r>
            <a:rPr lang="en-AU" sz="1000" baseline="30000"/>
            <a:t>®</a:t>
          </a:r>
          <a:r>
            <a:rPr lang="en-AU" sz="1000"/>
            <a:t>, </a:t>
          </a:r>
        </a:p>
        <a:p>
          <a:pPr>
            <a:buFont typeface="Times New Roman" panose="02020603050405020304" pitchFamily="18" charset="0"/>
            <a:buChar char="•"/>
          </a:pPr>
          <a:r>
            <a:rPr lang="en-AU" sz="1000"/>
            <a:t>equal doses</a:t>
          </a:r>
          <a:endParaRPr lang="en-AU" sz="1000" baseline="30000"/>
        </a:p>
      </dgm:t>
    </dgm:pt>
    <dgm:pt modelId="{0D678D7F-EBC7-4E66-9B93-78BC6CCF365C}" type="sibTrans" cxnId="{CB49FFD0-E66A-40C9-B449-11901118E571}">
      <dgm:prSet/>
      <dgm:spPr/>
      <dgm:t>
        <a:bodyPr/>
        <a:lstStyle/>
        <a:p>
          <a:endParaRPr lang="en-AU" sz="1000"/>
        </a:p>
      </dgm:t>
    </dgm:pt>
    <dgm:pt modelId="{45079E40-7B4F-415A-920F-DDBACFBD0060}" type="parTrans" cxnId="{CB49FFD0-E66A-40C9-B449-11901118E571}">
      <dgm:prSet/>
      <dgm:spPr>
        <a:ln>
          <a:solidFill>
            <a:srgbClr val="004C6E"/>
          </a:solidFill>
        </a:ln>
      </dgm:spPr>
      <dgm:t>
        <a:bodyPr/>
        <a:lstStyle/>
        <a:p>
          <a:endParaRPr lang="en-AU" sz="1000"/>
        </a:p>
      </dgm:t>
    </dgm:pt>
    <dgm:pt modelId="{20216AC3-6FD1-41BA-AA69-E151FF605FB7}">
      <dgm:prSet phldrT="[Text]" custT="1"/>
      <dgm:spPr/>
      <dgm:t>
        <a:bodyPr/>
        <a:lstStyle/>
        <a:p>
          <a:pPr>
            <a:buNone/>
          </a:pPr>
          <a:r>
            <a:rPr lang="en-AU" sz="1000"/>
            <a:t>Personalise the switch according to dose and daily routine</a:t>
          </a:r>
          <a:endParaRPr lang="en-AU" sz="1000" baseline="30000"/>
        </a:p>
      </dgm:t>
    </dgm:pt>
    <dgm:pt modelId="{A61E2C77-4E50-411E-9DC6-DD57F6A92261}" type="parTrans" cxnId="{A06F2FB7-9C09-457E-9BA7-56F41192369F}">
      <dgm:prSet/>
      <dgm:spPr/>
      <dgm:t>
        <a:bodyPr/>
        <a:lstStyle/>
        <a:p>
          <a:endParaRPr lang="en-AU" sz="1000"/>
        </a:p>
      </dgm:t>
    </dgm:pt>
    <dgm:pt modelId="{A4D9FBBE-1110-4319-958B-EFC933AA795E}" type="sibTrans" cxnId="{A06F2FB7-9C09-457E-9BA7-56F41192369F}">
      <dgm:prSet/>
      <dgm:spPr/>
      <dgm:t>
        <a:bodyPr/>
        <a:lstStyle/>
        <a:p>
          <a:endParaRPr lang="en-AU" sz="1000"/>
        </a:p>
      </dgm:t>
    </dgm:pt>
    <dgm:pt modelId="{A920F707-8269-4DA7-98D2-E8E74F89B49C}">
      <dgm:prSet phldrT="[Text]" custT="1"/>
      <dgm:spPr/>
      <dgm:t>
        <a:bodyPr/>
        <a:lstStyle/>
        <a:p>
          <a:r>
            <a:rPr lang="en-AU" sz="1000"/>
            <a:t>Once daily insulin glargine or degludec at 80-90% of the total daily basal insulin dose</a:t>
          </a:r>
          <a:endParaRPr lang="en-AU" sz="1000" baseline="30000"/>
        </a:p>
      </dgm:t>
    </dgm:pt>
    <dgm:pt modelId="{7CCE31F6-5846-4E00-97DB-45AB0727E0B7}" type="parTrans" cxnId="{7469D091-A6E1-457A-9EDB-AD38B8ACB890}">
      <dgm:prSet/>
      <dgm:spPr/>
      <dgm:t>
        <a:bodyPr/>
        <a:lstStyle/>
        <a:p>
          <a:endParaRPr lang="en-AU" sz="1000"/>
        </a:p>
      </dgm:t>
    </dgm:pt>
    <dgm:pt modelId="{DB20DD2E-E1DC-4FD7-8070-989E3A58BCBC}" type="sibTrans" cxnId="{7469D091-A6E1-457A-9EDB-AD38B8ACB890}">
      <dgm:prSet/>
      <dgm:spPr/>
      <dgm:t>
        <a:bodyPr/>
        <a:lstStyle/>
        <a:p>
          <a:endParaRPr lang="en-AU" sz="1000"/>
        </a:p>
      </dgm:t>
    </dgm:pt>
    <dgm:pt modelId="{FD727DE0-AE70-403A-B787-537065FC9B45}" type="pres">
      <dgm:prSet presAssocID="{56F99611-4D48-45A7-BA9F-12B87615A484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B9E9E2DB-CD3D-41CD-94C9-465C1B6881AB}" type="pres">
      <dgm:prSet presAssocID="{6D8DCD26-F6F6-4BC3-8720-315F75169135}" presName="hierRoot1" presStyleCnt="0">
        <dgm:presLayoutVars>
          <dgm:hierBranch val="init"/>
        </dgm:presLayoutVars>
      </dgm:prSet>
      <dgm:spPr/>
    </dgm:pt>
    <dgm:pt modelId="{3A73B13C-1155-4FFB-BEC3-F7017BB51633}" type="pres">
      <dgm:prSet presAssocID="{6D8DCD26-F6F6-4BC3-8720-315F75169135}" presName="rootComposite1" presStyleCnt="0"/>
      <dgm:spPr/>
    </dgm:pt>
    <dgm:pt modelId="{529CEFB8-C1C2-418D-89D8-0D9F9FB5885E}" type="pres">
      <dgm:prSet presAssocID="{6D8DCD26-F6F6-4BC3-8720-315F75169135}" presName="rootText1" presStyleLbl="node0" presStyleIdx="0" presStyleCnt="1" custScaleX="195199" custScaleY="79547" custLinFactNeighborX="-5558">
        <dgm:presLayoutVars>
          <dgm:chPref val="3"/>
        </dgm:presLayoutVars>
      </dgm:prSet>
      <dgm:spPr/>
    </dgm:pt>
    <dgm:pt modelId="{AAD73E01-1863-48CB-AC0B-AB067D495289}" type="pres">
      <dgm:prSet presAssocID="{6D8DCD26-F6F6-4BC3-8720-315F75169135}" presName="rootConnector1" presStyleLbl="node1" presStyleIdx="0" presStyleCnt="0"/>
      <dgm:spPr/>
    </dgm:pt>
    <dgm:pt modelId="{AE19498A-F931-4F95-B594-B923001552D3}" type="pres">
      <dgm:prSet presAssocID="{6D8DCD26-F6F6-4BC3-8720-315F75169135}" presName="hierChild2" presStyleCnt="0"/>
      <dgm:spPr/>
    </dgm:pt>
    <dgm:pt modelId="{574B43CA-8E27-4247-9C6F-87E18BDBA369}" type="pres">
      <dgm:prSet presAssocID="{90D7B7EC-BC06-470D-8D95-7BB991915F2A}" presName="Name37" presStyleLbl="parChTrans1D2" presStyleIdx="0" presStyleCnt="3"/>
      <dgm:spPr/>
    </dgm:pt>
    <dgm:pt modelId="{06EE12E4-A0CD-4688-91CE-411C02B37C3F}" type="pres">
      <dgm:prSet presAssocID="{6B8410C3-30BA-435C-A67B-0447E9EFDF77}" presName="hierRoot2" presStyleCnt="0">
        <dgm:presLayoutVars>
          <dgm:hierBranch val="init"/>
        </dgm:presLayoutVars>
      </dgm:prSet>
      <dgm:spPr/>
    </dgm:pt>
    <dgm:pt modelId="{579D315F-969A-4E26-8F34-2D0CE471CA37}" type="pres">
      <dgm:prSet presAssocID="{6B8410C3-30BA-435C-A67B-0447E9EFDF77}" presName="rootComposite" presStyleCnt="0"/>
      <dgm:spPr/>
    </dgm:pt>
    <dgm:pt modelId="{20028B5C-E936-422D-B387-00A18929E252}" type="pres">
      <dgm:prSet presAssocID="{6B8410C3-30BA-435C-A67B-0447E9EFDF77}" presName="rootText" presStyleLbl="node2" presStyleIdx="0" presStyleCnt="3" custScaleX="135878" custScaleY="79535">
        <dgm:presLayoutVars>
          <dgm:chPref val="3"/>
        </dgm:presLayoutVars>
      </dgm:prSet>
      <dgm:spPr/>
    </dgm:pt>
    <dgm:pt modelId="{93387B9E-6EB0-4B06-8ACD-5D2407EF3950}" type="pres">
      <dgm:prSet presAssocID="{6B8410C3-30BA-435C-A67B-0447E9EFDF77}" presName="rootConnector" presStyleLbl="node2" presStyleIdx="0" presStyleCnt="3"/>
      <dgm:spPr/>
    </dgm:pt>
    <dgm:pt modelId="{9B797D21-88CD-4804-AC96-688596A3F04E}" type="pres">
      <dgm:prSet presAssocID="{6B8410C3-30BA-435C-A67B-0447E9EFDF77}" presName="hierChild4" presStyleCnt="0"/>
      <dgm:spPr/>
    </dgm:pt>
    <dgm:pt modelId="{74A07636-120F-4F45-A870-9F041D894C1E}" type="pres">
      <dgm:prSet presAssocID="{51FA2470-F3AD-4922-BDB6-333854316D50}" presName="Name37" presStyleLbl="parChTrans1D3" presStyleIdx="0" presStyleCnt="3"/>
      <dgm:spPr/>
    </dgm:pt>
    <dgm:pt modelId="{9BEB941A-857B-434B-8B6A-B2980561601B}" type="pres">
      <dgm:prSet presAssocID="{5C244229-6757-4736-A13C-D918290AEBB7}" presName="hierRoot2" presStyleCnt="0">
        <dgm:presLayoutVars>
          <dgm:hierBranch val="init"/>
        </dgm:presLayoutVars>
      </dgm:prSet>
      <dgm:spPr/>
    </dgm:pt>
    <dgm:pt modelId="{E0F27D2F-BB56-450F-8CAC-19873A3DD457}" type="pres">
      <dgm:prSet presAssocID="{5C244229-6757-4736-A13C-D918290AEBB7}" presName="rootComposite" presStyleCnt="0"/>
      <dgm:spPr/>
    </dgm:pt>
    <dgm:pt modelId="{7468CBF7-919D-468F-9071-5E48F99F40AD}" type="pres">
      <dgm:prSet presAssocID="{5C244229-6757-4736-A13C-D918290AEBB7}" presName="rootText" presStyleLbl="node3" presStyleIdx="0" presStyleCnt="3" custScaleX="118431">
        <dgm:presLayoutVars>
          <dgm:chPref val="3"/>
        </dgm:presLayoutVars>
      </dgm:prSet>
      <dgm:spPr/>
    </dgm:pt>
    <dgm:pt modelId="{1B016D9B-92B8-4332-BA9B-F52B18033272}" type="pres">
      <dgm:prSet presAssocID="{5C244229-6757-4736-A13C-D918290AEBB7}" presName="rootConnector" presStyleLbl="node3" presStyleIdx="0" presStyleCnt="3"/>
      <dgm:spPr/>
    </dgm:pt>
    <dgm:pt modelId="{082C5626-7F4A-40ED-A293-297763A48697}" type="pres">
      <dgm:prSet presAssocID="{5C244229-6757-4736-A13C-D918290AEBB7}" presName="hierChild4" presStyleCnt="0"/>
      <dgm:spPr/>
    </dgm:pt>
    <dgm:pt modelId="{7CD65079-9135-4DDF-9701-011B9B172861}" type="pres">
      <dgm:prSet presAssocID="{5C244229-6757-4736-A13C-D918290AEBB7}" presName="hierChild5" presStyleCnt="0"/>
      <dgm:spPr/>
    </dgm:pt>
    <dgm:pt modelId="{2DF73420-20A5-4C96-B54D-6D9A8481E8EA}" type="pres">
      <dgm:prSet presAssocID="{6B8410C3-30BA-435C-A67B-0447E9EFDF77}" presName="hierChild5" presStyleCnt="0"/>
      <dgm:spPr/>
    </dgm:pt>
    <dgm:pt modelId="{0DA5B768-A2EA-4D57-B704-0DD531F20D38}" type="pres">
      <dgm:prSet presAssocID="{45079E40-7B4F-415A-920F-DDBACFBD0060}" presName="Name37" presStyleLbl="parChTrans1D2" presStyleIdx="1" presStyleCnt="3"/>
      <dgm:spPr/>
    </dgm:pt>
    <dgm:pt modelId="{3EF7C4F3-73FB-4A51-AC17-C303F014CF73}" type="pres">
      <dgm:prSet presAssocID="{5AF56867-D64F-4A6F-9273-04B88CDC2484}" presName="hierRoot2" presStyleCnt="0">
        <dgm:presLayoutVars>
          <dgm:hierBranch val="init"/>
        </dgm:presLayoutVars>
      </dgm:prSet>
      <dgm:spPr/>
    </dgm:pt>
    <dgm:pt modelId="{5B392ED4-8C74-44DE-BD7B-BB90D399043F}" type="pres">
      <dgm:prSet presAssocID="{5AF56867-D64F-4A6F-9273-04B88CDC2484}" presName="rootComposite" presStyleCnt="0"/>
      <dgm:spPr/>
    </dgm:pt>
    <dgm:pt modelId="{6BF0F273-FD07-4FD7-932D-EA4732F6CA8B}" type="pres">
      <dgm:prSet presAssocID="{5AF56867-D64F-4A6F-9273-04B88CDC2484}" presName="rootText" presStyleLbl="node2" presStyleIdx="1" presStyleCnt="3" custScaleX="135878" custScaleY="79535" custLinFactNeighborX="-5659" custLinFactNeighborY="1440">
        <dgm:presLayoutVars>
          <dgm:chPref val="3"/>
        </dgm:presLayoutVars>
      </dgm:prSet>
      <dgm:spPr/>
    </dgm:pt>
    <dgm:pt modelId="{F02E52D5-6AE7-4EB1-9FA3-41B2378E7E0F}" type="pres">
      <dgm:prSet presAssocID="{5AF56867-D64F-4A6F-9273-04B88CDC2484}" presName="rootConnector" presStyleLbl="node2" presStyleIdx="1" presStyleCnt="3"/>
      <dgm:spPr/>
    </dgm:pt>
    <dgm:pt modelId="{BD7FD649-434C-4EA6-BBAC-69D2A1DA9551}" type="pres">
      <dgm:prSet presAssocID="{5AF56867-D64F-4A6F-9273-04B88CDC2484}" presName="hierChild4" presStyleCnt="0"/>
      <dgm:spPr/>
    </dgm:pt>
    <dgm:pt modelId="{A2447C9E-116E-43FC-94D2-419C5CF84827}" type="pres">
      <dgm:prSet presAssocID="{7CCE31F6-5846-4E00-97DB-45AB0727E0B7}" presName="Name37" presStyleLbl="parChTrans1D3" presStyleIdx="1" presStyleCnt="3"/>
      <dgm:spPr/>
    </dgm:pt>
    <dgm:pt modelId="{0836CB6A-5528-49D5-81EC-2B7D5425DCA2}" type="pres">
      <dgm:prSet presAssocID="{A920F707-8269-4DA7-98D2-E8E74F89B49C}" presName="hierRoot2" presStyleCnt="0">
        <dgm:presLayoutVars>
          <dgm:hierBranch val="init"/>
        </dgm:presLayoutVars>
      </dgm:prSet>
      <dgm:spPr/>
    </dgm:pt>
    <dgm:pt modelId="{7B57B0CC-A409-4365-A0D8-159DC447ED6A}" type="pres">
      <dgm:prSet presAssocID="{A920F707-8269-4DA7-98D2-E8E74F89B49C}" presName="rootComposite" presStyleCnt="0"/>
      <dgm:spPr/>
    </dgm:pt>
    <dgm:pt modelId="{BA9905AE-CC09-4334-9904-6A2AA3F22C62}" type="pres">
      <dgm:prSet presAssocID="{A920F707-8269-4DA7-98D2-E8E74F89B49C}" presName="rootText" presStyleLbl="node3" presStyleIdx="1" presStyleCnt="3" custScaleX="118431">
        <dgm:presLayoutVars>
          <dgm:chPref val="3"/>
        </dgm:presLayoutVars>
      </dgm:prSet>
      <dgm:spPr/>
    </dgm:pt>
    <dgm:pt modelId="{9C29EF10-D405-40A6-BF6D-BA0DDE511137}" type="pres">
      <dgm:prSet presAssocID="{A920F707-8269-4DA7-98D2-E8E74F89B49C}" presName="rootConnector" presStyleLbl="node3" presStyleIdx="1" presStyleCnt="3"/>
      <dgm:spPr/>
    </dgm:pt>
    <dgm:pt modelId="{C5334BFB-EF54-4499-B508-5A5F02060903}" type="pres">
      <dgm:prSet presAssocID="{A920F707-8269-4DA7-98D2-E8E74F89B49C}" presName="hierChild4" presStyleCnt="0"/>
      <dgm:spPr/>
    </dgm:pt>
    <dgm:pt modelId="{D43F18BC-70A4-4606-8CA2-D6501979BF9D}" type="pres">
      <dgm:prSet presAssocID="{A920F707-8269-4DA7-98D2-E8E74F89B49C}" presName="hierChild5" presStyleCnt="0"/>
      <dgm:spPr/>
    </dgm:pt>
    <dgm:pt modelId="{4587C9FD-8379-41F6-BFD0-661DC256C324}" type="pres">
      <dgm:prSet presAssocID="{5AF56867-D64F-4A6F-9273-04B88CDC2484}" presName="hierChild5" presStyleCnt="0"/>
      <dgm:spPr/>
    </dgm:pt>
    <dgm:pt modelId="{FE5B1CFB-FBB0-4207-B1FE-0F299B8E6CC1}" type="pres">
      <dgm:prSet presAssocID="{D4646046-F763-4382-B411-30E55A61F89A}" presName="Name37" presStyleLbl="parChTrans1D2" presStyleIdx="2" presStyleCnt="3"/>
      <dgm:spPr/>
    </dgm:pt>
    <dgm:pt modelId="{F6B2B9CC-F4D4-4B37-97E0-D2A6F2D9FC5D}" type="pres">
      <dgm:prSet presAssocID="{11F605FE-8AAD-44F6-9ACB-96273E79492F}" presName="hierRoot2" presStyleCnt="0">
        <dgm:presLayoutVars>
          <dgm:hierBranch val="init"/>
        </dgm:presLayoutVars>
      </dgm:prSet>
      <dgm:spPr/>
    </dgm:pt>
    <dgm:pt modelId="{3ACA5AC7-562B-42C7-B2AD-4F9F8FCF3B96}" type="pres">
      <dgm:prSet presAssocID="{11F605FE-8AAD-44F6-9ACB-96273E79492F}" presName="rootComposite" presStyleCnt="0"/>
      <dgm:spPr/>
    </dgm:pt>
    <dgm:pt modelId="{90B4AA2A-B4FC-4AA6-8EB3-CBE355CA1DCA}" type="pres">
      <dgm:prSet presAssocID="{11F605FE-8AAD-44F6-9ACB-96273E79492F}" presName="rootText" presStyleLbl="node2" presStyleIdx="2" presStyleCnt="3" custScaleX="135872" custScaleY="79535">
        <dgm:presLayoutVars>
          <dgm:chPref val="3"/>
        </dgm:presLayoutVars>
      </dgm:prSet>
      <dgm:spPr/>
    </dgm:pt>
    <dgm:pt modelId="{7295B16B-5226-48A1-85D2-AFA85BEC15C7}" type="pres">
      <dgm:prSet presAssocID="{11F605FE-8AAD-44F6-9ACB-96273E79492F}" presName="rootConnector" presStyleLbl="node2" presStyleIdx="2" presStyleCnt="3"/>
      <dgm:spPr/>
    </dgm:pt>
    <dgm:pt modelId="{A40EDCE0-D18D-4E98-99DB-5356EB32C3DD}" type="pres">
      <dgm:prSet presAssocID="{11F605FE-8AAD-44F6-9ACB-96273E79492F}" presName="hierChild4" presStyleCnt="0"/>
      <dgm:spPr/>
    </dgm:pt>
    <dgm:pt modelId="{75559698-B3F6-405D-A3C4-716FDD478E9A}" type="pres">
      <dgm:prSet presAssocID="{A61E2C77-4E50-411E-9DC6-DD57F6A92261}" presName="Name37" presStyleLbl="parChTrans1D3" presStyleIdx="2" presStyleCnt="3"/>
      <dgm:spPr/>
    </dgm:pt>
    <dgm:pt modelId="{62DA4494-5BC4-4CA6-9BB2-E1EDB64E46EF}" type="pres">
      <dgm:prSet presAssocID="{20216AC3-6FD1-41BA-AA69-E151FF605FB7}" presName="hierRoot2" presStyleCnt="0">
        <dgm:presLayoutVars>
          <dgm:hierBranch val="init"/>
        </dgm:presLayoutVars>
      </dgm:prSet>
      <dgm:spPr/>
    </dgm:pt>
    <dgm:pt modelId="{5FF157D4-15CE-40AF-ACFA-2763BBED40B5}" type="pres">
      <dgm:prSet presAssocID="{20216AC3-6FD1-41BA-AA69-E151FF605FB7}" presName="rootComposite" presStyleCnt="0"/>
      <dgm:spPr/>
    </dgm:pt>
    <dgm:pt modelId="{D19FDCED-0D13-4671-B0C8-3AD3CF2E77D2}" type="pres">
      <dgm:prSet presAssocID="{20216AC3-6FD1-41BA-AA69-E151FF605FB7}" presName="rootText" presStyleLbl="node3" presStyleIdx="2" presStyleCnt="3" custScaleX="118431">
        <dgm:presLayoutVars>
          <dgm:chPref val="3"/>
        </dgm:presLayoutVars>
      </dgm:prSet>
      <dgm:spPr/>
    </dgm:pt>
    <dgm:pt modelId="{E53BFA2A-134B-49C1-9C69-733510327282}" type="pres">
      <dgm:prSet presAssocID="{20216AC3-6FD1-41BA-AA69-E151FF605FB7}" presName="rootConnector" presStyleLbl="node3" presStyleIdx="2" presStyleCnt="3"/>
      <dgm:spPr/>
    </dgm:pt>
    <dgm:pt modelId="{DFED6A2F-C7FE-4A38-B740-F1DDEBC79248}" type="pres">
      <dgm:prSet presAssocID="{20216AC3-6FD1-41BA-AA69-E151FF605FB7}" presName="hierChild4" presStyleCnt="0"/>
      <dgm:spPr/>
    </dgm:pt>
    <dgm:pt modelId="{EFECAC92-AE2F-460E-BD88-DCAC6E0A4460}" type="pres">
      <dgm:prSet presAssocID="{20216AC3-6FD1-41BA-AA69-E151FF605FB7}" presName="hierChild5" presStyleCnt="0"/>
      <dgm:spPr/>
    </dgm:pt>
    <dgm:pt modelId="{277177AD-CD83-400E-9C3F-7D620DAD3191}" type="pres">
      <dgm:prSet presAssocID="{11F605FE-8AAD-44F6-9ACB-96273E79492F}" presName="hierChild5" presStyleCnt="0"/>
      <dgm:spPr/>
    </dgm:pt>
    <dgm:pt modelId="{7624B4B7-E9A9-4C98-A909-85E3226D3FEF}" type="pres">
      <dgm:prSet presAssocID="{6D8DCD26-F6F6-4BC3-8720-315F75169135}" presName="hierChild3" presStyleCnt="0"/>
      <dgm:spPr/>
    </dgm:pt>
  </dgm:ptLst>
  <dgm:cxnLst>
    <dgm:cxn modelId="{F7FDBB20-F5BB-40DB-869E-A7A0F239E115}" type="presOf" srcId="{5AF56867-D64F-4A6F-9273-04B88CDC2484}" destId="{F02E52D5-6AE7-4EB1-9FA3-41B2378E7E0F}" srcOrd="1" destOrd="0" presId="urn:microsoft.com/office/officeart/2005/8/layout/orgChart1"/>
    <dgm:cxn modelId="{90D2C625-DB54-4F5B-A06A-01D513CC9B0C}" type="presOf" srcId="{6D8DCD26-F6F6-4BC3-8720-315F75169135}" destId="{AAD73E01-1863-48CB-AC0B-AB067D495289}" srcOrd="1" destOrd="0" presId="urn:microsoft.com/office/officeart/2005/8/layout/orgChart1"/>
    <dgm:cxn modelId="{6467E536-0BA8-453E-92B8-4AA2CC04DF3C}" type="presOf" srcId="{20216AC3-6FD1-41BA-AA69-E151FF605FB7}" destId="{D19FDCED-0D13-4671-B0C8-3AD3CF2E77D2}" srcOrd="0" destOrd="0" presId="urn:microsoft.com/office/officeart/2005/8/layout/orgChart1"/>
    <dgm:cxn modelId="{9E1E213F-8318-415A-B982-73D5A18B5AA4}" srcId="{6D8DCD26-F6F6-4BC3-8720-315F75169135}" destId="{11F605FE-8AAD-44F6-9ACB-96273E79492F}" srcOrd="2" destOrd="0" parTransId="{D4646046-F763-4382-B411-30E55A61F89A}" sibTransId="{F8A0DDD1-0EEB-4725-822C-60CF4334F030}"/>
    <dgm:cxn modelId="{100F2140-1EC4-409B-85F9-7CE6D719D727}" type="presOf" srcId="{5AF56867-D64F-4A6F-9273-04B88CDC2484}" destId="{6BF0F273-FD07-4FD7-932D-EA4732F6CA8B}" srcOrd="0" destOrd="0" presId="urn:microsoft.com/office/officeart/2005/8/layout/orgChart1"/>
    <dgm:cxn modelId="{D910D860-A1E4-4B01-A4C2-D5BD6949F733}" type="presOf" srcId="{5C244229-6757-4736-A13C-D918290AEBB7}" destId="{1B016D9B-92B8-4332-BA9B-F52B18033272}" srcOrd="1" destOrd="0" presId="urn:microsoft.com/office/officeart/2005/8/layout/orgChart1"/>
    <dgm:cxn modelId="{15A38142-507B-4CD4-8671-12371112EDA1}" type="presOf" srcId="{51FA2470-F3AD-4922-BDB6-333854316D50}" destId="{74A07636-120F-4F45-A870-9F041D894C1E}" srcOrd="0" destOrd="0" presId="urn:microsoft.com/office/officeart/2005/8/layout/orgChart1"/>
    <dgm:cxn modelId="{5B3E0267-ACC9-4AE2-A484-E203AC283157}" type="presOf" srcId="{A61E2C77-4E50-411E-9DC6-DD57F6A92261}" destId="{75559698-B3F6-405D-A3C4-716FDD478E9A}" srcOrd="0" destOrd="0" presId="urn:microsoft.com/office/officeart/2005/8/layout/orgChart1"/>
    <dgm:cxn modelId="{3E89DC68-B648-4C66-A221-7139B5574983}" type="presOf" srcId="{11F605FE-8AAD-44F6-9ACB-96273E79492F}" destId="{7295B16B-5226-48A1-85D2-AFA85BEC15C7}" srcOrd="1" destOrd="0" presId="urn:microsoft.com/office/officeart/2005/8/layout/orgChart1"/>
    <dgm:cxn modelId="{AEE86950-1A3B-4505-B137-39CB84F1F502}" type="presOf" srcId="{A920F707-8269-4DA7-98D2-E8E74F89B49C}" destId="{9C29EF10-D405-40A6-BF6D-BA0DDE511137}" srcOrd="1" destOrd="0" presId="urn:microsoft.com/office/officeart/2005/8/layout/orgChart1"/>
    <dgm:cxn modelId="{809F177D-1577-434D-87BC-5308675CAEDF}" type="presOf" srcId="{6D8DCD26-F6F6-4BC3-8720-315F75169135}" destId="{529CEFB8-C1C2-418D-89D8-0D9F9FB5885E}" srcOrd="0" destOrd="0" presId="urn:microsoft.com/office/officeart/2005/8/layout/orgChart1"/>
    <dgm:cxn modelId="{B6EE6980-5305-47A3-81A0-E5BCE3F60926}" srcId="{6D8DCD26-F6F6-4BC3-8720-315F75169135}" destId="{6B8410C3-30BA-435C-A67B-0447E9EFDF77}" srcOrd="0" destOrd="0" parTransId="{90D7B7EC-BC06-470D-8D95-7BB991915F2A}" sibTransId="{BE18D17F-F7C4-4793-AC9F-F99A0C595354}"/>
    <dgm:cxn modelId="{D2A8D087-2F59-4FCE-8306-8E83CC3EE869}" type="presOf" srcId="{45079E40-7B4F-415A-920F-DDBACFBD0060}" destId="{0DA5B768-A2EA-4D57-B704-0DD531F20D38}" srcOrd="0" destOrd="0" presId="urn:microsoft.com/office/officeart/2005/8/layout/orgChart1"/>
    <dgm:cxn modelId="{2F81468B-2D4E-44CA-96CB-CDA85E84512D}" srcId="{6B8410C3-30BA-435C-A67B-0447E9EFDF77}" destId="{5C244229-6757-4736-A13C-D918290AEBB7}" srcOrd="0" destOrd="0" parTransId="{51FA2470-F3AD-4922-BDB6-333854316D50}" sibTransId="{DB042BEE-760E-4C0F-8182-73D483EC5502}"/>
    <dgm:cxn modelId="{7469D091-A6E1-457A-9EDB-AD38B8ACB890}" srcId="{5AF56867-D64F-4A6F-9273-04B88CDC2484}" destId="{A920F707-8269-4DA7-98D2-E8E74F89B49C}" srcOrd="0" destOrd="0" parTransId="{7CCE31F6-5846-4E00-97DB-45AB0727E0B7}" sibTransId="{DB20DD2E-E1DC-4FD7-8070-989E3A58BCBC}"/>
    <dgm:cxn modelId="{8A342098-D954-4B90-BB82-605F1E43188D}" type="presOf" srcId="{D4646046-F763-4382-B411-30E55A61F89A}" destId="{FE5B1CFB-FBB0-4207-B1FE-0F299B8E6CC1}" srcOrd="0" destOrd="0" presId="urn:microsoft.com/office/officeart/2005/8/layout/orgChart1"/>
    <dgm:cxn modelId="{7EEB00A6-6A11-403A-BA30-C8433817A5F9}" type="presOf" srcId="{56F99611-4D48-45A7-BA9F-12B87615A484}" destId="{FD727DE0-AE70-403A-B787-537065FC9B45}" srcOrd="0" destOrd="0" presId="urn:microsoft.com/office/officeart/2005/8/layout/orgChart1"/>
    <dgm:cxn modelId="{821F27AC-BD2E-4F57-8C01-179EC568E462}" type="presOf" srcId="{20216AC3-6FD1-41BA-AA69-E151FF605FB7}" destId="{E53BFA2A-134B-49C1-9C69-733510327282}" srcOrd="1" destOrd="0" presId="urn:microsoft.com/office/officeart/2005/8/layout/orgChart1"/>
    <dgm:cxn modelId="{E9031FB5-25E1-44E1-B479-97C4D4C0BBBB}" type="presOf" srcId="{7CCE31F6-5846-4E00-97DB-45AB0727E0B7}" destId="{A2447C9E-116E-43FC-94D2-419C5CF84827}" srcOrd="0" destOrd="0" presId="urn:microsoft.com/office/officeart/2005/8/layout/orgChart1"/>
    <dgm:cxn modelId="{13229BB5-E53F-4450-9DE7-B1126F8F9D70}" type="presOf" srcId="{6B8410C3-30BA-435C-A67B-0447E9EFDF77}" destId="{20028B5C-E936-422D-B387-00A18929E252}" srcOrd="0" destOrd="0" presId="urn:microsoft.com/office/officeart/2005/8/layout/orgChart1"/>
    <dgm:cxn modelId="{B3FC05B6-9BBB-454A-95D2-15EBF462E4EE}" type="presOf" srcId="{11F605FE-8AAD-44F6-9ACB-96273E79492F}" destId="{90B4AA2A-B4FC-4AA6-8EB3-CBE355CA1DCA}" srcOrd="0" destOrd="0" presId="urn:microsoft.com/office/officeart/2005/8/layout/orgChart1"/>
    <dgm:cxn modelId="{A06F2FB7-9C09-457E-9BA7-56F41192369F}" srcId="{11F605FE-8AAD-44F6-9ACB-96273E79492F}" destId="{20216AC3-6FD1-41BA-AA69-E151FF605FB7}" srcOrd="0" destOrd="0" parTransId="{A61E2C77-4E50-411E-9DC6-DD57F6A92261}" sibTransId="{A4D9FBBE-1110-4319-958B-EFC933AA795E}"/>
    <dgm:cxn modelId="{E6E433BE-C1C1-4C92-A586-F160C0BE59C3}" type="presOf" srcId="{6B8410C3-30BA-435C-A67B-0447E9EFDF77}" destId="{93387B9E-6EB0-4B06-8ACD-5D2407EF3950}" srcOrd="1" destOrd="0" presId="urn:microsoft.com/office/officeart/2005/8/layout/orgChart1"/>
    <dgm:cxn modelId="{8B4EAAC8-97B0-4773-B768-899096E8359A}" type="presOf" srcId="{A920F707-8269-4DA7-98D2-E8E74F89B49C}" destId="{BA9905AE-CC09-4334-9904-6A2AA3F22C62}" srcOrd="0" destOrd="0" presId="urn:microsoft.com/office/officeart/2005/8/layout/orgChart1"/>
    <dgm:cxn modelId="{E7F283CC-AE74-473D-ADBF-7F2688176D59}" srcId="{56F99611-4D48-45A7-BA9F-12B87615A484}" destId="{6D8DCD26-F6F6-4BC3-8720-315F75169135}" srcOrd="0" destOrd="0" parTransId="{63C6E4CE-A19F-46AD-B9BE-3325157AB980}" sibTransId="{106829F2-2DC6-443A-A8CF-9DED9DCF3DAA}"/>
    <dgm:cxn modelId="{CB49FFD0-E66A-40C9-B449-11901118E571}" srcId="{6D8DCD26-F6F6-4BC3-8720-315F75169135}" destId="{5AF56867-D64F-4A6F-9273-04B88CDC2484}" srcOrd="1" destOrd="0" parTransId="{45079E40-7B4F-415A-920F-DDBACFBD0060}" sibTransId="{0D678D7F-EBC7-4E66-9B93-78BC6CCF365C}"/>
    <dgm:cxn modelId="{A7EBE4DC-567F-40C1-8312-DD54F2257A2B}" type="presOf" srcId="{90D7B7EC-BC06-470D-8D95-7BB991915F2A}" destId="{574B43CA-8E27-4247-9C6F-87E18BDBA369}" srcOrd="0" destOrd="0" presId="urn:microsoft.com/office/officeart/2005/8/layout/orgChart1"/>
    <dgm:cxn modelId="{9762CEF0-53D6-494E-BC53-E01A1B809D5A}" type="presOf" srcId="{5C244229-6757-4736-A13C-D918290AEBB7}" destId="{7468CBF7-919D-468F-9071-5E48F99F40AD}" srcOrd="0" destOrd="0" presId="urn:microsoft.com/office/officeart/2005/8/layout/orgChart1"/>
    <dgm:cxn modelId="{2CE295A6-A1CC-4429-934C-A3EF915B2488}" type="presParOf" srcId="{FD727DE0-AE70-403A-B787-537065FC9B45}" destId="{B9E9E2DB-CD3D-41CD-94C9-465C1B6881AB}" srcOrd="0" destOrd="0" presId="urn:microsoft.com/office/officeart/2005/8/layout/orgChart1"/>
    <dgm:cxn modelId="{936F598F-E290-447F-B791-18D2B890CE05}" type="presParOf" srcId="{B9E9E2DB-CD3D-41CD-94C9-465C1B6881AB}" destId="{3A73B13C-1155-4FFB-BEC3-F7017BB51633}" srcOrd="0" destOrd="0" presId="urn:microsoft.com/office/officeart/2005/8/layout/orgChart1"/>
    <dgm:cxn modelId="{CE4E9889-397D-4A19-B302-419E0DCD0293}" type="presParOf" srcId="{3A73B13C-1155-4FFB-BEC3-F7017BB51633}" destId="{529CEFB8-C1C2-418D-89D8-0D9F9FB5885E}" srcOrd="0" destOrd="0" presId="urn:microsoft.com/office/officeart/2005/8/layout/orgChart1"/>
    <dgm:cxn modelId="{0BEA49C6-2F38-471F-80DF-7051AB38E0AC}" type="presParOf" srcId="{3A73B13C-1155-4FFB-BEC3-F7017BB51633}" destId="{AAD73E01-1863-48CB-AC0B-AB067D495289}" srcOrd="1" destOrd="0" presId="urn:microsoft.com/office/officeart/2005/8/layout/orgChart1"/>
    <dgm:cxn modelId="{7C0BA4FA-3247-485A-9344-B23253B9842F}" type="presParOf" srcId="{B9E9E2DB-CD3D-41CD-94C9-465C1B6881AB}" destId="{AE19498A-F931-4F95-B594-B923001552D3}" srcOrd="1" destOrd="0" presId="urn:microsoft.com/office/officeart/2005/8/layout/orgChart1"/>
    <dgm:cxn modelId="{1B44767F-71DB-48EA-BA25-422FC997ECF4}" type="presParOf" srcId="{AE19498A-F931-4F95-B594-B923001552D3}" destId="{574B43CA-8E27-4247-9C6F-87E18BDBA369}" srcOrd="0" destOrd="0" presId="urn:microsoft.com/office/officeart/2005/8/layout/orgChart1"/>
    <dgm:cxn modelId="{AB47919B-8D1B-44DD-A2F7-34B3EBC05D95}" type="presParOf" srcId="{AE19498A-F931-4F95-B594-B923001552D3}" destId="{06EE12E4-A0CD-4688-91CE-411C02B37C3F}" srcOrd="1" destOrd="0" presId="urn:microsoft.com/office/officeart/2005/8/layout/orgChart1"/>
    <dgm:cxn modelId="{0ADD70C9-3D90-406D-BD49-718EF7E544FE}" type="presParOf" srcId="{06EE12E4-A0CD-4688-91CE-411C02B37C3F}" destId="{579D315F-969A-4E26-8F34-2D0CE471CA37}" srcOrd="0" destOrd="0" presId="urn:microsoft.com/office/officeart/2005/8/layout/orgChart1"/>
    <dgm:cxn modelId="{2FF4BD77-B508-422A-9A99-30C35BF978E4}" type="presParOf" srcId="{579D315F-969A-4E26-8F34-2D0CE471CA37}" destId="{20028B5C-E936-422D-B387-00A18929E252}" srcOrd="0" destOrd="0" presId="urn:microsoft.com/office/officeart/2005/8/layout/orgChart1"/>
    <dgm:cxn modelId="{71496C3C-09E1-4C3E-91EC-90374D430F58}" type="presParOf" srcId="{579D315F-969A-4E26-8F34-2D0CE471CA37}" destId="{93387B9E-6EB0-4B06-8ACD-5D2407EF3950}" srcOrd="1" destOrd="0" presId="urn:microsoft.com/office/officeart/2005/8/layout/orgChart1"/>
    <dgm:cxn modelId="{719384A0-D147-4AC4-B838-701A52B65C96}" type="presParOf" srcId="{06EE12E4-A0CD-4688-91CE-411C02B37C3F}" destId="{9B797D21-88CD-4804-AC96-688596A3F04E}" srcOrd="1" destOrd="0" presId="urn:microsoft.com/office/officeart/2005/8/layout/orgChart1"/>
    <dgm:cxn modelId="{6381B514-D4F1-46F6-9C3F-D03113CD797D}" type="presParOf" srcId="{9B797D21-88CD-4804-AC96-688596A3F04E}" destId="{74A07636-120F-4F45-A870-9F041D894C1E}" srcOrd="0" destOrd="0" presId="urn:microsoft.com/office/officeart/2005/8/layout/orgChart1"/>
    <dgm:cxn modelId="{B7A8A695-F8C3-4E89-B5B3-B321137EC0C7}" type="presParOf" srcId="{9B797D21-88CD-4804-AC96-688596A3F04E}" destId="{9BEB941A-857B-434B-8B6A-B2980561601B}" srcOrd="1" destOrd="0" presId="urn:microsoft.com/office/officeart/2005/8/layout/orgChart1"/>
    <dgm:cxn modelId="{54F4AFB8-1AF0-4E2D-9C21-EB516B0CFDA4}" type="presParOf" srcId="{9BEB941A-857B-434B-8B6A-B2980561601B}" destId="{E0F27D2F-BB56-450F-8CAC-19873A3DD457}" srcOrd="0" destOrd="0" presId="urn:microsoft.com/office/officeart/2005/8/layout/orgChart1"/>
    <dgm:cxn modelId="{267857C1-7186-42C4-ACEB-477259A48F9D}" type="presParOf" srcId="{E0F27D2F-BB56-450F-8CAC-19873A3DD457}" destId="{7468CBF7-919D-468F-9071-5E48F99F40AD}" srcOrd="0" destOrd="0" presId="urn:microsoft.com/office/officeart/2005/8/layout/orgChart1"/>
    <dgm:cxn modelId="{DAADFAF5-60E6-4DEA-8B55-F29560373372}" type="presParOf" srcId="{E0F27D2F-BB56-450F-8CAC-19873A3DD457}" destId="{1B016D9B-92B8-4332-BA9B-F52B18033272}" srcOrd="1" destOrd="0" presId="urn:microsoft.com/office/officeart/2005/8/layout/orgChart1"/>
    <dgm:cxn modelId="{2B6F443F-5816-4403-9C39-E75D2E9C811C}" type="presParOf" srcId="{9BEB941A-857B-434B-8B6A-B2980561601B}" destId="{082C5626-7F4A-40ED-A293-297763A48697}" srcOrd="1" destOrd="0" presId="urn:microsoft.com/office/officeart/2005/8/layout/orgChart1"/>
    <dgm:cxn modelId="{F2DC79BB-BC21-48EF-8C9E-717A1F0F7C53}" type="presParOf" srcId="{9BEB941A-857B-434B-8B6A-B2980561601B}" destId="{7CD65079-9135-4DDF-9701-011B9B172861}" srcOrd="2" destOrd="0" presId="urn:microsoft.com/office/officeart/2005/8/layout/orgChart1"/>
    <dgm:cxn modelId="{F31DE444-31F0-4192-9CDB-0897687316C2}" type="presParOf" srcId="{06EE12E4-A0CD-4688-91CE-411C02B37C3F}" destId="{2DF73420-20A5-4C96-B54D-6D9A8481E8EA}" srcOrd="2" destOrd="0" presId="urn:microsoft.com/office/officeart/2005/8/layout/orgChart1"/>
    <dgm:cxn modelId="{CB9CC0F2-AFB0-406C-8538-837A0D8F3EED}" type="presParOf" srcId="{AE19498A-F931-4F95-B594-B923001552D3}" destId="{0DA5B768-A2EA-4D57-B704-0DD531F20D38}" srcOrd="2" destOrd="0" presId="urn:microsoft.com/office/officeart/2005/8/layout/orgChart1"/>
    <dgm:cxn modelId="{C8738509-5FB7-4592-8EAF-0D90A8177721}" type="presParOf" srcId="{AE19498A-F931-4F95-B594-B923001552D3}" destId="{3EF7C4F3-73FB-4A51-AC17-C303F014CF73}" srcOrd="3" destOrd="0" presId="urn:microsoft.com/office/officeart/2005/8/layout/orgChart1"/>
    <dgm:cxn modelId="{17AFE62C-9D6B-4F71-8073-E7FC6FB60CC8}" type="presParOf" srcId="{3EF7C4F3-73FB-4A51-AC17-C303F014CF73}" destId="{5B392ED4-8C74-44DE-BD7B-BB90D399043F}" srcOrd="0" destOrd="0" presId="urn:microsoft.com/office/officeart/2005/8/layout/orgChart1"/>
    <dgm:cxn modelId="{8CF5AECC-E8E3-4C0D-AFAB-D12616CD8F9F}" type="presParOf" srcId="{5B392ED4-8C74-44DE-BD7B-BB90D399043F}" destId="{6BF0F273-FD07-4FD7-932D-EA4732F6CA8B}" srcOrd="0" destOrd="0" presId="urn:microsoft.com/office/officeart/2005/8/layout/orgChart1"/>
    <dgm:cxn modelId="{3F4B4263-2D84-42BF-8A32-B3C8B949799F}" type="presParOf" srcId="{5B392ED4-8C74-44DE-BD7B-BB90D399043F}" destId="{F02E52D5-6AE7-4EB1-9FA3-41B2378E7E0F}" srcOrd="1" destOrd="0" presId="urn:microsoft.com/office/officeart/2005/8/layout/orgChart1"/>
    <dgm:cxn modelId="{C9D8B2BB-EB41-49DA-ACF2-A33EC6C4C204}" type="presParOf" srcId="{3EF7C4F3-73FB-4A51-AC17-C303F014CF73}" destId="{BD7FD649-434C-4EA6-BBAC-69D2A1DA9551}" srcOrd="1" destOrd="0" presId="urn:microsoft.com/office/officeart/2005/8/layout/orgChart1"/>
    <dgm:cxn modelId="{4B6634D3-FA4E-4AFE-9E02-5BB83535CBEB}" type="presParOf" srcId="{BD7FD649-434C-4EA6-BBAC-69D2A1DA9551}" destId="{A2447C9E-116E-43FC-94D2-419C5CF84827}" srcOrd="0" destOrd="0" presId="urn:microsoft.com/office/officeart/2005/8/layout/orgChart1"/>
    <dgm:cxn modelId="{CB3C07EB-F89C-487E-9279-866CBD5466E1}" type="presParOf" srcId="{BD7FD649-434C-4EA6-BBAC-69D2A1DA9551}" destId="{0836CB6A-5528-49D5-81EC-2B7D5425DCA2}" srcOrd="1" destOrd="0" presId="urn:microsoft.com/office/officeart/2005/8/layout/orgChart1"/>
    <dgm:cxn modelId="{9AD2DEBC-E055-4F32-BECE-08095C6EAD0D}" type="presParOf" srcId="{0836CB6A-5528-49D5-81EC-2B7D5425DCA2}" destId="{7B57B0CC-A409-4365-A0D8-159DC447ED6A}" srcOrd="0" destOrd="0" presId="urn:microsoft.com/office/officeart/2005/8/layout/orgChart1"/>
    <dgm:cxn modelId="{199BCC2E-AF4E-48E1-8BB0-F8F9C88816C8}" type="presParOf" srcId="{7B57B0CC-A409-4365-A0D8-159DC447ED6A}" destId="{BA9905AE-CC09-4334-9904-6A2AA3F22C62}" srcOrd="0" destOrd="0" presId="urn:microsoft.com/office/officeart/2005/8/layout/orgChart1"/>
    <dgm:cxn modelId="{8235162D-7EC9-41DB-B787-B8DD6192D175}" type="presParOf" srcId="{7B57B0CC-A409-4365-A0D8-159DC447ED6A}" destId="{9C29EF10-D405-40A6-BF6D-BA0DDE511137}" srcOrd="1" destOrd="0" presId="urn:microsoft.com/office/officeart/2005/8/layout/orgChart1"/>
    <dgm:cxn modelId="{5E1A8F4D-6468-4D76-B43B-AE1A62CFAA43}" type="presParOf" srcId="{0836CB6A-5528-49D5-81EC-2B7D5425DCA2}" destId="{C5334BFB-EF54-4499-B508-5A5F02060903}" srcOrd="1" destOrd="0" presId="urn:microsoft.com/office/officeart/2005/8/layout/orgChart1"/>
    <dgm:cxn modelId="{3B7C7AB3-E224-4166-89D8-BC05B3895226}" type="presParOf" srcId="{0836CB6A-5528-49D5-81EC-2B7D5425DCA2}" destId="{D43F18BC-70A4-4606-8CA2-D6501979BF9D}" srcOrd="2" destOrd="0" presId="urn:microsoft.com/office/officeart/2005/8/layout/orgChart1"/>
    <dgm:cxn modelId="{957E7AAE-DA01-4A61-98A2-B3199B761E60}" type="presParOf" srcId="{3EF7C4F3-73FB-4A51-AC17-C303F014CF73}" destId="{4587C9FD-8379-41F6-BFD0-661DC256C324}" srcOrd="2" destOrd="0" presId="urn:microsoft.com/office/officeart/2005/8/layout/orgChart1"/>
    <dgm:cxn modelId="{F230AB62-55D6-45CE-A1DB-E1557FFF00CA}" type="presParOf" srcId="{AE19498A-F931-4F95-B594-B923001552D3}" destId="{FE5B1CFB-FBB0-4207-B1FE-0F299B8E6CC1}" srcOrd="4" destOrd="0" presId="urn:microsoft.com/office/officeart/2005/8/layout/orgChart1"/>
    <dgm:cxn modelId="{4D9D8582-CC12-4218-BA47-EDFE5102C805}" type="presParOf" srcId="{AE19498A-F931-4F95-B594-B923001552D3}" destId="{F6B2B9CC-F4D4-4B37-97E0-D2A6F2D9FC5D}" srcOrd="5" destOrd="0" presId="urn:microsoft.com/office/officeart/2005/8/layout/orgChart1"/>
    <dgm:cxn modelId="{A4DAA222-9CF2-432A-BB7F-556D29869A79}" type="presParOf" srcId="{F6B2B9CC-F4D4-4B37-97E0-D2A6F2D9FC5D}" destId="{3ACA5AC7-562B-42C7-B2AD-4F9F8FCF3B96}" srcOrd="0" destOrd="0" presId="urn:microsoft.com/office/officeart/2005/8/layout/orgChart1"/>
    <dgm:cxn modelId="{22CABBAE-EA04-4552-A5A3-9E024D59A7A7}" type="presParOf" srcId="{3ACA5AC7-562B-42C7-B2AD-4F9F8FCF3B96}" destId="{90B4AA2A-B4FC-4AA6-8EB3-CBE355CA1DCA}" srcOrd="0" destOrd="0" presId="urn:microsoft.com/office/officeart/2005/8/layout/orgChart1"/>
    <dgm:cxn modelId="{614A5899-14B1-4CBF-A656-BBE780D40F75}" type="presParOf" srcId="{3ACA5AC7-562B-42C7-B2AD-4F9F8FCF3B96}" destId="{7295B16B-5226-48A1-85D2-AFA85BEC15C7}" srcOrd="1" destOrd="0" presId="urn:microsoft.com/office/officeart/2005/8/layout/orgChart1"/>
    <dgm:cxn modelId="{CA4AA758-E567-4A7C-A1AB-DC4304C8BB96}" type="presParOf" srcId="{F6B2B9CC-F4D4-4B37-97E0-D2A6F2D9FC5D}" destId="{A40EDCE0-D18D-4E98-99DB-5356EB32C3DD}" srcOrd="1" destOrd="0" presId="urn:microsoft.com/office/officeart/2005/8/layout/orgChart1"/>
    <dgm:cxn modelId="{7DF6BEB7-9FE0-4B9F-B0F7-2612FC1EA4AA}" type="presParOf" srcId="{A40EDCE0-D18D-4E98-99DB-5356EB32C3DD}" destId="{75559698-B3F6-405D-A3C4-716FDD478E9A}" srcOrd="0" destOrd="0" presId="urn:microsoft.com/office/officeart/2005/8/layout/orgChart1"/>
    <dgm:cxn modelId="{DE879293-297D-42F3-A52B-F5C08B924E9C}" type="presParOf" srcId="{A40EDCE0-D18D-4E98-99DB-5356EB32C3DD}" destId="{62DA4494-5BC4-4CA6-9BB2-E1EDB64E46EF}" srcOrd="1" destOrd="0" presId="urn:microsoft.com/office/officeart/2005/8/layout/orgChart1"/>
    <dgm:cxn modelId="{CAA4355E-780B-49EA-9BE4-8CDFA4388687}" type="presParOf" srcId="{62DA4494-5BC4-4CA6-9BB2-E1EDB64E46EF}" destId="{5FF157D4-15CE-40AF-ACFA-2763BBED40B5}" srcOrd="0" destOrd="0" presId="urn:microsoft.com/office/officeart/2005/8/layout/orgChart1"/>
    <dgm:cxn modelId="{8799B91B-2B62-40D8-A315-F06E31A85353}" type="presParOf" srcId="{5FF157D4-15CE-40AF-ACFA-2763BBED40B5}" destId="{D19FDCED-0D13-4671-B0C8-3AD3CF2E77D2}" srcOrd="0" destOrd="0" presId="urn:microsoft.com/office/officeart/2005/8/layout/orgChart1"/>
    <dgm:cxn modelId="{246444B2-55FF-49F5-B602-EBCD5AF590D6}" type="presParOf" srcId="{5FF157D4-15CE-40AF-ACFA-2763BBED40B5}" destId="{E53BFA2A-134B-49C1-9C69-733510327282}" srcOrd="1" destOrd="0" presId="urn:microsoft.com/office/officeart/2005/8/layout/orgChart1"/>
    <dgm:cxn modelId="{BBA9D0B0-3308-494D-8FD7-5AA648416FC9}" type="presParOf" srcId="{62DA4494-5BC4-4CA6-9BB2-E1EDB64E46EF}" destId="{DFED6A2F-C7FE-4A38-B740-F1DDEBC79248}" srcOrd="1" destOrd="0" presId="urn:microsoft.com/office/officeart/2005/8/layout/orgChart1"/>
    <dgm:cxn modelId="{59CCDC80-8E62-4BD5-87FA-EA77D7EB486A}" type="presParOf" srcId="{62DA4494-5BC4-4CA6-9BB2-E1EDB64E46EF}" destId="{EFECAC92-AE2F-460E-BD88-DCAC6E0A4460}" srcOrd="2" destOrd="0" presId="urn:microsoft.com/office/officeart/2005/8/layout/orgChart1"/>
    <dgm:cxn modelId="{7E1EF72F-6AE3-4F5A-9F6F-6E8DA9A0AA73}" type="presParOf" srcId="{F6B2B9CC-F4D4-4B37-97E0-D2A6F2D9FC5D}" destId="{277177AD-CD83-400E-9C3F-7D620DAD3191}" srcOrd="2" destOrd="0" presId="urn:microsoft.com/office/officeart/2005/8/layout/orgChart1"/>
    <dgm:cxn modelId="{01CA9E09-23B5-40E1-89FB-6291D6CA42A4}" type="presParOf" srcId="{B9E9E2DB-CD3D-41CD-94C9-465C1B6881AB}" destId="{7624B4B7-E9A9-4C98-A909-85E3226D3FEF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3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5559698-B3F6-405D-A3C4-716FDD478E9A}">
      <dsp:nvSpPr>
        <dsp:cNvPr id="0" name=""/>
        <dsp:cNvSpPr/>
      </dsp:nvSpPr>
      <dsp:spPr>
        <a:xfrm>
          <a:off x="4757800" y="1490828"/>
          <a:ext cx="295943" cy="66795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67953"/>
              </a:lnTo>
              <a:lnTo>
                <a:pt x="295943" y="667953"/>
              </a:lnTo>
            </a:path>
          </a:pathLst>
        </a:custGeom>
        <a:noFill/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E5B1CFB-FBB0-4207-B1FE-0F299B8E6CC1}">
      <dsp:nvSpPr>
        <dsp:cNvPr id="0" name=""/>
        <dsp:cNvSpPr/>
      </dsp:nvSpPr>
      <dsp:spPr>
        <a:xfrm>
          <a:off x="3188296" y="608440"/>
          <a:ext cx="2358687" cy="30493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2467"/>
              </a:lnTo>
              <a:lnTo>
                <a:pt x="2358687" y="152467"/>
              </a:lnTo>
              <a:lnTo>
                <a:pt x="2358687" y="304935"/>
              </a:lnTo>
            </a:path>
          </a:pathLst>
        </a:custGeom>
        <a:noFill/>
        <a:ln w="25400" cap="flat" cmpd="sng" algn="ctr">
          <a:solidFill>
            <a:srgbClr val="004C6E"/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2447C9E-116E-43FC-94D2-419C5CF84827}">
      <dsp:nvSpPr>
        <dsp:cNvPr id="0" name=""/>
        <dsp:cNvSpPr/>
      </dsp:nvSpPr>
      <dsp:spPr>
        <a:xfrm>
          <a:off x="2397655" y="1501283"/>
          <a:ext cx="378129" cy="65749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57498"/>
              </a:lnTo>
              <a:lnTo>
                <a:pt x="378129" y="657498"/>
              </a:lnTo>
            </a:path>
          </a:pathLst>
        </a:custGeom>
        <a:noFill/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DA5B768-A2EA-4D57-B704-0DD531F20D38}">
      <dsp:nvSpPr>
        <dsp:cNvPr id="0" name=""/>
        <dsp:cNvSpPr/>
      </dsp:nvSpPr>
      <dsp:spPr>
        <a:xfrm>
          <a:off x="3141153" y="608440"/>
          <a:ext cx="91440" cy="315390"/>
        </a:xfrm>
        <a:custGeom>
          <a:avLst/>
          <a:gdLst/>
          <a:ahLst/>
          <a:cxnLst/>
          <a:rect l="0" t="0" r="0" b="0"/>
          <a:pathLst>
            <a:path>
              <a:moveTo>
                <a:pt x="47143" y="0"/>
              </a:moveTo>
              <a:lnTo>
                <a:pt x="47143" y="162922"/>
              </a:lnTo>
              <a:lnTo>
                <a:pt x="45720" y="162922"/>
              </a:lnTo>
              <a:lnTo>
                <a:pt x="45720" y="315390"/>
              </a:lnTo>
            </a:path>
          </a:pathLst>
        </a:custGeom>
        <a:noFill/>
        <a:ln w="25400" cap="flat" cmpd="sng" algn="ctr">
          <a:solidFill>
            <a:srgbClr val="004C6E"/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4A07636-120F-4F45-A870-9F041D894C1E}">
      <dsp:nvSpPr>
        <dsp:cNvPr id="0" name=""/>
        <dsp:cNvSpPr/>
      </dsp:nvSpPr>
      <dsp:spPr>
        <a:xfrm>
          <a:off x="201846" y="1490828"/>
          <a:ext cx="295956" cy="66795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67953"/>
              </a:lnTo>
              <a:lnTo>
                <a:pt x="295956" y="667953"/>
              </a:lnTo>
            </a:path>
          </a:pathLst>
        </a:custGeom>
        <a:noFill/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74B43CA-8E27-4247-9C6F-87E18BDBA369}">
      <dsp:nvSpPr>
        <dsp:cNvPr id="0" name=""/>
        <dsp:cNvSpPr/>
      </dsp:nvSpPr>
      <dsp:spPr>
        <a:xfrm>
          <a:off x="991065" y="608440"/>
          <a:ext cx="2197231" cy="304935"/>
        </a:xfrm>
        <a:custGeom>
          <a:avLst/>
          <a:gdLst/>
          <a:ahLst/>
          <a:cxnLst/>
          <a:rect l="0" t="0" r="0" b="0"/>
          <a:pathLst>
            <a:path>
              <a:moveTo>
                <a:pt x="2197231" y="0"/>
              </a:moveTo>
              <a:lnTo>
                <a:pt x="2197231" y="152467"/>
              </a:lnTo>
              <a:lnTo>
                <a:pt x="0" y="152467"/>
              </a:lnTo>
              <a:lnTo>
                <a:pt x="0" y="304935"/>
              </a:lnTo>
            </a:path>
          </a:pathLst>
        </a:custGeom>
        <a:noFill/>
        <a:ln w="25400" cap="flat" cmpd="sng" algn="ctr">
          <a:solidFill>
            <a:srgbClr val="004C6E"/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29CEFB8-C1C2-418D-89D8-0D9F9FB5885E}">
      <dsp:nvSpPr>
        <dsp:cNvPr id="0" name=""/>
        <dsp:cNvSpPr/>
      </dsp:nvSpPr>
      <dsp:spPr>
        <a:xfrm>
          <a:off x="1771082" y="30900"/>
          <a:ext cx="2834429" cy="577539"/>
        </a:xfrm>
        <a:prstGeom prst="rect">
          <a:avLst/>
        </a:prstGeom>
        <a:solidFill>
          <a:schemeClr val="tx2">
            <a:lumMod val="75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000" kern="1200">
              <a:solidFill>
                <a:schemeClr val="bg1"/>
              </a:solidFill>
            </a:rPr>
            <a:t>Individuals using Levemir</a:t>
          </a:r>
          <a:r>
            <a:rPr lang="en-AU" sz="1000" kern="1200" baseline="30000">
              <a:solidFill>
                <a:schemeClr val="bg1"/>
              </a:solidFill>
            </a:rPr>
            <a:t>®</a:t>
          </a:r>
          <a:r>
            <a:rPr lang="en-AU" sz="1000" kern="1200" baseline="0">
              <a:solidFill>
                <a:schemeClr val="bg1"/>
              </a:solidFill>
            </a:rPr>
            <a:t> (insulin detemir</a:t>
          </a:r>
          <a:r>
            <a:rPr lang="en-AU" sz="1000" kern="1200" baseline="0"/>
            <a:t>)</a:t>
          </a:r>
          <a:endParaRPr lang="en-AU" sz="1000" kern="1200" baseline="30000"/>
        </a:p>
      </dsp:txBody>
      <dsp:txXfrm>
        <a:off x="1771082" y="30900"/>
        <a:ext cx="2834429" cy="577539"/>
      </dsp:txXfrm>
    </dsp:sp>
    <dsp:sp modelId="{20028B5C-E936-422D-B387-00A18929E252}">
      <dsp:nvSpPr>
        <dsp:cNvPr id="0" name=""/>
        <dsp:cNvSpPr/>
      </dsp:nvSpPr>
      <dsp:spPr>
        <a:xfrm>
          <a:off x="4542" y="913375"/>
          <a:ext cx="1973046" cy="577452"/>
        </a:xfrm>
        <a:prstGeom prst="rect">
          <a:avLst/>
        </a:prstGeom>
        <a:solidFill>
          <a:srgbClr val="004C6E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000" kern="1200"/>
            <a:t>Once daily Levemir</a:t>
          </a:r>
          <a:r>
            <a:rPr lang="en-AU" sz="1000" kern="1200" baseline="30000"/>
            <a:t>®</a:t>
          </a:r>
        </a:p>
      </dsp:txBody>
      <dsp:txXfrm>
        <a:off x="4542" y="913375"/>
        <a:ext cx="1973046" cy="577452"/>
      </dsp:txXfrm>
    </dsp:sp>
    <dsp:sp modelId="{7468CBF7-919D-468F-9071-5E48F99F40AD}">
      <dsp:nvSpPr>
        <dsp:cNvPr id="0" name=""/>
        <dsp:cNvSpPr/>
      </dsp:nvSpPr>
      <dsp:spPr>
        <a:xfrm>
          <a:off x="497803" y="1795763"/>
          <a:ext cx="1719703" cy="72603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000" kern="1200"/>
            <a:t>Once daily insulin glargine or degludec at </a:t>
          </a:r>
          <a:br>
            <a:rPr lang="en-AU" sz="1000" kern="1200"/>
          </a:br>
          <a:r>
            <a:rPr lang="en-AU" sz="1000" kern="1200"/>
            <a:t>80-90% of the total daily </a:t>
          </a:r>
          <a:br>
            <a:rPr lang="en-AU" sz="1000" kern="1200"/>
          </a:br>
          <a:r>
            <a:rPr lang="en-AU" sz="1000" kern="1200"/>
            <a:t>basal insulin dose </a:t>
          </a:r>
          <a:endParaRPr lang="en-AU" sz="1000" kern="1200" baseline="30000"/>
        </a:p>
      </dsp:txBody>
      <dsp:txXfrm>
        <a:off x="497803" y="1795763"/>
        <a:ext cx="1719703" cy="726035"/>
      </dsp:txXfrm>
    </dsp:sp>
    <dsp:sp modelId="{6BF0F273-FD07-4FD7-932D-EA4732F6CA8B}">
      <dsp:nvSpPr>
        <dsp:cNvPr id="0" name=""/>
        <dsp:cNvSpPr/>
      </dsp:nvSpPr>
      <dsp:spPr>
        <a:xfrm>
          <a:off x="2200350" y="923830"/>
          <a:ext cx="1973046" cy="577452"/>
        </a:xfrm>
        <a:prstGeom prst="rect">
          <a:avLst/>
        </a:prstGeom>
        <a:solidFill>
          <a:srgbClr val="004C6E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Times New Roman" panose="02020603050405020304" pitchFamily="18" charset="0"/>
            <a:buNone/>
          </a:pPr>
          <a:r>
            <a:rPr lang="en-AU" sz="1000" kern="1200"/>
            <a:t>Twice daily Levemir</a:t>
          </a:r>
          <a:r>
            <a:rPr lang="en-AU" sz="1000" kern="1200" baseline="30000"/>
            <a:t>®</a:t>
          </a:r>
          <a:r>
            <a:rPr lang="en-AU" sz="1000" kern="1200"/>
            <a:t>, 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Times New Roman" panose="02020603050405020304" pitchFamily="18" charset="0"/>
            <a:buNone/>
          </a:pPr>
          <a:r>
            <a:rPr lang="en-AU" sz="1000" kern="1200"/>
            <a:t>equal doses</a:t>
          </a:r>
          <a:endParaRPr lang="en-AU" sz="1000" kern="1200" baseline="30000"/>
        </a:p>
      </dsp:txBody>
      <dsp:txXfrm>
        <a:off x="2200350" y="923830"/>
        <a:ext cx="1973046" cy="577452"/>
      </dsp:txXfrm>
    </dsp:sp>
    <dsp:sp modelId="{BA9905AE-CC09-4334-9904-6A2AA3F22C62}">
      <dsp:nvSpPr>
        <dsp:cNvPr id="0" name=""/>
        <dsp:cNvSpPr/>
      </dsp:nvSpPr>
      <dsp:spPr>
        <a:xfrm>
          <a:off x="2775785" y="1795763"/>
          <a:ext cx="1719703" cy="72603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000" kern="1200"/>
            <a:t>Once daily insulin glargine or degludec at 80-90% of the total daily basal insulin dose</a:t>
          </a:r>
          <a:endParaRPr lang="en-AU" sz="1000" kern="1200" baseline="30000"/>
        </a:p>
      </dsp:txBody>
      <dsp:txXfrm>
        <a:off x="2775785" y="1795763"/>
        <a:ext cx="1719703" cy="726035"/>
      </dsp:txXfrm>
    </dsp:sp>
    <dsp:sp modelId="{90B4AA2A-B4FC-4AA6-8EB3-CBE355CA1DCA}">
      <dsp:nvSpPr>
        <dsp:cNvPr id="0" name=""/>
        <dsp:cNvSpPr/>
      </dsp:nvSpPr>
      <dsp:spPr>
        <a:xfrm>
          <a:off x="4560504" y="913375"/>
          <a:ext cx="1972959" cy="577452"/>
        </a:xfrm>
        <a:prstGeom prst="rect">
          <a:avLst/>
        </a:prstGeom>
        <a:solidFill>
          <a:srgbClr val="004C6E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000" kern="1200"/>
            <a:t>Twice daily Levemir</a:t>
          </a:r>
          <a:r>
            <a:rPr lang="en-AU" sz="1000" kern="1200" baseline="30000"/>
            <a:t>®</a:t>
          </a:r>
          <a:r>
            <a:rPr lang="en-AU" sz="1000" kern="1200"/>
            <a:t>, unequal doses (more than 20% difference between two doses)</a:t>
          </a:r>
          <a:endParaRPr lang="en-AU" sz="1000" kern="1200" baseline="30000"/>
        </a:p>
      </dsp:txBody>
      <dsp:txXfrm>
        <a:off x="4560504" y="913375"/>
        <a:ext cx="1972959" cy="577452"/>
      </dsp:txXfrm>
    </dsp:sp>
    <dsp:sp modelId="{D19FDCED-0D13-4671-B0C8-3AD3CF2E77D2}">
      <dsp:nvSpPr>
        <dsp:cNvPr id="0" name=""/>
        <dsp:cNvSpPr/>
      </dsp:nvSpPr>
      <dsp:spPr>
        <a:xfrm>
          <a:off x="5053744" y="1795763"/>
          <a:ext cx="1719703" cy="72603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000" kern="1200"/>
            <a:t>Personalise the switch according to dose and daily routine</a:t>
          </a:r>
          <a:endParaRPr lang="en-AU" sz="1000" kern="1200" baseline="30000"/>
        </a:p>
      </dsp:txBody>
      <dsp:txXfrm>
        <a:off x="5053744" y="1795763"/>
        <a:ext cx="1719703" cy="72603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2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SQH">
      <a:dk1>
        <a:srgbClr val="000000"/>
      </a:dk1>
      <a:lt1>
        <a:srgbClr val="FFFFFF"/>
      </a:lt1>
      <a:dk2>
        <a:srgbClr val="D3BBFD"/>
      </a:dk2>
      <a:lt2>
        <a:srgbClr val="F0E8FE"/>
      </a:lt2>
      <a:accent1>
        <a:srgbClr val="421A75"/>
      </a:accent1>
      <a:accent2>
        <a:srgbClr val="890014"/>
      </a:accent2>
      <a:accent3>
        <a:srgbClr val="004C6E"/>
      </a:accent3>
      <a:accent4>
        <a:srgbClr val="B58EFB"/>
      </a:accent4>
      <a:accent5>
        <a:srgbClr val="FF959A"/>
      </a:accent5>
      <a:accent6>
        <a:srgbClr val="6ECCDF"/>
      </a:accent6>
      <a:hlink>
        <a:srgbClr val="000000"/>
      </a:hlink>
      <a:folHlink>
        <a:srgbClr val="00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743DCC77DB274DB22D4DDF53FCBF5F" ma:contentTypeVersion="19" ma:contentTypeDescription="Create a new document." ma:contentTypeScope="" ma:versionID="41766abdcb5c2a760298207a2a89c79f">
  <xsd:schema xmlns:xsd="http://www.w3.org/2001/XMLSchema" xmlns:xs="http://www.w3.org/2001/XMLSchema" xmlns:p="http://schemas.microsoft.com/office/2006/metadata/properties" xmlns:ns2="4498f89d-1eae-456b-90f1-fc78c5fe8b2a" xmlns:ns3="ac66711c-8613-4dde-a928-6bd510ab7da4" targetNamespace="http://schemas.microsoft.com/office/2006/metadata/properties" ma:root="true" ma:fieldsID="18ffefc133988b21c37714a1633b3c26" ns2:_="" ns3:_="">
    <xsd:import namespace="4498f89d-1eae-456b-90f1-fc78c5fe8b2a"/>
    <xsd:import namespace="ac66711c-8613-4dde-a928-6bd510ab7da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89d-1eae-456b-90f1-fc78c5fe8b2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3bf5309-f60c-4adc-92cd-c2ac96d59903}" ma:internalName="TaxCatchAll" ma:showField="CatchAllData" ma:web="4498f89d-1eae-456b-90f1-fc78c5fe8b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66711c-8613-4dde-a928-6bd510ab7d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98f89d-1eae-456b-90f1-fc78c5fe8b2a" xsi:nil="true"/>
    <lcf76f155ced4ddcb4097134ff3c332f xmlns="ac66711c-8613-4dde-a928-6bd510ab7da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07F60A6-171E-40CD-A237-6262928436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095A4E-0D56-41A7-9EDA-F2E6ABAB71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89d-1eae-456b-90f1-fc78c5fe8b2a"/>
    <ds:schemaRef ds:uri="ac66711c-8613-4dde-a928-6bd510ab7d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F8C92D-10A9-4FC9-9058-DE83686AD5E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8B132FD-DB8A-4E73-99EF-46D0D2A817A1}">
  <ds:schemaRefs>
    <ds:schemaRef ds:uri="http://schemas.microsoft.com/office/2006/metadata/properties"/>
    <ds:schemaRef ds:uri="http://schemas.microsoft.com/office/infopath/2007/PartnerControls"/>
    <ds:schemaRef ds:uri="4498f89d-1eae-456b-90f1-fc78c5fe8b2a"/>
    <ds:schemaRef ds:uri="ac66711c-8613-4dde-a928-6bd510ab7da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D25-28526  Template - ACSQHC - Fact sheet - Corporate - 4 page max - July 2025(3).DOTX</Template>
  <TotalTime>0</TotalTime>
  <Pages>4</Pages>
  <Words>1809</Words>
  <Characters>10314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HALENA, Stephanie</dc:creator>
  <cp:keywords/>
  <cp:lastModifiedBy>JESSOP, Tommy</cp:lastModifiedBy>
  <cp:revision>2</cp:revision>
  <cp:lastPrinted>2025-05-27T01:51:00Z</cp:lastPrinted>
  <dcterms:created xsi:type="dcterms:W3CDTF">2026-10-15T22:33:00Z</dcterms:created>
  <dcterms:modified xsi:type="dcterms:W3CDTF">2026-10-15T22:33:00Z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0x01010028743DCC77DB274DB22D4DDF53FCBF5F</vt:lpwstr>
  </property>
  <property fmtid="{D5CDD505-2E9C-101B-9397-08002B2CF9AE}" pid="3" name="ClassificationContentMarkingHeaderShapeIds">
    <vt:lpwstr>5b53715e,1c1594cf,423697cd</vt:lpwstr>
  </property>
  <property fmtid="{D5CDD505-2E9C-101B-9397-08002B2CF9AE}" pid="4" name="ClassificationContentMarkingHeaderFontProps">
    <vt:lpwstr>#ff0000,12,Aptos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589c5774,418ee133,4932fdb6</vt:lpwstr>
  </property>
  <property fmtid="{D5CDD505-2E9C-101B-9397-08002B2CF9AE}" pid="7" name="ClassificationContentMarkingFooterFontProps">
    <vt:lpwstr>#ff0000,12,Aptos</vt:lpwstr>
  </property>
  <property fmtid="{D5CDD505-2E9C-101B-9397-08002B2CF9AE}" pid="8" name="ClassificationContentMarkingFooterText">
    <vt:lpwstr>OFFICIAL</vt:lpwstr>
  </property>
  <property fmtid="{D5CDD505-2E9C-101B-9397-08002B2CF9AE}" pid="9" name="MSIP_Label_7cd3e8b9-ffed-43a8-b7f4-cc2fa0382d36_Enabled">
    <vt:lpwstr>true</vt:lpwstr>
  </property>
  <property fmtid="{D5CDD505-2E9C-101B-9397-08002B2CF9AE}" pid="10" name="MSIP_Label_7cd3e8b9-ffed-43a8-b7f4-cc2fa0382d36_SetDate">
    <vt:lpwstr>2026-06-23T06:36:03Z</vt:lpwstr>
  </property>
  <property fmtid="{D5CDD505-2E9C-101B-9397-08002B2CF9AE}" pid="11" name="MSIP_Label_7cd3e8b9-ffed-43a8-b7f4-cc2fa0382d36_Method">
    <vt:lpwstr>Privileged</vt:lpwstr>
  </property>
  <property fmtid="{D5CDD505-2E9C-101B-9397-08002B2CF9AE}" pid="12" name="MSIP_Label_7cd3e8b9-ffed-43a8-b7f4-cc2fa0382d36_Name">
    <vt:lpwstr>O</vt:lpwstr>
  </property>
  <property fmtid="{D5CDD505-2E9C-101B-9397-08002B2CF9AE}" pid="13" name="MSIP_Label_7cd3e8b9-ffed-43a8-b7f4-cc2fa0382d36_SiteId">
    <vt:lpwstr>34a3929c-73cf-4954-abfe-147dc3517892</vt:lpwstr>
  </property>
  <property fmtid="{D5CDD505-2E9C-101B-9397-08002B2CF9AE}" pid="14" name="MSIP_Label_7cd3e8b9-ffed-43a8-b7f4-cc2fa0382d36_ActionId">
    <vt:lpwstr>1363d2cd-e80d-4cf9-a5ea-a9720845522a</vt:lpwstr>
  </property>
  <property fmtid="{D5CDD505-2E9C-101B-9397-08002B2CF9AE}" pid="15" name="MSIP_Label_7cd3e8b9-ffed-43a8-b7f4-cc2fa0382d36_ContentBits">
    <vt:lpwstr>3</vt:lpwstr>
  </property>
  <property fmtid="{D5CDD505-2E9C-101B-9397-08002B2CF9AE}" pid="16" name="MSIP_Label_7cd3e8b9-ffed-43a8-b7f4-cc2fa0382d36_Tag">
    <vt:lpwstr>10, 0, 1, 1</vt:lpwstr>
  </property>
</Properties>
</file>