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BC4A9" w14:textId="13E0D480" w:rsidR="00280050" w:rsidRDefault="0034483C">
      <w:r>
        <w:rPr>
          <w:noProof/>
        </w:rPr>
        <w:drawing>
          <wp:inline distT="0" distB="0" distL="0" distR="0" wp14:anchorId="334500CD" wp14:editId="1ADA09AA">
            <wp:extent cx="5731507" cy="1912031"/>
            <wp:effectExtent l="0" t="0" r="3175" b="0"/>
            <wp:docPr id="1523338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338899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07" cy="1912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D6918" w14:textId="4990130C" w:rsidR="0034483C" w:rsidRPr="005736B0" w:rsidRDefault="00B6698F" w:rsidP="00A53D45">
      <w:pPr>
        <w:spacing w:before="120" w:after="240"/>
        <w:rPr>
          <w:rFonts w:cs="Arial"/>
          <w:b/>
          <w:color w:val="8C1E00"/>
          <w:kern w:val="0"/>
          <w:sz w:val="28"/>
          <w:szCs w:val="28"/>
          <w14:ligatures w14:val="none"/>
        </w:rPr>
      </w:pPr>
      <w:r>
        <w:rPr>
          <w:rFonts w:cs="Arial"/>
          <w:b/>
          <w:color w:val="0070C0"/>
          <w:kern w:val="0"/>
          <w:sz w:val="28"/>
          <w:szCs w:val="28"/>
          <w14:ligatures w14:val="none"/>
        </w:rPr>
        <w:br/>
      </w:r>
      <w:r w:rsidR="0034483C" w:rsidRPr="005736B0">
        <w:rPr>
          <w:rFonts w:cs="Arial"/>
          <w:b/>
          <w:color w:val="8C1E00"/>
          <w:kern w:val="0"/>
          <w:sz w:val="28"/>
          <w:szCs w:val="28"/>
          <w14:ligatures w14:val="none"/>
        </w:rPr>
        <w:t xml:space="preserve">NEWSLETTER CONTENT – FOR INTERNAL AND EXTERNAL USE </w:t>
      </w:r>
    </w:p>
    <w:p w14:paraId="0E1BE0E6" w14:textId="18073C60" w:rsidR="0034483C" w:rsidRPr="0015306F" w:rsidRDefault="005C3DB4" w:rsidP="00A53D45">
      <w:pPr>
        <w:spacing w:before="120" w:after="240"/>
        <w:rPr>
          <w:sz w:val="22"/>
          <w:szCs w:val="22"/>
        </w:rPr>
      </w:pPr>
      <w:r>
        <w:br/>
      </w:r>
      <w:r w:rsidR="005736B0">
        <w:rPr>
          <w:sz w:val="22"/>
          <w:szCs w:val="22"/>
        </w:rPr>
        <w:t xml:space="preserve">October </w:t>
      </w:r>
      <w:r w:rsidR="0034483C" w:rsidRPr="0015306F">
        <w:rPr>
          <w:sz w:val="22"/>
          <w:szCs w:val="22"/>
        </w:rPr>
        <w:t>2026</w:t>
      </w:r>
    </w:p>
    <w:p w14:paraId="6C290BC8" w14:textId="77777777" w:rsidR="005736B0" w:rsidRDefault="005736B0" w:rsidP="007B7B93">
      <w:pPr>
        <w:rPr>
          <w:rFonts w:eastAsia="Times New Roman" w:cs="Arial"/>
          <w:b/>
          <w:bCs/>
          <w:kern w:val="0"/>
          <w:sz w:val="28"/>
          <w:szCs w:val="28"/>
          <w14:ligatures w14:val="none"/>
        </w:rPr>
      </w:pPr>
      <w:r w:rsidRPr="005736B0">
        <w:rPr>
          <w:rFonts w:eastAsia="Times New Roman" w:cs="Arial"/>
          <w:b/>
          <w:bCs/>
          <w:kern w:val="0"/>
          <w:sz w:val="28"/>
          <w:szCs w:val="28"/>
          <w14:ligatures w14:val="none"/>
        </w:rPr>
        <w:t>Past, Present, Prepared for the Future</w:t>
      </w:r>
    </w:p>
    <w:p w14:paraId="564CEB9A" w14:textId="68AAAF07" w:rsidR="005736B0" w:rsidRPr="005736B0" w:rsidRDefault="005736B0" w:rsidP="005736B0">
      <w:pPr>
        <w:spacing w:before="120" w:after="120"/>
        <w:rPr>
          <w:sz w:val="22"/>
          <w:szCs w:val="22"/>
        </w:rPr>
      </w:pPr>
      <w:r w:rsidRPr="005736B0">
        <w:rPr>
          <w:sz w:val="22"/>
          <w:szCs w:val="22"/>
        </w:rPr>
        <w:t>Each year during the third week of October health</w:t>
      </w:r>
      <w:r w:rsidR="004B1911">
        <w:rPr>
          <w:sz w:val="22"/>
          <w:szCs w:val="22"/>
        </w:rPr>
        <w:t xml:space="preserve"> service</w:t>
      </w:r>
      <w:r w:rsidRPr="005736B0">
        <w:rPr>
          <w:sz w:val="22"/>
          <w:szCs w:val="22"/>
        </w:rPr>
        <w:t xml:space="preserve"> organisations across the world rally to promote effective infection prevention and control practices which protect patients, carers and healthcare workers. This </w:t>
      </w:r>
      <w:r w:rsidR="004B1911">
        <w:rPr>
          <w:sz w:val="22"/>
          <w:szCs w:val="22"/>
        </w:rPr>
        <w:t>annual event is</w:t>
      </w:r>
      <w:r w:rsidRPr="005736B0">
        <w:rPr>
          <w:sz w:val="22"/>
          <w:szCs w:val="22"/>
        </w:rPr>
        <w:t xml:space="preserve"> Infection Prevention and Control (IPC) Week.</w:t>
      </w:r>
    </w:p>
    <w:p w14:paraId="5FF767C2" w14:textId="77777777" w:rsidR="005736B0" w:rsidRPr="005736B0" w:rsidRDefault="005736B0" w:rsidP="005736B0">
      <w:pPr>
        <w:spacing w:before="120" w:after="120"/>
        <w:rPr>
          <w:b/>
          <w:bCs/>
          <w:sz w:val="22"/>
          <w:szCs w:val="22"/>
        </w:rPr>
      </w:pPr>
      <w:r w:rsidRPr="005736B0">
        <w:rPr>
          <w:b/>
          <w:bCs/>
          <w:sz w:val="22"/>
          <w:szCs w:val="22"/>
        </w:rPr>
        <w:t>Past, present, prepared for the future</w:t>
      </w:r>
    </w:p>
    <w:p w14:paraId="0C5E402B" w14:textId="3A87F810" w:rsidR="005736B0" w:rsidRPr="005736B0" w:rsidRDefault="005736B0" w:rsidP="005736B0">
      <w:pPr>
        <w:rPr>
          <w:bCs/>
          <w:sz w:val="22"/>
          <w:szCs w:val="22"/>
        </w:rPr>
      </w:pPr>
      <w:r w:rsidRPr="005736B0">
        <w:rPr>
          <w:sz w:val="22"/>
          <w:szCs w:val="22"/>
        </w:rPr>
        <w:t xml:space="preserve">The Australian Commission on Safety and Quality in Health Care (the Commission) theme for IPC Week 2026 is </w:t>
      </w:r>
      <w:r w:rsidRPr="005736B0">
        <w:rPr>
          <w:b/>
          <w:bCs/>
          <w:sz w:val="22"/>
          <w:szCs w:val="22"/>
        </w:rPr>
        <w:t>Past, Present, Prepared for the future</w:t>
      </w:r>
      <w:r w:rsidRPr="004B1911">
        <w:rPr>
          <w:sz w:val="22"/>
          <w:szCs w:val="22"/>
        </w:rPr>
        <w:t>.</w:t>
      </w:r>
      <w:r w:rsidRPr="005736B0">
        <w:rPr>
          <w:b/>
          <w:bCs/>
          <w:sz w:val="22"/>
          <w:szCs w:val="22"/>
        </w:rPr>
        <w:t xml:space="preserve"> </w:t>
      </w:r>
      <w:r w:rsidRPr="005736B0">
        <w:rPr>
          <w:bCs/>
          <w:sz w:val="22"/>
          <w:szCs w:val="22"/>
        </w:rPr>
        <w:t xml:space="preserve">This year’s theme recognises the progress made in </w:t>
      </w:r>
      <w:r w:rsidR="004B1911">
        <w:rPr>
          <w:bCs/>
          <w:sz w:val="22"/>
          <w:szCs w:val="22"/>
        </w:rPr>
        <w:t>IPC</w:t>
      </w:r>
      <w:r w:rsidRPr="005736B0">
        <w:rPr>
          <w:bCs/>
          <w:sz w:val="22"/>
          <w:szCs w:val="22"/>
        </w:rPr>
        <w:t xml:space="preserve">, reinforces the importance of consistent IPC practices today, and highlights the actions needed to ensure patients, consumers and healthcare workers remain protected into the future. </w:t>
      </w:r>
    </w:p>
    <w:p w14:paraId="16D05DC2" w14:textId="4C0F8296" w:rsidR="005736B0" w:rsidRPr="005736B0" w:rsidRDefault="005736B0" w:rsidP="005736B0">
      <w:pPr>
        <w:rPr>
          <w:sz w:val="22"/>
          <w:szCs w:val="22"/>
        </w:rPr>
      </w:pPr>
      <w:r w:rsidRPr="005736B0">
        <w:rPr>
          <w:sz w:val="22"/>
          <w:szCs w:val="22"/>
        </w:rPr>
        <w:t xml:space="preserve">The Commission reinforces the role of </w:t>
      </w:r>
      <w:r w:rsidR="004B1911">
        <w:rPr>
          <w:sz w:val="22"/>
          <w:szCs w:val="22"/>
        </w:rPr>
        <w:t>IPC</w:t>
      </w:r>
      <w:r w:rsidRPr="005736B0">
        <w:rPr>
          <w:sz w:val="22"/>
          <w:szCs w:val="22"/>
        </w:rPr>
        <w:t xml:space="preserve"> within health care through the </w:t>
      </w:r>
      <w:hyperlink r:id="rId8" w:history="1">
        <w:r w:rsidRPr="005736B0">
          <w:rPr>
            <w:rStyle w:val="Hyperlink"/>
            <w:sz w:val="22"/>
            <w:szCs w:val="22"/>
          </w:rPr>
          <w:t>National Safety and Quality Health Services Standards</w:t>
        </w:r>
      </w:hyperlink>
      <w:r w:rsidRPr="005736B0">
        <w:rPr>
          <w:sz w:val="22"/>
          <w:szCs w:val="22"/>
        </w:rPr>
        <w:t xml:space="preserve"> </w:t>
      </w:r>
      <w:hyperlink r:id="rId9" w:history="1">
        <w:r w:rsidRPr="005736B0">
          <w:rPr>
            <w:rStyle w:val="Hyperlink"/>
            <w:sz w:val="22"/>
            <w:szCs w:val="22"/>
          </w:rPr>
          <w:t>Preventing and Controlling Infections Standard</w:t>
        </w:r>
      </w:hyperlink>
      <w:r w:rsidRPr="005736B0">
        <w:rPr>
          <w:sz w:val="22"/>
          <w:szCs w:val="22"/>
        </w:rPr>
        <w:t xml:space="preserve">. The Commission also coordinates the </w:t>
      </w:r>
      <w:hyperlink r:id="rId10" w:history="1">
        <w:r w:rsidRPr="005736B0">
          <w:rPr>
            <w:rStyle w:val="Hyperlink"/>
            <w:sz w:val="22"/>
            <w:szCs w:val="22"/>
          </w:rPr>
          <w:t>National Hand Hygiene Initiative (NHHI)</w:t>
        </w:r>
      </w:hyperlink>
      <w:r w:rsidRPr="005736B0">
        <w:rPr>
          <w:sz w:val="22"/>
          <w:szCs w:val="22"/>
        </w:rPr>
        <w:t xml:space="preserve"> which is a multimodal program promoting the importance of hand hygiene, </w:t>
      </w:r>
      <w:r w:rsidR="004B1911">
        <w:rPr>
          <w:sz w:val="22"/>
          <w:szCs w:val="22"/>
        </w:rPr>
        <w:t xml:space="preserve">a </w:t>
      </w:r>
      <w:r w:rsidRPr="005736B0">
        <w:rPr>
          <w:sz w:val="22"/>
          <w:szCs w:val="22"/>
        </w:rPr>
        <w:t xml:space="preserve">key strategy in preventing and controlling infections. The NHHI incorporates a learning management platform which houses </w:t>
      </w:r>
      <w:hyperlink r:id="rId11" w:history="1">
        <w:r w:rsidRPr="004B1911">
          <w:rPr>
            <w:rStyle w:val="Hyperlink"/>
            <w:sz w:val="22"/>
            <w:szCs w:val="22"/>
          </w:rPr>
          <w:t xml:space="preserve">eLearning modules on </w:t>
        </w:r>
        <w:r w:rsidR="004B1911" w:rsidRPr="004B1911">
          <w:rPr>
            <w:rStyle w:val="Hyperlink"/>
            <w:sz w:val="22"/>
            <w:szCs w:val="22"/>
          </w:rPr>
          <w:t>IPC</w:t>
        </w:r>
      </w:hyperlink>
      <w:r w:rsidRPr="005736B0">
        <w:rPr>
          <w:sz w:val="22"/>
          <w:szCs w:val="22"/>
        </w:rPr>
        <w:t xml:space="preserve"> for healthcare workers. </w:t>
      </w:r>
    </w:p>
    <w:p w14:paraId="42FA8C86" w14:textId="77777777" w:rsidR="005736B0" w:rsidRPr="005736B0" w:rsidRDefault="005736B0" w:rsidP="005736B0">
      <w:pPr>
        <w:spacing w:before="120" w:after="120"/>
        <w:rPr>
          <w:b/>
          <w:bCs/>
          <w:sz w:val="22"/>
          <w:szCs w:val="22"/>
        </w:rPr>
      </w:pPr>
      <w:r w:rsidRPr="005736B0">
        <w:rPr>
          <w:b/>
          <w:bCs/>
          <w:sz w:val="22"/>
          <w:szCs w:val="22"/>
        </w:rPr>
        <w:t>Past</w:t>
      </w:r>
    </w:p>
    <w:p w14:paraId="72D0FD21" w14:textId="72E34996" w:rsidR="005736B0" w:rsidRPr="005736B0" w:rsidRDefault="005736B0" w:rsidP="005736B0">
      <w:pPr>
        <w:pStyle w:val="TextHere"/>
        <w:spacing w:before="0" w:line="240" w:lineRule="auto"/>
        <w:rPr>
          <w:bCs/>
          <w:color w:val="auto"/>
          <w:sz w:val="22"/>
          <w:szCs w:val="22"/>
        </w:rPr>
      </w:pPr>
      <w:r w:rsidRPr="005736B0">
        <w:rPr>
          <w:bCs/>
          <w:color w:val="auto"/>
          <w:sz w:val="22"/>
          <w:szCs w:val="22"/>
        </w:rPr>
        <w:t xml:space="preserve">Advances in </w:t>
      </w:r>
      <w:r w:rsidR="004B1911">
        <w:rPr>
          <w:bCs/>
          <w:color w:val="auto"/>
          <w:sz w:val="22"/>
          <w:szCs w:val="22"/>
        </w:rPr>
        <w:t>IPC</w:t>
      </w:r>
      <w:r w:rsidRPr="005736B0">
        <w:rPr>
          <w:bCs/>
          <w:color w:val="auto"/>
          <w:sz w:val="22"/>
          <w:szCs w:val="22"/>
        </w:rPr>
        <w:t xml:space="preserve"> have significantly improved patient and workforce safety over time. The introduction of universal precautions in the 1980s, and the introduction of standard precautions in the 1990s established a consistent approach to preventing the transmissions of infections in healthcare settings. The </w:t>
      </w:r>
      <w:hyperlink r:id="rId12" w:history="1">
        <w:r w:rsidRPr="005736B0">
          <w:rPr>
            <w:rStyle w:val="Hyperlink"/>
            <w:bCs/>
            <w:sz w:val="22"/>
            <w:szCs w:val="22"/>
          </w:rPr>
          <w:t>National Safety and Quality Health Service (NSQHS) Standards</w:t>
        </w:r>
      </w:hyperlink>
      <w:r w:rsidRPr="005736B0">
        <w:rPr>
          <w:bCs/>
          <w:color w:val="auto"/>
          <w:sz w:val="22"/>
          <w:szCs w:val="22"/>
        </w:rPr>
        <w:t xml:space="preserve"> further strengthened this work by prioritising the critical and ongoing role </w:t>
      </w:r>
      <w:r w:rsidR="004B1911">
        <w:rPr>
          <w:bCs/>
          <w:color w:val="auto"/>
          <w:sz w:val="22"/>
          <w:szCs w:val="22"/>
        </w:rPr>
        <w:t>IPC</w:t>
      </w:r>
      <w:r w:rsidRPr="005736B0">
        <w:rPr>
          <w:bCs/>
          <w:color w:val="auto"/>
          <w:sz w:val="22"/>
          <w:szCs w:val="22"/>
        </w:rPr>
        <w:t xml:space="preserve"> </w:t>
      </w:r>
      <w:r w:rsidR="004B1911">
        <w:rPr>
          <w:bCs/>
          <w:color w:val="auto"/>
          <w:sz w:val="22"/>
          <w:szCs w:val="22"/>
        </w:rPr>
        <w:t xml:space="preserve">has </w:t>
      </w:r>
      <w:r w:rsidRPr="005736B0">
        <w:rPr>
          <w:bCs/>
          <w:color w:val="auto"/>
          <w:sz w:val="22"/>
          <w:szCs w:val="22"/>
        </w:rPr>
        <w:t>across health services.</w:t>
      </w:r>
    </w:p>
    <w:p w14:paraId="568BC456" w14:textId="77777777" w:rsidR="005736B0" w:rsidRPr="005736B0" w:rsidRDefault="005736B0" w:rsidP="005736B0">
      <w:pPr>
        <w:pStyle w:val="TextHere"/>
        <w:spacing w:before="0" w:line="240" w:lineRule="auto"/>
        <w:rPr>
          <w:bCs/>
          <w:color w:val="auto"/>
          <w:sz w:val="22"/>
          <w:szCs w:val="22"/>
        </w:rPr>
      </w:pPr>
    </w:p>
    <w:p w14:paraId="4AF80011" w14:textId="28255BD8" w:rsidR="005736B0" w:rsidRPr="005736B0" w:rsidRDefault="005736B0" w:rsidP="005736B0">
      <w:pPr>
        <w:pStyle w:val="TextHere"/>
        <w:spacing w:before="0" w:line="240" w:lineRule="auto"/>
        <w:rPr>
          <w:bCs/>
          <w:color w:val="auto"/>
          <w:sz w:val="22"/>
          <w:szCs w:val="22"/>
        </w:rPr>
      </w:pPr>
      <w:r w:rsidRPr="005736B0">
        <w:rPr>
          <w:bCs/>
          <w:color w:val="auto"/>
          <w:sz w:val="22"/>
          <w:szCs w:val="22"/>
        </w:rPr>
        <w:t>Resources on standard and transmission-based precautions</w:t>
      </w:r>
      <w:r w:rsidR="004B1911">
        <w:rPr>
          <w:bCs/>
          <w:color w:val="auto"/>
          <w:sz w:val="22"/>
          <w:szCs w:val="22"/>
        </w:rPr>
        <w:t xml:space="preserve"> include</w:t>
      </w:r>
      <w:r w:rsidRPr="005736B0">
        <w:rPr>
          <w:bCs/>
          <w:color w:val="auto"/>
          <w:sz w:val="22"/>
          <w:szCs w:val="22"/>
        </w:rPr>
        <w:t xml:space="preserve">: </w:t>
      </w:r>
    </w:p>
    <w:p w14:paraId="27276A70" w14:textId="77777777" w:rsidR="005736B0" w:rsidRPr="005736B0" w:rsidRDefault="005736B0" w:rsidP="005736B0">
      <w:pPr>
        <w:pStyle w:val="TextHere"/>
        <w:numPr>
          <w:ilvl w:val="0"/>
          <w:numId w:val="4"/>
        </w:numPr>
        <w:spacing w:before="0" w:line="240" w:lineRule="auto"/>
        <w:rPr>
          <w:bCs/>
          <w:color w:val="auto"/>
          <w:sz w:val="22"/>
          <w:szCs w:val="22"/>
        </w:rPr>
      </w:pPr>
      <w:hyperlink r:id="rId13" w:history="1">
        <w:r w:rsidRPr="005736B0">
          <w:rPr>
            <w:rStyle w:val="Hyperlink"/>
            <w:bCs/>
            <w:sz w:val="22"/>
            <w:szCs w:val="22"/>
          </w:rPr>
          <w:t>Standard</w:t>
        </w:r>
      </w:hyperlink>
      <w:r w:rsidRPr="005736B0">
        <w:rPr>
          <w:bCs/>
          <w:color w:val="auto"/>
          <w:sz w:val="22"/>
          <w:szCs w:val="22"/>
        </w:rPr>
        <w:t xml:space="preserve"> and </w:t>
      </w:r>
      <w:hyperlink r:id="rId14" w:anchor="additional-resources" w:history="1">
        <w:r w:rsidRPr="005736B0">
          <w:rPr>
            <w:rStyle w:val="Hyperlink"/>
            <w:bCs/>
            <w:sz w:val="22"/>
            <w:szCs w:val="22"/>
          </w:rPr>
          <w:t>transmission-based precautions</w:t>
        </w:r>
      </w:hyperlink>
      <w:r w:rsidRPr="005736B0">
        <w:rPr>
          <w:bCs/>
          <w:color w:val="auto"/>
          <w:sz w:val="22"/>
          <w:szCs w:val="22"/>
        </w:rPr>
        <w:t xml:space="preserve"> posters for acute and primary care </w:t>
      </w:r>
    </w:p>
    <w:p w14:paraId="2E2B117F" w14:textId="571972C0" w:rsidR="005736B0" w:rsidRPr="005736B0" w:rsidRDefault="0097092B" w:rsidP="005736B0">
      <w:pPr>
        <w:pStyle w:val="TextHere"/>
        <w:numPr>
          <w:ilvl w:val="0"/>
          <w:numId w:val="4"/>
        </w:numPr>
        <w:spacing w:before="0" w:line="240" w:lineRule="auto"/>
        <w:rPr>
          <w:bCs/>
          <w:color w:val="auto"/>
          <w:sz w:val="22"/>
          <w:szCs w:val="22"/>
        </w:rPr>
      </w:pPr>
      <w:hyperlink r:id="rId15" w:anchor="standard-and-transmission-based-precautions-in-aged-care" w:history="1">
        <w:r w:rsidR="005736B0" w:rsidRPr="0097092B">
          <w:rPr>
            <w:rStyle w:val="Hyperlink"/>
            <w:bCs/>
            <w:sz w:val="22"/>
            <w:szCs w:val="22"/>
          </w:rPr>
          <w:t>Standard and transmission-based precautions posters for aged care</w:t>
        </w:r>
      </w:hyperlink>
      <w:r w:rsidR="005736B0" w:rsidRPr="005736B0">
        <w:rPr>
          <w:bCs/>
          <w:color w:val="auto"/>
          <w:sz w:val="22"/>
          <w:szCs w:val="22"/>
        </w:rPr>
        <w:t xml:space="preserve"> </w:t>
      </w:r>
    </w:p>
    <w:p w14:paraId="454B0190" w14:textId="77777777" w:rsidR="005736B0" w:rsidRPr="005736B0" w:rsidRDefault="005736B0" w:rsidP="005736B0">
      <w:pPr>
        <w:pStyle w:val="TextHere"/>
        <w:numPr>
          <w:ilvl w:val="0"/>
          <w:numId w:val="4"/>
        </w:numPr>
        <w:spacing w:before="0" w:line="240" w:lineRule="auto"/>
        <w:rPr>
          <w:bCs/>
          <w:color w:val="auto"/>
          <w:sz w:val="22"/>
          <w:szCs w:val="22"/>
        </w:rPr>
      </w:pPr>
      <w:r w:rsidRPr="005736B0">
        <w:rPr>
          <w:bCs/>
          <w:color w:val="auto"/>
          <w:sz w:val="22"/>
          <w:szCs w:val="22"/>
        </w:rPr>
        <w:t xml:space="preserve">Additional </w:t>
      </w:r>
      <w:hyperlink r:id="rId16" w:anchor="additional-resources" w:history="1">
        <w:r w:rsidRPr="005736B0">
          <w:rPr>
            <w:rStyle w:val="Hyperlink"/>
            <w:bCs/>
            <w:sz w:val="22"/>
            <w:szCs w:val="22"/>
          </w:rPr>
          <w:t>resources</w:t>
        </w:r>
      </w:hyperlink>
      <w:r w:rsidRPr="005736B0">
        <w:rPr>
          <w:bCs/>
          <w:color w:val="auto"/>
          <w:sz w:val="22"/>
          <w:szCs w:val="22"/>
        </w:rPr>
        <w:t xml:space="preserve"> including environmental cleaning, aseptic technique.</w:t>
      </w:r>
    </w:p>
    <w:p w14:paraId="5D81BE7D" w14:textId="77777777" w:rsidR="005736B0" w:rsidRPr="005736B0" w:rsidRDefault="005736B0" w:rsidP="005736B0">
      <w:pPr>
        <w:spacing w:before="120" w:after="120"/>
        <w:rPr>
          <w:sz w:val="22"/>
          <w:szCs w:val="22"/>
        </w:rPr>
      </w:pPr>
      <w:r w:rsidRPr="005736B0">
        <w:rPr>
          <w:sz w:val="22"/>
          <w:szCs w:val="22"/>
        </w:rPr>
        <w:t xml:space="preserve"> </w:t>
      </w:r>
    </w:p>
    <w:p w14:paraId="5575A1B1" w14:textId="77777777" w:rsidR="005736B0" w:rsidRPr="005736B0" w:rsidRDefault="005736B0" w:rsidP="005736B0">
      <w:pPr>
        <w:spacing w:before="120" w:after="120"/>
        <w:rPr>
          <w:b/>
          <w:bCs/>
          <w:sz w:val="22"/>
          <w:szCs w:val="22"/>
        </w:rPr>
      </w:pPr>
      <w:r w:rsidRPr="005736B0">
        <w:rPr>
          <w:b/>
          <w:bCs/>
          <w:sz w:val="22"/>
          <w:szCs w:val="22"/>
        </w:rPr>
        <w:lastRenderedPageBreak/>
        <w:t>Present</w:t>
      </w:r>
    </w:p>
    <w:p w14:paraId="42262860" w14:textId="41F8ED92" w:rsidR="005736B0" w:rsidRDefault="004B1911" w:rsidP="005736B0">
      <w:pPr>
        <w:pStyle w:val="TextHere"/>
        <w:spacing w:before="0" w:line="240" w:lineRule="auto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IPC</w:t>
      </w:r>
      <w:r w:rsidR="005736B0" w:rsidRPr="00B7608D">
        <w:rPr>
          <w:bCs/>
          <w:color w:val="auto"/>
          <w:sz w:val="22"/>
          <w:szCs w:val="22"/>
        </w:rPr>
        <w:t xml:space="preserve"> remain</w:t>
      </w:r>
      <w:r w:rsidR="005736B0">
        <w:rPr>
          <w:bCs/>
          <w:color w:val="auto"/>
          <w:sz w:val="22"/>
          <w:szCs w:val="22"/>
        </w:rPr>
        <w:t>s</w:t>
      </w:r>
      <w:r w:rsidR="005736B0" w:rsidRPr="00B7608D">
        <w:rPr>
          <w:bCs/>
          <w:color w:val="auto"/>
          <w:sz w:val="22"/>
          <w:szCs w:val="22"/>
        </w:rPr>
        <w:t xml:space="preserve"> fundamental to the delivery of high-quality care. Everyone has a role in preventing infections by consistently applying standard precautions, including hand hygiene, </w:t>
      </w:r>
      <w:r w:rsidR="005736B0">
        <w:rPr>
          <w:bCs/>
          <w:color w:val="auto"/>
          <w:sz w:val="22"/>
          <w:szCs w:val="22"/>
        </w:rPr>
        <w:t>respiratory and cough etiquette</w:t>
      </w:r>
      <w:r w:rsidR="005736B0" w:rsidRPr="00B7608D">
        <w:rPr>
          <w:bCs/>
          <w:color w:val="auto"/>
          <w:sz w:val="22"/>
          <w:szCs w:val="22"/>
        </w:rPr>
        <w:t>, and the appropriate use of personal protective equipment, for every patient, every time.</w:t>
      </w:r>
      <w:r w:rsidR="005736B0">
        <w:rPr>
          <w:bCs/>
          <w:color w:val="auto"/>
          <w:sz w:val="22"/>
          <w:szCs w:val="22"/>
        </w:rPr>
        <w:t xml:space="preserve"> This helps break the chain of infection. The hierarchy of controls support teams and individuals to implement a comprehensive approach to managing infection risks. </w:t>
      </w:r>
    </w:p>
    <w:p w14:paraId="4CE7BBCC" w14:textId="77777777" w:rsidR="005736B0" w:rsidRDefault="005736B0" w:rsidP="005736B0">
      <w:pPr>
        <w:pStyle w:val="TextHere"/>
        <w:spacing w:before="0" w:line="240" w:lineRule="auto"/>
        <w:rPr>
          <w:sz w:val="22"/>
          <w:szCs w:val="22"/>
        </w:rPr>
      </w:pPr>
    </w:p>
    <w:p w14:paraId="711C618A" w14:textId="77777777" w:rsidR="005736B0" w:rsidRDefault="005736B0" w:rsidP="005736B0">
      <w:pPr>
        <w:pStyle w:val="TextHere"/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Resources that support current, day-to-day IPC practice include: </w:t>
      </w:r>
    </w:p>
    <w:p w14:paraId="68D6E291" w14:textId="77777777" w:rsidR="005736B0" w:rsidRDefault="005736B0" w:rsidP="005736B0">
      <w:pPr>
        <w:pStyle w:val="TextHere"/>
        <w:numPr>
          <w:ilvl w:val="0"/>
          <w:numId w:val="5"/>
        </w:numPr>
        <w:spacing w:before="0" w:line="240" w:lineRule="auto"/>
        <w:rPr>
          <w:sz w:val="22"/>
          <w:szCs w:val="22"/>
        </w:rPr>
      </w:pPr>
      <w:hyperlink r:id="rId17" w:history="1">
        <w:r w:rsidRPr="00B51815">
          <w:rPr>
            <w:rStyle w:val="Hyperlink"/>
            <w:sz w:val="22"/>
            <w:szCs w:val="22"/>
          </w:rPr>
          <w:t>Using the hierarch</w:t>
        </w:r>
        <w:r>
          <w:rPr>
            <w:rStyle w:val="Hyperlink"/>
            <w:sz w:val="22"/>
            <w:szCs w:val="22"/>
          </w:rPr>
          <w:t xml:space="preserve">y </w:t>
        </w:r>
        <w:r w:rsidRPr="00B51815">
          <w:rPr>
            <w:rStyle w:val="Hyperlink"/>
            <w:sz w:val="22"/>
            <w:szCs w:val="22"/>
          </w:rPr>
          <w:t>of controls in IPC</w:t>
        </w:r>
      </w:hyperlink>
    </w:p>
    <w:p w14:paraId="16BEC333" w14:textId="77777777" w:rsidR="005736B0" w:rsidRPr="00E24D0A" w:rsidRDefault="005736B0" w:rsidP="005736B0">
      <w:pPr>
        <w:pStyle w:val="TextHere"/>
        <w:numPr>
          <w:ilvl w:val="0"/>
          <w:numId w:val="5"/>
        </w:numPr>
        <w:spacing w:before="0" w:line="240" w:lineRule="auto"/>
        <w:rPr>
          <w:sz w:val="22"/>
          <w:szCs w:val="22"/>
        </w:rPr>
      </w:pPr>
      <w:hyperlink r:id="rId18" w:history="1">
        <w:r w:rsidRPr="00B51815">
          <w:rPr>
            <w:rStyle w:val="Hyperlink"/>
            <w:sz w:val="22"/>
            <w:szCs w:val="22"/>
          </w:rPr>
          <w:t>Break the chain of infection infographic</w:t>
        </w:r>
      </w:hyperlink>
    </w:p>
    <w:p w14:paraId="2F532BEF" w14:textId="77777777" w:rsidR="005736B0" w:rsidRPr="00E24D0A" w:rsidRDefault="005736B0" w:rsidP="005736B0">
      <w:pPr>
        <w:pStyle w:val="TextHere"/>
        <w:numPr>
          <w:ilvl w:val="0"/>
          <w:numId w:val="5"/>
        </w:numPr>
        <w:spacing w:before="0" w:line="240" w:lineRule="auto"/>
        <w:rPr>
          <w:sz w:val="22"/>
          <w:szCs w:val="22"/>
        </w:rPr>
      </w:pPr>
      <w:hyperlink r:id="rId19" w:history="1">
        <w:r w:rsidRPr="00E24D0A">
          <w:rPr>
            <w:rStyle w:val="Hyperlink"/>
            <w:sz w:val="22"/>
            <w:szCs w:val="22"/>
          </w:rPr>
          <w:t>Infection prevention and control for specific diseases</w:t>
        </w:r>
      </w:hyperlink>
    </w:p>
    <w:p w14:paraId="2D0C0AE1" w14:textId="77777777" w:rsidR="005736B0" w:rsidRPr="005736B0" w:rsidRDefault="005736B0" w:rsidP="005736B0">
      <w:pPr>
        <w:spacing w:before="120" w:after="120"/>
        <w:rPr>
          <w:b/>
          <w:bCs/>
          <w:sz w:val="22"/>
          <w:szCs w:val="22"/>
        </w:rPr>
      </w:pPr>
      <w:r w:rsidRPr="005736B0">
        <w:rPr>
          <w:b/>
          <w:bCs/>
          <w:sz w:val="22"/>
          <w:szCs w:val="22"/>
        </w:rPr>
        <w:t>Prepared for the future</w:t>
      </w:r>
    </w:p>
    <w:p w14:paraId="28A06A92" w14:textId="16AB9AD2" w:rsidR="005736B0" w:rsidRDefault="005736B0" w:rsidP="005736B0">
      <w:pPr>
        <w:pStyle w:val="TextHere"/>
        <w:spacing w:before="0" w:line="240" w:lineRule="auto"/>
        <w:rPr>
          <w:sz w:val="22"/>
          <w:szCs w:val="22"/>
        </w:rPr>
      </w:pPr>
      <w:r w:rsidRPr="00DA5CC8">
        <w:rPr>
          <w:sz w:val="22"/>
          <w:szCs w:val="22"/>
        </w:rPr>
        <w:t xml:space="preserve">Looking ahead, it is important to maintain and strengthen </w:t>
      </w:r>
      <w:r w:rsidR="004B1911">
        <w:rPr>
          <w:sz w:val="22"/>
          <w:szCs w:val="22"/>
        </w:rPr>
        <w:t xml:space="preserve">IPC </w:t>
      </w:r>
      <w:r w:rsidRPr="00DA5CC8">
        <w:rPr>
          <w:sz w:val="22"/>
          <w:szCs w:val="22"/>
        </w:rPr>
        <w:t xml:space="preserve">practices through risk management, </w:t>
      </w:r>
      <w:r>
        <w:rPr>
          <w:sz w:val="22"/>
          <w:szCs w:val="22"/>
        </w:rPr>
        <w:t xml:space="preserve">infection </w:t>
      </w:r>
      <w:r w:rsidRPr="00DA5CC8">
        <w:rPr>
          <w:sz w:val="22"/>
          <w:szCs w:val="22"/>
        </w:rPr>
        <w:t xml:space="preserve">surveillance, </w:t>
      </w:r>
      <w:r>
        <w:rPr>
          <w:sz w:val="22"/>
          <w:szCs w:val="22"/>
        </w:rPr>
        <w:t xml:space="preserve">and </w:t>
      </w:r>
      <w:r w:rsidRPr="00DA5CC8">
        <w:rPr>
          <w:sz w:val="22"/>
          <w:szCs w:val="22"/>
        </w:rPr>
        <w:t>quality improvement</w:t>
      </w:r>
      <w:r>
        <w:rPr>
          <w:sz w:val="22"/>
          <w:szCs w:val="22"/>
        </w:rPr>
        <w:t xml:space="preserve"> initiatives</w:t>
      </w:r>
      <w:r w:rsidRPr="00DA5CC8">
        <w:rPr>
          <w:sz w:val="22"/>
          <w:szCs w:val="22"/>
        </w:rPr>
        <w:t xml:space="preserve">, </w:t>
      </w:r>
      <w:r>
        <w:rPr>
          <w:sz w:val="22"/>
          <w:szCs w:val="22"/>
        </w:rPr>
        <w:t>as well as supporting</w:t>
      </w:r>
      <w:r w:rsidRPr="00DA5CC8">
        <w:rPr>
          <w:sz w:val="22"/>
          <w:szCs w:val="22"/>
        </w:rPr>
        <w:t xml:space="preserve"> ongoing education</w:t>
      </w:r>
      <w:r>
        <w:rPr>
          <w:sz w:val="22"/>
          <w:szCs w:val="22"/>
        </w:rPr>
        <w:t xml:space="preserve">. </w:t>
      </w:r>
      <w:r w:rsidRPr="00DA5CC8">
        <w:rPr>
          <w:sz w:val="22"/>
          <w:szCs w:val="22"/>
        </w:rPr>
        <w:t>These efforts help ensure our health system remains resilient and responsive to future infection risks</w:t>
      </w:r>
      <w:r>
        <w:rPr>
          <w:sz w:val="22"/>
          <w:szCs w:val="22"/>
        </w:rPr>
        <w:t xml:space="preserve">, and protects staff, patients and </w:t>
      </w:r>
      <w:r w:rsidR="006B739D">
        <w:rPr>
          <w:sz w:val="22"/>
          <w:szCs w:val="22"/>
        </w:rPr>
        <w:t>communities</w:t>
      </w:r>
      <w:r w:rsidRPr="00DA5CC8">
        <w:rPr>
          <w:sz w:val="22"/>
          <w:szCs w:val="22"/>
        </w:rPr>
        <w:t>.</w:t>
      </w:r>
    </w:p>
    <w:p w14:paraId="2D25341D" w14:textId="77777777" w:rsidR="005736B0" w:rsidRDefault="005736B0" w:rsidP="005736B0">
      <w:pPr>
        <w:pStyle w:val="TextHere"/>
        <w:spacing w:before="0" w:line="240" w:lineRule="auto"/>
        <w:rPr>
          <w:bCs/>
          <w:color w:val="auto"/>
          <w:sz w:val="22"/>
          <w:szCs w:val="22"/>
        </w:rPr>
      </w:pPr>
    </w:p>
    <w:p w14:paraId="074D048C" w14:textId="501122B7" w:rsidR="005736B0" w:rsidRDefault="005736B0" w:rsidP="005736B0">
      <w:pPr>
        <w:pStyle w:val="TextHere"/>
        <w:spacing w:before="0" w:line="240" w:lineRule="auto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Resources that support the ongoing progression of IPC practices</w:t>
      </w:r>
      <w:r w:rsidR="004B1911">
        <w:rPr>
          <w:bCs/>
          <w:color w:val="auto"/>
          <w:sz w:val="22"/>
          <w:szCs w:val="22"/>
        </w:rPr>
        <w:t xml:space="preserve"> include:</w:t>
      </w:r>
    </w:p>
    <w:p w14:paraId="30B41154" w14:textId="77777777" w:rsidR="005736B0" w:rsidRDefault="005736B0" w:rsidP="005736B0">
      <w:pPr>
        <w:pStyle w:val="TextHere"/>
        <w:numPr>
          <w:ilvl w:val="0"/>
          <w:numId w:val="6"/>
        </w:numPr>
        <w:spacing w:before="0" w:line="240" w:lineRule="auto"/>
        <w:rPr>
          <w:sz w:val="22"/>
          <w:szCs w:val="22"/>
        </w:rPr>
      </w:pPr>
      <w:hyperlink r:id="rId20" w:history="1">
        <w:r w:rsidRPr="00B51815">
          <w:rPr>
            <w:rStyle w:val="Hyperlink"/>
            <w:sz w:val="22"/>
            <w:szCs w:val="22"/>
          </w:rPr>
          <w:t>Principles of healthcare surveillance</w:t>
        </w:r>
      </w:hyperlink>
      <w:r>
        <w:rPr>
          <w:sz w:val="22"/>
          <w:szCs w:val="22"/>
        </w:rPr>
        <w:t xml:space="preserve"> </w:t>
      </w:r>
    </w:p>
    <w:p w14:paraId="07098C46" w14:textId="77777777" w:rsidR="005736B0" w:rsidRPr="00E24D0A" w:rsidRDefault="005736B0" w:rsidP="005736B0">
      <w:pPr>
        <w:pStyle w:val="TextHere"/>
        <w:numPr>
          <w:ilvl w:val="0"/>
          <w:numId w:val="6"/>
        </w:numPr>
        <w:spacing w:before="0" w:line="240" w:lineRule="auto"/>
        <w:rPr>
          <w:rStyle w:val="Hyperlink"/>
          <w:sz w:val="22"/>
          <w:szCs w:val="22"/>
        </w:rPr>
      </w:pP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>HYPERLINK "https://www.safetyandquality.gov.au/clinical-topics/infection-prevention-and-control/australian-guidelines-prevention-and-control-infection-healthcare"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E24D0A">
        <w:rPr>
          <w:rStyle w:val="Hyperlink"/>
          <w:sz w:val="22"/>
          <w:szCs w:val="22"/>
        </w:rPr>
        <w:t>Australian Guidelines for the Prevention and Control of Infection in Healthcare</w:t>
      </w:r>
    </w:p>
    <w:p w14:paraId="14571B38" w14:textId="77777777" w:rsidR="005736B0" w:rsidRDefault="005736B0" w:rsidP="005736B0">
      <w:pPr>
        <w:pStyle w:val="TextHere"/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fldChar w:fldCharType="end"/>
      </w:r>
    </w:p>
    <w:p w14:paraId="6CBBF940" w14:textId="7116E712" w:rsidR="005736B0" w:rsidRPr="000B50A9" w:rsidRDefault="005736B0" w:rsidP="005736B0">
      <w:pPr>
        <w:pStyle w:val="TextHere"/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Let’s all consider what action we can take to prevent and control infections in our healthcare services. Use the IPC Week 2026 resources at </w:t>
      </w:r>
      <w:hyperlink r:id="rId21" w:history="1">
        <w:r w:rsidR="00A20BC0" w:rsidRPr="00A20BC0">
          <w:rPr>
            <w:sz w:val="22"/>
            <w:szCs w:val="22"/>
          </w:rPr>
          <w:t>https://www.safetyandquality.gov.au/news-and-media/events-and-awareness-days/infection-prevention-and-control-week</w:t>
        </w:r>
        <w:r w:rsidRPr="00A20BC0">
          <w:rPr>
            <w:rStyle w:val="Hyperlink"/>
            <w:sz w:val="22"/>
            <w:szCs w:val="22"/>
          </w:rPr>
          <w:t>.</w:t>
        </w:r>
      </w:hyperlink>
      <w:r>
        <w:rPr>
          <w:sz w:val="22"/>
          <w:szCs w:val="22"/>
        </w:rPr>
        <w:t xml:space="preserve"> </w:t>
      </w:r>
    </w:p>
    <w:p w14:paraId="65B85EC3" w14:textId="77777777" w:rsidR="0074068E" w:rsidRPr="0015306F" w:rsidRDefault="0074068E" w:rsidP="00E63FC5">
      <w:pPr>
        <w:spacing w:before="120" w:after="120"/>
        <w:rPr>
          <w:sz w:val="22"/>
          <w:szCs w:val="22"/>
        </w:rPr>
      </w:pPr>
    </w:p>
    <w:p w14:paraId="2585A416" w14:textId="48936814" w:rsidR="009B0575" w:rsidRPr="0015306F" w:rsidRDefault="009B0575" w:rsidP="0063711E">
      <w:pPr>
        <w:spacing w:before="120" w:after="120"/>
        <w:ind w:right="-166"/>
        <w:contextualSpacing/>
        <w:rPr>
          <w:sz w:val="22"/>
          <w:szCs w:val="22"/>
        </w:rPr>
      </w:pPr>
      <w:r w:rsidRPr="0015306F">
        <w:rPr>
          <w:rFonts w:cs="Arial"/>
          <w:bCs/>
          <w:w w:val="105"/>
          <w:sz w:val="22"/>
          <w:szCs w:val="22"/>
        </w:rPr>
        <w:t>END</w:t>
      </w:r>
      <w:r w:rsidR="00B6698F" w:rsidRPr="0015306F">
        <w:rPr>
          <w:rFonts w:cs="Arial"/>
          <w:bCs/>
          <w:w w:val="105"/>
          <w:sz w:val="22"/>
          <w:szCs w:val="22"/>
        </w:rPr>
        <w:t>S</w:t>
      </w:r>
    </w:p>
    <w:sectPr w:rsidR="009B0575" w:rsidRPr="0015306F" w:rsidSect="00B6698F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FF084" w14:textId="77777777" w:rsidR="005C7565" w:rsidRDefault="005C7565" w:rsidP="0034483C">
      <w:pPr>
        <w:spacing w:after="0" w:line="240" w:lineRule="auto"/>
      </w:pPr>
      <w:r>
        <w:separator/>
      </w:r>
    </w:p>
  </w:endnote>
  <w:endnote w:type="continuationSeparator" w:id="0">
    <w:p w14:paraId="40A6E1D4" w14:textId="77777777" w:rsidR="005C7565" w:rsidRDefault="005C7565" w:rsidP="00344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Proxima Nova Extra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9B3A7" w14:textId="6F14EAE4" w:rsidR="009B0575" w:rsidRDefault="009B057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0842EAF" wp14:editId="109DCDB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48847332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5DAB1C" w14:textId="447A1C8D" w:rsidR="009B0575" w:rsidRPr="009B0575" w:rsidRDefault="009B0575" w:rsidP="009B057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9B057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842EA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0.8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SAVDA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" filled="f" stroked="f">
              <v:textbox style="mso-fit-shape-to-text:t" inset="0,0,0,15pt">
                <w:txbxContent>
                  <w:p w14:paraId="205DAB1C" w14:textId="447A1C8D" w:rsidR="009B0575" w:rsidRPr="009B0575" w:rsidRDefault="009B0575" w:rsidP="009B057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9B057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F14AA" w14:textId="6E9202E7" w:rsidR="009B0575" w:rsidRPr="00D84CDE" w:rsidRDefault="00D84CDE" w:rsidP="00D84CDE">
    <w:pPr>
      <w:pStyle w:val="Footer"/>
      <w:ind w:left="284"/>
      <w:rPr>
        <w:b/>
        <w:bCs/>
      </w:rPr>
    </w:pPr>
    <w:r w:rsidRPr="00624080">
      <w:rPr>
        <w:rFonts w:asciiTheme="minorHAnsi" w:hAnsiTheme="minorHAnsi" w:cstheme="minorHAnsi"/>
        <w:noProof/>
        <w:color w:val="FF0000"/>
      </w:rPr>
      <w:drawing>
        <wp:anchor distT="0" distB="0" distL="114300" distR="114300" simplePos="0" relativeHeight="251665408" behindDoc="0" locked="0" layoutInCell="1" allowOverlap="1" wp14:anchorId="51727E60" wp14:editId="3066FBE6">
          <wp:simplePos x="0" y="0"/>
          <wp:positionH relativeFrom="column">
            <wp:posOffset>0</wp:posOffset>
          </wp:positionH>
          <wp:positionV relativeFrom="paragraph">
            <wp:posOffset>-27432</wp:posOffset>
          </wp:positionV>
          <wp:extent cx="138948" cy="180000"/>
          <wp:effectExtent l="0" t="0" r="0" b="0"/>
          <wp:wrapNone/>
          <wp:docPr id="1120177811" name="Picture 1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3379742" name="Picture 1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48" cy="1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33AD5">
      <w:rPr>
        <w:rFonts w:asciiTheme="minorHAnsi" w:hAnsiTheme="minorHAnsi" w:cstheme="minorHAnsi"/>
      </w:rPr>
      <w:t xml:space="preserve">Communications Kit: </w:t>
    </w:r>
    <w:r>
      <w:rPr>
        <w:rFonts w:asciiTheme="minorHAnsi" w:hAnsiTheme="minorHAnsi" w:cstheme="minorHAnsi"/>
      </w:rPr>
      <w:t xml:space="preserve">Newsletter </w:t>
    </w:r>
    <w:r w:rsidR="00B4121C">
      <w:rPr>
        <w:rFonts w:asciiTheme="minorHAnsi" w:hAnsiTheme="minorHAnsi" w:cstheme="minorHAnsi"/>
      </w:rPr>
      <w:t>c</w:t>
    </w:r>
    <w:r>
      <w:rPr>
        <w:rFonts w:asciiTheme="minorHAnsi" w:hAnsiTheme="minorHAnsi" w:cstheme="minorHAnsi"/>
      </w:rPr>
      <w:t xml:space="preserve">opy – </w:t>
    </w:r>
    <w:r w:rsidR="0015306F">
      <w:rPr>
        <w:rFonts w:asciiTheme="minorHAnsi" w:hAnsiTheme="minorHAnsi" w:cstheme="minorHAnsi"/>
      </w:rPr>
      <w:t>IPC Guidelines, August</w:t>
    </w:r>
    <w:r>
      <w:rPr>
        <w:rFonts w:asciiTheme="minorHAnsi" w:hAnsiTheme="minorHAnsi" w:cstheme="minorHAnsi"/>
      </w:rPr>
      <w:t xml:space="preserve"> </w:t>
    </w:r>
    <w:r w:rsidRPr="00624080">
      <w:rPr>
        <w:rFonts w:asciiTheme="minorHAnsi" w:hAnsiTheme="minorHAnsi" w:cstheme="minorHAnsi"/>
      </w:rPr>
      <w:t>202</w:t>
    </w:r>
    <w:r>
      <w:rPr>
        <w:rFonts w:asciiTheme="minorHAnsi" w:hAnsiTheme="minorHAnsi" w:cstheme="minorHAnsi"/>
      </w:rPr>
      <w:t>6</w:t>
    </w:r>
    <w:r w:rsidRPr="00033439">
      <w:tab/>
    </w:r>
    <w:r w:rsidRPr="00E74653">
      <w:rPr>
        <w:b/>
        <w:bCs/>
      </w:rPr>
      <w:fldChar w:fldCharType="begin"/>
    </w:r>
    <w:r w:rsidRPr="00E74653">
      <w:rPr>
        <w:b/>
        <w:bCs/>
      </w:rPr>
      <w:instrText xml:space="preserve"> PAGE   \* MERGEFORMAT </w:instrText>
    </w:r>
    <w:r w:rsidRPr="00E74653">
      <w:rPr>
        <w:b/>
        <w:bCs/>
      </w:rPr>
      <w:fldChar w:fldCharType="separate"/>
    </w:r>
    <w:r>
      <w:rPr>
        <w:b/>
        <w:bCs/>
      </w:rPr>
      <w:t>1</w:t>
    </w:r>
    <w:r w:rsidRPr="00E74653">
      <w:rPr>
        <w:b/>
        <w:bCs/>
      </w:rPr>
      <w:fldChar w:fldCharType="end"/>
    </w:r>
    <w:r w:rsidR="009B0575"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4FAF562" wp14:editId="4460D2B9">
              <wp:simplePos x="9144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53121723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A352E1" w14:textId="3527096D" w:rsidR="009B0575" w:rsidRPr="009B0575" w:rsidRDefault="009B0575" w:rsidP="009B057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FAF56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" style="position:absolute;left:0;text-align:left;margin-left:0;margin-top:0;width:49pt;height:30.8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PdT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0rPh2n30J9pKUQTnx7J1cttV4LH54FEsE0LYk2&#10;PNGhDfQVh7PFWQP482/+mE+4U5SzngRTcUuK5sx8t8RH1NZo4Ghsk1Hc5p8jPHbf3QPJsKAX4WQy&#10;yYvBjKZG6F5JzsvYiELCSmpX8e1o3oeTcuk5SLVcpiSSkRNhbTdOxtIRrojly/Aq0J0BD8TUI4xq&#10;EuU73E+58aZ3y30g9BMpEdoTkGfESYKJq/NziRp/+5+yro968Qs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LoM91M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6AA352E1" w14:textId="3527096D" w:rsidR="009B0575" w:rsidRPr="009B0575" w:rsidRDefault="009B0575" w:rsidP="009B057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43F31" w14:textId="230A2636" w:rsidR="009B0575" w:rsidRDefault="009B057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768A60E" wp14:editId="126FDB1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5125233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2D2C26" w14:textId="7C037E20" w:rsidR="009B0575" w:rsidRPr="009B0575" w:rsidRDefault="009B0575" w:rsidP="009B057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9B057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68A60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49pt;height:30.8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" filled="f" stroked="f">
              <v:textbox style="mso-fit-shape-to-text:t" inset="0,0,0,15pt">
                <w:txbxContent>
                  <w:p w14:paraId="4C2D2C26" w14:textId="7C037E20" w:rsidR="009B0575" w:rsidRPr="009B0575" w:rsidRDefault="009B0575" w:rsidP="009B057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9B057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65335" w14:textId="77777777" w:rsidR="005C7565" w:rsidRDefault="005C7565" w:rsidP="0034483C">
      <w:pPr>
        <w:spacing w:after="0" w:line="240" w:lineRule="auto"/>
      </w:pPr>
      <w:r>
        <w:separator/>
      </w:r>
    </w:p>
  </w:footnote>
  <w:footnote w:type="continuationSeparator" w:id="0">
    <w:p w14:paraId="773508A3" w14:textId="77777777" w:rsidR="005C7565" w:rsidRDefault="005C7565" w:rsidP="00344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6B14E" w14:textId="1BC6EB73" w:rsidR="009B0575" w:rsidRDefault="009B0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9434E07" wp14:editId="22CD553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46784111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4E9A44" w14:textId="6180D2A8" w:rsidR="009B0575" w:rsidRPr="009B0575" w:rsidRDefault="009B0575" w:rsidP="009B057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9B057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434E0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0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textbox style="mso-fit-shape-to-text:t" inset="0,15pt,0,0">
                <w:txbxContent>
                  <w:p w14:paraId="0B4E9A44" w14:textId="6180D2A8" w:rsidR="009B0575" w:rsidRPr="009B0575" w:rsidRDefault="009B0575" w:rsidP="009B057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9B057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CD030" w14:textId="0D3BC151" w:rsidR="0034483C" w:rsidRDefault="0034483C" w:rsidP="0034483C">
    <w:pPr>
      <w:pStyle w:val="Header"/>
      <w:jc w:val="right"/>
    </w:pPr>
  </w:p>
  <w:p w14:paraId="232FD8CA" w14:textId="77777777" w:rsidR="005736B0" w:rsidRDefault="005736B0" w:rsidP="0034483C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E14C7" w14:textId="0C9D9A0A" w:rsidR="009B0575" w:rsidRDefault="009B05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52B3153" wp14:editId="12AD493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34951900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ADE632" w14:textId="4E64FFB4" w:rsidR="009B0575" w:rsidRPr="009B0575" w:rsidRDefault="009B0575" w:rsidP="009B057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9B057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2B315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49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" filled="f" stroked="f">
              <v:textbox style="mso-fit-shape-to-text:t" inset="0,15pt,0,0">
                <w:txbxContent>
                  <w:p w14:paraId="74ADE632" w14:textId="4E64FFB4" w:rsidR="009B0575" w:rsidRPr="009B0575" w:rsidRDefault="009B0575" w:rsidP="009B057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9B0575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D37DB"/>
    <w:multiLevelType w:val="hybridMultilevel"/>
    <w:tmpl w:val="07C0C1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A93F1B"/>
    <w:multiLevelType w:val="hybridMultilevel"/>
    <w:tmpl w:val="511AE296"/>
    <w:lvl w:ilvl="0" w:tplc="0C0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3F8B722A"/>
    <w:multiLevelType w:val="hybridMultilevel"/>
    <w:tmpl w:val="FCF4E78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716F8D"/>
    <w:multiLevelType w:val="hybridMultilevel"/>
    <w:tmpl w:val="A64E6E6C"/>
    <w:lvl w:ilvl="0" w:tplc="8BB2C676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66470F39"/>
    <w:multiLevelType w:val="hybridMultilevel"/>
    <w:tmpl w:val="5484E0F4"/>
    <w:lvl w:ilvl="0" w:tplc="0C0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" w15:restartNumberingAfterBreak="0">
    <w:nsid w:val="6D565C0D"/>
    <w:multiLevelType w:val="hybridMultilevel"/>
    <w:tmpl w:val="4DF644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5793948">
    <w:abstractNumId w:val="0"/>
  </w:num>
  <w:num w:numId="2" w16cid:durableId="1451901124">
    <w:abstractNumId w:val="5"/>
  </w:num>
  <w:num w:numId="3" w16cid:durableId="248317566">
    <w:abstractNumId w:val="2"/>
  </w:num>
  <w:num w:numId="4" w16cid:durableId="520048185">
    <w:abstractNumId w:val="1"/>
  </w:num>
  <w:num w:numId="5" w16cid:durableId="1614480666">
    <w:abstractNumId w:val="4"/>
  </w:num>
  <w:num w:numId="6" w16cid:durableId="8299539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3C"/>
    <w:rsid w:val="0008154A"/>
    <w:rsid w:val="00091C06"/>
    <w:rsid w:val="000B09E4"/>
    <w:rsid w:val="000C3C1A"/>
    <w:rsid w:val="001048C5"/>
    <w:rsid w:val="00105067"/>
    <w:rsid w:val="0015306F"/>
    <w:rsid w:val="00165F26"/>
    <w:rsid w:val="001A7093"/>
    <w:rsid w:val="001C00C2"/>
    <w:rsid w:val="001C5FCA"/>
    <w:rsid w:val="00217840"/>
    <w:rsid w:val="00280050"/>
    <w:rsid w:val="0028719D"/>
    <w:rsid w:val="002B094B"/>
    <w:rsid w:val="002B1D51"/>
    <w:rsid w:val="002C1D85"/>
    <w:rsid w:val="002E10A9"/>
    <w:rsid w:val="0030063D"/>
    <w:rsid w:val="00303DB4"/>
    <w:rsid w:val="00315EEC"/>
    <w:rsid w:val="00331249"/>
    <w:rsid w:val="0034483C"/>
    <w:rsid w:val="003646F4"/>
    <w:rsid w:val="0036682C"/>
    <w:rsid w:val="00383D39"/>
    <w:rsid w:val="00396952"/>
    <w:rsid w:val="003B2B46"/>
    <w:rsid w:val="003B6667"/>
    <w:rsid w:val="003D3C34"/>
    <w:rsid w:val="00403D39"/>
    <w:rsid w:val="00437E12"/>
    <w:rsid w:val="00495306"/>
    <w:rsid w:val="004A5ACE"/>
    <w:rsid w:val="004B1911"/>
    <w:rsid w:val="004B4EFA"/>
    <w:rsid w:val="004D7EC2"/>
    <w:rsid w:val="00533AD5"/>
    <w:rsid w:val="00546807"/>
    <w:rsid w:val="00546EE0"/>
    <w:rsid w:val="00556CAE"/>
    <w:rsid w:val="005736B0"/>
    <w:rsid w:val="00575CC3"/>
    <w:rsid w:val="005B2B61"/>
    <w:rsid w:val="005C3DAF"/>
    <w:rsid w:val="005C3DB4"/>
    <w:rsid w:val="005C7565"/>
    <w:rsid w:val="00611B66"/>
    <w:rsid w:val="0063711E"/>
    <w:rsid w:val="006A7465"/>
    <w:rsid w:val="006B739D"/>
    <w:rsid w:val="006D3172"/>
    <w:rsid w:val="006E0B55"/>
    <w:rsid w:val="00723E19"/>
    <w:rsid w:val="00727250"/>
    <w:rsid w:val="007309C3"/>
    <w:rsid w:val="00730A6A"/>
    <w:rsid w:val="0074068E"/>
    <w:rsid w:val="00771E43"/>
    <w:rsid w:val="007B7B93"/>
    <w:rsid w:val="00801A71"/>
    <w:rsid w:val="008417FB"/>
    <w:rsid w:val="008856FB"/>
    <w:rsid w:val="008A2957"/>
    <w:rsid w:val="008D2CBB"/>
    <w:rsid w:val="00901B16"/>
    <w:rsid w:val="00903C24"/>
    <w:rsid w:val="009045C2"/>
    <w:rsid w:val="00915B48"/>
    <w:rsid w:val="009304A7"/>
    <w:rsid w:val="0094738F"/>
    <w:rsid w:val="0097092B"/>
    <w:rsid w:val="00971DF2"/>
    <w:rsid w:val="00996EFD"/>
    <w:rsid w:val="009B0575"/>
    <w:rsid w:val="00A20BC0"/>
    <w:rsid w:val="00A53D45"/>
    <w:rsid w:val="00A670F5"/>
    <w:rsid w:val="00A709E2"/>
    <w:rsid w:val="00B11175"/>
    <w:rsid w:val="00B17695"/>
    <w:rsid w:val="00B4121C"/>
    <w:rsid w:val="00B44E22"/>
    <w:rsid w:val="00B46753"/>
    <w:rsid w:val="00B6698F"/>
    <w:rsid w:val="00B80E2D"/>
    <w:rsid w:val="00B90B19"/>
    <w:rsid w:val="00B94C1F"/>
    <w:rsid w:val="00C12D96"/>
    <w:rsid w:val="00C64D94"/>
    <w:rsid w:val="00CB4B7F"/>
    <w:rsid w:val="00CE383A"/>
    <w:rsid w:val="00D01972"/>
    <w:rsid w:val="00D026BA"/>
    <w:rsid w:val="00D03C4E"/>
    <w:rsid w:val="00D30442"/>
    <w:rsid w:val="00D84CDE"/>
    <w:rsid w:val="00DA31A2"/>
    <w:rsid w:val="00DB5733"/>
    <w:rsid w:val="00DD044C"/>
    <w:rsid w:val="00DD79B5"/>
    <w:rsid w:val="00DE0746"/>
    <w:rsid w:val="00DF1954"/>
    <w:rsid w:val="00E14ABB"/>
    <w:rsid w:val="00E40B73"/>
    <w:rsid w:val="00E63FC5"/>
    <w:rsid w:val="00E649BE"/>
    <w:rsid w:val="00E84360"/>
    <w:rsid w:val="00E94044"/>
    <w:rsid w:val="00EC5E10"/>
    <w:rsid w:val="00ED55B3"/>
    <w:rsid w:val="00EF5836"/>
    <w:rsid w:val="00EF7C34"/>
    <w:rsid w:val="00F14D6C"/>
    <w:rsid w:val="00F26287"/>
    <w:rsid w:val="00F3204A"/>
    <w:rsid w:val="00F40441"/>
    <w:rsid w:val="00F42863"/>
    <w:rsid w:val="00F52ABC"/>
    <w:rsid w:val="00F746C0"/>
    <w:rsid w:val="00F747F7"/>
    <w:rsid w:val="00F96CDC"/>
    <w:rsid w:val="00FB4FBE"/>
    <w:rsid w:val="00FF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0EF80B"/>
  <w15:chartTrackingRefBased/>
  <w15:docId w15:val="{5B50E6B9-0933-4FA7-8C87-461ED2762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48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48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483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83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83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83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83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83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83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8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48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483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83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83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83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83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83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83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8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48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83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483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8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48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8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48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8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8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83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448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83C"/>
  </w:style>
  <w:style w:type="paragraph" w:styleId="Footer">
    <w:name w:val="footer"/>
    <w:basedOn w:val="Normal"/>
    <w:link w:val="FooterChar"/>
    <w:uiPriority w:val="99"/>
    <w:unhideWhenUsed/>
    <w:rsid w:val="003448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483C"/>
  </w:style>
  <w:style w:type="character" w:styleId="Hyperlink">
    <w:name w:val="Hyperlink"/>
    <w:rsid w:val="009B0575"/>
    <w:rPr>
      <w:color w:val="0000FF"/>
      <w:u w:val="single"/>
    </w:rPr>
  </w:style>
  <w:style w:type="paragraph" w:customStyle="1" w:styleId="Default">
    <w:name w:val="Default"/>
    <w:rsid w:val="009B0575"/>
    <w:pPr>
      <w:autoSpaceDE w:val="0"/>
      <w:autoSpaceDN w:val="0"/>
      <w:adjustRightInd w:val="0"/>
      <w:spacing w:after="0" w:line="240" w:lineRule="auto"/>
    </w:pPr>
    <w:rPr>
      <w:rFonts w:ascii="Proxima Nova Extrabold" w:hAnsi="Proxima Nova Extrabold" w:cs="Proxima Nova Extrabold"/>
      <w:color w:val="000000"/>
      <w:kern w:val="0"/>
      <w:sz w:val="24"/>
      <w14:ligatures w14:val="none"/>
    </w:rPr>
  </w:style>
  <w:style w:type="paragraph" w:styleId="Revision">
    <w:name w:val="Revision"/>
    <w:hidden/>
    <w:uiPriority w:val="99"/>
    <w:semiHidden/>
    <w:rsid w:val="0094738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473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738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738F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73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738F"/>
    <w:rPr>
      <w:b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63F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52ABC"/>
    <w:rPr>
      <w:color w:val="96607D" w:themeColor="followedHyperlink"/>
      <w:u w:val="single"/>
    </w:rPr>
  </w:style>
  <w:style w:type="paragraph" w:customStyle="1" w:styleId="TextHere">
    <w:name w:val="Text Here"/>
    <w:basedOn w:val="BodyText"/>
    <w:link w:val="TextHereChar"/>
    <w:uiPriority w:val="1"/>
    <w:qFormat/>
    <w:rsid w:val="005736B0"/>
    <w:pPr>
      <w:widowControl w:val="0"/>
      <w:autoSpaceDE w:val="0"/>
      <w:autoSpaceDN w:val="0"/>
      <w:spacing w:before="120" w:after="0" w:line="276" w:lineRule="auto"/>
      <w:ind w:left="20"/>
    </w:pPr>
    <w:rPr>
      <w:rFonts w:eastAsia="Arial" w:cs="Arial"/>
      <w:color w:val="231F20"/>
      <w:w w:val="105"/>
      <w:kern w:val="0"/>
      <w:sz w:val="19"/>
      <w:szCs w:val="19"/>
      <w:lang w:bidi="en-US"/>
      <w14:ligatures w14:val="none"/>
    </w:rPr>
  </w:style>
  <w:style w:type="character" w:customStyle="1" w:styleId="TextHereChar">
    <w:name w:val="Text Here Char"/>
    <w:basedOn w:val="BodyTextChar"/>
    <w:link w:val="TextHere"/>
    <w:uiPriority w:val="1"/>
    <w:rsid w:val="005736B0"/>
    <w:rPr>
      <w:rFonts w:eastAsia="Arial" w:cs="Arial"/>
      <w:color w:val="231F20"/>
      <w:w w:val="105"/>
      <w:kern w:val="0"/>
      <w:sz w:val="19"/>
      <w:szCs w:val="19"/>
      <w:lang w:bidi="en-US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5736B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3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fetyandquality.gov.au/national-standards/nsqhs-standards" TargetMode="External"/><Relationship Id="rId13" Type="http://schemas.openxmlformats.org/officeDocument/2006/relationships/hyperlink" Target="https://www.safetyandquality.gov.au/resources/infection-prevention-and-control-poster-standard-precautions-poster" TargetMode="External"/><Relationship Id="rId18" Type="http://schemas.openxmlformats.org/officeDocument/2006/relationships/hyperlink" Target="https://www.safetyandquality.gov.au/resources/break-chain-infection-poster" TargetMode="External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yperlink" Target="https://www.safetyandquality.gov.au/news-and-media/events-and-awareness-days/infection-prevention-and-control-week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www.safetyandquality.gov.au/national-standards/nsqhs-standards/preventing-and-controlling-infections-standard" TargetMode="External"/><Relationship Id="rId17" Type="http://schemas.openxmlformats.org/officeDocument/2006/relationships/hyperlink" Target="https://www.safetyandquality.gov.au/resources/use-hierarchy-controls-infection-prevention-and-control-factsheet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safetyandquality.gov.au/clinical-topics/infection-prevention-and-control/standard-and-transmission-based-precautions" TargetMode="External"/><Relationship Id="rId20" Type="http://schemas.openxmlformats.org/officeDocument/2006/relationships/hyperlink" Target="https://www.safetyandquality.gov.au/resources/principles-healthcare-associated-infection-surveillance-fact-sheet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andhygiene.freshdesk.com/support/solutions/articles/47001285140-hand-hygiene-and-infection-prevention-and-control-elearning-modules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safetyandquality.gov.au/clinical-topics/aged-care-and-older-people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www.safetyandquality.gov.au/clinical-topics/infection-prevention-and-control/national-hand-hygiene-initiative" TargetMode="External"/><Relationship Id="rId19" Type="http://schemas.openxmlformats.org/officeDocument/2006/relationships/hyperlink" Target="https://www.safetyandquality.gov.au/clinical-topics/infection-prevention-and-control/infection-prevention-and-control-specific-diseas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fetyandquality.gov.au/national-standards/nsqhs-standards/preventing-and-controlling-infections-standard" TargetMode="External"/><Relationship Id="rId14" Type="http://schemas.openxmlformats.org/officeDocument/2006/relationships/hyperlink" Target="https://www.safetyandquality.gov.au/clinical-topics/infection-prevention-and-control/standard-and-transmission-based-precautions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Health, Disability and Ageing</Company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SIDDIQUI, Atikah</dc:creator>
  <cp:keywords/>
  <dc:description/>
  <cp:lastModifiedBy>JESSOP, Tommy</cp:lastModifiedBy>
  <cp:revision>3</cp:revision>
  <cp:lastPrinted>2026-10-05T23:40:00Z</cp:lastPrinted>
  <dcterms:created xsi:type="dcterms:W3CDTF">2026-10-05T23:40:00Z</dcterms:created>
  <dcterms:modified xsi:type="dcterms:W3CDTF">2026-10-05T23:41:00Z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14d53ca1,577d7a5a,7e5a2314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30e0c70,58b84ceb,5b44854f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2026-03-31T23:35:35Z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27b81506-186f-4ed4-959d-9f67bced6c28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</Properties>
</file>