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F4" w:rsidRDefault="00B24DF4" w:rsidP="009424A5">
      <w:bookmarkStart w:id="0" w:name="_Toc476822632"/>
      <w:bookmarkStart w:id="1" w:name="_Toc476822653"/>
      <w:r w:rsidRPr="008A251F">
        <w:rPr>
          <w:rFonts w:eastAsiaTheme="majorEastAsia"/>
          <w:noProof/>
        </w:rPr>
        <w:drawing>
          <wp:inline distT="0" distB="0" distL="0" distR="0" wp14:anchorId="3A413FFE" wp14:editId="7440C95D">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rsidR="00BC07E4" w:rsidRDefault="00492FB8" w:rsidP="009424A5">
      <w:pPr>
        <w:pStyle w:val="PublicationDate"/>
      </w:pPr>
      <w:r>
        <w:rPr>
          <w:noProof/>
        </w:rPr>
        <w:drawing>
          <wp:inline distT="0" distB="0" distL="0" distR="0">
            <wp:extent cx="1643063" cy="51134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 AURA Logo (D15-947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0269" cy="513584"/>
                    </a:xfrm>
                    <a:prstGeom prst="rect">
                      <a:avLst/>
                    </a:prstGeom>
                  </pic:spPr>
                </pic:pic>
              </a:graphicData>
            </a:graphic>
          </wp:inline>
        </w:drawing>
      </w:r>
    </w:p>
    <w:p w:rsidR="00BC07E4" w:rsidRDefault="00BC07E4" w:rsidP="009424A5">
      <w:pPr>
        <w:pStyle w:val="PublicationDate"/>
      </w:pPr>
    </w:p>
    <w:p w:rsidR="00BC07E4" w:rsidRDefault="00BC07E4" w:rsidP="00BC07E4">
      <w:pPr>
        <w:rPr>
          <w:rFonts w:eastAsiaTheme="majorEastAsia"/>
        </w:rPr>
      </w:pPr>
    </w:p>
    <w:p w:rsidR="00BC07E4" w:rsidRDefault="00BC07E4" w:rsidP="009424A5">
      <w:pPr>
        <w:pStyle w:val="PublicationDate"/>
      </w:pPr>
    </w:p>
    <w:p w:rsidR="00492FB8" w:rsidRDefault="00492FB8" w:rsidP="009424A5">
      <w:pPr>
        <w:pStyle w:val="PublicationDate"/>
      </w:pPr>
    </w:p>
    <w:p w:rsidR="00BC07E4" w:rsidRDefault="00BC07E4" w:rsidP="009424A5">
      <w:pPr>
        <w:pStyle w:val="PublicationDate"/>
      </w:pPr>
    </w:p>
    <w:p w:rsidR="000B0274" w:rsidRDefault="00B171D5" w:rsidP="009424A5">
      <w:pPr>
        <w:pStyle w:val="PublicationDate"/>
      </w:pPr>
      <w:r>
        <w:rPr>
          <w:b/>
          <w:noProof/>
          <w:sz w:val="36"/>
        </w:rPr>
        <w:drawing>
          <wp:anchor distT="0" distB="0" distL="114300" distR="114300" simplePos="0" relativeHeight="251665408" behindDoc="0" locked="0" layoutInCell="1" allowOverlap="1" wp14:anchorId="7479E9AC" wp14:editId="0406531D">
            <wp:simplePos x="0" y="0"/>
            <wp:positionH relativeFrom="column">
              <wp:posOffset>-220980</wp:posOffset>
            </wp:positionH>
            <wp:positionV relativeFrom="paragraph">
              <wp:posOffset>376555</wp:posOffset>
            </wp:positionV>
            <wp:extent cx="3307080" cy="103251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dCare_NAP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7080" cy="1032510"/>
                    </a:xfrm>
                    <a:prstGeom prst="rect">
                      <a:avLst/>
                    </a:prstGeom>
                  </pic:spPr>
                </pic:pic>
              </a:graphicData>
            </a:graphic>
            <wp14:sizeRelH relativeFrom="margin">
              <wp14:pctWidth>0</wp14:pctWidth>
            </wp14:sizeRelH>
            <wp14:sizeRelV relativeFrom="margin">
              <wp14:pctHeight>0</wp14:pctHeight>
            </wp14:sizeRelV>
          </wp:anchor>
        </w:drawing>
      </w:r>
      <w:r w:rsidR="00131013">
        <w:t>Ju</w:t>
      </w:r>
      <w:r w:rsidR="00386772">
        <w:t>ly</w:t>
      </w:r>
      <w:r w:rsidR="00131013">
        <w:t xml:space="preserve"> </w:t>
      </w:r>
      <w:r w:rsidRPr="00B171D5">
        <w:t>2018</w:t>
      </w:r>
    </w:p>
    <w:p w:rsidR="00BC07E4" w:rsidRDefault="00BC07E4" w:rsidP="009424A5">
      <w:pPr>
        <w:pStyle w:val="PublicationDate"/>
      </w:pPr>
    </w:p>
    <w:p w:rsidR="00B171D5" w:rsidRDefault="00B171D5" w:rsidP="009424A5">
      <w:pPr>
        <w:pStyle w:val="PublicationDate"/>
      </w:pPr>
    </w:p>
    <w:p w:rsidR="00B171D5" w:rsidRPr="003C02C5" w:rsidRDefault="00B171D5" w:rsidP="009424A5">
      <w:pPr>
        <w:pStyle w:val="PublicationDate"/>
      </w:pPr>
    </w:p>
    <w:p w:rsidR="000B0274" w:rsidRDefault="00B171D5" w:rsidP="009424A5">
      <w:pPr>
        <w:pStyle w:val="Subheading"/>
        <w:rPr>
          <w:sz w:val="52"/>
          <w:szCs w:val="52"/>
        </w:rPr>
      </w:pPr>
      <w:r w:rsidRPr="003E085D">
        <w:rPr>
          <w:sz w:val="52"/>
          <w:szCs w:val="52"/>
        </w:rPr>
        <w:t xml:space="preserve">2017 Aged Care National Antimicrobial Prescribing Survey </w:t>
      </w:r>
      <w:r w:rsidR="003E085D" w:rsidRPr="003E085D">
        <w:rPr>
          <w:sz w:val="52"/>
          <w:szCs w:val="52"/>
        </w:rPr>
        <w:t>Report</w:t>
      </w:r>
    </w:p>
    <w:p w:rsidR="00BC07E4" w:rsidRPr="00BC07E4" w:rsidRDefault="00BC07E4" w:rsidP="00BC07E4">
      <w:bookmarkStart w:id="2" w:name="_Toc476822633"/>
      <w:bookmarkStart w:id="3" w:name="_Toc476822654"/>
      <w:bookmarkStart w:id="4" w:name="_Toc476822854"/>
      <w:bookmarkStart w:id="5" w:name="_Toc476823158"/>
      <w:bookmarkStart w:id="6" w:name="_Toc476823667"/>
      <w:r>
        <w:br w:type="page"/>
      </w:r>
      <w:r w:rsidR="00112BA7">
        <w:rPr>
          <w:noProof/>
        </w:rPr>
        <mc:AlternateContent>
          <mc:Choice Requires="wpg">
            <w:drawing>
              <wp:anchor distT="0" distB="0" distL="114300" distR="114300" simplePos="0" relativeHeight="251667456" behindDoc="0" locked="0" layoutInCell="1" allowOverlap="1" wp14:anchorId="206DE9AA" wp14:editId="33A9D0A9">
                <wp:simplePos x="0" y="0"/>
                <wp:positionH relativeFrom="column">
                  <wp:posOffset>152400</wp:posOffset>
                </wp:positionH>
                <wp:positionV relativeFrom="paragraph">
                  <wp:posOffset>1182370</wp:posOffset>
                </wp:positionV>
                <wp:extent cx="5550010" cy="890546"/>
                <wp:effectExtent l="0" t="0" r="0" b="5080"/>
                <wp:wrapNone/>
                <wp:docPr id="1" name="Group 1"/>
                <wp:cNvGraphicFramePr/>
                <a:graphic xmlns:a="http://schemas.openxmlformats.org/drawingml/2006/main">
                  <a:graphicData uri="http://schemas.microsoft.com/office/word/2010/wordprocessingGroup">
                    <wpg:wgp>
                      <wpg:cNvGrpSpPr/>
                      <wpg:grpSpPr>
                        <a:xfrm>
                          <a:off x="0" y="0"/>
                          <a:ext cx="5550010" cy="890546"/>
                          <a:chOff x="0" y="0"/>
                          <a:chExt cx="5550010" cy="890546"/>
                        </a:xfrm>
                      </wpg:grpSpPr>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099144" y="71562"/>
                            <a:ext cx="1494846" cy="739471"/>
                          </a:xfrm>
                          <a:prstGeom prst="rect">
                            <a:avLst/>
                          </a:prstGeom>
                        </pic:spPr>
                      </pic:pic>
                      <pic:pic xmlns:pic="http://schemas.openxmlformats.org/drawingml/2006/picture">
                        <pic:nvPicPr>
                          <pic:cNvPr id="6"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823" cy="890546"/>
                          </a:xfrm>
                          <a:prstGeom prst="rect">
                            <a:avLst/>
                          </a:prstGeom>
                        </pic:spPr>
                      </pic:pic>
                      <pic:pic xmlns:pic="http://schemas.openxmlformats.org/drawingml/2006/picture">
                        <pic:nvPicPr>
                          <pic:cNvPr id="7" name="Picture 7" descr="S:\VICNISS\Vicniss Files\Administration\Templates &amp; Logos\Logos\NewLogo_2014\VICNISS_RGB - Cropped.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800723" y="127221"/>
                            <a:ext cx="1749287" cy="556591"/>
                          </a:xfrm>
                          <a:prstGeom prst="rect">
                            <a:avLst/>
                          </a:prstGeom>
                          <a:noFill/>
                          <a:ln>
                            <a:noFill/>
                          </a:ln>
                        </pic:spPr>
                      </pic:pic>
                    </wpg:wgp>
                  </a:graphicData>
                </a:graphic>
              </wp:anchor>
            </w:drawing>
          </mc:Choice>
          <mc:Fallback>
            <w:pict>
              <v:group id="Group 1" o:spid="_x0000_s1026" style="position:absolute;margin-left:12pt;margin-top:93.1pt;width:437pt;height:70.1pt;z-index:251667456" coordsize="55500,89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Sc3mVAwAAswwAAA4AAABkcnMvZTJvRG9jLnhtbOxXS28bNxC+F8h/&#10;IPaQm7wP72qlreXAkR3DgOsKcZqTgIDicnfZLB8gKclG0P/eIbmSE8loi+Tktgdx+RzOfDPfDHX2&#10;5oH3aEO1YVLMovQkiRAVRNZMtLPotw/vRpMIGYtFjXsp6Cx6pCZ6c/7qp7OtqmgmO9nXVCMQIky1&#10;VbOos1ZVcWxIRzk2J1JRAYuN1BxbGOo2rjXegnTex1mSjOOt1LXSklBjYPYyLEbnXn7TUGJ/bRpD&#10;LepnEehmfat9u3JtfH6Gq1Zj1TEyqIG/QwuOmYBL96IuscVordmRKM6IlkY29oRIHsumYYR6G8Ca&#10;NDmw5lrLtfK2tNW2VXuYANoDnL5bLLnbLDRiNfguQgJzcJG/FaUOmq1qK9hxrdW9Wuhhog0jZ+1D&#10;o7n7gh3owYP6uAeVPlhEYLIoigRMixCBtck0KfJxQJ104JqjY6S7+uuD8e7a2Gm3V0YxUsFvwAh6&#10;Rxj9fSzBKbvWNBqE8H8kg2P9ea1G4E6FLVuxntlHH5rgOKeU2CwYWegweIK72MENq+5SVDhU3AG3&#10;J5zAzqJbST4bJOS8w6KlF0ZBTDtvwe742+1++M11q56pd6zvnY9cfzAM4v8gfp7BJsTmpSRrToUN&#10;ZNO0BxulMB1TJkK6onxFIXb0TQ3hQ4DoFgJIaSasZwPEwK2x7nYXDZ4PX7LJRZJMs7ejeZHMR3lS&#10;Xo0upnk5KpOrMk/ySTpP53+402lerQ0F83F/qdigOsweKf9s8A9pItDK0xNtsE8CDjiv0O7rVYQp&#10;h5DT1VhNLelctwHw3gPg4cx+wSP9BK5zgwGCuBMHlMiS6TTN8whB8JdpMc5C7O/IkebTfAKE8OQo&#10;TwGH4NgnOUobe00lR64DSIMyHlq8AbWDWrstQ0AETbyKoFiIKei8GGYAGiERLQZm+HzhMH6ZzMj+&#10;Z8ZzzICKcFws0vE4nWSnh8Vin/MhI/7n+FAe8gEmamoIZPH7avnxZn53c3+//MiIYMYgSPfULC9q&#10;zmBotU/Xyw+UK8jc1KDXmKuf0a1spVmG9o5uXecTvD/ynbRP76/fohGaa6kUrU9+V+3LLk4uoP4t&#10;xUmToSD9QKFCq+0vsoZSjddW+nJyULZOJ0lSOh4CRdOszDJflkIZd4+6tMyn2QQC0T3qimJcTH+o&#10;buFKSPdOgXqGq164dj8B3Hczvp4dljb/BISXsa/kwyvePb2/HkP/6/8a538CAAD//wMAUEsDBBQA&#10;BgAIAAAAIQCgpierzgAAACwCAAAZAAAAZHJzL19yZWxzL2Uyb0RvYy54bWwucmVsc7yRy2rDMBBF&#10;94X8g5h9LD8ghBI5m1DItqQfMEhjWYn1QFJL8/cVFEoNJtl5OTPccw/M4fhtJ/ZFMRnvBDRVDYyc&#10;9Mo4LeDj8rbdA0sZncLJOxJwpwTHfvNyeKcJcwml0YTECsUlAWPO4ZXzJEeymCofyJXL4KPFXMao&#10;eUB5Q028resdj/8Z0M+Y7KwExLPqgF3uoTQ/Z/thMJJOXn5acnmhghtbugsQo6YswJIy+Lvsqmsg&#10;DXxZol1Hon0o0awj0fxJ8NmP+x8AAAD//wMAUEsDBAoAAAAAAAAAIQCBcYalEmEAABJhAAAVAAAA&#10;ZHJzL21lZGlhL2ltYWdlMy5qcGVn/9j/4AAQSkZJRgABAQEA3ADcAAD/2wBDAAIBAQIBAQICAgIC&#10;AgICAwUDAwMDAwYEBAMFBwYHBwcGBwcICQsJCAgKCAcHCg0KCgsMDAwMBwkODw0MDgsMDAz/2wBD&#10;AQICAgMDAwYDAwYMCAcIDAwMDAwMDAwMDAwMDAwMDAwMDAwMDAwMDAwMDAwMDAwMDAwMDAwMDAwM&#10;DAwMDAwMDAz/wAARCACGAa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gnArk/D3xWtv&#10;HXiuaw8PxrqVjprlNQ1IN/o0T4/1Mbf8tJOmcfKo6nOFPPWxdKlKMKj96Tsl1fot9N29ktXobUsP&#10;UqRlOC0irt9F6vz2Xd6I6yiiiugxCiiigAooooAKKKKACiiigAooooAKKKKACiiigAooooAKKKKA&#10;CiiigAooooAKKKKACiiigAooooAKKKKACiiigAooooAKKKKACiiudtfH8UfxEuvDt4q29y0S3Ni2&#10;eLqMj5h/vKwbjuOexrgx2Z4bBuksTLl9pJQi3s5NNpX6XtZX3dktWk9qVCdTm5FflV36dX8vy1Oi&#10;ooorvMQooooAKKKKACiiigAoor8wfih/wcJax4G+JfiLRbL4baTf2ej6nc2MFy2ryI1xHFKyK5Ai&#10;IBYKDjJxmvbyXh3H5tKUMDDmcbN6pb7btHz+f8UZbksITzGpyqbaWjd7b7J9z9PqxPiB8RtF+F3h&#10;ybVtd1CHT7KH+Jz80jdlRerMfQAmvzO8Jf8ABw14k8W+KdN0uP4X6NC+pXUdsJDrEjeXvYLux5Yz&#10;jOcZFel+AfCPjT9uz4pNdaxfTDS7Ngbq5C7bexjPPlQp03HsOvdie/wHiZmWZ8K4jD5VHDOpjMSm&#10;6cbpxsnZyk09EvlondpK59l4cxyviqhXzKniOXC4dpVJNNO7V1GKkldteu60b0PW7P4k+LP25PFd&#10;xpOh/bPC/wAPbN9uo3anFzer/wA8t3QFh/AuQAcsW4B+lPCHhDTfAfhuz0jSbWOz0+xjEcMSDgD1&#10;PqSeSTySSTUPgTwJpfw18K2mjaPax2dhZptRF6k92Y92J5JPJNbFY8N5BWwcXi8xqe1xVRe/Polv&#10;yQX2YLsrcz1eu3dnmcU8S1h8FD2eHh8Merf8031k/wAFovMork/jD8dPB/7P/hOTXPGniLS/DumJ&#10;kCW8mCmVuu2NPvSN/soCfavhv43/APBw14H8L3U1r4D8H6z4raMlRe38w022b/aVdryMPZlQ1+iZ&#10;Vw7mWZP/AGKi5Lvsvvdl+J+f51xVlWVL/b68YPtvL/wFXfztY/RCivxx8Rf8HDHxev7ljpvhf4f6&#10;fDn5Vktbq4kA9289Qf8AvkUvhv8A4OGPi7p90p1Twv4A1K3z8yxW11byEezeewH/AHya+p/4hfnv&#10;LzckfTmV/wDL8T4//iL/AA5zcvPK3fkdv8/wP2Nor4H/AGdf+C/nw5+I9/b6f460PUvAV3MQgvFk&#10;/tDTwenzOqrImf8ArmQO7DrX3V4Z8Uab410C01bR9Qs9U0u/jE1td2kyzQzoejK6khh7g18lmuR4&#10;/LZ8mNpOF9m9n6NXT+TPtsm4iy3NoOpl9ZTtulo16p2a+aL1FFfnF+1L/wAF2tU/Z/8A2hvF3grT&#10;/h/pesWvhnUHsFvJNVeJ52TAYlRGQMNuHU9KrJshxua1ZUcDDmlFXeqWl7dWu5OfcSZfk1GNfMJ8&#10;sZOy0b1tfZJvofo7RXwv+wT/AMFqNN/a0+MsHgbxJ4Wh8I6nqkbHS7mLUDcQXcqjcYGDIpRioJU5&#10;IYjHBIz90Vnm2TYzLK/1fGw5ZWvundPqmm0zXJc+wObYf61l8+eF7bNNNdGmk0FFFFeWeuFFFfFP&#10;/BSP/grNffsJ/GfSfCOn+D7HxK2oaNHqs00+oNbmHfNNGEwEbPEWfxr0spynFZliFhcHHmm03a6W&#10;i31bSPJzrO8HlWGeMx0uWCaV7N6vbRJs+1qK/LHw1/wcPeJvE/iPT9Ng+Fej+dqFzHbR/wDE5kPz&#10;OwUf8svU1+pw6V1Z1w5j8pcI46HK53tqnta+zfc48g4qy3OlOWXTclC1/dkrXvbdK+z2Cis3xp4l&#10;j8GeDtW1iYbodJs5ryQE4ysaFz+gr8tf+IjrxD/0SzR//B1J/wDGqvJeGcxzZTlgYcyja+qW97bt&#10;dic/4uyvJZQjmNTlc7292Tva19k7brc/Vyivz9/Yf/4LRa/+19+0z4d8AyfD3TNHt9YFy817Hqjz&#10;NbpFbyTZCmMA5KBeo+9X6BVzZxkmMyussPjY8smr2uno210b7M6si4gwOcYd4nL580E+W9mtUk+q&#10;XRoKKK84/aQ/az8Afsm+Exq/jnxDa6THMD9mtRmW7vWHaKFcs3bJxtGRkgV5+Hw9WvUVKjFyk9kl&#10;dv5I9PE4qjh6TrYiSjGO7bsl6tno9Fflz8Y/+Di6YX80HgD4ew/ZlJEd5r92d8g9TBDjb/39NeXr&#10;/wAHCXxpF1vPh/4cmPP+r/s67x+f2nNfcYfw0z6rDndNR8nJX/C/4n55ivFnhyjPkVVy84xdvvdr&#10;/I/ZaivzF+Cf/BxVb3V9DbfEPwA1pC5Ae/0G68zZ7/Z5cHH0lJ9jX6BfAT9pDwT+054LXX/A/iCy&#10;13T8hZfKJWa1c87JY2w8bezAZ6jI5rwM44XzPK9cbScY99HH71dfJ6n0uR8YZRm/u4CspS/ld1L7&#10;nZv1V0dxRRRXgH0oUV4P+1v/AMFHvhb+xpG1t4n1hr7xAU3x6Hpii4vmBGQXGQsSnsZGXI6Zr4T+&#10;Jn/Bxb4svr2RfB/w98Pabag4R9Yupr2Rx6lYjEF+mT9TX1GUcG5vmUFVw1F8j+02op+l9/lc+Pzv&#10;jzI8qqOji6651vGKcmvW23zaP1kor8bdK/4OFfjJa3itdeG/h3dQ5+aNbG7jbHs32g4/EGvoL9nr&#10;/g4Q8F+MtRt9P+InhfUPB8kpCHUrGU6hZqf7zptWVF/3RIa9HG+HOe4aHtPZcyX8rTf3bv5Jnl4D&#10;xT4cxVRU/bODf80Wl9+qXzaP0QorJ8C+PdF+J3hWz1zw7qthrWj6gnmW95ZzLNDKvsy8cdCOoIIP&#10;Na1fESjKMnGSs0foUJxnFTg7p7NbMKKKKkoKKKKACvH/ANrbQZoNG0nxFZM8N5o9xsMqcMityrZ9&#10;mAH/AAKvYKx/H/hdfGngvUtLbH+mQMiE/wAL9VP4MAa+L8ROHJZ7w5i8sp/HKDcHs1Uj70Gn099L&#10;U9TJccsHjqeIlsnr6PR/g2c98DfjDD8VPDv70pFq1mAt1EON3pIo/un9Dx6E9zXxN4S8Vah8O/FM&#10;N/Zs0N3aOVdG6OOjIw9D0/8Ar19d/Dn4g2PxK8MQ6lZNjd8s0RPzQSDqp/oe4wa/LfAfxeXFGC/s&#10;nNJWx1Fa309pFac6/vLaa7+8tG0voeMOGXl9X6xh1+5nt/dfb07fd671FFFf0MfFBRRRQAUUV5/8&#10;df2kfDfwC0fzdVuPP1CZSbbT4CDcT++P4V/2jx6ZPFceYZjhsDh5YrGTUIR3bdl/w/ZbvodWDwVf&#10;F1o4fDQcpy2S1f8AXn0Or8c+LrPwD4O1PWtQuIbWz0u2kuZZJXCKqqpPJPHav5l9T1GXV9SuLqZt&#10;011K0sh9WYkn9TX6V/tu/tV+JPjN8PfEl1qVx9j023sZ/sunQMRDCxQqpP8Affn7x98ADivzNr9O&#10;+jdxZQ4ho5jjMHBqlCcIRk95NRcm7dF7yt1722PxP6THD9bJcRl2DxMk6koTm0topuMUr9X7rv07&#10;X3PZv+CfHwbl+Pv7YngjwvHMLUXl1JNJMV3eVHDDJMxx3OI+Pciv6Afhv8ONJ+FHhC10TRbVbaxt&#10;V47vK3d3P8THuf6YFfjh/wAEDfCX/CQ/t2PfFdy6D4cvbwN/dLNDAP0mP61+1lHixh8PPiOOK5V7&#10;SNKML9UuaUrLte6vbeyvsju8Fqlenw1OjzPknVlK3RtRjG772s7dtbbsK+S/+Ck3/BUrQf2JdHbQ&#10;dFjtfEHxFvod8Fgz5g0xGHyzXO0556rGCGYc5UYJ7n/got+2rY/sQ/s+Xmvr5Nz4l1RjY6DZycia&#10;5Iz5jDr5cY+ZvX5VyCwNfgV428a6t8R/F2pa9rl/caprGrXD3V3dTtuknkY5LE/0HAHA4rs8P+CY&#10;5pL69jV+5i7Jfztf+2rr3enc5vEzxAllEf7OwD/fyV2/5E9v+3n07LXqjc+N3x88YftG+ObjxH40&#10;12+17VbgkB53/dwLnPlxIMLGg7KoA/GuPr079k39kvxd+2R8V7fwr4TtVaTHnX19NkWumQZwZZWH&#10;5BRyx4Ht+0n7IP8AwSx+Ff7JWk2s8Oj2/ijxVGoabXNWgWaUP3MMZykCg5xt+bHVmr9Y4i4wy3II&#10;RwyjedtIRsrLpfpFdtL+R+McL8DZrxLUlinLlhf3qkru7626yffVLu7n4ieEf2ZviR4/sVutB+H/&#10;AI21q1kGVmsNDuriNh7MiEVS8dfAnxx8L7fzvE3g3xV4diJwH1PSZ7RSfrIgFf0tAYFQ6hp1vq9j&#10;Na3UEN1bXClJYpUDxyKeoKngg+hr8/j4w4jnvLDLl7czv99v0P0yXgZh/Z2ji5c3fkVvuvf8T+YG&#10;vrn/AIJMftweOf2e/jxovg3S7bUvFPhXxbfJa3Ggwne8UjnH2m3BOEdR8zdFZVO7GAy/Zf7e/wDw&#10;Q88P/GWR/EXwlXSvB/iN33XWlSZh0q9B6sgVT5D+yrsPopyx77/gl7/wS3tf2JdNuvEXiibTta+I&#10;WpoYftFtue30q3PWKFmAJZurvgcYUDAJb3s748yPHZLNzXNKSsqb3Uu9+iW/Mn+Oh83w/wCG/EOX&#10;5/TUHyQg7urH4XHqrdW9uVr101PsKv5sf2l/Fv8Awn37Rnj7XN29dX8RaheKf9mS5kYfoRX9GfxL&#10;8UL4H+HPiDWmO1dH024vST2EUTP/AOy1/MxLK08rOx3M5LEnuTXjeDuH9/FV32ivv5m/yR73jpib&#10;QwmHXVzk/lypfmy54a8SX3g7xFYatpd1NY6lpdxHd2txEdskEqMGR1PqGAP4V/Qn+wf+1fY/tk/s&#10;2aH4wtzDHqmz7HrNqh/49L2MASLjsrZDr/suvfNfzvV9ff8ABG/9tL/hlv8AaSi0LWLryfB3jx49&#10;PvS7Yjs7nOLe49AAzFGPA2yZP3RX2PiJw3/aeXOvRX72ldrzX2l+q81bqfC+F/FX9k5oqFd2o1rR&#10;fZS+zL79H5O/Q/caijNFfzGf1wFfhr/wXC8W/wDCTf8ABQvxJa7ty6Hp1hYD2zbrOR+cxr9yq/nl&#10;/wCCjni3/hNv27Pirfbt6p4iubNT6iBvIH6Riv1Twkw/NmtSq/swf3uUf0TPxvxsxPJk9KivtVF9&#10;yjL9WjL/AGF/CX/Cc/tmfC3TCvmRz+KNPeVcdY0nSR//AB1Wr+i6vwh/4Iw+Ef8AhK/+CiXgdmXd&#10;DpKXt+/HTZaSqp/77ZK/d6tPF3Ec2Z0qP8sL/fJ/5Iz8EcNy5TXr/wA1S3/gMV/mzx//AIKBeLf+&#10;EI/Yj+KmoBvLZfDN7bo2ejzRNCv/AI84r+duv3V/4LX+Lf8AhF/+Cd3jCFW2yazc2Fgh9c3UUjD8&#10;UjYV+FVfWeEWH5csq1v5p2+6K/zZ8V43YnmzejQX2ad/m5S/RI+4f+CAXhL+3v2377UGXK6H4Zu7&#10;kNjo7ywQj81kb8jX7R1+Vf8Awbi+EvP8X/FPXWX/AI9bPT7BGx18x53Yf+Qk/Ov1Ur878TsR7TPq&#10;kf5YxX4X/U/UfCPDey4bpz/nlOX48v8A7aeG/wDBQD9tjSf2HPgVceIrmOG+17UGNnoems2PtlwR&#10;nc2OfKQfM5HsuQWFfgv8aPjZ4o/aE+Il/wCKvF2rXWsa1qD7nllb5Y17Rxr0SNc4CrgCvpH/AILW&#10;/tC3Hxq/bZ1jRo52fRfAMa6LZxg/KJgA9y+P7xlJQnuIl9K+c/gB8IL34/fGzwt4L0+QQ3XiXUob&#10;ESldwgV2AeQjuEXcxHotfq3AfD+HynK1j66XtJx5pSf2Y2ukuytq/P0R+M+I/E2JzrN3l2Hb9lTl&#10;yRivtSvZt923ouy9WUvhr8IPFXxl1s6b4S8N654kvlAZoNNspLlox6tsB2j3OBXpHiD/AIJx/Hbw&#10;xpDX138K/GX2eNd7GGwa4dR6lI9zfpX7yfs/fs9eE/2Y/hnp/hXwfpcGm6bYoA7qo868kxhppn6v&#10;I3Uk/QYAAHbV8fjPF+v7d/VKEeTpzN3a+VkvTU+5wHgfh/q6eNxEvaNa8qXKn21u3bvpfsfy/wB5&#10;ZzafdyW9xFJDPCxSSORSrIw4IIPII9K9s/4J3eLPiZ4b/au8L2/wqnkXxFql0tvLbuW+x3VvndKL&#10;lR1hVQWY9V25XDAV+xX7bf8AwTN+Hf7a+kyXGo2q+H/F0a4t/EFhCv2jjosy8CdPZiGH8LLznL/4&#10;J5f8ExPDf7BVvqmoLqr+KvFmsKIJdVltBbLb24OfJij3OVBYAsSxLFV6AYr1sZ4n5bicpqc1P97J&#10;W9nJXi79b2s4rfo+lup4mB8Ic1wudU+Wp+5i1L2kXaSS6WvdSe2l11v0Pp1N2xd2N2OcdM18Xf8A&#10;BXT/AIKTyfsgeDoPCHg+eI/ELxHbmUTkBholqcr55U8GRiGCA8DazHoA32Zf38Ol2E11cSLDb28b&#10;SyOx4RVGST9AK/nC/aq+O99+0x+0L4s8bX0kjNrt/JLbo5/497ZTtgiH+5EqL+Ge9fD+HPDdPNMf&#10;KriVenSs2ujb2T8tG36W2Z+ieKfFdXJ8tjRwrtVrNpPrGK+Jrz1SXa91qjiNc1298T6zdajqV5da&#10;hqF9K01xc3EpllnkY5ZmZiSzE8knk12Hwj/Zj+Inx6WRvBvgvxJ4khibZJPY2EkkEbejSY2KfYnN&#10;enf8Evv2RrT9sj9qzTfD+sCQ+G9Itn1jWFRirTwRsiiIMORvkeNSRghSxGCM1+9nhbwppngfw9Z6&#10;To2n2el6Xp8QhtrS1hWGGBB0VVUAAfSv1DjLj2GS1I4PDU1Opa7vpGK6bbvy0srH4/wJ4bzz+lLH&#10;Yqq4UrtKyvKT6vXRJX31u7n88fxI/YV+MXwj0STUvEPw38W6fp0C7pbr7A8sMI9XdNyqPdiBXk9f&#10;1CEZFfGv7an/AARc+Hv7Umt/294duV+HfiWaTdeT2Nis1nf56s9uGQCT/bRlzk7gx5HhZH4tUqtT&#10;2eaU1BfzRu0vVav5q/ofR8QeCtajS9rlFV1Gvsysm/SWi+Tt69D4z/4IN+LPicP2k7jRfDM7y+Af&#10;Ia68TQXRZrSAbSsUkfZbhnAUY+8obOQuR+y1eRfsW/sb+Gv2JPg7D4V8PtJezzSG51LU5owk+pTk&#10;Y3sB91QAFVASFA6kksfXa/MuMs8oZrmc8VhoKMNEnazlb7T83+VkfrfAfD+IybKIYTFTcp6tq91G&#10;/wBmPkuvS7bQUUUV8qfZBRRRQAUUUUAeF/GxvAviD4oyeGtak/4RjxFcwx3FhqDgLb6grZGGPA3B&#10;lZcNgnAwxziuV0SLxJ+y94zW4vLd5tJuiI5miO6G5TsQezjkgHB69jTv+CmPw5/tfwFo/iaGPMuj&#10;3Btbggf8spehP0dQP+2leIfA39svXfhhZro+tRL4o8LsPLezuzukhT/pm5zwP7rZHHG3rX8e+IWV&#10;5ZhuLJVp/wCxYuElUpYmlHRp9K1NaTV+aLlG0mtJKSufuPD2UYnHZDGtg37aDTjOlJ63XWEujatJ&#10;Reivo0foBoWu2viXR7e/sZluLW6QPG69x/QjoR2NW68l/Z08VeG/FEMl34J1ZZ9HuTvu9IuG23Gm&#10;yH+JQeQD0IOVPUNxg+tV/UXC+a18wy6nicSoqdrNwlzQk19qEusXuk7SW0kmmfj2aYP6riZUNVbp&#10;JWkvJruvue60CmyyrDGzuyqijLMxwAPU1zvxQ+LWg/B3w2+qa/fx2cAyI0+9LcN/dRerH9B1JA5r&#10;4a/aP/bO1/44yTafZmTRfDecC0jf95dD1mYdf9wfKPcjNeFxp4iZZw5StXfPWa92mnr6y/lXm9X0&#10;TPoOFuC8fndS9FctJbze3ov5n5L5tHtP7Sn/AAUDs/DP2jRfA7Q6hqAykupkbre3PT92Okje/wB0&#10;f7Xb471/xDfeKtYuNQ1K7uL6+um3yzzOXeQ+5P8AkVTrqPhF8I9Y+NXjS30XRod80nzTTMP3VrH3&#10;kc9gPzJwBya/kbiHirOuK8dGFW8m3aFON+VN9l1fdvXzsf0lkvDuV8O4SU6do2V5zlu7d30XktPm&#10;eL/tUm4t/wBn7xBPDDI0S+RFJIF+WPfMgGT74IFfFdfq9/wWm+H+j/s5fsHeFfCWjr++1jxRDLeX&#10;Lj97e+VbXBZm9gzJgdAPzP5Q1/qN9F/gmpw1wb7DENOpVqyqStsm4wjyp9bcu/e9j/MT6UHF0M/4&#10;x9rRVqdKlGEb7tc0pXa6X5tu1j9KP+Dcjwl9q+I3xP14r/x4abZWCtj/AJ7SyuR/5AFfq5X54/8A&#10;But4S+w/s8ePNcK4bU/EKWQbH3hBbo385zX2v+0r8Uh8Ev2e/G3i7cok8O6LdX0Ibo0qRMY1/F9o&#10;/GvH48lLFcR1qcNXeMV68qX5n2vhxGGD4VoVamitOb9OaT/I/Fz/AILDftRy/tIftja1Z2tw0vh3&#10;wMz6FpyBsozxti4lHbLygjI6rGnpXyzZWU2pXkNvbxSTXFw4jijRSzSMTgKAOSSTjFF3dSX11JNN&#10;I0s0zl5HY5Z2JyST6k19M/8ABH74LQ/Gv9vTwhFdwibT/Dfm6/cqRkf6OAYs/wDbdoa/oZRoZJlF&#10;or3aMPvsvzb/ABZ/MLliOIM7vJ+/XqJenM7fdFfgj9a/+Ccv7Gdh+xb+zlpmhmCE+KNVRL7xBdqA&#10;WmumX/VBu8cQOxR04ZsZY175RRX8l47GVsXiJ4mu7yk7t/1+Hkf2tl+AoYHDQwmGVoQSSXp+r3b6&#10;sKKKK5TsCiiigDxf/gov4u/4Qj9hX4rX27Yz+HLqzVvRrhPIGPfMgr+eOv3M/wCC3/i7/hGf+Cen&#10;ia2DbW1y/sLBff8A0hJiP++YTX4Z1/Q3hHh+XK6tX+abXyUV/mz+YfGzFc+cUaC+zTT+blL9Ej2b&#10;T/2QdU1/9hi4+Mmn+dPb6P4nm0XVIAMiG3MNs0VwPYSyuje7p6GvGa/br/gkH8GtL8Tf8EvNL0XX&#10;LKO80vxs2ptfW7jiaKSeSA/mkYweo4Ir8k/2xP2Z9U/ZG/aF8QeB9S8ySPTpvMsLplwL60fmGYds&#10;leGA6MrDtX0HDnFEcbmGLy2q/epzly+cU7fg/wAGux8zxTwfLAZZgs1pL3KsI83lNq6+Ul+Kfc/Y&#10;L/gj/wDtpf8ADV37NMGm6xd+d4y8ELHp2pb2zJdw4IguT3O5VKsepeNjxuFfWlfzy/8ABP8A/a2v&#10;P2M/2l9F8WK0z6LM32DW7ZOftNlIRvwO7IQsi/7SAdCa/oQ0HXbPxRodnqWn3MN5p+oQJc21xE26&#10;OeJ1DK6nuCpBB96/F/ELhv8AsvMXUpL91VvKPZP7Ufk9V5Ndj978MeKv7XytUqzvWo2jLu19mXzW&#10;j8031LEjiONmYhVUZJPav5mfif4qbx18SvEWuMSzaxqdzfEnuZZWf/2av6NP2kPFv/CA/s8+PNc3&#10;bDo/h6/vQ3oY7eRx+or+a+vsvB3D6Yqu/wC4v/Sm/wBD4Tx0xPvYPDr+/J/+Spfqfe3/AAb1eEf7&#10;W/a68Tasy7o9H8MSopx92SW4gA/8dWSv2Or8wf8Ag3D8I7bT4ra86/ffTbCJvTAuJJB+sdfp9Xxf&#10;iViPaZ/Vj/Kor/yVP82feeE+G9lw3Rl/O5y/8ma/JHwD/wAHDvi3+zP2VvCOjq219W8TJOw/vJDb&#10;TZ/8ekSvx5r9Nv8Ag478W+br3wq0FW/1EGo38i+u9rdEP/kN/wA6/Mmv2Tw1w/s8gpS/mcn/AOTN&#10;fkj8K8WMT7XiWtH+RQj/AOSp/m2fsB/wbueEv7P/AGY/GmtMu1tU8S/ZQf7ywW0JH6zN+Rr9BK+S&#10;f+CInhL/AIRn/gnl4WuCu1tcvr+/bjr/AKS8IP8A3zCK+tq/BOMsR7bO8VP++1/4D7v6H9I8CYb2&#10;HD+Ep/3E/wDwL3v1P5uf2qr2bUv2n/iRcXBZribxRqbyE9dxu5Sa3v2DPjPpf7Pn7YHgHxfrRK6R&#10;pOpD7ZIFLeTFKjwvJgcnYJC2Bz8vFegf8FdP2dr74Aftt+K5ZLd10fxlcv4g02fb8konYtMoPTKT&#10;GQY642n+IV8x1/TeA9hmOUQin7lSmlp2cbNeq1Xkz+R8x+sZXnU5SX7ylUb17qV0/R6PzR/T1omu&#10;WfiXR7XUNOure+sL6JZ7e5t5BJFPGwyrqw4ZSCCCOtWq/n1/ZN/4KSfFb9joJZ+GdcW+8Pq+9tE1&#10;VDc2OScnYMh4ieSfLZcnk5r9DP2b/wDgv78PfiC9vYfELRdQ8DahJhTewk3+nE+pKgSx59NjAd2r&#10;8Bzzw1zbAyc8PH21PvH4recd7+lz+leH/FfJswjGGJl7Gp1Uvhv5S2t/isff1FY/gX4gaH8T/DNt&#10;rXhzWNN1zSbxd0N5Y3CzwyfRlJGR3HUVsV+fyjKMnGSs0fpsKkZxU4O6ezWx57+1xez6b+yn8Tbi&#10;2LC4t/CmqSREdQwtJSMfjX83tf06eLvDVt408Kapo96paz1a0lsp1HeORCjD8ia/m3+O3wc1f9n3&#10;4weIvBmuQtDqXh69e0kJXaJlBykq/wCy6FXU9wwr9u8H8VT5cTh7+97svVar8Hb7z+e/HLCVefC4&#10;pL3LSj6PRr71f7mfU3/BDH9oLw/8Ev2t7zT/ABFdwabb+MtKOlWl3MwWNLoTRyRozHhQ4VlBP8Ww&#10;d6/bKv5e819afsq/8FlPi9+zTp9rpN5eW/jjw3agJHZa0WaeBB/DFcA71wOAH3qBwFFenx3wDiMz&#10;xH9oYGS57JOL0vbZp7Xt0dl5nleHPiVhsowv9m5jF8l24yWtr7pre19bq76WP3Qor41/Zm/4LffB&#10;/wCOk1vp/iCa6+HmtzYXy9WYNYu57LdL8oHvKIxX2JYX8GqWUNzazQ3FvcIJIpYnDpIpGQykcEEd&#10;xX4bmWU43L6nssZTcH5rR+j2fyZ/Q+VZ5gMzpe2wFWNReT1Xqt180iaiiivOPUCiiigAooooAKKK&#10;KAOb+MHgOP4n/DDXNBkC51K0eKMt0STGY2/Bwp/Cvy3uraSyuZIZkaOWFijowwVYHBB+lfrZX50/&#10;tt/Dn/hXX7QmsCOPZaayRqcHHH7zO/8A8iB/wxX86+P+R8+Gw+bwWsG4S9Jax+Saa/7eP2zwbzbk&#10;xFbLZvSS54+q0f3pr7jzXwv4r1LwVrcOpaTfXOn31ucxzQOUZfb3B7g8GvpPwz/wUz1aw8BTW+pa&#10;Jb33iKNQlvdo3l28v+1Kg5BHXCkBv9mvlyivwLIOMM3yXmWW13BSWq0a9bO6TXR7n7FnHDOW5ryv&#10;HUlJx2ez9Lqzt5bG98RPiXrnxW8SSarr2oTX95JwCxwkS/3UXoqj0H86waK2/h38PNW+Kfi210XR&#10;bVrq+u2wB0WNe7sf4VHUn+teNfFY/E681SrUfnKUpP8AFtnqf7Pg6GloU4LySSX4JIm+F/ww1j4v&#10;+MrXQ9FtzPdXByzHiOBB96Rz2Uf4AZJAr9FfgF8BdI+APguPTNOXzrubD316y4ku5PU+ijnavYep&#10;JJr/ALOv7PGk/s+eDVsbQLc6ldAPf3xXD3DjsPRBzhfxPJJr0Kv7E8MfDWlkFFY3GpSxUlr1UE/s&#10;rz/mfyWmr/mXj3jqpnFX6rhW1h4v5zfd+XZfN67fl3/wceeLczfCnQVb7o1G/lX6/Z40P6SV+X9f&#10;eH/Bwf4t/tj9sTw/patuj0fwvBuX+7JLcXDn/wAd8uvg+v8AQjgHD+xyDDx7pv75N/qf52eJWJ9v&#10;xJipdmo/+AxS/NH7jf8ABDXwl/wjf/BPfQbvbtbXtUv78++JzAD+UAre/wCCyviJ/Dv/AATm+IDR&#10;sVkvBY2gI9HvoA35ruH412H/AATX8Jf8IV+wb8K7LbsMnh+C9I97gG4P/o2uC/4LX6XJqP8AwTl8&#10;bPGC32S406Zsf3ft0C/+zV+EU6yxHFiqS2eIX3e00P6MqYeWG4LlSjvHDP7/AGep+FFfoj/wbp6D&#10;Hc/tAfEDVCo82z8Px2qn0EtyjH/0SPyr87q/Q7/g3W8TQ2X7RHjzR2YLNqHh5LpAf4hDcop/9HCv&#10;3jj3m/sDE8vZfdzK/wCB/OPhvy/6yYTn25n9/K7fifrtRRRX8pH9mhRRRQAUUUUAfnv/AMHEvi3+&#10;z/2a/BGiBtrap4jN2R/eWC2lU/rOtfkHX6Wf8HHPi37T44+Fugq3/HlY39+6+vnSQop/8gt+Zr81&#10;Yo2mlVFUszEKoHUk1/UPhvh/ZZBRb+05P/yZr8kj+QfFXEe24lrxX2VCP/kqf5tn9Dn/AATu8Jf8&#10;IT+wz8KrHbsZvDdpduvo08Ynb9ZDXhH/AAW6/Yu/4aA/Z/HjrRbXzPFXw/ie4kEa5kvdO+9NH7mP&#10;Hmr6ASActX2H8OPC6+B/h5oOiqAF0fTreyAHQCOJU/8AZa2JoVuIWjkVZI5AVZWGQwPUEV/PeFzy&#10;thM1/tOj8XO5eqbd0/VOx/TeL4eoY3Jf7JxC93kUfRpKzXmmkz+X2v1z/wCCDP7aX/Cwfh1d/CPX&#10;rvdrHhWM3eiNI3zXNgW+eIephduB/ckAAwhr4g/4Km/saN+xz+07f2en27R+EfE27VNCcD5Io2b9&#10;5b59YnO3HXYYyeteN/AP4161+zp8YvD/AI10CXy9U8P3a3KKSQs6dJIn/wBh0LI3sxr+js6y/D8S&#10;5Leg/iSlB9pdn26xfbXsfyxkGZYrhTP7YhW5G4VF3i92u/SUe+nc/dD/AIKreLf+EL/4J8fE+63b&#10;WuNLWwHv9onjgI/KQ1/P/X7Cf8Fc/wBpTRfjJ/wSu0PxP4fuPM0vx9qunxxrn5oyBLO8T/7SPbsr&#10;Dsymvx7rwvCvBzoZXV9orSdSSaf91JW+TufReMmPhic3peyd4qlFprZ8zk7/ADVj9lv+DfPwj/Yv&#10;7G2u6oy4k1rxPcMrf3o44LdB/wCPeZX3dXzD/wAEcfCX/CI/8E7fACsu2XUVvL9+PveZdzFT/wB8&#10;bK+nq/EuLMR7bOcVU/vyX3O36H9AcFYb2GQ4Sn/07i/vV3+Z+Mf/AAcDeLf7c/bU0nTVbMeieGLa&#10;Jlz0kknuJT+asn5V8L19Mf8ABYPxb/wl/wDwUS+IkituisJrWwT/AGfKtIUYf99hq+aYYWuJVjjU&#10;s8jBVA6knpX9M8J0PYZLhof3Iv71f9T+S+NMR9Yz7F1F/wA/JL7nZfkf0Of8E7vCX/CE/sM/Cux2&#10;7Gbw3aXbLjo06Cdv1kNezVi/Dnwwvgj4e6DoqABNI063slA6ARxqg/8AQa2q/k/HV/b4mpW/mk39&#10;7bP7Py3D/V8JSofyxivuSR5J+2R+xl4Q/bY+FreG/FEMkNxbMZtM1O3A+1aZMRjchPVTwGQ8MAOh&#10;CsPx4/ao/wCCRXxg/Zlu7q6i0SXxp4biJZNV0OJpyqessAzJGQOScMg/vmv3ior6bhvjbMMmXs6V&#10;p09+WW3ye6/LyPkuLPD/ACzPX7asnCra3PHd9uZbP8/M/l9kjaGRkdWVlOGUjBB9DTa/op/aB/YV&#10;+E/7T1vN/wAJh4L0i9v5lI/tKCP7Lfqex8+PDnHoxK+oNfkx/wAFM/8AglTqH7ESQeKPD+oXPiDw&#10;DqFwLYS3Cj7XpUrZKRzbQFdWwdsgCjI2kAlS37Zw34iZfmtWOGmnTqvZPVN9lLv6peVz8B4q8Lsz&#10;yejLFwkqtKO7WjS7uL6eabt1seK/skftneOP2M/iFDrfhPUpFtJJFOoaTM5NlqcY6rInTdjo4wy9&#10;j1B/fD9mb9oXQ/2pvgloPjjw8zfYNah3PA5Bks5lO2SF8fxI4Iz0IwRwRX829fq5/wAG5Xj661D4&#10;ffE7wxLIzWek39jqVuhPCNcRzRyY+v2eOvH8UuH8PVwDzSEUqkGrtfai2lr3abVn2uj3PB/ibE0c&#10;yWUVJN0qibSf2ZJOV12TSd13sz9KK+Xf+CiX/BMLwz+3RpEWqQ3CeHPHemw+VaassW+O6jGSIbhR&#10;yyZJww+ZMnGRlT9RUV+E5dmWJwOIjicLJxnHZr8n3XdM/ozNMrwuY4aWExsFOEt0/wA09010a1P5&#10;5f2lf+Cevxa/ZSup28VeE719JhJxrGnKbvTnX+8ZVH7vPpIEb2rxWv6g3RZFKsAysMEEda+dP2kf&#10;+CVvwX/aWtbmS/8AClr4f1qcEjVtCVbG4Dn+JlUeXIfXejH3FfsWT+LkXanmdH/t6H/yL/R/I/Cs&#10;88EpK9TKa1/7s/0kvwul5s/Aevqf/gnJ/wAFNfFH7GHjey0vU7y81j4cXswS/wBLkcyGwDHme2z9&#10;xlzkoPlcZBAOGHGft7fsJ+Iv2EvitDomqXCatourI9xo+rRx+Wt7GpAZWXJ2SJldy5I+ZSCQRXhd&#10;fqdSjl+d4C0rVKVRaP8AVdU196Z+O0a2ZZBmN43pVqb1X6Po016po/p50DXrPxToVlqenXEN5p+o&#10;wJc208Tbo54nUMjqe4KkEH3q3Xyv/wAEYPH1148/4J7+DvtkjTTaLLd6UrsckxxTt5Y/4DGyKPZR&#10;X1RX8l5pgXg8ZVwjd+STjfvZ2uf2rk+YLH4CjjUre0jGVu10nb5BRRRXAekFFFFABRRRQAV8y/8A&#10;BS/4c/2x8PtI8TQx5m0W5NtcMB/yxlxgn6Oqj/gZr6arnPi94Dj+J3wx1zQZAv8AxM7R4oyeiSYz&#10;G34OFP4V8zxlkizfJcTl9tZRfL/iWsf/ACZI97hnNnluaUMZ0jJX/wAL0l+DZ+WVFSXdrJY3UkEy&#10;NHNC5R0YcqwOCD9DV3wn4T1Hxz4itNJ0m1lvdQvpBHDDGOWP9AOpJ4ABJr/P2nRqTqKlCLcm7JJa&#10;t7Wt3P7KnVhCDqSaUUrt9Ld79iXwR4J1T4i+KLPR9HtZLzUL19kca9vVieygckngAV+h/wCzR+zb&#10;pf7PXhLyY/Lu9avFBv77bzIf7idxGOw79T7Vv2XP2YdO/Z78L7n8q88RXyD7deAfd7+VH3CA/ixG&#10;T2A9Ur+wvC7wyhklJZjmKTxMlot1TT6L+8+r6bLS7f8AM/iBx5LNajwWCdqEXq/52ur/ALq6L5vo&#10;kUUUV+zH5efg7/wWV8W/8JZ/wUT8e7W3Q6Z9isI/bZaQ7h/32Xr5eRTIwVRlmOAB3r1H9t/xb/wn&#10;P7YvxQ1QNvjufFGoCNvWNbh0T/x1RXOfs+eEv+E++PfgjQtu/wDtrX7GxK+vm3Eaf+zV/YWTwWEy&#10;mjGX2Kcb/KKufwzndR43Oq8o/wDLyrK3zk7H9Gnwj8KjwJ8KfDOhqu0aNpNrYgDt5UKJ/wCy1x37&#10;bXwok+OH7JPxC8L28fnXmqaHcC0jAzvuEXzIR+MiJXqVFfyPRxVSniI4mPxKSl807/mf21WwVOrh&#10;ZYSXwyi4/Jq35H8vZGDXuH/BOX9pCL9lf9sDwj4qvZfJ0Vp207Vm7Lazjy3c+yErJj/pnXV/8FYP&#10;2RLj9lD9q7V/stq0fhXxdLJrGiyKuI0V2zLbjsDFIxGOuxoz3r5kr+uqdTDZxlvMtadaP4NWa9Vt&#10;5NH8R1qeLyPNeV6VaE7/ADi7p+j380z+oG3uI7u3jlikSSKRQ6Oh3K4PIIPcGn1+Sv8AwTF/4LNW&#10;vwb8Kaf8PfixJeS6Dp6i30nXo0aeTT4hwsM6DLNGo4VlBZRhcEYK/pp4B/aS+HvxS0mO+8O+NvC2&#10;sW0g3brXU4XZfZl3blPswBFfy9n3C+Pyqu6VeDcb6SSfK169H3T1R/X3DfGGW5zho1sPUSnb3oNp&#10;Si+qt1XZrRnbUVwfj79qX4a/C2wkufEXjzwjpEcYzi41WFZG9lTduY+ygmvgf9uj/gvHp8Oj3nhv&#10;4KrNdX0wMUvia7tzHFbjoTbQuNzN6PIAB2VuCM8n4ZzLM6qp4Wk7dZNNRXq/0WvZGuecXZVlNF1c&#10;XWV1tFNOT8kt/m7JdWfppRX4i/8ABOH/AIKqeKP2dvjW0Pj/AMQ654k8FeJ5gupvf3Ul3LpspPF3&#10;HuJPGfnUfeXnBZVr9tNN1K31nTre8tJorm1uo1mhmiYMkqMMqykcEEEEEetb8T8L4rJMQqVf3oyV&#10;4yWz7r1Xb0fU5+EeMMHxBhpVsOuWUXaUXuuz80+/quh+L3/Bfjxb/wAJB+3JbWCtldC8N2dqVz91&#10;nkmmP6SrXyx+zT4S/wCE9/aM8A6Ht3jV/EWn2bDHUSXMan9Ca9Y/4K2eLv8AhMv+Ch3xKuA25LW9&#10;hsF/2fItoYSP++kaqv8AwSn8J/8ACZ/8FCPhha7dy2+pvfn2+zwSzg/nGK/obK/9i4YhP+WjzfPk&#10;5vzP5gzf/hQ4tqQ356/L8uflX4H9AFFFFfymf2YfPH/BTf8AY5i/bL/Zi1PSbOGNvFWh51PQZTgM&#10;bhFO6DP92Vcp6BtjH7tfgNd2kthdSQTxyQzQuY5I3UqyMDggg8gg8Yr+oCvxn/4Lk/sXf8KQ+OUf&#10;xG0O08vwz4+mZrwRr8lnqQG6QewmGZB6sJewFfsnhVxJ7Oq8orvSV3D16r5rVeafc/CPGThX2tKO&#10;d4de9G0Z+cfsy+T0fk10R8ky/HnXbr9ntPhrcTed4et9dXX7VGJ3Ws/kyQuF/wBlw4OOxUn+I1xN&#10;FXPD+jy+ItesdPgG6a+uI7eMerOwUfqa/cqdKnRUnBWTbb9erP55qVqtdxjNttJRXotl/kf0VfsV&#10;+Ev+EE/ZB+GOkldkln4X05ZRj/lobZGf/wAeLV6dVXRdKi0LRrSxgXbDZwpBGPRVUKP0FM8S63F4&#10;a8OahqU/EOn20lzIf9lFLH9BX8Y4iq69eVTrJt/ez+88LRjh8NCl0hFL7lY/nS/bJ8W/8J3+1r8T&#10;NXDb477xPqMkZ/6Z/aZAn/joFZv7MnhL/hPv2kPh/oe3zF1fxHp9my+qyXMan9Ca4/VdSl1nVLm8&#10;nbdNdStNIfVmJJ/U17//AMEofCP/AAmn/BQn4Y2pXcttqMl+3HT7Pbyzg/nGK/rzGyWCyqbX/Lum&#10;/wDyWP8AwD+Icvi8fnFNP/l7VX/k0v8Agn7+0UV+aP8AwWW/4Khap8Ptfb4V/DPXLjTdVtfm8Rav&#10;YS7JrZiPltIpByj87nZSCPlUEHeK/lXIcjxObYtYTDLV6tvZLq3/AFq9D+yuJOIsJkuCljcW9Fok&#10;t5N7Jfm+yuz9LqK/F79gX/gtH4w/Z/1qHQ/iTe6t448G3D4NzcTG41TSyf4kkc5lT1jc5H8JGNrf&#10;rH8E/wBqT4e/tGaJHf8AgvxdomvRyKGaGG4C3MOe0kLYkjPsyiu7iLhHMMnqWrx5odJq7i/Xs/J/&#10;K55vC/HGWZ5Svh58tTrCTSkvTuvNfOzO+r5d/wCCzOoWdj/wTl+IC3mwtcGwitw3VpTfW5GPcAMf&#10;oDX0N46+Jnh34YaJJqXiTXtH0HT4VLPcaheR28age7kD8K/H3/gsH/wUu0v9rbUtP8D+B5ppvBOg&#10;3X2u4v2Qx/2vdBSqlFOGESKzY3AFixOMBSevgfI8Vjs1o1KcXyU5KUpdEou9r93ayX6HH4hcRYPL&#10;8mr0qs17SpGUYxvq3JWvbsr3b26btHwzX6u/8G5Hgmax+HPxP8RsrfZ9T1Gy06JiOC1vHLI+P/Al&#10;K/KjTtOuNY1C3tLSGW5urqRYYYYlLPK7HCqoHJJJAAHrX9CH/BPr9mtf2Qv2R/DPhW98qHVY4G1H&#10;WpNw2/a5vnkBboRGNsYPcRg1+ueKmZwoZT9Uv71WS08otSb+9JfM/EfB3KamIzv67b3KMW2/OScU&#10;vubfyPbqK/GH/gpv/wAFY/FPxh+MNx4f+GXirWPD/gjw9IYI7zSbt7WbWplPzTmSMhvKzwi5wQNx&#10;5YBfUP8Agnp/wXJfRoLbwj8bbqe4gXEdn4pSIySoOgW7RRlv+uqgt/eB5evy+t4b5vDL446MVJtX&#10;cFfmS9Or7pao/X6Pirkk8zll0pOMU7Ko7cjfXXou0no/JWv+p1Fc/wDD74seF/izokepeF/EOi+I&#10;LCUBln0+8juE/EqTg+x5FYvxr/aZ8Bfs6+HZtT8Z+KtG0GCFC4jnuF+0T47RxDMkjeyqTXxEcLWn&#10;V9jGDc9rWd7+m5+hTxmHhS+sTmlDfmurW732Phf/AIONdQs4/hX8M7V9n9oTateSw/3vKWFBJj23&#10;PH+lfk7X0J/wUl/biuP25vj22t29vPYeF9FhNhodpMf3ixbtzTSAcCSRsEgdAqLk7cny/wDZ5+B2&#10;s/tI/Gjw94J0GJpNQ1+7W3D7dy20fWSZv9lEDOfZa/qbhHL55RkdOnjHyuKlKV/s3bl+C387n8d8&#10;b5lDO+IatXArmUnGMbfaslG69Xt5WP2o/wCCMHgmbwX/AME8vBZuEaObWJLzUtpH8MlzIEP4oqn8&#10;a+qKxvh14F0/4X+ANE8N6TH5Ol6BYw6fap3WKJAi598KMn1rZr+Yc2xv1zG1sV/PKUvvbZ/XWS5f&#10;9Ry+hg/+fcIx+aSTCiiivPPTCiiigAooooAKKKKAPz3/AGvPgvfaP+1DfabpNlNcv4mkW+soYly0&#10;jS53gduJA59AOTX1R+yj+yvY/ADw79quxDeeJr6MfarkcrAvXyoz/dHc9WI9AAPUJ/C2nXXiO31i&#10;SzgfU7WF7eG5K5kjjYgsoPbJA/yTWhX5pw74Z4DLM4xGcytKc5NwVtIKWrt/eu2k+i23Z91nXHmM&#10;x+WUcrj7sYxSm+s2tFfysk7dXv0Ciiiv0s+FCq2s6pFoekXV7O22GzheeQ+iqpY/oKs1m+NPC0Pj&#10;nwdq2i3M1xb2+sWc1jLLbsFljSVChZCQQGAYkEgjPY1ULcy5tianNyvk36ep/Mz4h1mXxHr99qE5&#10;3TX9xJcSH1Z2LH9TXuX/AAS18Jf8Jp/wUC+F1nt3eTq/28jHT7PFJcZ/Dyq/Rr/iHs+Cf/QwfEr/&#10;AMGVn/8AItehfsuf8EgPhf8Ask/GXT/HPhvVPGd9rGlxTRQR6leW8sA82No2JVIEbO1mx83fvX9B&#10;Zr4lZPVwFbD4dy5pQlGPu2V2ml1P5lybwnzyjmVDE4pQ5IzjKXvXdlJN9D6qooor+ez+nDyj9sj9&#10;kPwz+2l8Gbzwn4iUwSg/aNN1GNA02mXIBCyr6jnDLnDKSODgj8Kv2s/2LvHn7GnjuTR/F+lyJayO&#10;RYarApex1JB/FHJj72OqNhl7joT/AEWVk+N/AeifEvw1c6L4i0nTdc0m8XbPZ31us8Mo91YEceva&#10;vuOEeOMVkr9k1z0W7uN7NPvF9PNbPyep+ecbeHuEz9KvF+zrpWUrXTXaS6+T3XmtD+ZGiv2r+MH/&#10;AAQY+CvxDvprvQpPEngqeQlvK0+7E9qCf+mcyuw+iuAPSvKpv+DcPRWuMx/FfVFhzwraDGzY+vnj&#10;+VfsWH8T8hqR5pzlB9nFv/0m6/E/DMV4RcR0p8tOnGa7qcUv/JuV/gflTVrQ9CvvE+sW+n6bZ3Wo&#10;X95IIoLa2iaWaZz0VVUEsT6AV+vngH/g3m+F2h3McviDxZ4y1/YcmKFoLKKT2OEd8fRga+sP2f8A&#10;9jT4Y/su2u3wP4P0nRbhk2Pe7DPeyjuGnkLSEe27HtXm5l4sZZRg/qcZVJdNOVfNvX8D1Mp8F83r&#10;zTx040o9deaXyS0/8mPgn/gmz/wRNurTVdP8dfGexjjS3K3Gn+FnIcuw5V7zHGB18kZz/HjBQ/qG&#10;iLGgVVCqowABwBS0jDcpHIyMZHavxPPuIMZm+I+sYyXoltFdkvze76n9BcN8M4HJML9WwMd9XJ/F&#10;J92/yWy6I/m6/aq8W/8ACe/tO/ETWt29dV8S6jdIf9l7mQqPwBAr6U/4IK+E/wDhIv2847zbu/sH&#10;w/fX2f7pYxW//tc19k3X/Bvr8F725kmk8RfExpJmLux1Kz5JOSf+PWvXf2Nf+CYnw9/Yc8car4g8&#10;I6h4qvtQ1ex/s+X+1rqCZEi8xZDtEcMZBLIvUnpX6znfiBlNbJ6mAwjlzOHKrxstku/Y/FOH/DPO&#10;6GeUsxxijyRnzu0rve+1u59GUUUV+FH9FhXnX7V/7OWk/tXfAPxF4H1gKker25+y3BXc1lcr80Mw&#10;/wB1wCQOq7h0Jr0WitsPiKlCrGtSdpRaafZrVGGKw1PEUZUKy5oyTTXdPRo/mX+Jfw71b4R/EDWf&#10;DGvWrWesaDdyWV3C38MiMQcHup6gjgggjg1237D/AIS/4Tr9sb4X6WV3x3PifTzKuOsaXCO//jqm&#10;v2e/az/4JTfCf9sTx3/wlHiKDXNJ8QSRJDc3ujXaQPeKg2p5iyRujMqgDcFDYABJAGOZ/Z8/4Iuf&#10;Cj9m74yaF440TVvHF5q3h6Zp7aHUL62kt2Zo2TLKlujHG4kYYcgfSv3qfill1bLpRmpRrODVrac1&#10;raO+1/wP5up+D+a0M0jKm4yoRmnfm15eZPVW3t+J9dV5V+3N4t/4Qb9jX4o6oG2SW/hi/WJvSR4H&#10;RP8Ax5hXqtcZ+0J8DtK/aT+Deu+B9cutSs9J8QRJBczafIkdwqrIsmFZ1dRkoAcqeCfrX4Vl9SnD&#10;FU51vhUk36Jq/wCB/RWZU6tTB1adD43GSj01advxP5rq+1v+CCHhL/hIv27jfFcroPh29vQcfdLN&#10;FB/KY19hf8Q9nwT/AOhg+JX/AIMrP/5Fr2L9jT/gmR8P/wBhvxpq2veEdQ8U319rFkLCb+1rqCZU&#10;j3q/yCOGMgllXOSelfuHEniNlWLyyvhcM5c84tK8bLXR637XP574V8Lc5wWb4fF4tR5ISUnaV3pq&#10;tLd7H0Uea/Gj/gp7/wAEk/FXwT8Y61488D2+peKvBepTyX15Gpa51DR3di7+Z1eWLJJEvJAzv6b2&#10;/Zeg81+TcN8TYrJcT7fD2aekovZr9Guj/NaH7VxZwng8/wAKsPirpx1jJbxf6p9V18nZn8vdOSRo&#10;m3KzKw6EHBFfvv8AtFf8Eqfgn+0rfz6hq3hVdF1q4JaTUtDk+wzyMerOoBidj/edGPvXzT4k/wCD&#10;crwndXjNpHxM8RWNvnhLvS4bpwP95XjH6V+4YHxUyatC+I5qb6pptfJxvf5pH895j4O59QqWw3LV&#10;j0akov5qVrfJv1PygnuZLpt0kkkjerMWqXR9HvPEOq29jp9rcX19dyCKC3t4zJLM5OAqqoJYk9hz&#10;X60+C/8Ag3V8Babdo+v+P/FmrRKcmOytoLHf7EsJTj6V9afs3fsJfCv9k+ISeC/CdjZakU2Pqlxm&#10;6v5Aeo86QllB7qm1fascy8VcpoU/9jjKpLppyr5t6/cmbZV4N51iKieOlGlHrrzS+SWn3yR8if8A&#10;BJv/AIJG3Xwe1ix+J3xQs44/EkIEuiaHJhv7LYji4n7ecP4U/wCWfU/PgJ99/FH4daf8XPhxrnhf&#10;VWuk03xBYy2Fy1rM0MwjkQq2115Bwfp2IIyK3qK/Dc4z/GZljPruIl73S2iilsl2t999Wf0PkXDW&#10;BynA/wBn4WPuO/NfVyb0bl3v9yWi0PwG/br/AOCbHjr9iXxPcTXVrPrngqaUix1+2iJi2k/Kk4Gf&#10;Jl7YPysfuk84+dK/p91LTLbWtPmtLy3gu7W5QxzQzRiSOVTwVZTwQfQ18nfHP/gih8C/jNezXtno&#10;+oeCtQnJZpNAuRDCW/64SK8Sj2RVr9YyDxYpqmqWbQfMvtx6+sdLfK/oj8Y4k8F6vtXWyWa5X9iT&#10;s15KWt12vb1Z+G0FzJbPujkkjb1VsGkklaZ9zszMepJyTX6saj/wbi6BLdlrT4qaxBBnhJtEjlYD&#10;/eEqj9K674cf8G9Xwt8OXkc/iPxR4u8S+WcmCNorGCT2YKrPj/dcH3r6qp4mZBCPPGo5Psoyv+KS&#10;/E+No+EvEs5ckqUYru5xt+Db/A/Jn4V/CXxL8b/Gtn4d8J6Lf69rV822K2tY9zY7sx6Ko7sxCgck&#10;iv2v/wCCX/8AwTPsP2IPCE2ta49rqnxE1yAR3tzF80Omw5DfZoSRkjIBd+NxAHRRn3z4Hfs3eBf2&#10;bPDf9leB/C+leHbRwPNNtFma5I6GWVsySEersTXb1+V8XeIVfNoPCYaLp0ev80vW2iXkr+bZ+ycD&#10;+GOHyWosbi5KpXW1l7sfS+rfm7eSW4UUUV+bn6oFFFFABRRRQAUUUUAFFFFAFXUNas9Jlto7q7tb&#10;WS8lEFussqoZ5CCQiAn5mwCcDng0T65ZW2qR2Ml5ax3s0bTR27SqJZEXG5guclRkZI4Ga+V/22vE&#10;HibWP20fgjovg/w5Z+LtU8L22reLbnS7rVBpsTKI0s4ZDMY5Nu15nIG05IA4615j44+NHivUPjX8&#10;ePHnjDw5YeEdW+E/wsGiW1jaawNUjjur9pLiOTzvKjw7bIlKheBjnmvpMLw7OvShUUl70ea11dNz&#10;5IrlvzWbtra2p8njOKoYetUouD92fLe0uVpU/aSfNblulzK176H3FoHxT8MeK9RWz0vxHoOpXjKW&#10;EFrqEU0hA6narE8VpWviCxvtWurCC9s5r6xCm5t0mVprcMMrvUHK7hyMgZFfGX7PVvp/7CX7K8nj&#10;Txt8G/A/gu58F+FrdItesby2udW8RXTIqeW5W3R42mk25DSPgvg5Ck159/wTs+JOh6P+2veak3jT&#10;TfFGsfETwFLr/iy4tZy8Nrq0d8ZWgX0SK2lEa44xDkda3lw2pQr1qMm4U9nZNSa1esW0ko673u0r&#10;b25qfFjjUw1DERUZ1fiV3FxT0WkkpNuWm1rJu+1/0Cv/AIhaBpen3F3da5o9va2tybOeaW8jSOGc&#10;dYmYnCuP7p59qp2fxl8H6gkzW/irw3OtsgkmMepwsIlLKu5sNwNzKMnuwHcV8p/s36J4euP+CXmv&#10;eOvG3h3Rdej1p9d+IM9pq9jFeQ+fJLcyRPskVl3eWEAOM/NjvXl/jT9nfSvhR+wH8CfDvh3wT4eu&#10;fH/xI1LQ7fUWWCGyvNWjz/ac0E10EL+WGgRSW3BcKcHaBTo8P4eVWVGVRpqpyXsraJuUrt7RS/Fa&#10;ircT4qNGGIhSi4ype0td31aUY2Sesm9PR6H6LajrdnpD2y3d5a2rXkwt7cTSqhnkIJCJk/MxAJwO&#10;eDVHxF8RPD/g+9t7bVtc0fS7i6/1MV3exwPN2+UMQW/Cvi348fGr4geI/wBp74eR+Ofh/pPhe3+H&#10;Wka78QDa2XiMav8Abvstk8UJbEEXl7ZZAAfmzuPTHPdfsO/sqeB/ih+zv4f+I3j/AEDQfHXjjx9b&#10;J4h1TWtatI72aN5f3iRQmQN5McSFUCx7QNlc9XI6eHw0cTip6O2keWWrcraqVrWjdu/VK27XVR4i&#10;q4rFywmDp6xb1nzQ0Sg3dOPNdudkrLZu+yf1Lf6/Y6Xf2lrdXtpb3WoMyWsMsypJclRkhFJyxA5O&#10;M4qh4k+JHh3wbfQ2usa9oulXNwu6KG8vooJJBnGVVmBIzxxX5n/HD9q/wn8b/wBp3QPihH4x0/zv&#10;BHxC0rRPDOiJcfvZNIWVo9QvSvT/AEiSRSp4IjgXPWus/aw8Y2vxD/4KGeMvD954G8N+LP7U0jT/&#10;AId6HqfiJ1XSdE1GeCW+y58qRvNbzcIECsWTaGGcj0afB81KEaza9xylolZpxulzNJ2Uld900r21&#10;8urx1TcJyoRT/eRhF3bupKTTfKm1dwaS7OLdr6foR4k8faF4Ojt31fWtJ0pbrJga8vI4BNjGdu4j&#10;djI6eoq5o2t2fiLTYr3T7u1vrOcExz28qyxyAHBwykg8gjj0r4D8TfBDVdJ/aU+Gvw1tfBOg/Gu1&#10;+Dvw2RLy01+9itLT7TdzrEJsSxTKSEtRtQrkKy/N8vP1N8cPjPoP7En7I994mm0TSfD9voOnqtno&#10;VgEjtReScR2sWxVG0ytgsqj5QzYGDXk4zJYw9lTw8uedTZaLRtqOl+ZXVnqktfI9rA5/Op7erioK&#10;nTpLVvmeqSctbKL5XzR0bem2p6rY6/Y6pqF3aW17aXF1p5VbqGKZXktiwyodQcrkcjOM1St/iFoF&#10;34qk0GLXNHk1yJS76cl5G10ijkkxZ3ge+K+C/wDgmhr2k6b+1r4y0XR/HNn4u1nx/wCBrfxHr+rW&#10;kvmoutLeTLcKoOBhBdLtAGNgX3rf/ZG+FEvhHR/iB8CdW8N6H4a+NWneGr65s/HtlEk82t2188sa&#10;X5uMeesglZQyM2fkyMYwO3FcOU6E6kJVH7qg9rO0t5Wbvyxlo7Jtpp2WpwYPiqriadKcaSXO5p+9&#10;dXjrGCaVuacdU21FNNXeh9q6L8QtA8Sa5d6Xp2uaPqGpaeM3VpbXkcs9tzj50Ull545A5ptv8RvD&#10;154pfQ4de0WXW4wS+npextdIBycxBtw/Kvz20v4qD4C/sreJfh3pPgvRPhj8YvDWo6H4C1nXNLhi&#10;bzo9RYbNRS5UB2MkSSSYc7kdlOc9PQf23/2U/h18BfhH8OdL8A+G9L0n4jXPjDSbXw5qdvEv9sXU&#10;4nVp5ZZwPNlXyg7SM5KglSccVUuHKMa8aM5tc7cYuyd0kpc7alZRakmrN6XfTWI8VV54eVenTi/Z&#10;xUpq8k03KUeRJxu5pxad0lzWS30+z/FHjXRvBFolxrWraZo9vI2xJL26S3R29AXIBPtUtj4p0zU7&#10;yG3ttRsbi4uLYXkUUVwjvJATgSqAclCeNw4z3r5L/Y9+E3hf9tHVvHvxU+I2iaV4zv7rxNf6Ho1l&#10;rFsl7a6Fp1q4ijhihkBRHYgu7AZYsDxk5wta+NPh39mn49ftAfEV7S0t9F+FPhnQ/A/h+xhAjikl&#10;aN7kWkYH3R5ssKkD7qgnotcv9gqVSeFpycqsErqytzOUYqK1u9ZWvZbNnZ/rJKNKnjKsYxo1G7O7&#10;uoqMpOTVrK8Y3STe6Tdz7Nm8aaPb/wBo+Zq2mx/2OA1/uukH2IEZBl5+TIGRuxkVmWHxn8H6rdLB&#10;a+LPDVzMwJEcWpwOxABJOA2eACT7A18Hf8E6f+ER1v8Aas8YeGbnxDoXxLPxL8DW/iHxbI4W7s7r&#10;VkvpftEJRwVKIt0oUYxsUcVn+FvAHgvwZ/wTd+MXxY03wb4Xt9Z8WazrqeGbyDSYEudNtrq5Ol28&#10;Ns4QNGgBOFQgfOxxya7qnDFKnWdCc5XvTUXy2u6l7aN3STUvkvkebS4wr1aCxEKcbWqykua7Sp2v&#10;ZpWbalH5u2yP0G0n4s+FdfedbHxN4fvWtYWuJhBqMMhhiX70jbWOFGRkngZqfwz8RvD3jWeSLRte&#10;0bVpYRukSyvY7hkHqQjHH418PfFX4ZXfwD/YB8bWc3we8D/DvxRfaLp/guw1LR7u3vL7XzeSxWs3&#10;nSR28TjOVchmfcSSeVyem/aa/Z98D/BL4p/s76Z8O/D+ieH/AIhP4wsohPo9pHaXd3pEMTnUGuPL&#10;AMkZjC7i+eW68mudZFhpPljUerkou0WvcipNtqTVtVqm7a32sdb4kxcY806S91QcleUX783BRSlF&#10;Pm916NK+lt7n2VqOt2ejvbreXdrateTC3txNKsZnkIJCLk/MxAJwOeDTdM8Rafrc93HZ31ndyWEp&#10;huUhmWRreQdUcA/K3scGvnn9p26j8X/tzfAjw7Iymx8OprHjLUVJ+WNYLYW9u5+kk7HPtXxx8Gvj&#10;Hq/7I2nat8U9SuLhND/aM8N+I9aHmE7bXWree8uLMZ/h823dFUdWZvajA8MvFYdVIT9+STUbbtyn&#10;pe/8sJS27LqPMuLo4PFOlUh+7jJqUr7JRpu9rfz1Ix37vofp5f8AxR8M6XpVrfXXiLQrexvt32a4&#10;lv4kiuNpw2xi2GweuCcVFd/GDwlp9na3Fx4o8Ow298pe3lk1KFUnUEqShLYYBgQSOhGK+B/+FU6h&#10;/wALM+Avw9tfhvovxPj+Gvww/tbU9D1W7gtrRbq+aOJpH86ORGYPE5Clc/NnIxW9rHw6n8eftu65&#10;Z6L8C/AHjDRfhz4N0vQ5fDl/e2tnpmg3d48l9IYVa2kjd/m2llROOf4sVs+G8Ot6unK5PWC05uWO&#10;8lZyvF62WtldnOuK8U9qOvNGC0m/ecFKW0HdRtJWjd+7dpJn3Rf+N9F0rw6msXWr6XbaTIqul7Ld&#10;Iluyt90iQnaQexzzWbcfGnwbaQ28kvizwzHHdR+bA76pAqzJkruU7vmG5WGRxkEdq+Yvg78J/DP7&#10;Vf7WXxMHi7Q9J1Twn8H5rPwn4V8Lz26PpWlgW4eef7MR5TMx2ohK4VEAA4GGft5fszfDkv8ABfwb&#10;pPgLwbZ3HiLxxY2A+z6NbpJDpcLT313EjBMrGxDbkGFPmtkcmuOnlGFWIhhas5czSk7JWScefvq1&#10;G19le6W133VM8xjwk8ZRpx5U3GN5O8pKfJ/LonK9t3aze9l9XaL8QtA8SSW6adrmj6g91v8AJW2v&#10;I5TNsxv27Sc7dwzjpkZ60lx8RvD1p4pj0OXXtGj1qUZTT3vY1un78Rbtx/Kvg39rDxPY/sz/ABs+&#10;KHiD4e6Lovh23+E3w3trCyg02xitraw1TWtRVPtAjRQm4RIjcjnbzkVu/tvfshfDf4CfsFXC2GiW&#10;N98SLyewh0fxCUEniDWNbluIyJVuT++aR23uVDYC5wABXRT4eoOVFSqSSrNKPuptNpO71WijKDfe&#10;77a8tXijExjXcKcW6Ccpe80mk3G0fdbbcoTSvtZb30+4h4h09tdbSxfWZ1NYftBtPOXzxFnbv2Z3&#10;bc8ZxjNPsdas9UuLqG1u7a4lspPKuEilV2gfAO1wD8rYIODzg1+b3xJ8Sa78Pv2xfEX7QpupbjR/&#10;hv4q0vwD4gCH922nvYxR3spHfy7qdGA9SPSvqD/gnBAfE/wi8a+NFkw3xG8b63rcEo+YiAXBtYMe&#10;oCW64/8Ar1hmHD6wuFWK57pqPTacldx+Udb+ex0ZXxQ8ZjHg/Z8sk5vfeEXyqa/xSureT1Pco/iF&#10;oE3ittBXXNHbXFUudOF5GbsKBknys78Y5zjpViDxZpd14ebVo9S0+TSVRpGvVuEa3CqSGbzM7cAg&#10;5OeMGvgr4F6ta/sXeE/ih4N8ZeD9Dj+K/gTwpqvjGz8a20Mc9x4otJZJVFw87Dzo5TKyxlGJyF44&#10;HPVfF/wjJ8LP+CP/AIL+H1m3k6x4zsND8MwovWS5v5oWuAB3yrzn8K1rcOwjWhThN2lOMVKys002&#10;5qz2S5XZ66tOzRlR4pqSoTqzppShCc5Ru7xlFpKDulq3zK600TV0z691n4peGfDl1bQah4i0Gwmv&#10;I1mt47i/iiadG4VkDMCynBwRwa1LXXbG91O4soby1mvLVUeaBJVaWFW5UsoOVDYOCeuK/Nr9oTUb&#10;D4hft1ePvBf/AAgvhnxFHrmm2Hw28Lax4gdV0zw/eJZPdSAHypHE3+kAxhNpZoyAwJyO7uddsf8A&#10;gmx+0czaneXOs2cfwYs7aNyCJtb1LT7tLaGJRyd0nnxqo5wD3xW1ThdezgoTbqzgpRjZa3SfR6Wu&#10;07pO67GFPjCXtakqkEqVObhKV37rTa1TWt7Jqzas9ddD7a1j4keHfDz3C6hr2i2LWciRXAuL6KIw&#10;O6lkVtzDazKCQDyQCRTtN+Inh/Wba3ms9c0e6hvJ/ssEkN7HIs82M+WpBwz452jnFfn78QfgJ4h0&#10;LxN8FPCeqeFdH+I/jzxhq2q/EjxvpWo3UdtaXtytusUcLu8cqiGH7QI0UoynySABuyPU9X8P2Gmf&#10;tWfAnw8fB/h34f23hDSdd8d63oejGJrKyfyktIZN0ccauQ0jEtsHPHbNY1eH6EYxcKvNeM5XVtoK&#10;XS/NaTjZO1rNddDajxNiZTkqlHltKEbPmvebh15eW8YzvJXvdPpqfXdl4gsNShupLe+s7iOxleG4&#10;eOZWW3kT76OQflZe4PI71Jpeq2ut6fDd2Vxb3lrcLvimgkEkci+qsOCPcV8R/DPxhcfDD/gjb408&#10;dXG6HWPG1lrWvO38RuNSuZY4D7nEkNehftA/GGD/AIJ/fsCeFdGtbyx07xKdKsPCmiNcuEihvDCs&#10;bXMh/uQgPKxIx8oB+8K5qmQz9t7Ci+aTqOmtN+W3M/RXXy1OyjxLD2H1ivHliqSqy125m+VdNXZ/&#10;PQ+ltK8Rafrsdw9jfWd4lpK0E7QTLIIZF+8jYJ2sM8g8iobXxno974cbWIdW02bSUVna+S6RrZVU&#10;kMTIDtwCCCc8Yr87P2Vfip4W/Z4+BP7VWj+DPFEfibQ/C2mW2s6ZqqzFzf3d1pfkyyEnncbqHn0J&#10;FcVDpesfsz/BfxX+zBqU1x9o+ITeG73w1I5+Z49RuLWDUoh7JKkuFH95ia9WPCHNVlTVR6OFrxs3&#10;GSi5StfRwU4trtfseLLjlxowqypLWM72ldKcXOMI3tqpuEkpd7b3P1I1/wAaaP4V0lNQ1TVtN02x&#10;kxtubq6SGFs8jDMQOfrVHUfiv4W0eztLi78SeH7W3v0MltLNqEKJcoOCyEthh7jNfL37NXwp8M/t&#10;jfHD4teMPH2j6b4ptfBPiq58DeHNF1SBbqw0a1skjV5EgcFPMmdtxdlLAKACBxXJfEn4ajxb+3xq&#10;2jeFvg74J+IXhj4XeCrHRF0LVLq3sNO0me8nkuhJFHJBKm/y41XCqMAnnnFefTyOh7WVCdR80I80&#10;vhSV7WScpJXvJJt2V72vpf063EWJVGOIp01y1JcsNZOTs3eTUYt2tGTSV3a17a2+59M1S21rT4bu&#10;zuILu1uFDxTQyCSOVT0KsOCPcVPVHwzoNn4X8O2Om6fp9lpVjYwJBBZ2cax29qigARxqoACqBgAA&#10;DA6Cr1fNytd8ux9bDm5VzbhRRRUlBRRRQAUUUUAFFFFAHKx/BnQo/jbL8QvJnbxNLoq6B5zTExpa&#10;CYz7FToCZDknqcAdq5Hx5+xb4F+JGh/ELT9UtdSkh+KFza3WvvHevHJcNbCMQqjDlFURKNq8EZ9T&#10;RRXVTx2IpyU4TaastH0TTX3NJrzVziq5bhasXCpTTTbbTS3kmm/mm0+6bRR0D9hXwbpDaULzUfG3&#10;iOHRtXg1y1h13xHdalEl1ArrC+2Z24TeWC9N2CQSBjpvin+zP4V+MPi7Sdc1i3vF1PRdO1DS7aa1&#10;uWgxBfQiGdTt+8doBUn7pGRRRVyzLFOaqOo7q6vd7PR/etyI5Tgo03SjSjytp2st07r7nquxw/hj&#10;/gnX4B8KfDfW/CMN944uvDevaYNImsLzxLd3Fvb2wZW2Qo7lYvuhcoAduR0Jr0fxF8CfDninxj4K&#10;1y7tZmvPh+076MiTFYYGlg8hiyDhiI8hc9M5FFFOrmWKqS56lSTevV9VZ/etH3QUcpwVKPJTpRS0&#10;0SX2XzR+6Wq7MW/+BPhvVvi9ceN7uza61y60A+GpPNkLwGxaYzNH5Z+X5nPJ6kADoK8t8M/8E0vh&#10;z4Lt7qz0i+8e6bo1xDcwRaRB4qvRp1mtxG8cvlQlyqkrI+CclScjBAIKKKWZ4ulHlp1JJWStd7Lb&#10;7ru3qya2T4KtJTq0otpt3aV7u1/vsr+i7HfeNv2V/BXjz9n+P4Y3eltB4RhtrW0htrWVoZIUtnje&#10;La4+YENGpz1POeprH8U/sR+APGfhjxbpeoWF9NH4012PxHf3C3jpcx30fliOWGQHdFsESgBcYBYd&#10;CaKKmnmOKh8FSS1vu97p39bpP5LsVUynBVPjpRenLstkmrelpNfN9yl47/YR8H+P/ipqHjOfVvHe&#10;m69q0Ntb3k2k+JbrTluUgTZGrrCyggDJ57sx7mu7+IfwR0D4qeJ/Cuq65BcXkng2+bU9NgMxFut1&#10;sKLM8fR2QMxQn7pJI5ooolmGJly8037qstdla1l5W09BwyvCQ5+Wmvfd5abtO933d9fUx/in+y54&#10;Y+LfjK38RXz6zpuuWuk3OiQ32l38lnNFbTlWcKychgygq3VT0rm9C/YO8F+GvCWvafY6j41h1XxM&#10;0Dal4j/4SK5bXbgQOGiT7YzGRUUjGxcKQTkc0UVVPMsXCCpxqNJW0v2d1+Otu+pFTKMFOo6s6UXJ&#10;3u7a6qz+bWl97aFiy/YN+GUHwe8QeCbrQ7jVtL8VTrd6xc6hfz3WoajcLgpPJcsxl8xCo2kMAuOA&#10;MnMnwa/Yj8D/AAW8Zx+JLf8A4SDxF4ktYDaWmqeItYn1W6sITwY4DMxEQI4JQAkEgkjiiiqlmuMl&#10;GUHVlaW6u9emvySXokugRyXARnCpGjG8NE+VaWbat6Ntrs231Mxf+Ce/w9sfiZfeKNLk8W6DNquo&#10;jVtQ07SvEV3Z6Zf3W4MZZbeNwjFmHI4U85HNbMP7FngOPxsuvSWV9cXi+KJvGLRzXjvBJqckKwrM&#10;yHg+Wijy1PCEkjk0UUSzbGy+KrLa2727ExyXAR+GjHe+y33udJ4m+Afh3xX8VtL8aXEN1F4g0fTb&#10;rSbaeCdo1FvcY8xWUcMcqCCehrmdd/Yo8Ca/+zdpfwpe31S28H6O0L20VtfyQ3CtFJ5qMZQdxIk+&#10;bOeoBoorOnj8TDl5JtcrTWr0au1b0u7drvubVMswk+bnpxfMmnotU7Jp+qir97LsZuufsFeDfE/w&#10;qPg/UtY8falpv9rw62lxeeJ7u4voLmJcRmOd3Loqn5gqkAN83Wt74K/sh+CPgR4ju9d0mz1LUfEt&#10;9CLe41vWtSn1TUpIgc+WJp2ZlTODtTAOBkHAooq55pjJ03SlUlyvdXdne2/3L7jOnk+BhUjWjSjz&#10;R0Tsrq17W7bv72avij9nfw14v+JGoeLLyG8Ot6l4bk8KSTJcsojsZJDK6oo4Vy5zvHPA9K5z4kfs&#10;OfDn4sfAPw58Nda0ea48K+FPs39mwrcuksBt4zGh8wfMSULBs/e3HNFFRTzDFQcXCpJctmrN6W2t&#10;6Xf3l1crwdRSVSlFqV07pap2bv3u0r+iOw8PfBbQfDHxZ17xta28w1/xHZ2un3crylo1gtt/loid&#10;EGXYnHU/SuFvv2FfB118ZNT8dQ6p4407Wtav4dRv0sPEl3aWl7JEFVBJDG4R1CoF2kEbcjvRRRTz&#10;DE025Qm02lF69Fay9FZaeQ6uV4SpFRqU00pOS02k73fq7u782RfEr9gXwD8SvifqHjDzfFnh3Xta&#10;SOPVZvD+v3Wlrqyou1PPWFwGIXjIwcV3evfAvw94l8eeC/El3Bcyal4BW5XRz9oby4ftEIgkZlz8&#10;7eWMAtkjJPU0UUSzHFSUVKo3yppavRNWa9LaemmwoZXg4OUoUopyak9Fq0+ZN+alrfvruZOrfsp+&#10;B/EV38QpdU0k6mvxQS3i8Qx3MzMl0kEPkxKoyPL2ryCpBDfMDnmuZ+Ev7APw9+Efi3S9chXxH4h1&#10;LQEMejP4g1u41RNEQjGLaOVikXAABA3ADAIooqo5ni4wdONSVnZNXeyXL+SS9NNiJZPgZTjVlRi5&#10;RbadldNtyb/8Cbl6u+50kf7KPgsfDDxr4Pk0+a40T4gX17qWtRzTs8lzPdnMrhuqnIXbj7u1cdKv&#10;+Fv2evD/AIG+AcPw30VtU0jw7a6c+mQPaXrxXkEbZyyTD5lkyxO8cgnNFFZyx2IkuWU21fm3+0tL&#10;+ttLm0cuwsXzRppPlcb2V+Vu7XpfW3c5zwD+xD4A8CaH4ns5bPVfElx40sjput6hr+pz6lfahalS&#10;vkNNIxZYwGOFTaM4PUA1R+F/7BHgT4XeKdG1ZJ/FniCfwyCNCh17X7nUrXQ/l2D7NDIxRCF+UNgs&#10;o6EUUVs82xrUk6sve31eulvy09NNjnjkuATi1Rj7u2i01v8Anr667l7xH+xD8P8AxV4W8RaVeWN+&#10;0fibxMPF9zcpeul1BqQKFZoZQd0e0RqoC8AEjua1/ip+yt4L+NPxL8F+LvEmmyahrXgGZ59Jdpis&#10;aSMUbc6Dh9rRoy56MM0UVCzLFJqSqSur21el1Z/etH5GjynBOLi6UbO19FryvmV/STbXmZXxt/Yy&#10;8J/Hn4jWPizVL/xdpevadp50uC50TXrjTGFuZDIyEwspOWIJyedq+grQn/ZQ8J3etXupTjWLnUb/&#10;AMIjwTLdT6hJJMdOBYkb2JPmszFmkJLE4JNFFH9o4rkUPaO0VZK+y3sg/snBucqjpR5pO7dlq9rv&#10;zscLaf8ABM/4dWvwy1Dwc9/48uvDeoQW1sbG58UXk0NtHbypLEIVZysW140+4BwuOldJ8Mv2JPBv&#10;wx8fab4mS88XeINX0aK4i0+XxBr9zqv2Hz1RZWiEzNtZljVcjsT6miitamcY6cXGdWTUr31et1Z/&#10;elZ90Y08hy6nKM4UIpxtbRaWd19zd12ZY+KX7FvgP4xeIPEmpa1ZXz3HizT7PS9UWC8eGO6gtbgX&#10;EIKjjIcYJHVcg8VqfFL9lrwX8Y/in4M8Z69pr3HiDwFO9xpFwkzR+WzFT84HDgMoIB6HJHU0UVjH&#10;McUrWqS91NLV6JpRa+cUk/JWNpZVg5c16Ufeab0WrUnJN+ak3JebbOT8Wf8ABPf4e+J/iZq3iqCT&#10;xb4f1DxBOLnWIND8Q3em2urSj+OaKJwGY9yMZySckkmzrX7Cng/WfjJqvjpNU8cabrmuXVveagNN&#10;8SXdna3jwIscYkijcKyhEC4IIxkdzRRWv9r43b2stuXd7aaemi+5djJ5Hl7u/Yx1fNsvi119dX97&#10;7s9nooorzj1QooooAKKKKAP/2VBLAwQKAAAAAAAAACEAdVDfVhtHAAAbRwAAFQAAAGRycy9tZWRp&#10;YS9pbWFnZTIuanBlZ//Y/+AAEEpGSUYAAQEBANwA3AAA/9sAQwACAQEBAQECAQEBAgICAgIEAwIC&#10;AgIFBAQDBAYFBgYGBQYGBgcJCAYHCQcGBggLCAkKCgoKCgYICwwLCgwJCgoK/9sAQwECAgICAgIF&#10;AwMFCgcGBwoKCgoKCgoKCgoKCgoKCgoKCgoKCgoKCgoKCgoKCgoKCgoKCgoKCgoKCgoKCgoKCgoK&#10;/8AAEQgA1QGQ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vEv22P20/B37H3geDUb2wGqeIdV3romjLLs8zb96WRuqxqSASOS&#10;SAO5F06c6s1CCu2d+WZZjs4x0MHg4OdSbskv6sklq29EtWe20V+Qvij/AIKsftp+ItbbVrH4j22k&#10;wlyY7DTtIgESDP3f3iuzfUsTX0N+xR/wVr1jx14xsPhV+0na2UU+pTLBpviayiEKGZjhUuI/uruO&#10;AHXABIyMcj0KuU4ulT59H6H6Lmvg9xflWXSxbUKiiryjCTckuujik7eTb7XPvSiiivMPysKKKKAC&#10;iiigAooooAKKKKACiiigAooooAKKKKACiiigAooooAKKKKACiiigAooooAKKKKACiiigAooooAKK&#10;KKACiiigAooooAKKKKACiiigAooooAKKKKAA9K/JH/grd4k1rWv2z9Y0rU5XNvpOlWNtYRsThI2g&#10;WU4+ryOa/W6vh/8A4KxfsR+L/ivNa/tCfCXRJdR1PT7EWuv6VbJumngQkpPGo5dlyVZRyV246GvS&#10;yqrTpYv3+qsfp/hFm2XZRxhGWMkoqpCUFJ7KTcWrvpezjfzPzXpY3eJxJG5VlIKsDgg+tOntp7WZ&#10;ra5haORGKujqQVI7EHpXtH7Gv7F3xG/ap+IFnbW2i3Np4VtrlW1zXpIisSRA5aONjw8rDgAZxnJw&#10;K+qqVadKDnN2R/XWZZngMpwM8Xi5qFOKu2/07t9EtW9Efrb+z14h1fxb8BfBXijX3Zr7UfCmn3N4&#10;79Xle2jZmP1JJ/GuwqvpGlWGh6VbaJpVssNrZ26QW0KDiONFCqo9gABVivhZNSk2j/P3FVadfFTq&#10;QVoybaXZN3S+QUUUVJgFFFFABRRRQAUUUUAFFFFABRRRQAUUUUAFFFFABRRRQAUUUUAFFFFABRRR&#10;QAUUUUAFFFFABRRRQAUUUUAFFFFABRRRQAUUUUAFFFFABXjX7VH7XGk/s9xweH9I0pNT1+8h82K2&#10;lk2xW8WSBJIRyckHCjGcHkcZ9lr4I/4KF+Hdb0r9oS41rUI3NpqenW72EpB2lUQIyj3DKTj/AGh6&#10;19XwZleCzfO1RxWsVFyte3M1bT8b/I/OvFHiHNeGuFZYrL9KkpRjzWvyJ3vLXTooq/V9zo/Bf/BS&#10;74k22uxt498H6Rd6a74mTTI5IZo1zyVLuytgdjjPqK+w/CXinQ/G/hmx8XeG70XFjqFus1tMBjcp&#10;HcdiOhHYgivyk6Gv0a/Yw8O654Y/Zv8ADun+IInjnkiluEikBDJHJK7oCD0+Vgfxr6jj7h/KMtwd&#10;PE4WChJy5bLZqzd7eVunfXofn/g5xnxJnuaV8DmFR1YKHOpPeL5krX6qSb0fbTqepUUVT1zxBofh&#10;qxOpeINXt7K3U4M1zKEXPpk96/J61ejhqUqtWSjGKu22kku7b0SP6HhCdSSjFXb6IxfEPwV+Dfi7&#10;VP7c8V/CXwzql7nP2zUdBt55c+u90J/Wug0/TtP0mzj07SrCG2t4l2xQW8QREHoFHAFZXhr4j+A/&#10;GE7WvhjxZY3sqjLRQzgvj129cVt1ng8xweZ4dVsLWjVh0cZKUfk02jpxMsdC1HEOS5doyvp8nsFF&#10;FYfxD8e6L8N/Ctx4p1x/3cIxFEp+aaQ/dQe5/QZPapx2OweWYKpi8VNQpU4uUpPZJK7bMaNGria0&#10;aVKN5Sdkl1bNi5u7ayga6vLhIokGXkkcKqj1JPSuZuvjh8IrOc28/wAQ9L3A4Oy5Dj81yK+VfiV8&#10;XfGfxQ1N7rXtRZLUNm30+FiIoh247n/aPNcvX8gcSfSqq08dKnkWBjKknZTquV5eahG3Ku15N90t&#10;j9Wy/wAMoyoqWNrNSfSKWnzd7/cfdeg+LvC3imEz+G/ENlfqBljaXKyFfqAcj8a0a+C9K1bVdCv4&#10;9U0TUZrW5iOY5reQoyn2Ir6a/Zy/aDk+IqHwj4udF1iGPdDOoCi7QdTgcBx1IHUc9jX3/hl9IPKu&#10;NcxhlWZUfq2JnpBqV6c3/Km0nGT6J3T2UrtJ+FxHwJisnw7xOHn7Smt9LSiu/mu70t2tqetUUUV/&#10;RZ8CFFFFABRRRQAUUUUAFFFFABRRRQAUUUUAFFFFABRRRQAUUUUAFFFFABRRRQAUUUUAFFFFABRR&#10;RQAUUUUAFFFFABRRRQAVzfxO+EvgD4waB/wjvj/w/HfQK26FySskLf3kccqf0PfNdJRWlGtWw9VV&#10;KUnGS2admvRmGJwuGxuHlQxEFOElZxkk015p6M8Z8G/sG/s9eDtdj19dEvtSkhcPDBqt55sSsOQd&#10;gVQ30bIr2VVVFCIoAAwABwKWjNdONzHH5jNTxVSU2tru9vQ4sqyPJ8kpSp4ChGkpavlSV/Xv8wr5&#10;B/aS8a6t4s+KWpWN5cP9l0u4a1tICflQKcM2PUkE5+npX19mvnf9qn4F3trNqnxh0F4vsMNnJea3&#10;DJIEMKxoWeUFsAjapJHXg9c8fzv9Ijh7ijiLgmnRyaEqnJVUqlOCblKNmlaK1lyyafKrvZ290/S+&#10;AsfluX5xKeLko3i1GT2Tuur2ur6/LqeETeMLPwCo8Y3niSDSEsGEp1G4ulgSEg9S7EAfjX1B8FP2&#10;5P2UvjNa6XovhX9pj4f6n4ivLWMy6Jp3i+yluTKVG5ViWUs3OeADX84f7YH7WfxF/av+JV1rOs6n&#10;c2/hy1uWXQNCEhENtCCQrso4aVhyznnnA4AFeVxs0LK8TFSuNpU4Ir9J+jN9GniXhjLMRi87xM6T&#10;rxj+65PdjNa31acmk7SaUU27Jytc+C8SvFzLswxlOjgKKnGm37/Nq18lom9Und9Wlex/XeDmvmz9&#10;tLxXdXvi7T/B0UpFvZWnnyIDwZHJGT9FUY+pr46/4N7v+CmPxH+L2rXv7F3x68U3OtXthpTX/gnW&#10;9QmMly0ERUTWUjtzJtVg8ZOSFSRSSAgH1j+2Fp09p8WRfSKdl3psTRtjrtLKR+n618b9LDLs34X4&#10;ErYFv4qtJSa2dN3kn6OUYp+eh9Z4T4/BZ3m1PFR6RlZPdSVk19zb9NTyqiiiv80z+jgq/wCFfEN7&#10;4S8S2PiXTpCk1lcrKpB6gHkfQjIP1qhTooZLiVbeFSXdgqgDqSeK3wtfEYXFQrUG1OLTi1upJ3TX&#10;mmRVhTqU5Qmrxaafo9z71srqK/s4b6E/JNErp9CMipaqeH7J9N0Gx06X71vZxRt9VUD+lW6/2Dw0&#10;qs8PCVRWk0rrs7a/ifyjUUVNqO1wooorYgKKKKAPLf2xv2tvht+xF8C7/wDaC+LOl6veaLp15bW0&#10;8GhW0ctwXnlEaELJJGpGSM/MOPWvCP2RP+C5f7Fn7ZHxpsvgP4Gg8VaDrmqQSNpR8Vadb28N7Kg3&#10;eRG8VxJ+9K7mCkAHYQDnAOT/AMHDn/KMHxV/2MGj/wDpbHX893h/xBrfhTXrLxR4a1Wew1HTrqO5&#10;sL21lKSwTIwZJEYchgwBBHcU0roD+vCvlf8Abu/4K8fs0f8ABPb4l6T8LPjX4W8YX+o6zoa6ray+&#10;HdNt5olhM0sIDGW4jIbdExwARgjmqP8AwSF/4KRaH/wUC/Z8jfxLeQQfEPwrFHa+MNPXC+ecYjvo&#10;1/55y4OQPuuGXptz+dP/AAdE/wDJ5ngP/smMX/pxvaErsD9hv2Tv2nfAH7YvwI0X9oX4Yadqlpom&#10;u+f9jg1mCOK5Xypnhbcsbuo+ZDjDHjFejV8f/wDBB3/lFz8OPrqf/pwuK+wKQBntXy9+2F/wWD/Y&#10;a/Yr1mfwZ8R/iTNrPie2/wCPjwv4Tthe3cB/uzNuWKBv9iSRWwQduOa8w/4Lxf8ABRHxN+xd+z5Y&#10;fDf4Q601j45+IJnt7PUYHxLpdhGAJ7lD1WQl1jRuxZmHKCvyq/4Jhf8ABLD4rf8ABTDxzqviC98U&#10;y6D4M0W7A8R+Kp4TPNcXL/ObeAMQJJip3MzHCBlJyWUF2A/Qm0/4Oj/2U5NYFve/s6/EGKwL4N1H&#10;JYvKF9fL84D8N9fZf7HP/BRb9k39urSZrn4A/EqO61O0iEmo+G9TiNrqVoucbmhf76ZIHmRl0yQN&#10;2eK+Vdf/AODZT9he88Fvonh74geP7HWBERDrc2qW837zHDPD5Cqy55KrtPoR1r4d+GP/AAR2/wCC&#10;on7PP7dEOgfs9aa1veeFL+K90v4miY2uky2r5wzM2S+5dySWwDt95SGUhiaAfv7RVPw7/b40CxHi&#10;r7J/af2SP+0TYFvIM+0eZ5e75tm7OM84xmrlIAr4a/aF/wCDgX9iH9nH41+I/gZ4o8O+OdW1Pwvq&#10;LWGo3uhaTaS2rToB5iI8l0jHYxKNlR8yNjI5P0x+2V+0Ro37KP7L/jX9oDWmQjw5oU09lC5wJ7th&#10;st4v+BSsi/jX80HwT+A/xn/bS+JHiw+EUk1PWbHw5q/i7XrmUFnlS3RppTx1eSVlQerSimgP6P8A&#10;9hf9vn4G/wDBQb4a6l8TfgfFq9tb6Rqx0/UNP162ihuoZPLWRWKxySDYyt8p3clWHavba/Av/g3K&#10;/aoPwV/bRn+B+val5WjfEzTTZRo7YRdSgDS2zfVl86P3Mi1++lJgFFFfNf8AwV6+O3jX9nH/AIJ1&#10;/Er4ofDnUJbPW49OttPsL6Btr2pvLuC0aZWHKuqTOykchgpoA4z9rz/gub+wp+yN4ru/h1qPiXVP&#10;GXiTT5Gi1DSfBlrHcLZyjgxyzySJCGByGVWZlIIZQeK8V8K/8HQn7H2p6otp4s+BfxD0u3eTaLuC&#10;KyuQi/3mXz0I9wu4/WvzQ/4JQ/sefBv9uP8Aasj+Enx3+Kknh3Sl0ma+SK3u44bvVp1dFFrC8oID&#10;EOzngsVQ4Hcfp38Wf+DZH9jHxN4dlg+EnxK8a+FtWWI/Zbq8vIdQti/bzImjRmH+6609APs39lf9&#10;uH9lz9tHw5L4i/Z1+LWn66bVVOoaZhoL6yz0823lCyIM8BsbSQcMa9Yr8z/+CQH/AARN+IP7Fv7Q&#10;XiD49ftCeI7O71HRml07wVFod65guoZEHmXso4PKtsWJxwwckHCGv0wpAFFFFABRRRQAUUUUAFFF&#10;FABRXBfFX9pj4NfBuU2XjPxfEL0DP9m2ama4/FV+5/wIivMv+HlvwS+1eV/wi/iPys/637LDnHrj&#10;zf617OE4ezvHUva0MPKUe9tH6X3+R8xmPGnCmU4h0MXjKcZrdc12vVK9vnY+ij04r8K/+CwH/BYn&#10;9onx5+0R4k+AP7PXxK1Pwh4M8I6nLpc1zoN01td6tdQsUmleZCHWMOGVEUgELuOScD9lvhX+0z8G&#10;vjHILLwb4viN8Rn+zbxDDP8Agrfe/wCAk1/P1/wV8/Yo+J/7J/7X3i7W9a8O3b+E/F+v3Wr+GtfW&#10;FjbzpcStM0BfoJY2dlKnkgBgMMK+58OMrwcOIKlLMqdqsY3hGa631aT3aW3ldrY8PizOHjckhiMs&#10;rKdKUrSlCV1tom1sr7/JMf8AsX/8Fhf2xv2Vfijp+v8AiL4v+IfGnhaS7Qa/4b8TatLercW5IDmF&#10;5mZoZQuSrKQM43AjIr97/wBoCzl/aD/Yz8Y2fwyumuG8ZfDi9/sCVODL9qsXMOM9C29fzr+aH9mX&#10;9mT4v/ta/FzS/g58GfClzqWpajcok88cLGGxhLANcTuOI41GSSfTAySBX9SHwr8B2Pwt+GHh34Za&#10;ZO81t4e0O002CWT70iQQrEGPuQufxr0PFGjlWAx2FrYaMY1tXJJJXSs4uSXndJ9VfsZcC1cfi8LX&#10;p1pN0tEm+jd7pP037fM/kxuIJ7Wd7W6haOWNyskbrhlYHBBB6EHtTK/an/gp3/wb9XPx5+Iup/tB&#10;fsd67pWkazrM73Wv+ENXcw2t1dMSzz28qhvKdzktGw2liWDLnFfHXgX/AIN5P+CkfivxLHoviLwR&#10;4e8OWfmYn1bVPEsEkSLnlgtuZHb2G38q/Rsu464ax2BVeWIjTdtYydpJ9Vbr6q9z43GcLZ3hMU6S&#10;oymr6OKumu/l89iD/g3t8BeJvF3/AAUv8M+I9Et5TZ+GND1XUNYlRflSF7SS1UMfeW4iwPb2r9y/&#10;2lPhHP8AE3wil5okIbVdMLPap3mQ/ej+pwCPcY715t/wTa/4Js/Cf/gnR8K7nwz4X1Btb8T64Y5f&#10;FPim4gEb3bIDsijTJ8qBNzFVySSxZiSQB1nxH/4KA/shfCzW5PDnir406c19C5S4ttNhluzEw4IZ&#10;oUZVI7jOfav5u8W6GU+KMsTgKkHLDzgqd0ve0bkprTRqTvG/ZXW6P3Hw3yXiDJ6dP6lSlUrqXO4w&#10;i5WukrPlvpZWfq7PqfNU8M1tM9tcRNHJGxWSN1wVYcEEHoabX0Zptx+yf+2RFNrvwx8f2F7qUSA3&#10;E2lSeVcqOgMsEgDEdtxUHsDWRd/sQ6utxiw8f27RZ6zWDBgPwc5/Sv8ANbib6N/iNkuPlTwNFYql&#10;f3ZRlGLt05oTlFp97cy8z+jKHG2VR/d49Sw9VfFCcZXT+780n5HhVesfsvfBy+8YeJ4fG+sWbLpO&#10;mzb4mdeLmZT8qj1Cnkn1AHrXf+DP2NfBui3KX3i7Wp9WZDkW6x+TCfqASx/MV5P/AMFGv+Cs/wAA&#10;f+CcWhQ+A7DRo/Efji4sw+l+D9NmWGOziI+SW6cA+Sn91QC7dgB81fqHg39GTiTFcRUMbntNXg1K&#10;FCLUnKS1TqSTcIwi9WuZ32dlv8fxl4l5XhctqQws7Jqzm00kn0it23tt6X6fXue1JuGcZr+dn4zf&#10;8F5/+CkvxZ1iW70j4yW/g6wdy0Ok+FNHghSIdh5sqyTN+L49qzPhl/wXG/4KY/DXWY9Sb9ombxBb&#10;hw02m+JdJtrqGYD+Et5YkUf7jqfev9El4T8QujzupTUu15fny2/TzP5yfiBk6q8qhO3ey/K9z+jq&#10;ivhD/gmV/wAFxPhP+27rFr8G/izodt4K+IkyYsrVLgtp+ssBki2dzujk6nyXJJH3WY5A+76+AzTK&#10;cwybFvDYym4TX3Nd09mvNH1uAzDB5nh1Xw0+aL/Dya6MKKKK847T4g/4OHP+UYPir/sYNH/9LY6/&#10;L7/gjl+w94D/AG+tJ+NPwW8ViK11OPwhZ3nhbWmTLabqC3DCOTjko2Sjr3Vj3AI/UH/g4c/5Rg+K&#10;v+xg0f8A9LY6+Mf+DWX/AJL38Vf+xQsv/So1S+ED4r+Bnxf/AGiv+CVX7aJ1uTSZtO8S+D9VfT/E&#10;/h+5crFqNruAlt3I4aORMMjjIB2OucCvfP8Agvz+0N8NP2qfjD8JPjx8JNYF5oniD4SQTQ5I8y3k&#10;Go3okglAJ2yxuGRh2KnGRgn7p/4L4f8ABMH/AIaZ+GMn7VvwV8O+Z498H6ef7asrSL95reloCxGB&#10;y80Iyy92TcnJ2AfhE88zxrDJKxSPOxCxwueuB2prUD+jn/gg7/yi5+HH11P/ANOFxX2BXx//AMEH&#10;f+UXPw4+up/+nC4r7AqAPwe/4Ob9W1i6/bs8OaTdlvsdp8ObQ2YJ4y93dl8fiBX6Mf8ABAnw54Z0&#10;L/glr8Pr7w9FGJtWutXvNWkQDMl1/aVzCS3uI4ok+iCvn3/g5c/Yx8TfEr4beGf2vPAWjveS+C4Z&#10;NN8VxQIWddPlcPFcYHVY5S4Y9hNk8KcfOf8AwQ3/AOCvngX9jrTL79mP9pa9ntfBOp6m1/oXiKKB&#10;pRo1zIFWWOVFBYwPtVgVBKPuJBDkq+gH7r0V4brv/BTD9gDw74Lbx/qH7X3gFtNWHzB9l8RQzzsM&#10;ZwsEbNKzf7ITPtX59Xn/AAc4aif2p73RfB37PjeIfhhcXENlokMLvBrkz7tpuFGWjbzGb5YCAcBR&#10;vBJpAfrv0oqn4e1WXXtAsdcn0e6097y0jnewvlUT2xdQxjkCsyh1zggEjIOCasXV1b2NtJe3k6RQ&#10;woXllkbCooGSST0AFAH5N/8ABz5+1T/ZXhHwX+x74d1LE2qzHxD4ljjfkQRlo7WNvZpPNfB7xKa6&#10;D/g2R/Zch8LfATxl+1D4l0lTc+NNSGj6O08ec6fa581l9VkncqR62wr8v/8Agoh+0lqv7aP7bXjT&#10;4waZ595aaprZsfDFtGjMxsYSILVEUc7mVQ2B1aQ+tdb8O/iP/wAFhfhJ4MsPh18MLj48aBoWlxtH&#10;p2kaVpOqQ29urOzkIixgLlmZj6kk96q2gGR+3B8IPFH/AAT5/wCCiXiTw34KMlg/hXxdFrfg+4XI&#10;22rut1aEHvtUqh90YV/R3+zb8bvDn7SPwE8I/HfwpIpsvFWg29+katnyXdB5kR90kDofdTX8x/7S&#10;w/bQ8canD8Vf2tNF+IV1dLFHYQa/420u7Q7RvdIBLOgz1chc+tfrD/wbH/tT/wDCafA7xZ+yb4h1&#10;HdfeDdQGr6DHI/zNp902JUUf3Y7gbj73QpPYD9Rq4L9qD9nvwZ+1Z+z/AOKv2efH7yR6X4p0prSa&#10;4hAL20gYPFOoPBaOVI5ADwSgrva8v/bG/av+Gv7Ff7PuvftAfFC6H2TSoNthp6SBZdSvHBENrFn+&#10;J26nB2qGY8KaQH8/H7Wn/BIX9un9jvxNdS6n8JdV8SeH7WYtY+L/AAhayXls8YPyyOIgZLY+okVc&#10;HoSME818FP8Agp//AMFAf2cLqG1+H/7TPimO3s2C/wBka5dm/tgAfuGG6DhR2wuCPav19/YY/wCD&#10;gf8AZR/aI8O22gftG6zZfDPxmg2XMeou39lXbf34bk5Eef7kpBHQM/Wut/b4+LP/AARt+JfwT17x&#10;F+0T43+FfiiQ6XMbO50LUrK71wy7DsFrJbM06SFtuOQufvfLmncDzj/gkn/wXLj/AG0PG9v+zj+0&#10;V4W0/QvHV1bu+iarpO5LLWTGhd4vLckwzBVZgAzKwVsbSAp/Rmv5iP8AglL4a8T+LP8Ago38INP8&#10;GwTPcweN7S7laLOY7aFvNmZiOiiJHz+Xev6d6GAUUUUgCiiigAooooAK8C/bd/agvfg5okPgPwRd&#10;iPxBqsJd7leTY2+SN4/22IIX0wT6V74WUEAsAT0ya/Nb9qzxXeeMP2gvFOpXcpYQ6pJawKT92OH9&#10;2o/8dz9Sa+04FyfD5tnDddXhTXM13d7JPy6/I/LPFzifGcN8MqOEk41a0uRSW8Y2bk157JPpe61R&#10;wV5eXeoXUl9f3Uk00zl5ZpXLM7E5JJPJPvUVFFf0AkkrI/jNtyd3uSWd5d6fdR31jdSQzROHilic&#10;qyMOQQRyD719t/skfHPQ/wBpfwZd/CL406Jp2tahYQB3i1Wzjni1G3BA3ujgqzqSAeOcg+tfEFeg&#10;/sr+K7vwf+0F4V1O1mZVm1WO0nAP3o5j5TD8mz+Ar5rirJ6ObZTO6tUgnKEuqa1tfs9n9/Q+78O+&#10;J8Xw3xJR5ZfuaslCpHo4ydr27xvdP1WzZ+h3gf4YfDX4ZWcmn/Db4e6H4et5m3SwaHpMNojn1KxK&#10;oJ+tXPFvi7wx4C8MX/jTxpr9ppek6XaPc6jqN9OI4beFASzuzcAADrWiOlfjF/wcg/t3eIde+JFp&#10;+w14B1p7fRdFt4NQ8afZ5CPtt5IBJBbPjqkcZWQr0LyDPKCvxDh3JMTxPnEcLGW+spPW0Vu/N7Je&#10;bR/Zmc5pQyPLpV2ttIra7ey/V+R1v7Zv/By8NH1+78FfsTfDez1C2t3aP/hMvFccnlzkHG6C1Uq2&#10;zuGkYE/3BXyjJ/wcBf8ABTx9U/tFfjHpCJ5m4Wi+ErHygP7uDHux+Ofevi0nNFf0bgeCOF8BQVKO&#10;GjPu5pSb+b/Sy8j8axXE+e4uq5uvKPlF8qX3frc/QzxL/wAHE/7R3xU+E0nwa+K/hjStLm1KVU1D&#10;xb4VWWCZrbB3RNCWbbuONzowO0FdvzVyelatpuvadDrOj30dzbXKB4Z4myrg9818JasjBll7Yx+N&#10;eu/sgfFK70bxQfhxqV0WstS3NZq7cRTgZwPZgDx6ge9fL8Q8H4DCYeeIy+HJy6uK2a6tdmu21uh/&#10;XX0e/E6eX+wybMLShiJWVSyUlUbslJ/ai9Iq+qdtbbfWnw6+I3jP4T+M7D4geANdn07VdOnEttcw&#10;ORyOqsP4lI4KnggkGv21/Zw+MVn8ffgf4b+LlpbrCdZ01ZLmBTxFOpKSoPYSKwHtivwur9oP+Ce3&#10;w61v4W/sfeC/CviO2kgvWsJL2e3lGGi+0TPOqEHoQsgyOx4r8ezuFP2UZdb/AIH7B474PL/7JwuK&#10;aSrc/Kn1cOVt+qTUbdr+Z0H7X/7Q+i/sofsy+NP2htdhWaPwvoklzbWztgXF0xEdvCT2DzPGme26&#10;v5ePiv8AFPx18bfiPrPxY+JfiCbVNd17UJLzUr6dsmSRznA/uqBgKo4UAAcCv3n/AODia81e2/4J&#10;q6vDpu7ybjxZpMeobf8AnkJi4z7eYsf44r+fev1vwly+hTyirjLe/ObjftGKTt97bfyP4G8QcXVn&#10;mNPDX92Mb2823r9y/MKKKK/WT8/LOj6vqvh/VrXXtC1KezvrK4Sezu7aUpJBKjBkdGHKsCAQRyCK&#10;/pa/4JVfthXf7bf7F/hn4ueIpo28R2nmaT4q2AANf2+FaTA4HmoY5cDgeZjtX8zlftZ/wa53mrv+&#10;zv8AE6wm3fYIvGltJbZPHnNaASY99qRfpX5n4p5fQxHDv1qS9+lJWflJ2a/J/I+24DxdWjnPsE/d&#10;mndea1T/ADXzP1Eooor+cz9mPnz/AIKffsgeNP25/wBkTWP2d/AHijS9H1LUtTsbmK+1jzPIVYJ1&#10;kYHy1ZskLgcda8F/4I7/APBI/wCMn/BOH4k+MvGvxN+JnhnXoPEmh29laxaCLjfE8cxkLP5sajBB&#10;xxmvoz/goF8cf2m/2ffgQnjz9k74GD4g+KG1y3tm0FrOefFs6yGSbbAyt8pVRnOPmr4l/wCHpv8A&#10;wXF/6RXxf+E5qv8A8fp6gfqWQCMEZB6g1+Tn7cn/AAbe+IPjR+0VrPxX/Zd+JXhbwt4f8QP9su/D&#10;+sxXCizvXJMwg8mNgIWOHC8bSzKBtC1sf8PTf+C4v/SK+L/wnNV/+P0f8PTf+C4v/SK+L/wnNV/+&#10;P0K4H21/wTj/AGW/Fv7GP7H/AIV/Zz8ceItO1XU9AN39ovtK8zyJPNupZl2+YqtwHAOQOQa9xr8t&#10;P+Hpv/BcX/pFfF/4Tmq//H6P+Hpv/BcX/pFfF/4Tmq//AB+iwH6ialpunazp0+kavYQ3VpdQtFc2&#10;1xEHjljYYZGU8MCCQQeCDX5gftm/8G0vwr+J/iW88efsjfEmLwPcXkrSy+FtZtnn0xXJyfJkT95A&#10;uf4CJAO2AAKi/wCHpv8AwXF/6RXxf+E5qv8A8fo/4em/8Fxf+kV8X/hOar/8fo1A+ZrT/g2U/b0m&#10;1gWN14/+HMNrvwb7+2bplx67Rbbv0r7v/wCCcP8AwQf+B/7Fnii0+MvxU8SL4+8d2RD6ZcS2Xk6f&#10;pMmP9ZDESxklHOJXPHVVU815T/w9N/4Li/8ASK+L/wAJzVf/AI/R/wAPTf8AguL/ANIr4v8AwnNV&#10;/wDj9GrA/UuvNP2xPhn8V/jR+zJ4z+EfwS8UaboniPxNosmmWeraq0ghtY5iEmfMSs27yWkC4HDE&#10;HtX5/wD/AA9N/wCC4v8A0ivi/wDCc1X/AOP0f8PTf+C4v/SK+L/wnNV/+P0WA579iH/g3P8Aix8A&#10;P2pvB3xs+Nnxd8Ha5oPhbVBqUmlaQl0Zri4iUtbj97Eq7RKEY5PIXHOa/Wyvy0/4em/8Fxf+kV8X&#10;/hOar/8AH6P+Hpv/AAXF/wCkV8X/AITmq/8Ax+jVgfb/APwUM/ZEsv24v2TfFH7PTaha2OoalFFP&#10;oWpXiMY7S+hkDxSNtBYKcFGwCdrt1r4i/wCCbX/BED9rz9gv9rLQvj/L8dvA+oaRBb3Fj4i0qxN6&#10;Jb2ymjIZF3QhdyyCKQZIG6IU3/h6b/wXF/6RXxf+E5qv/wAfo/4em/8ABcX/AKRXxf8AhOar/wDH&#10;6NQP1Lrhf2jP2bfgz+1f8K7/AODPx28Fwa3oV+Q5hlJWS3mUEJPDIPmikXJwynPJByCQfzu/4em/&#10;8Fxf+kV8X/hOar/8fo/4em/8Fxf+kV8X/hOar/8AH6LMDzb9oL/g108c2+t3Gpfsv/tD6Xdaa7lo&#10;NK8a20kM8Iz93z7dHWT6mNK8z8Nf8GyP7dOqaqtr4j+I3w70u03/AD3f9q3U5C9yqLb8n2JH1FfS&#10;v/D03/guL/0ivi/8JzVf/j9H/D03/guL/wBIr4v/AAnNV/8Aj9F2B9Hf8Ezv+CP3wS/4J2Jc+NYt&#10;dl8W+PNQtfs934mvLUQpawnBaG1iy3lqxA3MWLNgcgfLX17X52/sz/8ABRP/AIK7/Ez4/eE/AHxo&#10;/wCCdMfhjwpq2tRW2veIBoWox/YLZj80u6SYquPVgRX6JUgCiiigAooooAK8k/aY+O1/8OoIfCfh&#10;SRV1S7i8yW4IB+zREkAgH+IkHHoBn0r1uvkn9quK8j+NOoPdA4eCBoCf7nlgcfiDX4n4/cVZxwnw&#10;BKtlsnCpVqRpc63hGSlJtPo3y8qe6vdWdj7DgfLMJmmeKGIV4xi5WezaaST7rW/y7HC6j4h1/Wbx&#10;tR1bWru4nc5aWa4Zmz9Sa+YfiB4l1zwV8X9W07XLmSe0ub0zKZiSypIdwYE88Z5Hsa+kq83/AGgf&#10;g5J8RdMTW9AjH9rWKEIh4+0R9dmfUckfUjvkfx94NeJWacA8axzCOJlD2mkpOTs3dNc9370XqpX7&#10;36XPsfFjgXCca8KPCOipum+ZRsr2s0+XtJbq3a3U5cEMAynII4IoqOz0rVtEsbfSNdsZrW8t7eNL&#10;m3uIyjxuFGQynkGpK/3YwWI+uYOnXtbnipW7XSdj/IbF0HhcVUot35ZNfc7BXon7KPg+88aftB+F&#10;9NtYSyW+ppeXBA4WKE+YxPp90D6kVwel6Vqet6jDpGjafNdXVxIEgt7eMu8jHoAo5Jr7v/Yt/Zen&#10;+COgS+LvGUCf8JHqsIWSIEN9ig6iLPdicFsccADpk+BxZneHyfKal5fvJpxiut3pf0W/4dT7jw44&#10;UxvE3ElFxi/Y0pRlUl0Si78t+8rWS33eyPdccYFfzCf8FO9a1fX/APgoX8ZdQ1sv56/ELUoArnJW&#10;OKdoo1+gRFA9hX9Pdfz+/wDBwX+yrrnwN/bi1D4wWmmuPDvxLhXU7K6VPkW9RFjuoSf724LL9Jh6&#10;GvhfCfFUKOfVaU3aU4Pl87NNr7tfkf1J4gUKtTKoVI7Rlr800n9+nzPhGiiiv6GPx8bLGkqGNxkG&#10;uj+AHgjW/Fnx38G+FfDdxGt7qniiws7RpiQFeWdEBYgHj5ufauer7M/4IVfsr65+0Z+3n4c8WPpj&#10;t4e+Hky+INauyvyLLGT9liz03PNtOO6xue1eTnmIw+CymviK20Yyf4aL5vRH0XDWY5rg81oxwUrS&#10;54tdVdNO/wArX+R+p/7LP/BH3wh8LfFFp49+Oniy38T3tjKJbTRrK2ZbFZByGkL/ADTYPIXCjPUE&#10;cV9qKoUYUYAGAB2pa/Df/gsn/wAFgv2iPFH7RXiT9m79nf4kan4P8I+D9Rl0u/vdAu2trzVr2I7J&#10;3adCHSJXDIqIQGClmzkBf5kyLJM04vzH2FOSXKruT2ivRdX0XU/f+OePswxbWOzeq6kvhjFWSXWy&#10;Ssku7373Z+s37f37NA/a+/Y98d/s/QNGl9rmjFtGkl4VL+B1uLbJ/hUzRIGP90mv5f8AxN4a1/wZ&#10;4iv/AAj4q0ifT9T0u8ktdQsbqMpJbzRsVeNlPIYMCCPavpX9jv8A4K6/tnfsofEmw8R3Hxh8QeL/&#10;AA39pX+2/CvifWJbyC7t8/OImmZmt5MZKuhHzY3Blyp/Tr/gov8A8Ee/hd/wUl8Maf8Atdfsw+IL&#10;Pw5408QaJbaiGvYitj4ghkhV4mn2AmGfYVHmgMDgBlP3h+pZI63hxivqWZTTw9d3jNXtGaSTUlur&#10;q2uu3rb8hzRU+M6P1nBRarUlaUHbWL1TT62d+35X/CKivdfjP/wTO/by+AusTaT8QP2W/F5SJyBq&#10;OjaS+o2jjPDCe1EiYPbJB9QDxWV8L/8Agn7+258ZNWi0f4efsseOLx5mCrcT+HprW2Un+9POqRJ/&#10;wJhX6fHNsrlQ9sq8OTvzK333sfDvAY6NX2bpS5u3K7/dY8gRGkcRopLMcAAZJNf0ff8ABFz9kbW/&#10;2QP2F9A8MeNdMaz8S+KLmTxD4gtZFw9vLcKixQsOzJBHCrDs+4V85f8ABLn/AIIC2fwF8V6Z+0F+&#10;2Te6frXiXTpUudC8HWL+dZadOvKTXEhGLiVTgqijy1YZ3Scbf0+Ax0r8Q8ReMsJm8I5dgZc1OLvK&#10;S2bWyXdLdvZu1ttf1Dg3hvEZfJ4zFK02rRj1S6t9m+3RbhRRRX5MfoIUUUUAFUdV8T+GtCvbPTtc&#10;8Q2NncajMYtPgu7tI3upB/BGrEF25HC5PNXq/Pn/AILffBzXf2gPi3+zV8IPCvjS48OavrPjXWF0&#10;fXbYkPY3kdlHLBKCOQBLGhOOcZxzigD76h8Q6Bc61P4bt9cs5NRtoVmubBLlDPFG3CuyA7lU44JG&#10;DVt5I413yOFX1Y4Ffjh8Pf24Pj14G+Kv7Rvxn+N2kal4P+Jvg74Y+G/C+uXOl6bb3J/tNNS+zLex&#10;pcFYFilEqSb3OxQ5YBgADF8bf2i/2r/jP+yF+0B8OfiR+0pdTW3wu8VeDrpNVCaLdz3VvfzL5lrN&#10;d6cPs7RwzBJVkj2v+78uQAFkAB+w1t4p8M3niG68JWniGxl1Wyt457zTI7tGuIIpCQjvGDuVW2tg&#10;kYODjpV+vyy+O37Ufxd+AHxM+Lvj/wCEfxK0PxDqEHwy+Hlq/wAVo/C9hMYra8uJornWXNtHieMK&#10;A4jLNEpKkLtGKi8S/t3ftbeGNH+I3wt+EX7Z9l8RtP0Dxp4JsvD3xls/DOnSLG+q3Iiu7B1iQ21z&#10;tXDAph1BKlgSNoB+qVVNT17Q9FmtbfWNatLSS+uBb2UdzcrG1xKQSI0DEb2wCdoyeDX5r/EX9sj9&#10;q79nu0+M3wI8b/tO6x4h1rQfib4T0Hwf4zTw5o1lcRLqttLPLFM0ypZ28YERUTyK2wnOCOF5X4Y/&#10;tH/Gf9oWX4O2nxv8bL4k1HwV+2gfD1hrTLYmW4tI9JaVBK9gTbTOrTOvmRYDAA4zmgD9TvEninwz&#10;4N0iXxB4v8RWGlWEA/fX2pXiQQx/7zuQo/E07w74l8OeL9Hh8Q+E/EFlqmn3K7re+067SeGUequh&#10;Kt+Br4M/4KTr8JJv+CiHwct/25JFX4GHwtqB0/8AtdnGit4m8w7BfEfJ/qNuzf8ALn231578aP2n&#10;f2ff2Yvg0tr/AMEpNebRPDfi/wCNMekeO/Fej7TpulTNZ7ymnSasV02DzdqqZQfKTBz/AMs8AH6h&#10;UjSIhCu4BY4UE9TX5meA/wBqf9v74pW3we+FJ/aOtdAm8YfFHxFoP/Cc6Rb+H9bn1PSrWwSeJplt&#10;GmtEuY38yMmMqCQrFWHB4Dxf8XP2jPiJa/AbxZ8af2zZNGk8KftI+IvCF54tuND063ik+x+esN9O&#10;GURBzGrQ7D8mJN2C4DUAfrnRX5hfGD9sv9vDwF8Lfj5+0LoHx8kvdK8JfHC/8CaDoY8J6f5egWH2&#10;6Ff7SacqvmtFG3lIJv3YMm+Rm7fQv/BK748ftFfGKH4g6R8ZPHVp4t0TQtSsV8LeJTruhXt+3mwM&#10;9xa3X9izPbgoREyNhSyzEHJXgA+pbbxt4MvfFE/giz8XaZLrVrAJrrSIr+NrqGI4w7RBt6qcjkjH&#10;Nadfjl4R1z43/sv6r8fPjzpPxts117Uv2ll8Aa/8TtZ8E2Es3h2wkMDz6sZBHlVI8qMQMfs6EBgo&#10;Y5r0J/24P2xdQN78EvhR+2NZeKbO1/aL8I+DvD/xrtPCmnzpqllqlndyXds0SJ9mna2kjhy8RUtu&#10;HzgGgD9S6Ky/A+i674c8GaT4f8UeLJte1Kx06GDUNbuLaOGTUJkQK87RxgIhdgWKqABnA4rUoAKK&#10;KKACiiigAooooAK82/aD+BUfxY02LU9Gljg1izQrC0nCzp18tj255B7ZPrXpNFeFxJw5lHFmTVcr&#10;zKnz0ai1WzTWqafRp6p/poduX5hisrxccTh5WnH+mn5M+KtS+C/xW0m9Nhd+ANTLg4BhtWkVvoy5&#10;B/OvQ/gr+yz4jv8AWbfxH8R7D7FY27iRLCU/vbhhyAwH3V9c8npjvX0lRX4dkH0ZuC8mziONr1qm&#10;IjB80ac+VRutVz2Scku3up9U1ofZ47xFzjF4R0YQjBtWcle/yu9Px8jjviX8AvhH8XkDePPBdreT&#10;qm1LxAYp1HoJEIbHsTivN/8Ah3P+zz9r+0btd8vOfI/tIbfpnZn9a95or+o8LnmcYGl7OhXnGPZS&#10;dvkunyPx3MOEuGM1r+3xeDpzn1k4q79Xu/mcd8M/gF8I/hAhbwF4LtbOdl2veuDLOw9PMclsewOK&#10;7Gq+q6rpuhaZca1rN/Da2lpC011c3EgSOKNRlnZjwAACSTX52/tZ/wDBYXxZqGs3Xgz9luGGw06F&#10;2jbxTe2wknuSON0ETgrGnoXDMRzhaxjHHZpXc5ycpdZSbf3tn3/BnAePz2f1LJqEYU4btJQpwv3s&#10;t32Sbe9tGfo1XlX7ZH7H3wg/be+COofBH4xaYz2twRNpupWwAudMu1BCXELEcMMkEHhlJU8GvyP1&#10;n9rb9qHX79tT1P8AaE8ZGVzlvJ8RXES/gsbhR+Arvvg1/wAFNP2tfhDqUMlx8RJvE2nqw87TPEp+&#10;0h174lP71D6YbHqDXo0csx2Dqxr0Klpxd01o012Z+oZh4B53UwMoxr06ja1g1JJ+Sdn+NvVHyX+2&#10;Z/wRi/bU/ZF168ubf4dXvjbwokjGz8UeFLJ7lTFk4M8CZkt2x1yCuejmvlh/C/iaO7/s+Tw7fLOG&#10;2mA2jh85xjGM5r+oT9kT9sn4aftd+C31rwmTp+s2AUa34fuZAZbRm6Mp48yMkHDgD0IU8V6s2k6W&#10;14NRbTbczjpOYV3/APfWM1+g4TxYzLCU/ZY3DKc11UuX71aS+6y7I/lrOvCyWXZjUw1ScqM4uzhK&#10;N7ejurrqnrda3Z/N5+x//wAEfP22f2vNftP7L+F1/wCE/DUrqbvxX4rs5LS3ji7tFG4Elw2OgQEd&#10;Mso5r95f2Gf2H/g9+wX8E7f4P/Ce2eaSSQXGu67dIv2nVbsgAyyEdABwqDhV45OSee/ah/bmsfhH&#10;rc3gD4c6Xb6nrduMX11dMTb2jEZ2YUgyPjqMgLnHJyB4bpn/AAUM/aLstSF7d6hpN3Duy1pNpiqh&#10;HplCGH50s2jxpxvg41HGNKg9Ywu05dm9G35XsuqXU+HXGfh/wRmUsNKpOtWj7spRimovqt1t15eZ&#10;9L9D75r+c7/gs1+xN8Uv2X/2xPF3jnU/Dt1L4P8AG+v3Os+HdejhLQMbiQyyWzOOFkjdmXaeSoVh&#10;kGv3h/Zp/ag8K/tD6JMLaz/s7WrFQdQ0t5N2FJwJI243ITx0BU8HqCfQvEXhnw34v0mXQPFnh+y1&#10;SwnGJ7LUbVJ4ZB6Mjgg/iK+S4fzvMOBs5mq1K91yzi3bzTT1+T1TT+Z+hYzD5XxxktOvg6ycH70Z&#10;LXyaadn5NOzTR/Kx+zj+zf8AF79qv4r6X8G/gt4RudV1fU7hUJjjPlWkefmnmcDEcSDksfTAySAf&#10;6jvgn8NLL4M/Bzwp8ItOu2uIPC/hyy0qGdhgyLbwJEGI7Z25/GrXgf4XfDP4Y2slj8Nvh3oXh6CZ&#10;szQ6HpENojn1IiVQT9a3avjHjKrxVUpxjT9nTheyvdtvq3ZfJeuptw3w1TyCM5OfPOVru1kkui3+&#10;YUUUV8SfUBRRRQAUUUUAMuJ4LWB7q5mWOONC0kjtgKoGSST0GK+ev2JP+Cl/7P37d1x4yt/hZb6r&#10;pv8Awhk0Zu316KOFbu0kMojvISHbMJ8l/mOCOMgZra/4KLaJ+0V4u/Y68aeAP2VvBr614z8Tad/Y&#10;9jGup21oLWC4IjuLgyXEkajZC0hGCW3FcA9vjn4Wf8E5P2/P2Wfjf4P8SaDF4P8AGvhuf4U3vw+8&#10;SReD4Y9Ka0sUt2azurhby4H2qU3DDc8fzYDZXkUAfoBB+0f+z7eR3r6d8b/CV0dO0ltUvUtPEdrI&#10;0Nkq7jcMFc4jxg7z8vI55ryzwz+3B+zN8eb34SeMPh54Zj8X2HjfU9Si0PxGYLXd4antbUzSmdZn&#10;E1vI0YAwg3bSC2FIz82fs9/8EuPFPgC+/Zrk1j9mjw/px0b4beJtI+NM2/T3866vLERQR3eyRjfB&#10;pGcZTzVUHkgYrG/ZV/YT/ai8E+Bv2dPC2u/sq2/hO8+GHibxaPHF7ba9pci6n9q0Z7a21MmGbdIZ&#10;XaODBDSKIQWwm00AfcV/8T/2LtcuNa1PUviB8MbyW/0ZX8RXM2qadI1zp4O1TcMWJeAE7RvJXJxX&#10;PaV4v/Zotvi7afs1eEfgh4fm0Xxf8P21+413StO046Pd2MEwhjglCHMwwxZTsZAvQ9cfHf7PH/BJ&#10;HW9B8Q/s0zfFb9krwy1n4d8H+KYPjB9rOmXAkv7gZ0/7QFkY3jAn5GTzBHxkpgVynhL/AIJcft0a&#10;p8HPCfw8m8LDwvqln+zBrfhC91ObxDZyLa6rNr7XkVkxgmdiktsNpkQNGqyYLAjbQB+ifhzxr+xq&#10;uhXmp+E/FfwzXTCINC1C4sL7TxAQAyw2MjKdpGNwSE9s4HWmadrH7GPh7S9F+Guk6n8M7Ky1uePU&#10;PD2gW82nxxX0u/KXFvCMCRt6/K6AnK8HIr4h8b/sSfFn42/s/aN8MNG/4JbeHPhfJZeP/CEniSCy&#10;8T6PMde06zaZb2STyXUNFGr5G92ll80/KSM1mftRf8E1fjdJ8RfjF4C+Ff7FfhbxZp3xMfR1+G/x&#10;HGu2ViPh7b20McTQCCQiaFYShdBaqQ4IByflAB9ieGf2hv2PPi/8TfiN8E/GHh3wxp+q6X4ug0DW&#10;7PxXDYJ/wkt2ltHNGY0di10EWVVG4blPAHSrfw7+Kf7MhuPG8eufC7w54E0v4b+O/sT6vrkGm2lp&#10;PfrbREXkDK37ttjiMM22TC49h8J/G/8A4Jy/tYeI9Y+MvgaD9izSPF2sfETxZpL+E/jXqXinTIZ9&#10;Fitre1SW8MZc3MalopW2ph2JIKEbd3Y/FX9hv9tBbfxra2PwlHiDSNa/aNTxJfC3/sC81PUNIGkR&#10;2wvbNNVZ7WKQzeYGWYLJg8DBJoA+y/ix+0R+z/qvi/4a/BXxJoFj40074vXOoQ6FdQRW1/pjfY7c&#10;Tu0hZirAg4UqG5HauG/aj/av+AH7NGv6L+x7of7LOs/EHVNc0GXVo/h34H8L2s8MGmRylGnkhkKR&#10;bTIGAVQSSp4BIz8+fsa/sHftYfCvxJ8C7vxv8JZNLsfBPxW8cavrEUms6Y39m6bqFpGlmwS1mMfz&#10;uGHlwKdhySqriu9/4KnfsueO/jx8TPD/AIg0f9hB/iZaafoDwWHi/wAJfFCLw54h0a8Mrt5eZ9sc&#10;lvgqwzvKsznAGQwB6p8P/wBrn9ig6n8J/AFz4RtPBOveMLW7u/A3hXxD4bh0670kopWQNGRizeTD&#10;ImMeceFLZr0TUbr9kLXJdW+GGrT/AA4un0W4k1vXfD9w1g5sZVy8l7PAf9WwyWaVgCM5J5r4h8D/&#10;ALCP7XvhbX/2Xfip8dfg1Z/E3xV4NOsWPj7UZtZsJr7TLe4Y/wBmSzXFyy/bDZBy4ZC7B0Ozkhjz&#10;H7I3/BLX9ovwl8b/AA54X/aC+G2ttYeHfEetXeqfEHS9S8PCz1u2u0uFYSskQ1S4FwkvlSQzNhM7&#10;gQFVQAfo9Yan8ARaXGhaVqHg/wAjxHYS63d2dvLa7NUtXA82+dAcTxsMbpiGU8ZNZXg74gfsl/DK&#10;30nwZ4A8a/DzQIvEBE+h6Xo+o2NqupFztEkMcbATbiMBlByRivy+n/4JW/8ABTTQ/hzf+JPDlosv&#10;jHwy0nw58E2R8Q2Sx3PgWW3vIZbssbgIrbrmN1RyJF8kfJwAeo/bL/4JmftaeINc8T/Dj4PfAVdZ&#10;0TTvCvhTTPhlrWhp4atkEWnpAt19uub4pqCXAaNzGYHVSpwxILAgH6STa3+zNFe694Bn1bwKtxfT&#10;T3HijRWnsw88gjV5pLqHOWYR7GdpATt2k8Yrzj4d/tFfsX+Ifirefs4fD7QvCbaT4L8LW3jSDXNN&#10;j086HZK1zLAJIpI22RTxujkvhdoP3s5r5r+NX/BMn4wfFLw/+1X4i034V6Tb+M/HviOwl+H2t3l9&#10;a+dqemRW9obm0EyuzWqTNDLGwk2biRu+XmuNl/YH+OHxLuvi7q8v/BOEfDnw34x+Euh6HYeCPCvj&#10;3RbWe91C01aK4lkWaMvFHIEjV/3qFJViVHcGRtoB9zfE39uX4BfDi28Davb+LrLX9K8d+Mo/Dljr&#10;eg6pbT2dncNFJKZJ5RJtSNVjO4gkjI4rQ8WftY/DvSNQ8Ax+BwvjHT/H3io6Haa14Z1S1ntbKQQy&#10;StJK/mjco8sqQm5gT06A/Cfwx/4J8/tYeNPCXgXwh8cP2eNIm8M6b+0JZa/qGmapZ6Ba3suhJp7w&#10;yz6lFp7i1uG3+WgVN8rKDuUiuu+HP/BP74/fD34raBJ4b+C9rpPhjRf2u9T8Y2ltY6nYRwWnh2XS&#10;/IiuI4km+VTJ8ohVfMHXYBzQB9y+Gfjv8EfGmvReFfB3xi8Latqc8LzQafpniC2nnkjVirOqI5Yg&#10;MrAkDgqR2rq6/HX/AIJt/sw/Fn4z+DPgH4v+HH7J2j6BaeE/ipqfiLxB8cV1qzS61Sxh1C7jfTzA&#10;mLpmJHk7XDR7Y1YEBjj9iqACiiigAooooAKKKKACiiigAooooA+Hf+Cz/wC0PqnhDwTon7P3hq/a&#10;CTxGrX2umNsM1nGwWOI/7LyBif8AriB0Jr82a+uf+C0SXi/tZ6c1yG8s+CrP7OW6bPtF1nHtu3fj&#10;XyNX2OW0408HG3XU/tfwuy7DZfwThfZLWoueT7yk+vorL0QUUUV3n6Ceifsr/HrXv2bvjjofxR0a&#10;6kWC2uli1e3Rji5snIE0ZHf5fmHoyqe1ftpfazGPC03iHTGEyfYGubcryHGwspH14r8Bx1r91v2f&#10;Yb3/AIUB4Lg1lSZ/+ES09bhX67vsyZBrwM6hCMqdRr180fzf4+5bQSwmNhpUlzwb7pWcf/AW395+&#10;Zuq6ne61qdxrGpXDS3F3O808rHl3ZizE/Uk1Xr1L9qT9nXxH8DPHV08enSyeHr25aTSNQVCUCk5E&#10;LH+F16YPUDI9vLa/ojA4vC47CQr4dpwktLfl5NbNdD/GnN8tx+UZlVwmNi41INp36+fmnun1Wp6n&#10;+xZ4h1Lw9+0n4bOnSPtvbiS0uY1PEkbxsCD7AgN9VFfozXx1/wAE/v2cPEP/AAlEfxx8X6bJaWVp&#10;A66FFOhV7iR1KmYA/wAAVmAPctkdK+xa/EfELGYTF56lRabhFRk13u3b5J/p0P6w8FcrzHLeEZSx&#10;ScVVqOcE/wCVxir26czTa7qz6hRRRXwh+vBRRRQAUUUUAFFFFABRRRQAUUUUAFFFFABRRRQAUUUU&#10;AFFFFABRRRQAUUUUAFFFFABRRRQBV0XQtF8N6cmkeHtHtbC0jZjHa2VusUalmLMQqgAZJJPqSTVq&#10;iigAooooAKKKKACiiigAooooAKKKKAPir/gsj+zdqvxA+HWlfHnwnpz3F34UV7fWo4lyxsJCGEmO&#10;pEb5z7Ssei1+Zlf0CXlnaahayWN9bRzQzRlJYpUDK6kYKkHggjjFfA37WX/BHabWNZu/HP7L2p2l&#10;uLhzLN4U1GXy0RjyRbynhR6I+AOzYwK97LMxp04eyqu3Zn9C+FfiTl2WZfHJ81nyRi37Ob+Gzd3G&#10;T6WbbTelnZ2sr/npRXr+t/sC/tkaBfnTr39nnxHK4fbvsbQXMZP+/EWXHvmu++DP/BJz9q34l6lC&#10;fGHh638H6WWBmvdZnVptvfZBGS5bHZto969qWLw0I8zmrep+44ri7hfB4f29XG0lHynF39Em2/RJ&#10;nmX7IH7O+uftNfHXRvhxp9pIdP8AtC3OvXaqdttZIwMjE9iwwi+rMK/bS1toLK2js7WIJFFGEjRR&#10;gKoGAB+Fea/sufsn/C39k/wMfCXw+smluroq+r61dAG4vpADgsR91Rk7UHAyepJJ9Or5fMcZ9bq+&#10;78K2/wAz+T/EnjaPGWbxeHTVCkmoX3d7c0mul7JJdkurZBqWmadrFlJpurWEN1bTLtlt7iIOjj0K&#10;ngiuX034AfBDR9SGr6X8JPDsFyrbklTSIgUPqvy/KfpiuvpJJEiQySMFVQSzE4AFctLE4ijFxpzc&#10;U90m1c/Lq+AwOKnGdalGTjs3FNr0bWgoAAwBgDoKK/J39tb/AIOTpPh78T9R+G37Inwu0jXrHSLt&#10;7a58V+I5pWhvZEO1jbwxMp8vIOJGf5uoUDBPqH/BMb/gvF4a/bJ+JNp+z/8AHfwHZeEvF+p5Gg3+&#10;mXTPYanIqljBtky8MpAJUFmVsEZBwD9PX4H4lw+WfXqlC0ErtXXMl3cd/XquqPJpcU5JWxv1WFX3&#10;r2Wjs32T2/R9D9EqKKK+SPoQooooAKKKKACiiigAooooAKKKKACiiigAooooAKKKKACiiigAoooo&#10;AKKKKACiiigAooooAKKKKACiiigAooooAKKKKACiiigAooooAKKKKACiiigAooooAK5H4++HvE/i&#10;34GeM/C3gqdotY1LwpqNrpUiNgrcyW0iRkHsd5XntXXUVdObpVFNbpp/cTOCqQcX10P5FtV0vUtD&#10;1O50XWbGW1u7Sd4bq2nQq8UiMVZGB5BBBBHqK9b/AOCfPgvxt4//AG3/AIVeHfh9bTyan/wnWm3K&#10;GDIMUUNwk0shI6KsaOxPYA1+5v7YX/BEP9if9sPx5c/FTX9K1jwr4kv336pqfhS7jhW/fvJLDIjo&#10;X9XUKT/Fk12v7EX/AAS2/ZN/YIludc+Dfhe8vPEN7B5N14n8QXQuLwxHBMaEKqRISBkIoJwMk4Ff&#10;vON8U8nrZNJU6cvbSi1ytaJtW1d9UvvfZH5PheA8yp5lHnnH2cWnzJ6tJ9u/4LzPoyiiivwM/W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AJt4V9ticAALYn&#10;AAAVAAAAZHJzL21lZGlhL2ltYWdlMS5qcGVn/9j/4AAQSkZJRgABAQEA3ADcAAD/2wBDAAIBAQIB&#10;AQICAgICAgICAwUDAwMDAwYEBAMFBwYHBwcGBwcICQsJCAgKCAcHCg0KCgsMDAwMBwkODw0MDgsM&#10;DAz/2wBDAQICAgMDAwYDAwYMCAcIDAwMDAwMDAwMDAwMDAwMDAwMDAwMDAwMDAwMDAwMDAwMDAwM&#10;DAwMDAwMDAwMDAwMDAz/wAARCACyAW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zXkfxf/bQ8H/CuSW1hmbXtUjyDbWTApG3o8n3V+g3Eelb4fC1a8uSj&#10;Ft+RwZjmmEwFL22MqKEfN7+i3b8lqeuU2eeO2iaSR1jReSzHAH418MfEH9vLxx4wkkj0+a18PWjc&#10;BLRA8uPeRsnPuoWvJvEPjHVvFtx52qapqGpSZzuurh5T/wCPE19Hh+E68letJR/F/ovxPzTMfFzA&#10;Um44OlKp5t8q+W7+9I/SHUPi54U0lyt14m8P2zDqJdRhQ/q1QQfHDwXdPtj8XeGXb0GqQZ/9Cr80&#10;6K9D/VGl1qP7kfPy8YMVfTDxt/if+R+pOl6/Y65Hvsb20vF/vQTLIP0Jq3X5X2t5NYTrLBLJDIpy&#10;roxVl+hFeheB/wBq/wAfeAnQW3iC7vLdf+WF+ftSEenz5YD/AHSK5K3CVRK9Kon6q3+Z62B8YMPJ&#10;2xmHcfOLUvwaj+bP0Oor5r+Ff/BRPS9YkjtfFmmtpMzYBvLTMtvn1ZPvqPpur6G8PeJNP8W6TFf6&#10;XeW2oWcwyk0EgkRvxHf26ivnMXl+IwztWjbz6fefpWT8RZfmkObBVVLutpL1T1+e3mXqKKK4z2go&#10;oooAKKKKACiiigAooooAKKKKACiiigAooooAKKKKACiiigAooooAKKKKACiiigAooooAKKKKACii&#10;igAooooAKyfHHjrSvhz4buNW1m8jsbG3HzO/Vj2VR1Zj2A5NHjrxxpvw48K3ms6tcLbWNkm92/iY&#10;9lUd2J4A7k1+f3x++P2rfHnxW13ds1vptuStlYq2Ut19T/ec92/AYAAr2coyeeNnd6QW7/Ref5Hx&#10;fGPGNDJKHLH3q0vhj/7dLy/FvRdWut/aD/bO1z4tSz6dpDTaJ4fbK+WjYuLtf+mjDoD/AHF49S1e&#10;K0UV+j4XC0sPD2dFWX9bn80Zpm2LzGu8RjJuUn32Xklsl5IKKKK6DzgooooAKKKKACuq+Ffxm8Q/&#10;BrWxeaHfPAGIM1u/zW9yPR06H6jBHYiuVoqKlOFSLhNXT6M3w2Jq4eoq1CTjJbNOzR+g37PP7UOi&#10;/HnTvJXbp2vQJunsHfJYd3jP8S/qO46E+nV+fv7K/wADtf8Aiv49t7zTbi50ix0mZZbjU4/laEjn&#10;ZGe8hHboAcnjAP6Aou1ANxbAxk9TX5pnmBoYbEclCXqu3z/pn9P8B55j80y/22Op2adlLZT87eXV&#10;rRvbqhaKKK8U+2CiiigAooooAKKKKACiiigAooooAKKKKACiiigAooooAKKKKACiiigAooooAKKK&#10;KACiiigAooooAKCcUV5B+2p8YG+Fvwhmt7SXy9V8QE2VuVOGjTH71x9FO3PYuDXRhcPKvVjRhu3b&#10;+vQ8/NMxpYDCVMZW+GCb9ey9W9F5s+cv2zP2hH+LnjhtJ0+Ynw9oshSLaflu5hw0p9R1C+2T/Ea8&#10;Xoor9YwuGhh6So09l/Vz+RM2zSvmOLnjMQ7yk7+i6JeSWiCiiiug84KK6L4Z/CrXPi74iXTNCsnu&#10;puGkc/LFbr/eduij9T2BPFfWPwp/4J9+GvC9vHceJZpPEF9wWiVmhtUPoAMM31JAP90V5uPzbDYT&#10;Sq9ey3/4HzPqOH+D8yzj3sLC0OspaR/zfyT8z4sor9OvD/w28O+E4Vj0zQ9JsFXp5FoiH8SBk/jV&#10;6/8AD2n6rCY7qxs7mM8FZYVdT+BFeA+LoX0pO3r/AMA/QI+DtXkvLFK/bkbX38y/I/Leiv0C+IP7&#10;HPgLx/BJ/wASePR7pvu3Gm4typ/3ANh/Fa+WPj5+yD4h+CiSX8R/tnQVP/H5CmGgHbzU52/7wJX3&#10;BOK9fA59hcTLkT5Zdn+jPj8+8P8ANcrg6zSqU1vKOtvVbr11S7nklek/s4/s46l8fPEu1fMs9Ds3&#10;H22929O/lp6uR+AHJ7Ar+zh+zhqXx88SbV8yz0Ozcfbb3b07+WnYuR+Cjk9gfvbwZ4M034feGrXS&#10;dItY7Oxs12xxr39ST1LE8knkmuXPM8WGXsaPx/l/weyPU4F4Fnmk1jcamqC2Wzm+y/u9312XVo8F&#10;+C9N+Hvhq10jSLWOzsbNdsca9/ViepYnkk8k1qUUV+eyk5Pmlqz+jKdOFOCp00kkrJLRJLogoooq&#10;TQKKKKACiiigAooooAKKKKACiiigAooooAKKKKACiiigAooooAKKKKACiiigAooooAKKKKACiiig&#10;Ar4T/bt+ITeMvjncWEcm608PxLZoAfl8w/PIfruIU/7gr7pubhLS3kmkbbHGpdiewHJr8vvFmvye&#10;K/FOpapNnztSupbp8+ruWP8AOvq+E8OpV51n9lW+b/4CPyTxczF0sDRwcf8Al5Jt+kbafe0/kZ9F&#10;FFfen8/BXRfCv4aaj8XPHFloWmL+/umy8jD5LeMfekb2A/M4HUiudr7S/wCCfXwqj8M/DefxNcRj&#10;7dr7lIWI5S3RiAB6bnDE+oC15ubY/wCqYZ1VvsvX/gbn1HB+Qf2xmUMLL4F70n/dX+bsvnc9c+E3&#10;wm0j4N+EINH0iELGgDTTMP3t1J3dz3J9OgHA4rpqKK/LKlSVSTnN3bP6uw+HpUKUaNGKjGKsktkg&#10;oooqDYKbcQR3cDxSxrJHIpV0cblYHggjuDTqKA30Zn+GPC2m+DNGi0/SbK30+xhzshgTai5OTx7k&#10;1oUUU5Sbd3uTTpxhFQgrJaJLZBRRRSKCiiigAooooAKKKKACiiigAooooAKKKKACiiigAooooAKK&#10;KKACiiigAooooAKKKKACiiigAooooAKKKKAOc+MN+2l/CXxRcqcNb6TdSKfQiFyK/M6v0Z/ajWd/&#10;2afiF9mZo7j/AIRvUDEynDKwtpCCD65r8SP+FkeIP+g1qn/gS/8AjX6NwPgnWo1ZRdtV+R/Mvjzx&#10;DDL8bhKdSDkpQk1b1V/0Pp6ivmH/AIWR4g/6DWqf+BL/AONH/CyPEH/Qa1T/AMCX/wAa+4/smf8A&#10;Mj8F/wBecP8A8+5fej6er9NvhZoCeFvhp4f06Ndq2enwRH3IjXJ/E5NfhX/wsjxB/wBBrVP/AAJf&#10;/Gv3X+GmuR+J/hx4f1KJt8eoabb3KMP4g8SsD+tfC8cYSdCnRu7pt/of0B4C55QzHEYzki4yjGG9&#10;tm5X/JG3RRRX52f0oFFFfIn/AAUb+A3xS/s648c/C/xt43tmtY9+p6BZaxcKjoo5mtkVsBgB80Y6&#10;9VGchvOzTHVMJh5YinTdTl3S3t3Xe3Y97hvJ6GaY+GBrYiNDn0UpJ8t+ibW1+70vufXdFfhqf2x/&#10;i0D/AMlM8ef+D25/+LpP+GyPi1/0Uzx5/wCD25/+Lr88/wCIq4P/AJ8S+9H7p/xLbmn/AEGU/wDw&#10;GR+5dFfhp/w2R8Wv+imePP8Awe3P/wAXXzJ+07/wUW+O2i/Fq6s9N+M3xOsbe2giVorfxNeRoGK7&#10;icCTGfmFfY8D8R0+JsweX4aDg1FzbdmrJpdPNo+I4+8JMZwrlqzLE4iE05qCUU07tN9fKLP6ZqK/&#10;lX/4eU/tDf8ARcfix/4VV7/8co/4eU/tDf8ARcfix/4VV7/8cr9b/wBR8R/z8X3M/HPrK7H9VFFf&#10;yr/8PKf2hv8AouPxY/8ACqvf/jlfrT/wbR/Hz4iftAeCfi5qHj3xt4s8ZLY32mW9g2t6pPffZcx3&#10;LSCPzGbbuzHnGM7R6CvPzLherg8PLETmmlbRX6uxUKyk7H6f0Vm+M/GOm/Dzwhqmva1eQ6fo+iWk&#10;t/fXUpxHbwRIXkdvZVUn8K/Db4x/8FRv2mv+Cr/7Rt14C/Z7/wCEg8K+GlLtaW2j3Asbw2qtt+13&#10;t7kGEHI+VXVRuVB5jYLeXluU1cY5OLUYx3k9Ei5VFE/duivwd+IH7G3/AAUM/Yq0xfGWn+NPHPiS&#10;CzYSXEeieKbjXPL56yWU2fOHriNwBknA5r9Y/DfiX4qWH/BODVNY+J0mn6X8UYfBt/eX7aNugWyu&#10;BbSvGQQx2zKAhcodokDbPlArTG5TGhGM6daM1J20ev3CjUvuj3+ivyS/4Npf2n/iR+0H8Q/ixB48&#10;8e+MPGUOl6dp0lnHrWrz3y2rPLOGKCRm2khQCR1wK+tf+C5XxR8SfBv/AIJqeOfEHhLXtY8M69Z3&#10;OmLBqOl3clpdQh7+3RwsiEMNysVODyCRU4jKZ0ccsC5K7aV+mtv8wjUvHmPriivzz/4IefHXxr8Y&#10;/wDglz418SeLPFniPxN4gs9X1eKDUtU1GW6uoUjsoGRVkdiwCsxIAPBJNeF/8G2H7VHxM/aB+Ofx&#10;Ks/HXxA8ZeMrPT9Ct5rWHWtYuL6O3c3GCyLIzBWI4yO1aVMlqQjXk5L9y0n537B7TbzP2Aor8E/+&#10;Cif7RX7Qniv/AIK9eMvhX8Nvip4+0U6rrtnpmjaXa+JrmxsYJJbWAhQFcJGpZiTgYySa2fiD8H/+&#10;Ckn7Gfhq48b3PjLxvr2l6MhubwxeI08QrbRryzvazM5ZAASSqMFAJOAM12x4a9yDlXhFzSaTdtyf&#10;beR+6dFfB3/BGX/gsOn/AAUN0jUPCPjCzsdH+Jnh21F3ILQFLXW7UMEaeJCSUdGZQ6ZI+dWXglU9&#10;O/4LE/tit+xX+wl4s8QafeNZ+KNeQaB4feN9ssd3cKwMyHqGiiEsoP8AejUd68ipleIhi1g5q020&#10;vv6+hp7RcvMfUdFfgx/wQ9/4KYfETwp+3To3hH4o+OvGniTw/wDEa1GlWy+I9Xub1bO7fElpNH57&#10;tt80/usrgN56nnAr9560zbK6mAreym73V011FTqKSugor+cf4af8FiPjR+zD+2/qGuat468ZeNPC&#10;ml6/eWt94d1XWZ7q1uLMzurJGkjFY5FUAxsANpUDlSwP7r+Lv2gNH+M37C/iT4i+A9aa40zVPCF/&#10;qelahayGOWF1tZSDkHdHLG6kEcMjoRwRW+ZZFXwcoc7upbNd+zFCopHsNFfkv/wbRftO/Ef9oTxr&#10;8XIfHnjzxf4yi0uy0x7NNa1ae+W1Z5LkOUEjNtLbVzjrtHpWJ/wVe/4LWfEXXf2jLr4Ffs6tdQ6h&#10;Z339jX2r6dbi41HUr/dse1tAQRGqNlDIBvLqdpVVy1vh/EPGywUGm4pNvZJWT/UXtVy8x+wdFfhP&#10;qv8AwTf/AOCiXhDwyfGkfjzxteavGn2mXTbX4hXE2pjuVKGXypCP7iu2egB6V+iX/BFf4w/tAfGr&#10;9mm71T47aatvLDeG10O9vLU2WrahFHuSVrmDaqqFcBVfCs+HJB4dpx2TwoUfbU60ZpOzSeuv5jjU&#10;bdmj7Gor+bz9kr4l/tf/ALd3xn1nwb8O/jR8Rp9Y0uwn1eWO88a3lrEtvHPFCcMZMZ3TxjHpn0r6&#10;R/4dx/8ABSL/AKK34o/8OTc//F13VuGoUZclbEQi+z0JVa+qR+2VFcb+zp4e8ReEv2ffAuleLrqW&#10;+8V6b4fsLXWrmS4Ny9xepbxrO7SnmQtIGJY8tnPeuyr5eceWTSdzYKKKKkAooooAz/Fmgx+KvC2p&#10;aXN/qtStZbV/910Kn+dfgXqumTaLqlzZ3CGO4tJWhlQ/wupII/Aiv6BK/GP/AIKNfCdvhD+2D4wt&#10;Vi8uz1i5/tm0OMKyXH7xseyyGRf+AV+jeHeKUa1XDv7STXy0f5n8w/SYyiVTA4PM4rSnKUH/ANvp&#10;NfjB/eeH0UUV+rH8ehX6/f8ABLL40w/Fv9kfQ7Rpg2peEc6LdJn5lWPmE49DEUGfVG9K/IGveP8A&#10;gnz+1y/7JvxqS6vmkbwrryrZ6xEoLGNQfknAHVoyScd1ZwOSK+Z4symWPwDjTXvx95edt181+Nj9&#10;U8HeMqfD3EMKuKdqNVezm+iTaal8pJX7RbP2UoqroutWniPSLXUNPuYbyxvYlnt54XDxzRsMqykc&#10;EEEEEVar8Jaadmf6FRkpJSi7phRRRQUfAn/BS3/gmf8A26NQ+Inw6sP9O+a41nRbdP8Aj57tcQKP&#10;4+pZB97qPmyG/OYjBr+hSvgf/gpb/wAE0P8AhIRqHxE+HWn/APEw+a41nRrdP+Pru1xAo/5ad2Qf&#10;e5I+bIb8g444H5ubMcujrvKK6/3or8113R/Ung/4wez5Miz2emip1H07Qm+3SMnts9LNfm/dXUdj&#10;ayTTOscMKl3djgKoGSTXw58QvFLeNvG+qaqdwW+uGkQHqqZwo/BQBXvH7W3xmj0jS5PC+ny5vLoD&#10;7cyn/UR/88/95u47L9a+bq/WfAPg+rgcFUzrFRtKukoJ78i1v/287W8op7M+b+kTxrRzDHUsiwku&#10;aNBtza29o1ZR9YK9/OTW6YUUUV/Qx/NYV++X/BsF8NZPCn7BniDxBNHtk8VeLLmSFsffgggghX8p&#10;ROK/A5VLsFUFmY4AHev6p/8AgnD+z437LX7Dfwz8Dzw/Z9Q0nRYpdQjxgpeTk3FwD9JpXH4V8fxp&#10;iFDBxpdZP8Fr+djow69655//AMFwLvUrL/glb8YH0oyC6bT7WN/L6+Q19bLP+HkmTPtmvk3/AINU&#10;bDQR8DPitdQrbnxQ2u2sV4ePNWzFvm399pkNz9SD6V+oXxO+HGj/ABg+HOu+FPEFqt9ofiSwm02/&#10;gbjzYZUKOM9jgnBHIODX4R+MP2LP2pP+CJv7R+oeLfhTY6x4r8Iz7oo9T07T21G01Gz3blh1C2jB&#10;aNl4y2FAbJR+TXzOTyp4nL6uXcyjOTUlfRPbT8PxNql1JTPo7/gop/wUJ/bU/Zr+O/xGuPC/g2aH&#10;4T+GrstZa1ceFTNara7U/eNcHhhuYjdXqH/BNv8Abm+IP7f/APwTX+O3iH4gT6bd6tpMGq6Xa/YL&#10;IWq+V/ZayAFQTk7pG5+lfF/xy/4Kgftff8FHfhjqPws034Rx29h4ijW11IaD4XvmmmTcCVaWeSRI&#10;Uyoy3ykf3hX6If8ABEb/AIJ9+Lv2If2RNe8N/EiPS/7W8ZarJqdxplvMLgWUL28UPkyuvyM5CEnY&#10;WUZADGu3MKFHDYBKtCEaqcbcuraVrt+vUmLblpex8X/8Go9zGvxW+MkJZRLJpOmuq55IE04J/DcP&#10;zFfaX/BwvOkP/BKjx8rMqtLe6SqAn7x/tG3OB+AJ/CvzX+IP7I37SX/BEr9r3VPGXwr0LV/EXhKY&#10;zQWOp22myanY32nyOHFtfRx/NG67UySUyybkbFU/2gv2iP2wP+C0Emi+BW+HN1Z6DbXi3LWmkaJc&#10;6fpnngFVmurm4dwAgZsBpAvPClsV24jALE5jDM6dSPsvdk3fa1tPwIUrQ5Hufa//AAb7wtH/AMEg&#10;/HTMpVZNZ1tlJ/iH2G3H8wfyr53/AODVH/k4X4rf9i7a/wDpTX6X/smfsbx/sSf8E7YfhlazLquq&#10;WGh30uoXECE/br6dJJJSgxkqGbYnGSqLkZr8+v8Ag2S+Bfjb4TfHn4nXHirwd4q8M293oFtHBLqu&#10;kz2STOLjJVTIihiBzgV57xVOth8fUi9JONvNXZfK04o8r+L3/Kznaf8AY/aT/wCkttX7zsodSrDK&#10;ngg96/n+/wCCivgf4xfC3/gsv4x+KHgX4b+LNel0HxBZappdyvh28vNPuXitLfGWiUB13Ag7WHQj&#10;Ndj8RP8AgoP/AMFA/wBsDw3ceCdJ+GfiLwzHrEZtrq40LwdeafK0b8FWurlmEAOcb1ZD/tCujMcr&#10;njaeHnCcUowim27W0FCpy3T7nC/8Ey4bPR/+Dgo2vgPaPC8fizxNDai2/wBR/ZohvvLAxx5YUR7e&#10;2QvtXTf8HEf7Vtj+0L+3T4d+Ff8Abcel+EPhy0Vpql9seaK3vbpo2uZikYLOIYfKXaoLBllAGTiv&#10;qb/gmr/wTK1L/gkx8APHnxr8baa3if4rDQZk0/QdIia+NghAZbVDGCZJ5pRErsgKoowCQWJ+cf8A&#10;gkn/AMEj7v8Abl+J/wATPHn7Rnhjxfa2ss++GG/S50m41PUbmVpp7jJCuVQDH90mf1Wuz65hHi5Y&#10;+UrwoxUE1vKT3a72v+uxHLLl5e55L/wWE+MnwB8feI/hL4m/Z68XG41LwXpEHh65gi0u8sZbeKy2&#10;mxuQ80SBnX51Yg7vlj9Dj9xP2BP2prT9s79kTwR8RLdohda1p6rqcMfS2vosxXMeOwEquVz1Uqe9&#10;fLfxc/4Nw/2e9W+FviK28I6HrWk+KptOnXSLybXLmaK3u/LPks6MxDKH25B7Zrxf/g201/4lfAzx&#10;P46+EfjrwT418P6LqH/E80m61LRrm3tYLyPbDcQiR0CZkTy2HOP3DYyTXl5hLCYzLf8AZpNyov7V&#10;rtPfbf8A4BpHmjPXqfE/7CP7G2h/t4/t/wDxU+HetzyWJv7DXbnTr6PJbT72O7Qwzbc/MoJIZT95&#10;WYZBwR2X7H37Y/jH/glt4j+MH7OnxZt7q18O65pupad5RzIuj6lJaukN1CcfNb3AMYJAwQ0cgxhg&#10;3sH/AARK+AXjvwB/wV08Ya1r3gnxdoujT2euLHf3+j3FtayF7pCgEjoFO4cjB5HSvr3/AILl/wDB&#10;K+P9uH4Pf8Jp4PsUPxS8F2zG2SNcPr9muWazPrIuWaI/3iyfx5X1cbmlH66sHiXelKMdf5ZdH/n/&#10;AMOZxg+XmW58of8ABqcZB4y+OHkhTN/ZulbAehbfd4z+NeP/APBunFp+q/8ABVC7n8WbX8QpoWqz&#10;6ebn/WnUjJEJSM87/Ia6z3xur6M/4NhPgl40+Efjj4wyeK/CPijwxHfWOlrbNq2lT2S3BWS63BDI&#10;q7iMjOM4yPWuX/4Knf8ABIL4q/AL9qW4+Pn7Otrqt/Hdai2uTWOiru1TQb5iWleGEZM0EjFm2IGI&#10;3spQpzUYjE0Z4/FYWU1H2sYpS6XUdr+dxqL5VLsftFRX4V3X/Bcv9tTxl4cPg/Tfhzaw+KJE+zHU&#10;LHwZfSatv6bhCztCJP8AtjjPRRX6Ef8ABFf4e/tGeAf2fdSX4/apNdPqN4bzQ7PVJTc63ZJIWeb7&#10;TLuICszBkjbLplgSo2ovyuOyKrhKLq1pxvfRJ3b80bxqKTsj8Rv+CeWrftAaN+0d4il/ZvW/fxw2&#10;kXK3wtLaznf+zvtVuZMrdKY8ecLfkDd0xwTX3f8ADDxv/wAFQJfiX4dXxBD4m/sFtTthqW7SdAVf&#10;s3mr5uSse4DZu5Xn05r4/wD2KfE37SX/AAT2+OuueNvAvwd8U6hqmq6bPosiav4Q1K4t/IkuIZiy&#10;iPyzu3W6YO4jBbjkEfVX/D7X9ub/AKIPZ/8AhBa1/wDH6+4zSFWrVvSp0pKy1la5y07Ja3P2sorh&#10;f2YPHev/ABR/Zu8A+JfFWnrpPifxB4esdR1ayFu9uLO7lt0eWLy5CXTa7MNrEsMYJzXdV+Wzi4yc&#10;X0O4KKKKkAooooAK+Jv+C0H7PT+MvhdpPxA0+DzLzwq/2TUNo+ZrOVhtY+ySkfhKx7V9s1Q8VeGL&#10;Hxr4a1DR9Ut47zTdUt5LW6gcfLLG6lWU/UE16WU5hLA4uGJj9l6rutmvuPmOMuGqWf5NXyqrp7SO&#10;j7SWsX8pJX7q66n4BUV6b+1x+zZqX7LHxr1PwzeiSWyDfaNMu2HF5asTsf03DBVh2ZT2wa8yr+hM&#10;PiKdelGtSd4yV0z/ADTzLL8RgMVUwWLi41KbcZJ9Gv60fVahXN/EP4iW/gmw2rtmvph+6iz0/wBp&#10;vb+f5kHxE+IkHgmx2rtmv5h+6i/u/wC03t/OvE9T1O41i+kubmRpppjuZm7162DwftPfnt+Z7ORZ&#10;E8S1Xr/B+f8AwD7G/wCCdP8AwWH8Wfsean/YPilbzxd8P7uYyPaeYPteksxyz2pYhdp6mFiFJ5BQ&#10;lif2O/Zz/a6+HX7V3hpdT8C+KNN1pdgee0D+Xe2ftLA2JE54yRg9iRzX80dXNA8Q6h4U1eHUNLvr&#10;zTb+2bfDc2szQzRH1V1IIP0NfPcRcAYLMpuvRfsqj3aV0/Vaa+aa87n9HcJ+JWPyalHCVY+1ox0S&#10;bs4rtF66Ls0+ysf1MUV/PT4A/wCCt/7RXw3s47ex+KGtXkMYxjVILfUmI93uI3f/AMerN8df8F1/&#10;2otVuLmzT4kLYwhiubTQtPjfH+/5BYfUEV8H/wAQpzVztCpTt3vJfhys/XMt8WMrxd4qlUUkr2tG&#10;33836H9C3i3xjpPgHw9datruqafoulWSeZcXl9cJb28C+rO5CqPqa/L3/gpJ/wAHD+ieFdI1Dwf8&#10;BZl1rWplaCfxZLF/odh2P2VGGZpOuJGAjHBAkzx+TPxj/aS+IH7QupLd+OfGnibxZNG26ManqEtx&#10;HD/uIx2oPZQBXE19nkPhbhcLNV8wn7Vr7KVo/PrL8F3TOHNuPMRXi6WDj7NPre8vl0X4vs0V/Fsl&#10;34k1e71S6uJ7y/vpXuLqaZy8lxIxLM7MeSxJJJPJJrDrpKz9U0vfmSMfN/EvrX1WcZKre2wy9Uvz&#10;X+RpwzxQ01hMbL0k/wAn+j+8y6KKlsbKbU72G2toZLi4uHWKKKNSzyOxwFUDkkkgADrXyZ+jH1n/&#10;AMETv2N5P2xP28fDFteWpn8LeDJF8R64zLmNo4HBhhPY+bN5alepTzD/AAmv6XK+Qf8Agi9/wT1H&#10;7An7KFtBrNtHH4/8ZmPVfET8FrZtp8mzz6QqxB6jzHlIJBFfX1fj/EmZrGYtuD9yOi8+7+b/AAsd&#10;9GHLEKKKK+fNQooooAKKKKACiiigAooooAKKKKACiiigAooooAKKKKACiiigAooooAKKKKACiiig&#10;AooooAKKKKAPGf23P2QdL/a8+FL6ZI0Nn4h0zdPo9+y/6iUjmN8c+W+AGA6YVsEqAfxN/aGfUv2d&#10;PEuoeHddsJLPxNYyGF7KUcxns5I4KEYII4YEEHHNf0MV80/8FE/+CaPhP9vXwYskrR6D450uIrpe&#10;uRx7iRyRBcAcyQkn/eQklerK33XB3FEMBVWGxt3Rb/8AAX/l3XzXn+J+KHhLhuIakc1wqtiIr3ls&#10;qiWyb6SWyfVe69LNfz8anqc+sX0lzcyNNNMdzM3f/PpUFehftKfst+N/2SviLP4Z8caLPpd8hLW8&#10;wG+1v4wcCWCXo6H25B4YA5A89r+iKFanVpqpRacWtGtmvI/nuthamGm6FWLjKOjTVmrdLdAooorY&#10;zCuA8R/8h26/66Gu/rgPEf8AyHbr/roa2obn0nDP8eXp+qKVFFFdR9oFFFWNK0q613U7eysba4vL&#10;y7kWGCCCMySTOxwqqoyWYkgADkmhu2rAx9V0vzMyRj5v4l9a/Xb/AIIA/wDBH+4tL7Svj18T9LaH&#10;ywtz4N0a6jw2TyuoyoemOsKnn/lpxiMnc/4JNf8ABBCTRL3TPiR8dtNjNxCVutJ8HzgMI26rLfDo&#10;SOCIOnTf3jr9bUURqFUBVUYAA6V/PvHvE2EnWlhcsd7/AByW3pH9Xt2P2/hPD46OEX17/t1P4ref&#10;6de4tFFFflJ9aFFFFABRRRQAUUUUAFFFFABRRRQAUUUUAFFFFABRRRQAUUUUAFFFFABRRRQAUUUU&#10;AFFFFABRRRQAUUUUAFFFFAHG/HL9n7wb+0n4En8N+N/D9h4g0mfkR3CfPA+MeZFIMPG4/vIQfevy&#10;3/a+/wCDefxJ4VuLrV/g9rEfiXTclxoeqSpb6hEP7scxxFL/AMD8s/7x5r9eqK+gyTibMMql/ss/&#10;d6xesX8unqrM+Z4g4QyvOY/7ZT97pJaSXz6+jTXkfzA/FL4L+Lvgh4hbSfGHhvWvDWoKTiHUbN7d&#10;nA7qWADL/tLkH1rma/qQ8YeB9F+IeiSaZr+j6Xrmmzf6y11C1S5hf6o4Kn8q+bvif/wRk/Z2+J80&#10;kzeA49BupCSZdFvZrJV+kSsYh/3xX6fl/ithpK2NouL7xaa+52a/E/Hsz8F8XFt4CvGS7TTi/vXM&#10;n9yPwArgPEf/ACHbr/roa/d/X/8Ag3K+Dt9Kzaf4s+Imn7v4HurSdV+n+jg/mTXLr/wbEfCW61KS&#10;e88f/EWVZG3FIWs4j+Zhb+VfQ0fErI1q5y/8BZy5N4Z55ha0pVYRs1a6ku5+HdTafp9xq19Da2sE&#10;1zc3DBIookLySMegVRySfQV/QH8O/wDg3b/Zr8DzxyahpPivxYYznGr626qx9xbLDn6V9RfBP9kb&#10;4X/s4QqvgXwD4V8MSBdpuLHT40uZB/tTYMjf8CY1wY7xay6mrYWlKb87RX6v8D7TC+H2Mm/39SMV&#10;5Xb/AEX4n4Sfsi/8EJfjp+09cWt7qui/8K38MzEM+oeIY2huHTv5Vp/rmOORvEan+9X6/wD7B/8A&#10;wSR+E/7BlvDqGjac3iPxp5e2bxHqyLJdKSMMIE+7bqeR8nzEHDO1fUNFfmGf8dZpmqdKcuSm/sx0&#10;T9Xu/wAvI+5ynhXA4BqpFc0/5pa29Fsvz8wooor40+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9lQSwMEFAAGAAgA&#10;AAAhADxXULPhAAAACgEAAA8AAABkcnMvZG93bnJldi54bWxMj0FLw0AQhe+C/2EZwZvdJK0hxmxK&#10;KeqpCLaCeNtmp0lodjZkt0n67x1Pepw3j/e+V6xn24kRB986UhAvIhBIlTMt1Qo+D68PGQgfNBnd&#10;OUIFV/SwLm9vCp0bN9EHjvtQCw4hn2sFTQh9LqWvGrTaL1yPxL+TG6wOfA61NIOeONx2MomiVFrd&#10;Ejc0usdtg9V5f7EK3iY9bZbxy7g7n7bX78Pj+9cuRqXu7+bNM4iAc/gzwy8+o0PJTEd3IeNFpyBZ&#10;8ZTAepYmINiQPWWsHBUsk3QFsizk/wnlDwAAAP//AwBQSwECLQAUAAYACAAAACEAihU/mAwBAAAV&#10;AgAAEwAAAAAAAAAAAAAAAAAAAAAAW0NvbnRlbnRfVHlwZXNdLnhtbFBLAQItABQABgAIAAAAIQA4&#10;/SH/1gAAAJQBAAALAAAAAAAAAAAAAAAAAD0BAABfcmVscy8ucmVsc1BLAQItABQABgAIAAAAIQCn&#10;EnN5lQMAALMMAAAOAAAAAAAAAAAAAAAAADwCAABkcnMvZTJvRG9jLnhtbFBLAQItABQABgAIAAAA&#10;IQCgpierzgAAACwCAAAZAAAAAAAAAAAAAAAAAP0FAABkcnMvX3JlbHMvZTJvRG9jLnhtbC5yZWxz&#10;UEsBAi0ACgAAAAAAAAAhAIFxhqUSYQAAEmEAABUAAAAAAAAAAAAAAAAAAgcAAGRycy9tZWRpYS9p&#10;bWFnZTMuanBlZ1BLAQItAAoAAAAAAAAAIQB1UN9WG0cAABtHAAAVAAAAAAAAAAAAAAAAAEdoAABk&#10;cnMvbWVkaWEvaW1hZ2UyLmpwZWdQSwECLQAKAAAAAAAAACEACbeFfbYnAAC2JwAAFQAAAAAAAAAA&#10;AAAAAACVrwAAZHJzL21lZGlhL2ltYWdlMS5qcGVnUEsBAi0AFAAGAAgAAAAhADxXULPhAAAACgEA&#10;AA8AAAAAAAAAAAAAAAAAftcAAGRycy9kb3ducmV2LnhtbFBLBQYAAAAACAAIAAMCAACM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0991;top:715;width:14948;height:7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YRCfAAAAA2gAAAA8AAABkcnMvZG93bnJldi54bWxET89rwjAUvg/2P4Q32G2mOjZdNUqRyQqe&#10;WnvZ7dE822LzUpJM2//eDAY7fny/N7vR9OJKzneWFcxnCQji2uqOGwXV6fCyAuEDssbeMimYyMNu&#10;+/iwwVTbGxd0LUMjYgj7FBW0IQyplL5uyaCf2YE4cmfrDIYIXSO1w1sMN71cJMm7NNhxbGhxoH1L&#10;9aX8MXFGln1WzVcxHX2G38vX4fhR5U6p56cxW4MINIZ/8Z871wre4PdK9IPc3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lhEJ8AAAADaAAAADwAAAAAAAAAAAAAAAACfAgAA&#10;ZHJzL2Rvd25yZXYueG1sUEsFBgAAAAAEAAQA9wAAAIwDAAAAAA==&#10;">
                  <v:imagedata r:id="rId15" o:title=""/>
                  <v:path arrowok="t"/>
                </v:shape>
                <v:shape id="Picture 6" o:spid="_x0000_s1028" type="#_x0000_t75" style="position:absolute;width:16618;height:8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LaKPEAAAA2gAAAA8AAABkcnMvZG93bnJldi54bWxEj8FqwzAQRO+F/oPYQC6lkZtDKG5kEwIl&#10;gZzq5NDj2trKwtbKWGrs5OurQqHHYWbeMNtydr240hisZwUvqwwEceO1ZaPgcn5/fgURIrLG3jMp&#10;uFGAsnh82GKu/cQfdK2iEQnCIUcFbYxDLmVoWnIYVn4gTt6XHx3GJEcj9YhTgrterrNsIx1aTgst&#10;DrRvqemqb6fgvLN3W1fmqZ5OB3OoL93w2XdKLRfz7g1EpDn+h//aR61gA79X0g2Qx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8LaKPEAAAA2gAAAA8AAAAAAAAAAAAAAAAA&#10;nwIAAGRycy9kb3ducmV2LnhtbFBLBQYAAAAABAAEAPcAAACQAwAAAAA=&#10;">
                  <v:imagedata r:id="rId16" o:title=""/>
                  <v:path arrowok="t"/>
                </v:shape>
                <v:shape id="Picture 7" o:spid="_x0000_s1029" type="#_x0000_t75" style="position:absolute;left:38007;top:1272;width:17493;height:5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HIPBAAAA2gAAAA8AAABkcnMvZG93bnJldi54bWxEj92KwjAUhO8XfIdwhL1bExVcqU1F/AEv&#10;ZKHVBzg0x7bYnJQman37jbCwl8PMfMOk68G24kG9bxxrmE4UCOLSmYYrDZfz4WsJwgdkg61j0vAi&#10;D+ts9JFiYtyTc3oUoRIRwj5BDXUIXSKlL2uy6CeuI47e1fUWQ5R9JU2Pzwi3rZwptZAWG44LNXa0&#10;ram8FXergX4K669732zK+alVuzxXs9eg9ed42KxABBrCf/ivfTQavuF9Jd4Amf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DHIPBAAAA2gAAAA8AAAAAAAAAAAAAAAAAnwIA&#10;AGRycy9kb3ducmV2LnhtbFBLBQYAAAAABAAEAPcAAACNAwAAAAA=&#10;">
                  <v:imagedata r:id="rId17" o:title="VICNISS_RGB - Cropped"/>
                  <v:path arrowok="t"/>
                </v:shape>
              </v:group>
            </w:pict>
          </mc:Fallback>
        </mc:AlternateContent>
      </w:r>
    </w:p>
    <w:p w:rsidR="009A007B" w:rsidRPr="009A007B" w:rsidRDefault="009A007B" w:rsidP="009A007B">
      <w:r w:rsidRPr="00B47076">
        <w:lastRenderedPageBreak/>
        <w:t>Published by the Australian Commission on Safety and Quality in Health Care</w:t>
      </w:r>
      <w:r>
        <w:br/>
        <w:t>Level 5, 255 E</w:t>
      </w:r>
      <w:r w:rsidR="000406F8">
        <w:t>lizabeth Street, Sydney NSW 2000</w:t>
      </w:r>
    </w:p>
    <w:p w:rsidR="009A007B" w:rsidRPr="009A007B" w:rsidRDefault="009A007B" w:rsidP="009A007B">
      <w:r w:rsidRPr="00B47076">
        <w:t>Phone: (02) 9126 3600</w:t>
      </w:r>
      <w:r>
        <w:br/>
        <w:t>Fax: (02) 9126 3613</w:t>
      </w:r>
    </w:p>
    <w:p w:rsidR="009A007B" w:rsidRPr="00A77349" w:rsidRDefault="009A007B" w:rsidP="009A007B">
      <w:pPr>
        <w:rPr>
          <w:rFonts w:ascii="Times New Roman" w:hAnsi="Times New Roman"/>
          <w:snapToGrid w:val="0"/>
          <w:color w:val="000000"/>
          <w:w w:val="0"/>
          <w:sz w:val="0"/>
          <w:szCs w:val="0"/>
          <w:highlight w:val="yellow"/>
          <w:u w:color="000000"/>
          <w:bdr w:val="none" w:sz="0" w:space="0" w:color="000000"/>
          <w:shd w:val="clear" w:color="000000" w:fill="000000"/>
          <w:lang w:eastAsia="x-none" w:bidi="x-none"/>
        </w:rPr>
      </w:pPr>
      <w:r w:rsidRPr="00B47076">
        <w:t xml:space="preserve">Email: mail@safetyandquality.gov.au </w:t>
      </w:r>
      <w:r>
        <w:br/>
      </w:r>
      <w:r w:rsidRPr="00B47076">
        <w:t>Website: www.safetyandqu</w:t>
      </w:r>
      <w:r w:rsidRPr="00A77349">
        <w:t>ality.gov.au</w:t>
      </w:r>
      <w:r w:rsidRPr="00A77349">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9A007B" w:rsidRPr="009A007B" w:rsidRDefault="009A007B" w:rsidP="009A007B">
      <w:r w:rsidRPr="00A77349">
        <w:t xml:space="preserve">ISBN: </w:t>
      </w:r>
      <w:r w:rsidR="00131013" w:rsidRPr="00131013">
        <w:t>978-1-925665-46-8</w:t>
      </w:r>
      <w:r w:rsidR="00B64438">
        <w:t xml:space="preserve"> </w:t>
      </w:r>
      <w:r>
        <w:br/>
      </w:r>
      <w:r w:rsidRPr="00B47076">
        <w:t>© Australian Commission on Safety and Quality in Health Care</w:t>
      </w:r>
      <w:r w:rsidR="00112BA7">
        <w:t xml:space="preserve"> 2018</w:t>
      </w:r>
    </w:p>
    <w:p w:rsidR="009A007B" w:rsidRPr="009A007B" w:rsidRDefault="009A007B" w:rsidP="009A007B">
      <w:r w:rsidRPr="00B47076">
        <w:t xml:space="preserve">All material and work produced by the Australian Commission on Safety and Quality in Health Care </w:t>
      </w:r>
      <w:r>
        <w:t>is protected by</w:t>
      </w:r>
      <w:r w:rsidRPr="00B47076">
        <w:t xml:space="preserve"> copyright. The Commission reserves the right to set out the terms and conditions for the use of such material. </w:t>
      </w:r>
    </w:p>
    <w:p w:rsidR="009A007B" w:rsidRPr="009A007B" w:rsidRDefault="009A007B" w:rsidP="009A007B">
      <w:r w:rsidRPr="00B47076">
        <w:t>As far as practicable, material for which the copyright is owned by a third party will be clearly labelled. The</w:t>
      </w:r>
      <w:r>
        <w:t xml:space="preserve"> </w:t>
      </w:r>
      <w:r w:rsidRPr="00B47076">
        <w:t>Australian Commission on Safety and Quality in Health Care has made all reasonable efforts to ensure that this material has been reproduced in this publication with the full consent of the copyright owners.</w:t>
      </w:r>
    </w:p>
    <w:p w:rsidR="009A007B" w:rsidRPr="00F549D7" w:rsidRDefault="009A007B" w:rsidP="009A007B">
      <w:pPr>
        <w:rPr>
          <w:u w:val="single"/>
        </w:rPr>
      </w:pPr>
      <w:r w:rsidRPr="00B47076">
        <w:t xml:space="preserve">With the exception of any material protected by a trademark, any content provided by third parties, and where otherwise noted, all material presented in this publication is </w:t>
      </w:r>
      <w:r w:rsidRPr="00F549D7">
        <w:t>licensed under a </w:t>
      </w:r>
      <w:hyperlink r:id="rId18" w:history="1">
        <w:r w:rsidRPr="00F549D7">
          <w:rPr>
            <w:rStyle w:val="Hyperlink"/>
            <w:rFonts w:cs="Arial"/>
          </w:rPr>
          <w:t>Creative Commons Attribution-</w:t>
        </w:r>
        <w:proofErr w:type="spellStart"/>
        <w:r w:rsidRPr="00F549D7">
          <w:rPr>
            <w:rStyle w:val="Hyperlink"/>
            <w:rFonts w:cs="Arial"/>
          </w:rPr>
          <w:t>NonCommercial</w:t>
        </w:r>
        <w:proofErr w:type="spellEnd"/>
        <w:r w:rsidRPr="00F549D7">
          <w:rPr>
            <w:rStyle w:val="Hyperlink"/>
            <w:rFonts w:cs="Arial"/>
          </w:rPr>
          <w:t>-</w:t>
        </w:r>
        <w:proofErr w:type="spellStart"/>
        <w:r w:rsidRPr="00F549D7">
          <w:rPr>
            <w:rStyle w:val="Hyperlink"/>
            <w:rFonts w:cs="Arial"/>
          </w:rPr>
          <w:t>NoDerivatives</w:t>
        </w:r>
        <w:proofErr w:type="spellEnd"/>
        <w:r w:rsidRPr="00F549D7">
          <w:rPr>
            <w:rStyle w:val="Hyperlink"/>
            <w:rFonts w:cs="Arial"/>
          </w:rPr>
          <w:t xml:space="preserve"> 4.0 International </w:t>
        </w:r>
        <w:r w:rsidR="004D5360">
          <w:rPr>
            <w:rStyle w:val="Hyperlink"/>
            <w:rFonts w:cs="Arial"/>
          </w:rPr>
          <w:t>l</w:t>
        </w:r>
        <w:r w:rsidRPr="00F549D7">
          <w:rPr>
            <w:rStyle w:val="Hyperlink"/>
            <w:rFonts w:cs="Arial"/>
          </w:rPr>
          <w:t>icen</w:t>
        </w:r>
        <w:r>
          <w:rPr>
            <w:rStyle w:val="Hyperlink"/>
            <w:rFonts w:cs="Arial"/>
          </w:rPr>
          <w:t>c</w:t>
        </w:r>
        <w:r w:rsidRPr="00F549D7">
          <w:rPr>
            <w:rStyle w:val="Hyperlink"/>
            <w:rFonts w:cs="Arial"/>
          </w:rPr>
          <w:t>e</w:t>
        </w:r>
      </w:hyperlink>
      <w:r w:rsidRPr="00F549D7">
        <w:rPr>
          <w:u w:val="single"/>
        </w:rPr>
        <w:t>.</w:t>
      </w:r>
    </w:p>
    <w:p w:rsidR="009A007B" w:rsidRPr="009A007B" w:rsidRDefault="009A007B" w:rsidP="009A007B">
      <w:r w:rsidRPr="00B47076">
        <w:rPr>
          <w:noProof/>
        </w:rPr>
        <w:drawing>
          <wp:inline distT="0" distB="0" distL="0" distR="0" wp14:anchorId="14B6BC30" wp14:editId="415E3A48">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rsidR="009A007B" w:rsidRPr="009A007B" w:rsidRDefault="009A007B" w:rsidP="009A007B">
      <w:r>
        <w:t>E</w:t>
      </w:r>
      <w:r w:rsidRPr="00B47076">
        <w:t xml:space="preserve">nquiries </w:t>
      </w:r>
      <w:r w:rsidR="004D5360">
        <w:t>about</w:t>
      </w:r>
      <w:r w:rsidRPr="00B47076">
        <w:t xml:space="preserve"> the licence and any use of this publication are welcome </w:t>
      </w:r>
      <w:r>
        <w:t xml:space="preserve">and can be sent to </w:t>
      </w:r>
      <w:hyperlink r:id="rId20" w:history="1">
        <w:r w:rsidRPr="00B47076">
          <w:rPr>
            <w:rStyle w:val="Hyperlink"/>
            <w:rFonts w:cs="Arial"/>
          </w:rPr>
          <w:t>communications@safetyandquality.gov.au</w:t>
        </w:r>
      </w:hyperlink>
      <w:r w:rsidRPr="00B47076">
        <w:t>.</w:t>
      </w:r>
    </w:p>
    <w:p w:rsidR="009A007B" w:rsidRPr="009A007B" w:rsidRDefault="009A007B" w:rsidP="009A007B">
      <w:r w:rsidRPr="00B47076">
        <w:t xml:space="preserve">The Commission’s preference is that you attribute this publication (and any material sourced from it) using the following citation: </w:t>
      </w:r>
    </w:p>
    <w:p w:rsidR="009A007B" w:rsidRPr="00834E5E" w:rsidRDefault="00D65C50" w:rsidP="003A1A72">
      <w:pPr>
        <w:pStyle w:val="Default"/>
        <w:rPr>
          <w:sz w:val="22"/>
          <w:szCs w:val="22"/>
        </w:rPr>
      </w:pPr>
      <w:proofErr w:type="gramStart"/>
      <w:r w:rsidRPr="00834E5E">
        <w:rPr>
          <w:sz w:val="22"/>
          <w:szCs w:val="22"/>
        </w:rPr>
        <w:t xml:space="preserve">National Centre for Antimicrobial Stewardship and </w:t>
      </w:r>
      <w:r w:rsidR="009A007B" w:rsidRPr="00834E5E">
        <w:rPr>
          <w:sz w:val="22"/>
          <w:szCs w:val="22"/>
        </w:rPr>
        <w:t>Australian Commission on Safety and Quality in Health Care.</w:t>
      </w:r>
      <w:proofErr w:type="gramEnd"/>
      <w:r w:rsidR="009A007B" w:rsidRPr="00834E5E">
        <w:rPr>
          <w:sz w:val="22"/>
          <w:szCs w:val="22"/>
        </w:rPr>
        <w:t xml:space="preserve"> </w:t>
      </w:r>
      <w:r w:rsidR="003A1A72" w:rsidRPr="00834E5E">
        <w:rPr>
          <w:sz w:val="22"/>
          <w:szCs w:val="22"/>
        </w:rPr>
        <w:t>Antimicrobial Prescribing and Infections in Australian Aged Care Homes: Results of the 2017 Aged Care National Antimicrobial Prescribing Survey</w:t>
      </w:r>
      <w:r w:rsidR="009A007B" w:rsidRPr="00834E5E">
        <w:rPr>
          <w:sz w:val="22"/>
          <w:szCs w:val="22"/>
        </w:rPr>
        <w:t xml:space="preserve">. Sydney: ACSQHC; </w:t>
      </w:r>
      <w:r w:rsidR="00112BA7" w:rsidRPr="00834E5E">
        <w:rPr>
          <w:sz w:val="22"/>
          <w:szCs w:val="22"/>
        </w:rPr>
        <w:t>2018</w:t>
      </w:r>
      <w:r w:rsidR="009A007B" w:rsidRPr="00834E5E">
        <w:rPr>
          <w:sz w:val="22"/>
          <w:szCs w:val="22"/>
        </w:rPr>
        <w:t xml:space="preserve"> </w:t>
      </w:r>
      <w:r w:rsidR="00DB5911" w:rsidRPr="00834E5E">
        <w:rPr>
          <w:sz w:val="22"/>
          <w:szCs w:val="22"/>
        </w:rPr>
        <w:br/>
      </w:r>
    </w:p>
    <w:p w:rsidR="002F7E6F" w:rsidRDefault="002F7E6F" w:rsidP="009A007B">
      <w:pPr>
        <w:rPr>
          <w:rStyle w:val="Strong"/>
        </w:rPr>
      </w:pPr>
    </w:p>
    <w:p w:rsidR="009A007B" w:rsidRPr="009A007B" w:rsidRDefault="009A007B" w:rsidP="009A007B">
      <w:r w:rsidRPr="009A007B">
        <w:rPr>
          <w:rStyle w:val="Strong"/>
        </w:rPr>
        <w:t>Disclaimer</w:t>
      </w:r>
    </w:p>
    <w:p w:rsidR="00BA4AEE" w:rsidRDefault="009A007B" w:rsidP="00BA4AEE">
      <w:r w:rsidRPr="009A007B">
        <w:t xml:space="preserve">The content of this document is published in good faith by </w:t>
      </w:r>
      <w:r w:rsidR="00CB5999">
        <w:t xml:space="preserve">the </w:t>
      </w:r>
      <w:r w:rsidRPr="009A007B">
        <w:t>Australian Commission on Safety and Quality in Health Care for information purposes. The document is not intended to provid</w:t>
      </w:r>
      <w:r w:rsidR="00CB5999">
        <w:t>e guidance on particular health</w:t>
      </w:r>
      <w:r w:rsidRPr="009A007B">
        <w:t>care choices.</w:t>
      </w:r>
      <w:r w:rsidR="00A34B91">
        <w:t xml:space="preserve"> You should contact your health</w:t>
      </w:r>
      <w:r w:rsidRPr="009A007B">
        <w:t>car</w:t>
      </w:r>
      <w:r w:rsidR="00CB5999">
        <w:t>e provider on particular health</w:t>
      </w:r>
      <w:r w:rsidRPr="009A007B">
        <w:t xml:space="preserve">care choices. </w:t>
      </w:r>
      <w:r w:rsidRPr="009A007B">
        <w:br/>
      </w:r>
    </w:p>
    <w:p w:rsidR="009A007B" w:rsidRPr="009A007B" w:rsidRDefault="009A007B" w:rsidP="00BA4AEE">
      <w:pPr>
        <w:rPr>
          <w:b/>
          <w:bCs/>
          <w:i/>
          <w:smallCaps/>
        </w:rPr>
      </w:pPr>
      <w:r w:rsidRPr="009A007B">
        <w:t xml:space="preserve">The Commission does not accept any legal liability for any injury, loss or damage incurred by the use of, or reliance on, this document. </w:t>
      </w:r>
    </w:p>
    <w:p w:rsidR="00BC07E4" w:rsidRPr="00BC07E4" w:rsidRDefault="00BC07E4" w:rsidP="009A007B"/>
    <w:p w:rsidR="00BC07E4" w:rsidRDefault="00BC07E4" w:rsidP="006D1696"/>
    <w:p w:rsidR="008A7915" w:rsidRDefault="008A7915">
      <w:pPr>
        <w:spacing w:after="80"/>
        <w:rPr>
          <w:rFonts w:cs="Arial"/>
          <w:b/>
          <w:bCs/>
          <w:color w:val="1178A2"/>
          <w:kern w:val="28"/>
          <w:sz w:val="40"/>
          <w:szCs w:val="32"/>
        </w:rPr>
      </w:pPr>
      <w:bookmarkStart w:id="7" w:name="_Toc482782729"/>
      <w:r>
        <w:br w:type="page"/>
      </w:r>
    </w:p>
    <w:p w:rsidR="00825C7E" w:rsidRDefault="00825C7E" w:rsidP="00825C7E">
      <w:pPr>
        <w:pStyle w:val="Heading1"/>
      </w:pPr>
      <w:bookmarkStart w:id="8" w:name="_Toc520373121"/>
      <w:r>
        <w:lastRenderedPageBreak/>
        <w:t>Contents</w:t>
      </w:r>
      <w:bookmarkEnd w:id="8"/>
    </w:p>
    <w:p w:rsidR="00825C7E" w:rsidRDefault="00825C7E">
      <w:pPr>
        <w:pStyle w:val="TOC1"/>
        <w:tabs>
          <w:tab w:val="right" w:leader="dot" w:pos="9016"/>
        </w:tabs>
      </w:pPr>
    </w:p>
    <w:p w:rsidR="00E32B78" w:rsidRDefault="00825C7E">
      <w:pPr>
        <w:pStyle w:val="TOC1"/>
        <w:tabs>
          <w:tab w:val="right" w:leader="dot" w:pos="9628"/>
        </w:tabs>
        <w:rPr>
          <w:rFonts w:eastAsiaTheme="minorEastAsia" w:cstheme="minorBidi"/>
          <w:b w:val="0"/>
          <w:bCs w:val="0"/>
          <w:noProof/>
          <w:color w:val="auto"/>
          <w:sz w:val="22"/>
          <w:szCs w:val="22"/>
        </w:rPr>
      </w:pPr>
      <w:r>
        <w:fldChar w:fldCharType="begin"/>
      </w:r>
      <w:r>
        <w:instrText xml:space="preserve"> TOC \o "1-1" \h \z \u </w:instrText>
      </w:r>
      <w:r>
        <w:fldChar w:fldCharType="separate"/>
      </w:r>
      <w:hyperlink w:anchor="_Toc520373121" w:history="1">
        <w:r w:rsidR="00E32B78" w:rsidRPr="00EA5AC3">
          <w:rPr>
            <w:rStyle w:val="Hyperlink"/>
            <w:noProof/>
          </w:rPr>
          <w:t>Contents</w:t>
        </w:r>
        <w:r w:rsidR="00E32B78">
          <w:rPr>
            <w:noProof/>
            <w:webHidden/>
          </w:rPr>
          <w:tab/>
        </w:r>
        <w:r w:rsidR="00E32B78">
          <w:rPr>
            <w:noProof/>
            <w:webHidden/>
          </w:rPr>
          <w:fldChar w:fldCharType="begin"/>
        </w:r>
        <w:r w:rsidR="00E32B78">
          <w:rPr>
            <w:noProof/>
            <w:webHidden/>
          </w:rPr>
          <w:instrText xml:space="preserve"> PAGEREF _Toc520373121 \h </w:instrText>
        </w:r>
        <w:r w:rsidR="00E32B78">
          <w:rPr>
            <w:noProof/>
            <w:webHidden/>
          </w:rPr>
        </w:r>
        <w:r w:rsidR="00E32B78">
          <w:rPr>
            <w:noProof/>
            <w:webHidden/>
          </w:rPr>
          <w:fldChar w:fldCharType="separate"/>
        </w:r>
        <w:r w:rsidR="00E32B78">
          <w:rPr>
            <w:noProof/>
            <w:webHidden/>
          </w:rPr>
          <w:t>3</w:t>
        </w:r>
        <w:r w:rsidR="00E32B78">
          <w:rPr>
            <w:noProof/>
            <w:webHidden/>
          </w:rPr>
          <w:fldChar w:fldCharType="end"/>
        </w:r>
      </w:hyperlink>
    </w:p>
    <w:p w:rsidR="00E32B78" w:rsidRDefault="00E32B78">
      <w:pPr>
        <w:pStyle w:val="TOC1"/>
        <w:tabs>
          <w:tab w:val="right" w:leader="dot" w:pos="9628"/>
        </w:tabs>
        <w:rPr>
          <w:rFonts w:eastAsiaTheme="minorEastAsia" w:cstheme="minorBidi"/>
          <w:b w:val="0"/>
          <w:bCs w:val="0"/>
          <w:noProof/>
          <w:color w:val="auto"/>
          <w:sz w:val="22"/>
          <w:szCs w:val="22"/>
        </w:rPr>
      </w:pPr>
      <w:hyperlink w:anchor="_Toc520373122" w:history="1">
        <w:r w:rsidRPr="00EA5AC3">
          <w:rPr>
            <w:rStyle w:val="Hyperlink"/>
            <w:noProof/>
          </w:rPr>
          <w:t>Summary</w:t>
        </w:r>
        <w:r>
          <w:rPr>
            <w:noProof/>
            <w:webHidden/>
          </w:rPr>
          <w:tab/>
        </w:r>
        <w:r>
          <w:rPr>
            <w:noProof/>
            <w:webHidden/>
          </w:rPr>
          <w:fldChar w:fldCharType="begin"/>
        </w:r>
        <w:r>
          <w:rPr>
            <w:noProof/>
            <w:webHidden/>
          </w:rPr>
          <w:instrText xml:space="preserve"> PAGEREF _Toc520373122 \h </w:instrText>
        </w:r>
        <w:r>
          <w:rPr>
            <w:noProof/>
            <w:webHidden/>
          </w:rPr>
        </w:r>
        <w:r>
          <w:rPr>
            <w:noProof/>
            <w:webHidden/>
          </w:rPr>
          <w:fldChar w:fldCharType="separate"/>
        </w:r>
        <w:r>
          <w:rPr>
            <w:noProof/>
            <w:webHidden/>
          </w:rPr>
          <w:t>4</w:t>
        </w:r>
        <w:r>
          <w:rPr>
            <w:noProof/>
            <w:webHidden/>
          </w:rPr>
          <w:fldChar w:fldCharType="end"/>
        </w:r>
      </w:hyperlink>
    </w:p>
    <w:p w:rsidR="00E32B78" w:rsidRDefault="00E32B78">
      <w:pPr>
        <w:pStyle w:val="TOC1"/>
        <w:tabs>
          <w:tab w:val="right" w:leader="dot" w:pos="9628"/>
        </w:tabs>
        <w:rPr>
          <w:rFonts w:eastAsiaTheme="minorEastAsia" w:cstheme="minorBidi"/>
          <w:b w:val="0"/>
          <w:bCs w:val="0"/>
          <w:noProof/>
          <w:color w:val="auto"/>
          <w:sz w:val="22"/>
          <w:szCs w:val="22"/>
        </w:rPr>
      </w:pPr>
      <w:hyperlink w:anchor="_Toc520373123" w:history="1">
        <w:r w:rsidRPr="00EA5AC3">
          <w:rPr>
            <w:rStyle w:val="Hyperlink"/>
            <w:noProof/>
          </w:rPr>
          <w:t>Introduction</w:t>
        </w:r>
        <w:r>
          <w:rPr>
            <w:noProof/>
            <w:webHidden/>
          </w:rPr>
          <w:tab/>
        </w:r>
        <w:r>
          <w:rPr>
            <w:noProof/>
            <w:webHidden/>
          </w:rPr>
          <w:fldChar w:fldCharType="begin"/>
        </w:r>
        <w:r>
          <w:rPr>
            <w:noProof/>
            <w:webHidden/>
          </w:rPr>
          <w:instrText xml:space="preserve"> PAGEREF _Toc520373123 \h </w:instrText>
        </w:r>
        <w:r>
          <w:rPr>
            <w:noProof/>
            <w:webHidden/>
          </w:rPr>
        </w:r>
        <w:r>
          <w:rPr>
            <w:noProof/>
            <w:webHidden/>
          </w:rPr>
          <w:fldChar w:fldCharType="separate"/>
        </w:r>
        <w:r>
          <w:rPr>
            <w:noProof/>
            <w:webHidden/>
          </w:rPr>
          <w:t>5</w:t>
        </w:r>
        <w:r>
          <w:rPr>
            <w:noProof/>
            <w:webHidden/>
          </w:rPr>
          <w:fldChar w:fldCharType="end"/>
        </w:r>
      </w:hyperlink>
    </w:p>
    <w:p w:rsidR="00E32B78" w:rsidRDefault="00E32B78">
      <w:pPr>
        <w:pStyle w:val="TOC1"/>
        <w:tabs>
          <w:tab w:val="right" w:leader="dot" w:pos="9628"/>
        </w:tabs>
        <w:rPr>
          <w:rFonts w:eastAsiaTheme="minorEastAsia" w:cstheme="minorBidi"/>
          <w:b w:val="0"/>
          <w:bCs w:val="0"/>
          <w:noProof/>
          <w:color w:val="auto"/>
          <w:sz w:val="22"/>
          <w:szCs w:val="22"/>
        </w:rPr>
      </w:pPr>
      <w:hyperlink w:anchor="_Toc520373124" w:history="1">
        <w:r w:rsidRPr="00EA5AC3">
          <w:rPr>
            <w:rStyle w:val="Hyperlink"/>
            <w:noProof/>
          </w:rPr>
          <w:t>Methods</w:t>
        </w:r>
        <w:r>
          <w:rPr>
            <w:noProof/>
            <w:webHidden/>
          </w:rPr>
          <w:tab/>
        </w:r>
        <w:r>
          <w:rPr>
            <w:noProof/>
            <w:webHidden/>
          </w:rPr>
          <w:fldChar w:fldCharType="begin"/>
        </w:r>
        <w:r>
          <w:rPr>
            <w:noProof/>
            <w:webHidden/>
          </w:rPr>
          <w:instrText xml:space="preserve"> PAGEREF _Toc520373124 \h </w:instrText>
        </w:r>
        <w:r>
          <w:rPr>
            <w:noProof/>
            <w:webHidden/>
          </w:rPr>
        </w:r>
        <w:r>
          <w:rPr>
            <w:noProof/>
            <w:webHidden/>
          </w:rPr>
          <w:fldChar w:fldCharType="separate"/>
        </w:r>
        <w:r>
          <w:rPr>
            <w:noProof/>
            <w:webHidden/>
          </w:rPr>
          <w:t>6</w:t>
        </w:r>
        <w:r>
          <w:rPr>
            <w:noProof/>
            <w:webHidden/>
          </w:rPr>
          <w:fldChar w:fldCharType="end"/>
        </w:r>
      </w:hyperlink>
    </w:p>
    <w:p w:rsidR="00E32B78" w:rsidRDefault="00E32B78">
      <w:pPr>
        <w:pStyle w:val="TOC1"/>
        <w:tabs>
          <w:tab w:val="right" w:leader="dot" w:pos="9628"/>
        </w:tabs>
        <w:rPr>
          <w:rFonts w:eastAsiaTheme="minorEastAsia" w:cstheme="minorBidi"/>
          <w:b w:val="0"/>
          <w:bCs w:val="0"/>
          <w:noProof/>
          <w:color w:val="auto"/>
          <w:sz w:val="22"/>
          <w:szCs w:val="22"/>
        </w:rPr>
      </w:pPr>
      <w:hyperlink w:anchor="_Toc520373125" w:history="1">
        <w:r w:rsidRPr="00EA5AC3">
          <w:rPr>
            <w:rStyle w:val="Hyperlink"/>
            <w:noProof/>
          </w:rPr>
          <w:t>Survey results</w:t>
        </w:r>
        <w:r>
          <w:rPr>
            <w:noProof/>
            <w:webHidden/>
          </w:rPr>
          <w:tab/>
        </w:r>
        <w:r>
          <w:rPr>
            <w:noProof/>
            <w:webHidden/>
          </w:rPr>
          <w:fldChar w:fldCharType="begin"/>
        </w:r>
        <w:r>
          <w:rPr>
            <w:noProof/>
            <w:webHidden/>
          </w:rPr>
          <w:instrText xml:space="preserve"> PAGEREF _Toc520373125 \h </w:instrText>
        </w:r>
        <w:r>
          <w:rPr>
            <w:noProof/>
            <w:webHidden/>
          </w:rPr>
        </w:r>
        <w:r>
          <w:rPr>
            <w:noProof/>
            <w:webHidden/>
          </w:rPr>
          <w:fldChar w:fldCharType="separate"/>
        </w:r>
        <w:r>
          <w:rPr>
            <w:noProof/>
            <w:webHidden/>
          </w:rPr>
          <w:t>10</w:t>
        </w:r>
        <w:r>
          <w:rPr>
            <w:noProof/>
            <w:webHidden/>
          </w:rPr>
          <w:fldChar w:fldCharType="end"/>
        </w:r>
      </w:hyperlink>
    </w:p>
    <w:p w:rsidR="00E32B78" w:rsidRDefault="00E32B78">
      <w:pPr>
        <w:pStyle w:val="TOC1"/>
        <w:tabs>
          <w:tab w:val="right" w:leader="dot" w:pos="9628"/>
        </w:tabs>
        <w:rPr>
          <w:rFonts w:eastAsiaTheme="minorEastAsia" w:cstheme="minorBidi"/>
          <w:b w:val="0"/>
          <w:bCs w:val="0"/>
          <w:noProof/>
          <w:color w:val="auto"/>
          <w:sz w:val="22"/>
          <w:szCs w:val="22"/>
        </w:rPr>
      </w:pPr>
      <w:hyperlink w:anchor="_Toc520373126" w:history="1">
        <w:r w:rsidRPr="00EA5AC3">
          <w:rPr>
            <w:rStyle w:val="Hyperlink"/>
            <w:noProof/>
          </w:rPr>
          <w:t>Discussion</w:t>
        </w:r>
        <w:r>
          <w:rPr>
            <w:noProof/>
            <w:webHidden/>
          </w:rPr>
          <w:tab/>
        </w:r>
        <w:r>
          <w:rPr>
            <w:noProof/>
            <w:webHidden/>
          </w:rPr>
          <w:fldChar w:fldCharType="begin"/>
        </w:r>
        <w:r>
          <w:rPr>
            <w:noProof/>
            <w:webHidden/>
          </w:rPr>
          <w:instrText xml:space="preserve"> PAGEREF _Toc520373126 \h </w:instrText>
        </w:r>
        <w:r>
          <w:rPr>
            <w:noProof/>
            <w:webHidden/>
          </w:rPr>
        </w:r>
        <w:r>
          <w:rPr>
            <w:noProof/>
            <w:webHidden/>
          </w:rPr>
          <w:fldChar w:fldCharType="separate"/>
        </w:r>
        <w:r>
          <w:rPr>
            <w:noProof/>
            <w:webHidden/>
          </w:rPr>
          <w:t>21</w:t>
        </w:r>
        <w:r>
          <w:rPr>
            <w:noProof/>
            <w:webHidden/>
          </w:rPr>
          <w:fldChar w:fldCharType="end"/>
        </w:r>
      </w:hyperlink>
    </w:p>
    <w:p w:rsidR="00E32B78" w:rsidRDefault="00E32B78">
      <w:pPr>
        <w:pStyle w:val="TOC1"/>
        <w:tabs>
          <w:tab w:val="right" w:leader="dot" w:pos="9628"/>
        </w:tabs>
        <w:rPr>
          <w:rFonts w:eastAsiaTheme="minorEastAsia" w:cstheme="minorBidi"/>
          <w:b w:val="0"/>
          <w:bCs w:val="0"/>
          <w:noProof/>
          <w:color w:val="auto"/>
          <w:sz w:val="22"/>
          <w:szCs w:val="22"/>
        </w:rPr>
      </w:pPr>
      <w:hyperlink w:anchor="_Toc520373127" w:history="1">
        <w:r w:rsidRPr="00EA5AC3">
          <w:rPr>
            <w:rStyle w:val="Hyperlink"/>
            <w:noProof/>
          </w:rPr>
          <w:t>References</w:t>
        </w:r>
        <w:r>
          <w:rPr>
            <w:noProof/>
            <w:webHidden/>
          </w:rPr>
          <w:tab/>
        </w:r>
        <w:r>
          <w:rPr>
            <w:noProof/>
            <w:webHidden/>
          </w:rPr>
          <w:fldChar w:fldCharType="begin"/>
        </w:r>
        <w:r>
          <w:rPr>
            <w:noProof/>
            <w:webHidden/>
          </w:rPr>
          <w:instrText xml:space="preserve"> PAGEREF _Toc520373127 \h </w:instrText>
        </w:r>
        <w:r>
          <w:rPr>
            <w:noProof/>
            <w:webHidden/>
          </w:rPr>
        </w:r>
        <w:r>
          <w:rPr>
            <w:noProof/>
            <w:webHidden/>
          </w:rPr>
          <w:fldChar w:fldCharType="separate"/>
        </w:r>
        <w:r>
          <w:rPr>
            <w:noProof/>
            <w:webHidden/>
          </w:rPr>
          <w:t>26</w:t>
        </w:r>
        <w:r>
          <w:rPr>
            <w:noProof/>
            <w:webHidden/>
          </w:rPr>
          <w:fldChar w:fldCharType="end"/>
        </w:r>
      </w:hyperlink>
    </w:p>
    <w:p w:rsidR="00C41301" w:rsidRDefault="00825C7E">
      <w:pPr>
        <w:spacing w:after="80"/>
      </w:pPr>
      <w:r>
        <w:fldChar w:fldCharType="end"/>
      </w:r>
    </w:p>
    <w:p w:rsidR="006D1696" w:rsidRDefault="006D1696">
      <w:pPr>
        <w:spacing w:after="80"/>
        <w:rPr>
          <w:rFonts w:cs="Arial"/>
          <w:b/>
          <w:bCs/>
          <w:color w:val="1178A2"/>
          <w:kern w:val="28"/>
          <w:sz w:val="40"/>
          <w:szCs w:val="32"/>
        </w:rPr>
      </w:pPr>
      <w:r>
        <w:br w:type="page"/>
      </w:r>
      <w:bookmarkStart w:id="9" w:name="_GoBack"/>
      <w:bookmarkEnd w:id="9"/>
    </w:p>
    <w:p w:rsidR="009B64E3" w:rsidRDefault="003A1A72" w:rsidP="009424A5">
      <w:pPr>
        <w:pStyle w:val="Heading1"/>
      </w:pPr>
      <w:bookmarkStart w:id="10" w:name="_Toc513125571"/>
      <w:bookmarkStart w:id="11" w:name="_Toc520373122"/>
      <w:r>
        <w:lastRenderedPageBreak/>
        <w:t>Summary</w:t>
      </w:r>
      <w:bookmarkEnd w:id="2"/>
      <w:bookmarkEnd w:id="3"/>
      <w:bookmarkEnd w:id="4"/>
      <w:bookmarkEnd w:id="5"/>
      <w:bookmarkEnd w:id="6"/>
      <w:bookmarkEnd w:id="7"/>
      <w:bookmarkEnd w:id="10"/>
      <w:bookmarkEnd w:id="11"/>
    </w:p>
    <w:p w:rsidR="000007F8" w:rsidRDefault="000007F8" w:rsidP="000007F8">
      <w:r w:rsidRPr="00231580">
        <w:t xml:space="preserve">The 2017 Aged Care National Antimicrobial Prescribing Survey (acNAPS) </w:t>
      </w:r>
      <w:r w:rsidR="00631144">
        <w:t>identified</w:t>
      </w:r>
      <w:r w:rsidR="007446D1">
        <w:t xml:space="preserve"> </w:t>
      </w:r>
      <w:r w:rsidR="00231580" w:rsidRPr="00231580">
        <w:t xml:space="preserve">continuing </w:t>
      </w:r>
      <w:r w:rsidRPr="00231580">
        <w:t>high rates of inappropriate antimicrobial use</w:t>
      </w:r>
      <w:r w:rsidR="00E46517">
        <w:t>,</w:t>
      </w:r>
      <w:r w:rsidRPr="00231580">
        <w:t xml:space="preserve"> </w:t>
      </w:r>
      <w:r w:rsidR="00E46517">
        <w:t xml:space="preserve">and ongoing risks to the safety of care provided to residents </w:t>
      </w:r>
      <w:r w:rsidR="007168B6" w:rsidRPr="00231580">
        <w:t>in aged care homes</w:t>
      </w:r>
      <w:r w:rsidR="00605C13">
        <w:t xml:space="preserve">. </w:t>
      </w:r>
      <w:r w:rsidR="00631144">
        <w:t xml:space="preserve">There were </w:t>
      </w:r>
      <w:r w:rsidR="00231580" w:rsidRPr="00231580">
        <w:t>small improvements in documentation</w:t>
      </w:r>
      <w:r w:rsidR="00631144">
        <w:t>,</w:t>
      </w:r>
      <w:r w:rsidR="00231580" w:rsidRPr="00231580">
        <w:t xml:space="preserve"> and </w:t>
      </w:r>
      <w:r w:rsidRPr="00231580">
        <w:t xml:space="preserve">a </w:t>
      </w:r>
      <w:r w:rsidR="00CB043F" w:rsidRPr="00231580">
        <w:t xml:space="preserve">lower reported prevalence of infections and </w:t>
      </w:r>
      <w:r w:rsidRPr="00231580">
        <w:t xml:space="preserve">antimicrobial use </w:t>
      </w:r>
      <w:r w:rsidR="00605C13">
        <w:t xml:space="preserve">in 2017, </w:t>
      </w:r>
      <w:r w:rsidR="007C6E1F" w:rsidRPr="00231580">
        <w:t xml:space="preserve">compared with </w:t>
      </w:r>
      <w:r w:rsidR="00605C13">
        <w:t xml:space="preserve">the </w:t>
      </w:r>
      <w:r w:rsidR="007C6E1F" w:rsidRPr="00231580">
        <w:t>2016</w:t>
      </w:r>
      <w:r w:rsidR="00605C13">
        <w:t xml:space="preserve"> acNAPS</w:t>
      </w:r>
      <w:r w:rsidR="007C6E1F" w:rsidRPr="00231580">
        <w:t>.</w:t>
      </w:r>
      <w:r w:rsidR="006A639F" w:rsidRPr="00231580">
        <w:rPr>
          <w:rStyle w:val="EndnoteReference"/>
        </w:rPr>
        <w:t xml:space="preserve"> </w:t>
      </w:r>
    </w:p>
    <w:p w:rsidR="006064B8" w:rsidRDefault="006064B8" w:rsidP="003A1A72">
      <w:pPr>
        <w:pStyle w:val="Normal-beforebullets"/>
      </w:pPr>
      <w:r w:rsidRPr="006064B8">
        <w:t>In 2017, 292 aged care homes collected and submitted acNAPS data to the National Centr</w:t>
      </w:r>
      <w:r w:rsidR="00E77371">
        <w:t>e for Antimicrobial Stewardship</w:t>
      </w:r>
      <w:r w:rsidR="003D18EF">
        <w:t xml:space="preserve"> (NCAS)</w:t>
      </w:r>
      <w:r w:rsidR="00E77371">
        <w:t>,</w:t>
      </w:r>
      <w:r w:rsidRPr="006064B8">
        <w:t xml:space="preserve"> compared with 287 in 2016. Across both years all states, remoteness areas and organisation types were represented</w:t>
      </w:r>
      <w:r>
        <w:t>. T</w:t>
      </w:r>
      <w:r w:rsidRPr="006064B8">
        <w:t xml:space="preserve">here were no participants from either the Australian Capital Territory or the Northern Territory. Most </w:t>
      </w:r>
      <w:r w:rsidR="00292FAF">
        <w:t xml:space="preserve">of the 2017 </w:t>
      </w:r>
      <w:r w:rsidRPr="006064B8">
        <w:t>participa</w:t>
      </w:r>
      <w:r w:rsidR="00292FAF">
        <w:t xml:space="preserve">ting homes </w:t>
      </w:r>
      <w:r w:rsidRPr="006064B8">
        <w:t>were located in Victoria (67.8%), classified as inner regional (43.8%) and state government</w:t>
      </w:r>
      <w:r w:rsidR="00C90096">
        <w:t xml:space="preserve"> operated (68.2%). Of the 12,307</w:t>
      </w:r>
      <w:r w:rsidR="00DD3611">
        <w:t xml:space="preserve"> residents included</w:t>
      </w:r>
      <w:r w:rsidRPr="006064B8">
        <w:t>, most resided in not</w:t>
      </w:r>
      <w:r w:rsidR="00E46517">
        <w:t>-</w:t>
      </w:r>
      <w:r w:rsidRPr="006064B8">
        <w:t>for</w:t>
      </w:r>
      <w:r w:rsidR="00E46517">
        <w:t>-</w:t>
      </w:r>
      <w:r w:rsidRPr="006064B8">
        <w:t>profit and government operated homes</w:t>
      </w:r>
      <w:r w:rsidR="00B11658">
        <w:t xml:space="preserve"> </w:t>
      </w:r>
      <w:r w:rsidR="00B11658" w:rsidRPr="00B11658">
        <w:t>(46.6%</w:t>
      </w:r>
      <w:r w:rsidR="00B11658">
        <w:t xml:space="preserve"> and </w:t>
      </w:r>
      <w:r w:rsidR="00B11658" w:rsidRPr="00B11658">
        <w:t>45.5%</w:t>
      </w:r>
      <w:r w:rsidR="00B11658">
        <w:t xml:space="preserve"> respectively</w:t>
      </w:r>
      <w:r w:rsidR="00B11658" w:rsidRPr="00B11658">
        <w:t>)</w:t>
      </w:r>
      <w:r w:rsidRPr="006064B8">
        <w:t>.</w:t>
      </w:r>
    </w:p>
    <w:p w:rsidR="006064B8" w:rsidRDefault="006064B8" w:rsidP="003A1A72">
      <w:pPr>
        <w:pStyle w:val="Normal-beforebullets"/>
      </w:pPr>
    </w:p>
    <w:p w:rsidR="002F2D70" w:rsidRDefault="002F2D70" w:rsidP="002F2D70">
      <w:pPr>
        <w:spacing w:after="0"/>
      </w:pPr>
      <w:r w:rsidRPr="000007F8">
        <w:t xml:space="preserve">The prevalence of residents with infection signs and/or symptoms on the survey day was 2.8% </w:t>
      </w:r>
      <w:r w:rsidR="00165756">
        <w:t xml:space="preserve">in 2017, </w:t>
      </w:r>
      <w:r w:rsidRPr="000007F8">
        <w:t>compared with 3.1% in 2016 (p = 0.08).</w:t>
      </w:r>
      <w:r w:rsidR="001026F3" w:rsidRPr="001026F3">
        <w:t xml:space="preserve"> </w:t>
      </w:r>
      <w:r w:rsidR="001026F3" w:rsidRPr="000007F8">
        <w:t xml:space="preserve">The prevalence of residents prescribed at least one antimicrobial on the survey day was 8.8% in 2017, compared with 9.9% in 2016 (p&lt;0.01). If all topical antimicrobials were excluded, the prevalence was 6.7% </w:t>
      </w:r>
      <w:r w:rsidR="001026F3">
        <w:t xml:space="preserve">in 2017 </w:t>
      </w:r>
      <w:r w:rsidR="001026F3" w:rsidRPr="000007F8">
        <w:t>compared with 7.6%</w:t>
      </w:r>
      <w:r w:rsidR="001026F3">
        <w:t xml:space="preserve"> in 2016</w:t>
      </w:r>
      <w:r w:rsidR="001026F3" w:rsidRPr="000007F8">
        <w:t>.</w:t>
      </w:r>
      <w:r w:rsidR="00562D29">
        <w:t xml:space="preserve"> A total of 1,231 antimicrobial prescriptions were analysed for the 2017 acNAPS.</w:t>
      </w:r>
    </w:p>
    <w:p w:rsidR="002F2D70" w:rsidRDefault="002F2D70" w:rsidP="00026DEE">
      <w:pPr>
        <w:pStyle w:val="Normal-beforebullets"/>
      </w:pPr>
    </w:p>
    <w:p w:rsidR="00026DEE" w:rsidRDefault="00026DEE" w:rsidP="00026DEE">
      <w:pPr>
        <w:pStyle w:val="Normal-beforebullets"/>
      </w:pPr>
      <w:r w:rsidRPr="00026DEE">
        <w:t>In 2017</w:t>
      </w:r>
      <w:r w:rsidR="00B11658">
        <w:t>,</w:t>
      </w:r>
      <w:r w:rsidRPr="00026DEE">
        <w:t xml:space="preserve"> the three most common indications for prescribing antimicrobials were cystitis (17.</w:t>
      </w:r>
      <w:r w:rsidR="00775658">
        <w:t>1</w:t>
      </w:r>
      <w:r w:rsidRPr="00026DEE">
        <w:t>%), pneumonia (10.</w:t>
      </w:r>
      <w:r w:rsidR="00775658">
        <w:t>9</w:t>
      </w:r>
      <w:r w:rsidRPr="00026DEE">
        <w:t>%) and non-surgical wound infections (5.</w:t>
      </w:r>
      <w:r w:rsidR="00775658">
        <w:t xml:space="preserve">1%). </w:t>
      </w:r>
      <w:r w:rsidRPr="00026DEE">
        <w:t xml:space="preserve">The </w:t>
      </w:r>
      <w:r w:rsidR="002F2D70">
        <w:t xml:space="preserve">three most </w:t>
      </w:r>
      <w:r w:rsidRPr="00026DEE">
        <w:t>commonly prescribed antimicrobial</w:t>
      </w:r>
      <w:r w:rsidR="002F2D70">
        <w:t xml:space="preserve">s were </w:t>
      </w:r>
      <w:proofErr w:type="spellStart"/>
      <w:r w:rsidR="002F2D70">
        <w:t>clotrimazole</w:t>
      </w:r>
      <w:proofErr w:type="spellEnd"/>
      <w:r w:rsidR="002F2D70">
        <w:t xml:space="preserve"> (20.8%), </w:t>
      </w:r>
      <w:r w:rsidRPr="00026DEE">
        <w:t>cefalexin (19.</w:t>
      </w:r>
      <w:r w:rsidR="00775658">
        <w:t>4</w:t>
      </w:r>
      <w:r w:rsidR="002F2D70">
        <w:t xml:space="preserve">%) and amoxicillin (6.1%). </w:t>
      </w:r>
    </w:p>
    <w:p w:rsidR="00026DEE" w:rsidRDefault="00026DEE" w:rsidP="006064B8">
      <w:pPr>
        <w:pStyle w:val="Normal-beforebullets"/>
      </w:pPr>
    </w:p>
    <w:p w:rsidR="006064B8" w:rsidRPr="00043B76" w:rsidRDefault="006064B8" w:rsidP="006064B8">
      <w:pPr>
        <w:pStyle w:val="Normal-beforebullets"/>
      </w:pPr>
      <w:r>
        <w:t xml:space="preserve">Aspects of inappropriate antimicrobial use in aged care homes in 2017 which </w:t>
      </w:r>
      <w:r w:rsidR="00F4789B">
        <w:t xml:space="preserve">continue to be </w:t>
      </w:r>
      <w:r>
        <w:t>cause for concern</w:t>
      </w:r>
      <w:r w:rsidR="00F4789B">
        <w:t xml:space="preserve"> include</w:t>
      </w:r>
      <w:r w:rsidRPr="00043B76">
        <w:t>:</w:t>
      </w:r>
    </w:p>
    <w:p w:rsidR="006064B8" w:rsidRDefault="006064B8" w:rsidP="006064B8">
      <w:pPr>
        <w:pStyle w:val="Bulletlist"/>
      </w:pPr>
      <w:r>
        <w:t xml:space="preserve">More than </w:t>
      </w:r>
      <w:r w:rsidRPr="00043B76">
        <w:t>half (55.2%) of the antimicrobial prescriptions were for residents with no signs and/or symptoms</w:t>
      </w:r>
      <w:r w:rsidR="00B027A6">
        <w:t xml:space="preserve"> of infection</w:t>
      </w:r>
      <w:r w:rsidRPr="00043B76">
        <w:t xml:space="preserve"> in the week prior to the start date</w:t>
      </w:r>
      <w:r>
        <w:t xml:space="preserve">, </w:t>
      </w:r>
      <w:r w:rsidR="00DE5D09" w:rsidRPr="00DE5D09">
        <w:t>compared with 45.4</w:t>
      </w:r>
      <w:r w:rsidRPr="00DE5D09">
        <w:t>% in 2016</w:t>
      </w:r>
      <w:r w:rsidR="006E6EF8">
        <w:t xml:space="preserve"> </w:t>
      </w:r>
    </w:p>
    <w:p w:rsidR="00C62F17" w:rsidRDefault="00C62F17" w:rsidP="00C62F17">
      <w:pPr>
        <w:pStyle w:val="Bulletlist"/>
      </w:pPr>
      <w:r w:rsidRPr="008229F3">
        <w:t xml:space="preserve">Of all </w:t>
      </w:r>
      <w:r>
        <w:t xml:space="preserve">antimicrobial </w:t>
      </w:r>
      <w:r w:rsidRPr="008229F3">
        <w:t>pre</w:t>
      </w:r>
      <w:r>
        <w:t>scriptions dispensed for resident</w:t>
      </w:r>
      <w:r w:rsidRPr="008229F3">
        <w:t>s with signs and</w:t>
      </w:r>
      <w:r w:rsidR="00B027A6">
        <w:t>/or</w:t>
      </w:r>
      <w:r w:rsidRPr="008229F3">
        <w:t xml:space="preserve"> symptoms of infection, only 18.4% met the internationally recognised </w:t>
      </w:r>
      <w:proofErr w:type="spellStart"/>
      <w:r w:rsidRPr="008229F3">
        <w:t>McGeer</w:t>
      </w:r>
      <w:proofErr w:type="spellEnd"/>
      <w:r w:rsidRPr="008229F3">
        <w:t xml:space="preserve"> </w:t>
      </w:r>
      <w:r w:rsidRPr="005E32BF">
        <w:rPr>
          <w:i/>
        </w:rPr>
        <w:t>et al</w:t>
      </w:r>
      <w:r w:rsidRPr="008229F3">
        <w:t xml:space="preserve"> </w:t>
      </w:r>
      <w:r>
        <w:t>infection definitions</w:t>
      </w:r>
      <w:r w:rsidR="005169B5">
        <w:t>, compared with</w:t>
      </w:r>
      <w:r w:rsidR="007A6D73">
        <w:t xml:space="preserve"> 36.5% in 2016</w:t>
      </w:r>
      <w:r w:rsidR="00F762FA">
        <w:t xml:space="preserve"> </w:t>
      </w:r>
    </w:p>
    <w:p w:rsidR="006064B8" w:rsidRPr="00043B76" w:rsidRDefault="006064B8" w:rsidP="006064B8">
      <w:pPr>
        <w:pStyle w:val="Bulletlist"/>
      </w:pPr>
      <w:r w:rsidRPr="00043B76">
        <w:t xml:space="preserve">The start date was greater than six months prior to the survey day for 26.9% </w:t>
      </w:r>
      <w:r>
        <w:t xml:space="preserve">of </w:t>
      </w:r>
      <w:r w:rsidRPr="00043B76">
        <w:t xml:space="preserve">antimicrobial </w:t>
      </w:r>
      <w:r w:rsidRPr="00DE5D09">
        <w:t xml:space="preserve">prescriptions, </w:t>
      </w:r>
      <w:r w:rsidR="00DE5D09" w:rsidRPr="00DE5D09">
        <w:t>compared with 30.1</w:t>
      </w:r>
      <w:r w:rsidRPr="00DE5D09">
        <w:t>% in 2016</w:t>
      </w:r>
      <w:r w:rsidR="00B027A6">
        <w:t xml:space="preserve"> </w:t>
      </w:r>
    </w:p>
    <w:p w:rsidR="006064B8" w:rsidRPr="00043B76" w:rsidRDefault="006064B8" w:rsidP="006064B8">
      <w:pPr>
        <w:pStyle w:val="Bulletlist"/>
      </w:pPr>
      <w:r w:rsidRPr="00043B76">
        <w:t xml:space="preserve">The indication for commencing </w:t>
      </w:r>
      <w:r>
        <w:t xml:space="preserve">an </w:t>
      </w:r>
      <w:r w:rsidRPr="00043B76">
        <w:t>antimicro</w:t>
      </w:r>
      <w:r>
        <w:t>bial was not documented for 23.7</w:t>
      </w:r>
      <w:r w:rsidRPr="00043B76">
        <w:t xml:space="preserve">% </w:t>
      </w:r>
      <w:r>
        <w:t xml:space="preserve">of </w:t>
      </w:r>
      <w:r w:rsidRPr="00043B76">
        <w:t>prescriptions</w:t>
      </w:r>
      <w:r>
        <w:t xml:space="preserve">, compared with </w:t>
      </w:r>
      <w:r w:rsidR="00BD4FB3">
        <w:t>25.6</w:t>
      </w:r>
      <w:r>
        <w:t>% in 2016</w:t>
      </w:r>
      <w:r w:rsidR="00B027A6">
        <w:t xml:space="preserve"> </w:t>
      </w:r>
    </w:p>
    <w:p w:rsidR="006064B8" w:rsidRPr="00043B76" w:rsidRDefault="006064B8" w:rsidP="006064B8">
      <w:pPr>
        <w:pStyle w:val="Bulletlist"/>
      </w:pPr>
      <w:r w:rsidRPr="00043B76">
        <w:t xml:space="preserve">The antimicrobial review or stop </w:t>
      </w:r>
      <w:r>
        <w:t>date was not documented for 5</w:t>
      </w:r>
      <w:r w:rsidR="002534B7">
        <w:t>5</w:t>
      </w:r>
      <w:r>
        <w:t>.6</w:t>
      </w:r>
      <w:r w:rsidRPr="00043B76">
        <w:t>%</w:t>
      </w:r>
      <w:r>
        <w:t xml:space="preserve"> of</w:t>
      </w:r>
      <w:r w:rsidRPr="00043B76">
        <w:t xml:space="preserve"> prescriptions</w:t>
      </w:r>
      <w:r>
        <w:t xml:space="preserve">, compared with </w:t>
      </w:r>
      <w:r w:rsidR="002534B7">
        <w:t xml:space="preserve">59.2% </w:t>
      </w:r>
      <w:r>
        <w:t>in 2016</w:t>
      </w:r>
      <w:r w:rsidR="00B027A6">
        <w:t xml:space="preserve"> </w:t>
      </w:r>
    </w:p>
    <w:p w:rsidR="006064B8" w:rsidRDefault="006064B8" w:rsidP="00231580">
      <w:pPr>
        <w:pStyle w:val="Bulletlist"/>
      </w:pPr>
      <w:r>
        <w:t>One-</w:t>
      </w:r>
      <w:r w:rsidRPr="00043B76">
        <w:t>third (33.1%) of antimicrobial prescriptions w</w:t>
      </w:r>
      <w:r>
        <w:t>ere</w:t>
      </w:r>
      <w:r w:rsidRPr="00043B76">
        <w:t xml:space="preserve"> for topical use</w:t>
      </w:r>
      <w:r w:rsidR="007A6D73">
        <w:t>, compared to 32.4% in 2016</w:t>
      </w:r>
      <w:r w:rsidR="00231580">
        <w:t xml:space="preserve">. </w:t>
      </w:r>
      <w:r w:rsidR="00231580" w:rsidRPr="00231580">
        <w:t>Most minor skin infections are self-limiting and resolve without the use of an antibiotic with standard skin hygiene care, and if an antibiotic is required, topical antibiotics are only appropriate for patients with minor, localised areas of impetigo.</w:t>
      </w:r>
    </w:p>
    <w:p w:rsidR="00E46517" w:rsidRDefault="00C77B5D" w:rsidP="003A1A72">
      <w:r>
        <w:t xml:space="preserve">Participating aged care homes </w:t>
      </w:r>
      <w:r w:rsidR="00E46517">
        <w:t>a</w:t>
      </w:r>
      <w:r>
        <w:t>re able to generate reports that compare their performance against national aggregate data</w:t>
      </w:r>
      <w:r w:rsidR="00E46517">
        <w:t>. These reports provide immediate feedback on opportunities to improve antimicrobial prescribing practice</w:t>
      </w:r>
      <w:r>
        <w:t xml:space="preserve">. </w:t>
      </w:r>
    </w:p>
    <w:p w:rsidR="002C741D" w:rsidRDefault="002C741D" w:rsidP="003A1A72">
      <w:r w:rsidRPr="002C741D">
        <w:t>The</w:t>
      </w:r>
      <w:r w:rsidR="00E46517">
        <w:t xml:space="preserve"> </w:t>
      </w:r>
      <w:r>
        <w:t>ana</w:t>
      </w:r>
      <w:r w:rsidR="00C77B5D">
        <w:t xml:space="preserve">lyses presented in this report and </w:t>
      </w:r>
      <w:r w:rsidRPr="00231580">
        <w:t>data on the prevalence of antimicrobial resistance in Australian aged care home residents</w:t>
      </w:r>
      <w:r w:rsidR="00C77B5D">
        <w:t xml:space="preserve"> </w:t>
      </w:r>
      <w:r w:rsidRPr="002C741D">
        <w:t xml:space="preserve">reinforce </w:t>
      </w:r>
      <w:r>
        <w:t xml:space="preserve">the </w:t>
      </w:r>
      <w:r w:rsidR="005E7087">
        <w:t>potentially significant role of aged care homes in enhanced amplification of antimicrobial resistance in Australia.</w:t>
      </w:r>
      <w:r>
        <w:t xml:space="preserve"> </w:t>
      </w:r>
      <w:r w:rsidRPr="002C741D">
        <w:t xml:space="preserve"> </w:t>
      </w:r>
    </w:p>
    <w:p w:rsidR="00026DEE" w:rsidRDefault="00026DEE" w:rsidP="003A1A72">
      <w:r w:rsidRPr="00026DEE">
        <w:t xml:space="preserve">The </w:t>
      </w:r>
      <w:r w:rsidR="0007565D" w:rsidRPr="0007565D">
        <w:t xml:space="preserve">Australian Commission on Safety and Quality in Health Care </w:t>
      </w:r>
      <w:r w:rsidR="0007565D">
        <w:t xml:space="preserve">(the </w:t>
      </w:r>
      <w:r w:rsidRPr="00026DEE">
        <w:t>Commission</w:t>
      </w:r>
      <w:r w:rsidR="0007565D">
        <w:t>)</w:t>
      </w:r>
      <w:r w:rsidR="00605C13">
        <w:t xml:space="preserve"> and</w:t>
      </w:r>
      <w:r w:rsidR="00C62F17">
        <w:t xml:space="preserve"> </w:t>
      </w:r>
      <w:r w:rsidR="003D18EF">
        <w:t xml:space="preserve">NCAS </w:t>
      </w:r>
      <w:r w:rsidRPr="00026DEE">
        <w:t>will continue to promot</w:t>
      </w:r>
      <w:r w:rsidR="0007565D">
        <w:t>e</w:t>
      </w:r>
      <w:r w:rsidRPr="00026DEE">
        <w:t xml:space="preserve"> the </w:t>
      </w:r>
      <w:r w:rsidR="0007565D">
        <w:t>appropriate use of antimicrobials in aged care homes</w:t>
      </w:r>
      <w:r w:rsidR="00231580">
        <w:t>, and t</w:t>
      </w:r>
      <w:r w:rsidR="0007565D">
        <w:t xml:space="preserve">he </w:t>
      </w:r>
      <w:r w:rsidRPr="00026DEE">
        <w:t xml:space="preserve">use of </w:t>
      </w:r>
      <w:r w:rsidR="0007565D">
        <w:t xml:space="preserve">tools such as </w:t>
      </w:r>
      <w:r w:rsidRPr="00026DEE">
        <w:t>acNAPS to monitor antimicrobial use</w:t>
      </w:r>
      <w:r w:rsidR="00730CD6">
        <w:t xml:space="preserve"> and</w:t>
      </w:r>
      <w:r w:rsidR="006E6EF8">
        <w:t xml:space="preserve"> </w:t>
      </w:r>
      <w:r w:rsidR="0007565D">
        <w:t xml:space="preserve">inform strategies to improve care for residents. </w:t>
      </w:r>
      <w:r w:rsidRPr="00026DEE">
        <w:t xml:space="preserve"> </w:t>
      </w:r>
    </w:p>
    <w:p w:rsidR="007C37F5" w:rsidRDefault="003A1A72" w:rsidP="003A1A72">
      <w:r>
        <w:lastRenderedPageBreak/>
        <w:t xml:space="preserve">The </w:t>
      </w:r>
      <w:r w:rsidR="00544742">
        <w:t xml:space="preserve">2017 </w:t>
      </w:r>
      <w:r>
        <w:t xml:space="preserve">acNAPS results </w:t>
      </w:r>
      <w:r w:rsidR="005E7087">
        <w:t xml:space="preserve">also highlight the </w:t>
      </w:r>
      <w:r>
        <w:t xml:space="preserve">need for </w:t>
      </w:r>
      <w:r w:rsidR="005E7087">
        <w:t xml:space="preserve">evidence-based </w:t>
      </w:r>
      <w:r w:rsidR="00544742">
        <w:t xml:space="preserve">infection prevention and control and antimicrobial stewardship </w:t>
      </w:r>
      <w:r>
        <w:t xml:space="preserve">programs to be implemented in Australian </w:t>
      </w:r>
      <w:r w:rsidR="007168B6">
        <w:t>aged care homes</w:t>
      </w:r>
      <w:r>
        <w:t xml:space="preserve">. </w:t>
      </w:r>
    </w:p>
    <w:p w:rsidR="00544742" w:rsidRDefault="00544742" w:rsidP="003A1A72">
      <w:r w:rsidRPr="00544742">
        <w:t xml:space="preserve">The Commission has worked with the Australian Government Department of Health on the inclusion of infection </w:t>
      </w:r>
      <w:r w:rsidR="005E405D">
        <w:t xml:space="preserve">prevention and </w:t>
      </w:r>
      <w:r w:rsidRPr="00544742">
        <w:t>control and antimicrobial stewardship requirement</w:t>
      </w:r>
      <w:r>
        <w:t>s</w:t>
      </w:r>
      <w:r w:rsidRPr="00544742">
        <w:t xml:space="preserve"> in the new Aged Care Quality Standards</w:t>
      </w:r>
      <w:r w:rsidR="007168B6">
        <w:t>,</w:t>
      </w:r>
      <w:r>
        <w:t xml:space="preserve"> </w:t>
      </w:r>
      <w:r w:rsidRPr="00544742">
        <w:t>and will continue to support this work through collaboration on targeted strategies to promote effective infection control and antimicrobial stewardship programs in</w:t>
      </w:r>
      <w:r w:rsidR="007168B6">
        <w:t xml:space="preserve"> aged care homes</w:t>
      </w:r>
      <w:r>
        <w:t xml:space="preserve">. </w:t>
      </w:r>
    </w:p>
    <w:p w:rsidR="005C2D36" w:rsidRDefault="005C2D36" w:rsidP="005C2D36">
      <w:pPr>
        <w:pStyle w:val="Heading1"/>
      </w:pPr>
      <w:bookmarkStart w:id="12" w:name="_Toc513125572"/>
      <w:bookmarkStart w:id="13" w:name="_Toc520373123"/>
      <w:r>
        <w:t>Introduction</w:t>
      </w:r>
      <w:bookmarkEnd w:id="12"/>
      <w:bookmarkEnd w:id="13"/>
    </w:p>
    <w:p w:rsidR="00330717" w:rsidRPr="00B542EB" w:rsidRDefault="00330717" w:rsidP="00330717">
      <w:pPr>
        <w:rPr>
          <w:vertAlign w:val="superscript"/>
        </w:rPr>
      </w:pPr>
      <w:r>
        <w:t xml:space="preserve">In Australia, aged care services are managed by not-for-profit organisations, government organisations, </w:t>
      </w:r>
      <w:r w:rsidR="00961199">
        <w:t>and</w:t>
      </w:r>
      <w:r>
        <w:t xml:space="preserve"> private companies. In 2017, 902 organisations operated 2,672 services in residential aged care</w:t>
      </w:r>
      <w:r w:rsidR="00D955B4">
        <w:t>, and t</w:t>
      </w:r>
      <w:r>
        <w:t xml:space="preserve">here were almost 201,000 residential aged care </w:t>
      </w:r>
      <w:r w:rsidRPr="00E01628">
        <w:t>places</w:t>
      </w:r>
      <w:r>
        <w:t xml:space="preserve"> with an average occupancy rate of 92%.</w:t>
      </w:r>
      <w:r w:rsidRPr="00330717">
        <w:t xml:space="preserve"> </w:t>
      </w:r>
      <w:r w:rsidR="00961199">
        <w:t>The three</w:t>
      </w:r>
      <w:r>
        <w:t xml:space="preserve"> largest states</w:t>
      </w:r>
      <w:r w:rsidR="00B11658">
        <w:t>:</w:t>
      </w:r>
      <w:r>
        <w:t xml:space="preserve"> New South Wales, Victoria and Queensland</w:t>
      </w:r>
      <w:r w:rsidR="00B11658">
        <w:t>,</w:t>
      </w:r>
      <w:r>
        <w:t xml:space="preserve"> collectively accounted for about 80% of these places. </w:t>
      </w:r>
      <w:r w:rsidR="00961199">
        <w:t>T</w:t>
      </w:r>
      <w:r w:rsidR="00125943">
        <w:t>here were</w:t>
      </w:r>
      <w:r w:rsidR="00961199">
        <w:t xml:space="preserve"> also</w:t>
      </w:r>
      <w:r w:rsidR="00125943">
        <w:t xml:space="preserve"> 3,636 </w:t>
      </w:r>
      <w:r w:rsidR="00961199">
        <w:t xml:space="preserve">aged care </w:t>
      </w:r>
      <w:r w:rsidR="00125943">
        <w:t xml:space="preserve">places </w:t>
      </w:r>
      <w:r w:rsidR="00961199">
        <w:t xml:space="preserve">in </w:t>
      </w:r>
      <w:r w:rsidR="00125943">
        <w:t>m</w:t>
      </w:r>
      <w:r>
        <w:t>ulti-purpose services</w:t>
      </w:r>
      <w:r w:rsidR="00E26C5F">
        <w:t xml:space="preserve">, </w:t>
      </w:r>
      <w:r w:rsidR="00961199">
        <w:t>which</w:t>
      </w:r>
      <w:r w:rsidR="00E26C5F">
        <w:t xml:space="preserve"> integrate both health and aged</w:t>
      </w:r>
      <w:r w:rsidR="00125943">
        <w:t xml:space="preserve"> </w:t>
      </w:r>
      <w:r w:rsidR="002037A8">
        <w:t xml:space="preserve">care </w:t>
      </w:r>
      <w:r w:rsidR="00125943">
        <w:t>service</w:t>
      </w:r>
      <w:r w:rsidR="00A7548E">
        <w:t>s</w:t>
      </w:r>
      <w:r w:rsidR="00961199">
        <w:t xml:space="preserve"> in rural and regional areas</w:t>
      </w:r>
      <w:r w:rsidR="00A7548E">
        <w:t>.</w:t>
      </w:r>
      <w:r w:rsidR="00E46517">
        <w:rPr>
          <w:rStyle w:val="EndnoteReference"/>
        </w:rPr>
        <w:endnoteReference w:id="1"/>
      </w:r>
      <w:r w:rsidR="00E46517">
        <w:t xml:space="preserve"> </w:t>
      </w:r>
    </w:p>
    <w:p w:rsidR="001A6171" w:rsidRDefault="001A6171" w:rsidP="005C2D36">
      <w:r w:rsidRPr="001A6171">
        <w:t xml:space="preserve">The </w:t>
      </w:r>
      <w:r w:rsidR="006C09A9" w:rsidRPr="006C09A9">
        <w:t xml:space="preserve">Aged Care National Antimicrobial Prescribing Survey </w:t>
      </w:r>
      <w:r w:rsidR="006C09A9">
        <w:t>(</w:t>
      </w:r>
      <w:r w:rsidR="00330717">
        <w:t>acNAPS</w:t>
      </w:r>
      <w:r w:rsidR="006C09A9">
        <w:t>)</w:t>
      </w:r>
      <w:r w:rsidR="00330717">
        <w:t xml:space="preserve"> </w:t>
      </w:r>
      <w:r w:rsidRPr="001A6171">
        <w:t xml:space="preserve">is a collaborative project between the National Centre for Antimicrobial Stewardship (NCAS), the Guidance Group and </w:t>
      </w:r>
      <w:r w:rsidR="006C09A9" w:rsidRPr="006C09A9">
        <w:t xml:space="preserve">Victorian Healthcare Associated Infection Surveillance System </w:t>
      </w:r>
      <w:r w:rsidR="006C09A9">
        <w:t>(</w:t>
      </w:r>
      <w:r w:rsidR="0076595D">
        <w:t>VICNISS</w:t>
      </w:r>
      <w:r w:rsidR="006C09A9">
        <w:t>)</w:t>
      </w:r>
      <w:r w:rsidRPr="001A6171">
        <w:t xml:space="preserve"> Co-ordinating Centre. </w:t>
      </w:r>
      <w:r w:rsidR="003E085D">
        <w:t>T</w:t>
      </w:r>
      <w:r w:rsidR="003E085D" w:rsidRPr="003E085D">
        <w:t xml:space="preserve">he Australian Commission on Safety and Quality in Health Care (the Commission) </w:t>
      </w:r>
      <w:r w:rsidR="003E085D">
        <w:t>provides f</w:t>
      </w:r>
      <w:r w:rsidRPr="001A6171">
        <w:t xml:space="preserve">unding </w:t>
      </w:r>
      <w:r>
        <w:t xml:space="preserve">for acNAPS for incorporation of data in the </w:t>
      </w:r>
      <w:r w:rsidRPr="001A6171">
        <w:t xml:space="preserve">Antimicrobial Use and Resistance in Australia (AURA) Surveillance System. </w:t>
      </w:r>
    </w:p>
    <w:p w:rsidR="006C09A9" w:rsidRDefault="006C09A9" w:rsidP="006C09A9">
      <w:r w:rsidRPr="006C6338">
        <w:rPr>
          <w:lang w:val="en-US"/>
        </w:rPr>
        <w:t xml:space="preserve">All Australian aged care homes and multi-purpose services are eligible to participate in the </w:t>
      </w:r>
      <w:r>
        <w:rPr>
          <w:lang w:val="en-US"/>
        </w:rPr>
        <w:t xml:space="preserve">acNAPS, and participation is </w:t>
      </w:r>
      <w:r w:rsidR="00B11658">
        <w:rPr>
          <w:lang w:val="en-US"/>
        </w:rPr>
        <w:t xml:space="preserve">mostly </w:t>
      </w:r>
      <w:r>
        <w:rPr>
          <w:lang w:val="en-US"/>
        </w:rPr>
        <w:t xml:space="preserve">voluntary. </w:t>
      </w:r>
      <w:r>
        <w:t xml:space="preserve">As of 2017, </w:t>
      </w:r>
      <w:r w:rsidRPr="006C6338">
        <w:t xml:space="preserve">Victorian State Government operated aged care homes </w:t>
      </w:r>
      <w:r>
        <w:t xml:space="preserve">are </w:t>
      </w:r>
      <w:r w:rsidRPr="006C6338">
        <w:t xml:space="preserve">required to participate </w:t>
      </w:r>
      <w:r>
        <w:t xml:space="preserve">in acNAPS </w:t>
      </w:r>
      <w:r w:rsidRPr="006C6338">
        <w:t>as part of the VICNISS Infection Control Indicator Program.</w:t>
      </w:r>
      <w:r>
        <w:rPr>
          <w:rStyle w:val="EndnoteReference"/>
        </w:rPr>
        <w:endnoteReference w:id="2"/>
      </w:r>
      <w:r>
        <w:t xml:space="preserve"> </w:t>
      </w:r>
    </w:p>
    <w:p w:rsidR="00B1745C" w:rsidRDefault="00B1745C" w:rsidP="00B1745C">
      <w:r w:rsidRPr="00B85BDF">
        <w:t>The acNAPS is a standardised surveillance tool that can be used to monitor the prevalence of infections and antimicrobial use</w:t>
      </w:r>
      <w:r w:rsidR="002037A8">
        <w:t xml:space="preserve">. </w:t>
      </w:r>
      <w:r>
        <w:t xml:space="preserve">The survey was </w:t>
      </w:r>
      <w:r w:rsidR="00B11658">
        <w:t>p</w:t>
      </w:r>
      <w:r>
        <w:t>iloted in 2015, and</w:t>
      </w:r>
      <w:r>
        <w:rPr>
          <w:lang w:val="en-US"/>
        </w:rPr>
        <w:t xml:space="preserve"> </w:t>
      </w:r>
      <w:r w:rsidRPr="00B85BDF">
        <w:t>was originally modelled upon the European Centre for Disease Prevention and Control Healthcare</w:t>
      </w:r>
      <w:r>
        <w:t>-</w:t>
      </w:r>
      <w:r w:rsidRPr="00B85BDF">
        <w:t xml:space="preserve">Associated Infection in Long Term Care Facilities (HALT) </w:t>
      </w:r>
      <w:proofErr w:type="gramStart"/>
      <w:r w:rsidRPr="00B85BDF">
        <w:t>study.</w:t>
      </w:r>
      <w:r w:rsidR="00F2366A">
        <w:rPr>
          <w:rStyle w:val="EndnoteReference"/>
        </w:rPr>
        <w:endnoteReference w:id="3"/>
      </w:r>
      <w:r w:rsidR="00F2366A">
        <w:rPr>
          <w:vertAlign w:val="superscript"/>
        </w:rPr>
        <w:t>,</w:t>
      </w:r>
      <w:proofErr w:type="gramEnd"/>
      <w:r w:rsidR="00F2366A">
        <w:rPr>
          <w:rStyle w:val="EndnoteReference"/>
        </w:rPr>
        <w:endnoteReference w:id="4"/>
      </w:r>
      <w:r w:rsidR="00F2366A">
        <w:t xml:space="preserve"> </w:t>
      </w:r>
      <w:r>
        <w:rPr>
          <w:lang w:val="en-US"/>
        </w:rPr>
        <w:t>Follow-up evaluation demonstrated that most aged care homes that participated in the acNAPS pilot study (90.6%) would be willing to participate again. The acNAPS has subsequently been</w:t>
      </w:r>
      <w:r w:rsidRPr="00B85BDF">
        <w:t xml:space="preserve"> </w:t>
      </w:r>
      <w:r>
        <w:t xml:space="preserve">conducted </w:t>
      </w:r>
      <w:r w:rsidRPr="00B85BDF">
        <w:t>in 2016 and 2017</w:t>
      </w:r>
      <w:r>
        <w:t>.</w:t>
      </w:r>
      <w:r>
        <w:rPr>
          <w:lang w:val="en-US"/>
        </w:rPr>
        <w:t xml:space="preserve"> </w:t>
      </w:r>
    </w:p>
    <w:p w:rsidR="005C2D36" w:rsidRDefault="005C2D36" w:rsidP="005C2D36">
      <w:r>
        <w:t>Aged care home residents are susceptible to infections for a variety of reasons including advanced age, multiple co-morbidities, poor functional status, compromised immune status and the use of invasive devices such as urinary tract catheters.</w:t>
      </w:r>
      <w:r w:rsidR="00AB743D">
        <w:rPr>
          <w:rStyle w:val="EndnoteReference"/>
        </w:rPr>
        <w:endnoteReference w:id="5"/>
      </w:r>
      <w:r w:rsidR="005119F5">
        <w:t xml:space="preserve"> </w:t>
      </w:r>
      <w:r>
        <w:t xml:space="preserve">In addition, residents </w:t>
      </w:r>
      <w:r w:rsidR="00B1745C">
        <w:t xml:space="preserve">reside </w:t>
      </w:r>
      <w:r>
        <w:t xml:space="preserve">in a close living environment </w:t>
      </w:r>
      <w:r w:rsidR="00B1745C">
        <w:t xml:space="preserve">and </w:t>
      </w:r>
      <w:r>
        <w:t xml:space="preserve">have frequent contact with potentially colonised or infected staff or other residents. Some </w:t>
      </w:r>
      <w:r w:rsidR="00B1745C">
        <w:t xml:space="preserve">aged care home residents </w:t>
      </w:r>
      <w:r>
        <w:t xml:space="preserve">also have multiple and/or prolonged </w:t>
      </w:r>
      <w:proofErr w:type="gramStart"/>
      <w:r>
        <w:t>hospitalisations.</w:t>
      </w:r>
      <w:r w:rsidR="00A273B8">
        <w:rPr>
          <w:rStyle w:val="EndnoteReference"/>
        </w:rPr>
        <w:endnoteReference w:id="6"/>
      </w:r>
      <w:r w:rsidR="00BB7508" w:rsidRPr="00BB7508">
        <w:rPr>
          <w:vertAlign w:val="superscript"/>
        </w:rPr>
        <w:t>,</w:t>
      </w:r>
      <w:proofErr w:type="gramEnd"/>
      <w:r w:rsidR="00E05F2B">
        <w:rPr>
          <w:rStyle w:val="EndnoteReference"/>
        </w:rPr>
        <w:endnoteReference w:id="7"/>
      </w:r>
      <w:r w:rsidR="006C09A9">
        <w:t xml:space="preserve"> </w:t>
      </w:r>
      <w:r w:rsidR="00785939">
        <w:t>T</w:t>
      </w:r>
      <w:r w:rsidR="006C09A9">
        <w:t xml:space="preserve">here is </w:t>
      </w:r>
      <w:r w:rsidR="00785939">
        <w:t xml:space="preserve">also </w:t>
      </w:r>
      <w:r w:rsidR="006C09A9">
        <w:t xml:space="preserve">a growing body of evidence on the prevalence of infections caused by antimicrobial resistant </w:t>
      </w:r>
      <w:r w:rsidR="00A33F2E">
        <w:t>organisms in residents of aged care homes both in Australia and internationally.</w:t>
      </w:r>
      <w:r w:rsidR="00A33F2E" w:rsidRPr="00A33F2E">
        <w:t xml:space="preserve"> </w:t>
      </w:r>
      <w:r w:rsidR="00A33F2E" w:rsidRPr="002275A3">
        <w:rPr>
          <w:rStyle w:val="EndnoteReference"/>
        </w:rPr>
        <w:endnoteReference w:id="8"/>
      </w:r>
      <w:r w:rsidR="00BB7508" w:rsidRPr="00BB7508">
        <w:rPr>
          <w:vertAlign w:val="superscript"/>
        </w:rPr>
        <w:t>,</w:t>
      </w:r>
      <w:r w:rsidR="00A33F2E">
        <w:rPr>
          <w:rStyle w:val="EndnoteReference"/>
        </w:rPr>
        <w:endnoteReference w:id="9"/>
      </w:r>
    </w:p>
    <w:p w:rsidR="005C2D36" w:rsidRDefault="00406186" w:rsidP="005C2D36">
      <w:r>
        <w:t>I</w:t>
      </w:r>
      <w:r w:rsidR="005C2D36">
        <w:t xml:space="preserve">nfection prevention and control programs are an integral part of care in </w:t>
      </w:r>
      <w:r w:rsidR="00B1745C">
        <w:t>aged care homes</w:t>
      </w:r>
      <w:r>
        <w:t xml:space="preserve"> to protect vulnerable residents from acquiring preventable infections</w:t>
      </w:r>
      <w:r w:rsidR="005C2D36">
        <w:t xml:space="preserve">. An effective </w:t>
      </w:r>
      <w:r w:rsidR="003E085D" w:rsidRPr="003E085D">
        <w:t xml:space="preserve">infection prevention and control </w:t>
      </w:r>
      <w:r w:rsidR="005C2D36">
        <w:t>program describes and implements evidence</w:t>
      </w:r>
      <w:r w:rsidR="00F70BC4">
        <w:t>-</w:t>
      </w:r>
      <w:r w:rsidR="005C2D36">
        <w:t xml:space="preserve">based strategies that are necessary to eliminate or substantially reduce infections. </w:t>
      </w:r>
    </w:p>
    <w:p w:rsidR="00755E99" w:rsidRDefault="003E085D" w:rsidP="005C2D36">
      <w:r>
        <w:t>A</w:t>
      </w:r>
      <w:r w:rsidRPr="003E085D">
        <w:t xml:space="preserve">n antimicrobial stewardship (AMS) program </w:t>
      </w:r>
      <w:r>
        <w:t>is c</w:t>
      </w:r>
      <w:r w:rsidR="005C2D36" w:rsidRPr="00113BD9">
        <w:t>ompl</w:t>
      </w:r>
      <w:r w:rsidR="007168B6">
        <w:t>e</w:t>
      </w:r>
      <w:r w:rsidR="005C2D36" w:rsidRPr="00113BD9">
        <w:t xml:space="preserve">mentary to an </w:t>
      </w:r>
      <w:r w:rsidRPr="003E085D">
        <w:t xml:space="preserve">infection prevention and control </w:t>
      </w:r>
      <w:r w:rsidR="005C2D36" w:rsidRPr="00113BD9">
        <w:t xml:space="preserve">program. The aim of </w:t>
      </w:r>
      <w:r w:rsidR="00F70BC4">
        <w:t xml:space="preserve">AMS </w:t>
      </w:r>
      <w:r w:rsidR="005C2D36" w:rsidRPr="00113BD9">
        <w:t>programs is to decrease inappropriate antimicrobial usage and avoid adverse consequences of antimicrobial use</w:t>
      </w:r>
      <w:r w:rsidR="005C2D36">
        <w:t>,</w:t>
      </w:r>
      <w:r w:rsidR="005C2D36" w:rsidRPr="00113BD9">
        <w:t xml:space="preserve"> including antimicrobial resistance, toxicity and unnecessary costs.</w:t>
      </w:r>
      <w:r w:rsidR="005C2D36">
        <w:t xml:space="preserve"> Since 2013 </w:t>
      </w:r>
      <w:r w:rsidR="005C2D36" w:rsidRPr="00113BD9">
        <w:t>the National Safety and Quality Health Service Standards</w:t>
      </w:r>
      <w:r w:rsidR="005C2D36">
        <w:t xml:space="preserve"> </w:t>
      </w:r>
      <w:r w:rsidR="005C2D36" w:rsidRPr="00113BD9">
        <w:t>have required Australian hospitals</w:t>
      </w:r>
      <w:r w:rsidR="00F70BC4">
        <w:t xml:space="preserve"> </w:t>
      </w:r>
      <w:r w:rsidR="005C2D36">
        <w:t xml:space="preserve">to </w:t>
      </w:r>
      <w:r w:rsidR="005C2D36" w:rsidRPr="00113BD9">
        <w:t>have an AMS program in place</w:t>
      </w:r>
      <w:proofErr w:type="gramStart"/>
      <w:r w:rsidR="005C2D36" w:rsidRPr="00113BD9">
        <w:t>.</w:t>
      </w:r>
      <w:r w:rsidR="00AB743D">
        <w:rPr>
          <w:rStyle w:val="EndnoteReference"/>
        </w:rPr>
        <w:endnoteReference w:id="10"/>
      </w:r>
      <w:r w:rsidR="00AB743D">
        <w:rPr>
          <w:vertAlign w:val="superscript"/>
        </w:rPr>
        <w:t>,</w:t>
      </w:r>
      <w:proofErr w:type="gramEnd"/>
      <w:r w:rsidR="00AB743D">
        <w:rPr>
          <w:rStyle w:val="EndnoteReference"/>
        </w:rPr>
        <w:endnoteReference w:id="11"/>
      </w:r>
      <w:r w:rsidR="00AB743D">
        <w:t xml:space="preserve"> </w:t>
      </w:r>
    </w:p>
    <w:p w:rsidR="00755E99" w:rsidRPr="00113BD9" w:rsidRDefault="00F70BC4" w:rsidP="00755E99">
      <w:r>
        <w:lastRenderedPageBreak/>
        <w:t xml:space="preserve">The current draft Aged Care </w:t>
      </w:r>
      <w:r w:rsidR="00B03B00">
        <w:t xml:space="preserve">Quality </w:t>
      </w:r>
      <w:r>
        <w:t xml:space="preserve">Standards propose that </w:t>
      </w:r>
      <w:r w:rsidR="00B03B00">
        <w:t xml:space="preserve">aged care homes </w:t>
      </w:r>
      <w:r w:rsidR="005C2D36">
        <w:t xml:space="preserve">will be required to demonstrate </w:t>
      </w:r>
      <w:r w:rsidR="005C2D36" w:rsidRPr="00113BD9">
        <w:t>AMS practices that ‘promote appropriate antibiotic prescribing and use</w:t>
      </w:r>
      <w:r w:rsidR="00755E99">
        <w:t xml:space="preserve"> </w:t>
      </w:r>
      <w:r w:rsidR="00755E99" w:rsidRPr="00755E99">
        <w:t>to support optimal care and reduce the risk of increasing resistance to antibiotics</w:t>
      </w:r>
      <w:r w:rsidR="005C2D36" w:rsidRPr="00113BD9">
        <w:t>’</w:t>
      </w:r>
      <w:r>
        <w:t>.</w:t>
      </w:r>
      <w:r w:rsidR="005119F5">
        <w:rPr>
          <w:rStyle w:val="EndnoteReference"/>
        </w:rPr>
        <w:endnoteReference w:id="12"/>
      </w:r>
      <w:r w:rsidR="00755E99">
        <w:t xml:space="preserve"> </w:t>
      </w:r>
      <w:r w:rsidR="00B03B00">
        <w:t>T</w:t>
      </w:r>
      <w:r w:rsidR="00B03B00" w:rsidRPr="00B03B00">
        <w:t xml:space="preserve">ransition to the </w:t>
      </w:r>
      <w:r w:rsidR="00B03B00">
        <w:t xml:space="preserve">new </w:t>
      </w:r>
      <w:r w:rsidR="00B03B00" w:rsidRPr="00B03B00">
        <w:t xml:space="preserve">Aged Care Quality Standards is expected to commence from 1 July 2018, with assessment against </w:t>
      </w:r>
      <w:r w:rsidR="00B03B00">
        <w:t>the Standards from 1 July 2019.</w:t>
      </w:r>
      <w:r w:rsidRPr="00113BD9">
        <w:t xml:space="preserve"> </w:t>
      </w:r>
    </w:p>
    <w:p w:rsidR="005C2D36" w:rsidRDefault="005C2D36" w:rsidP="005C2D36">
      <w:r>
        <w:t xml:space="preserve">To be successful, </w:t>
      </w:r>
      <w:r w:rsidR="00B03B00">
        <w:t>infection prevention and control</w:t>
      </w:r>
      <w:r>
        <w:t xml:space="preserve"> and AMS programs need to be </w:t>
      </w:r>
      <w:r w:rsidR="00B03B00">
        <w:t xml:space="preserve">evidence-based and informed by </w:t>
      </w:r>
      <w:r>
        <w:t>comprehensive surveillance</w:t>
      </w:r>
      <w:r w:rsidR="00B03B00">
        <w:t xml:space="preserve"> data</w:t>
      </w:r>
      <w:r>
        <w:t xml:space="preserve">. Surveillance of </w:t>
      </w:r>
      <w:r w:rsidR="00B03B00">
        <w:t>antimicrobial resistance</w:t>
      </w:r>
      <w:r>
        <w:t xml:space="preserve"> and antimicrobial use is a priority area for national action in Australia</w:t>
      </w:r>
      <w:r w:rsidR="00926D4E">
        <w:t>.</w:t>
      </w:r>
      <w:r w:rsidR="00926D4E">
        <w:rPr>
          <w:rStyle w:val="EndnoteReference"/>
        </w:rPr>
        <w:endnoteReference w:id="13"/>
      </w:r>
      <w:r w:rsidR="00B03B00">
        <w:t xml:space="preserve"> </w:t>
      </w:r>
      <w:r w:rsidR="00926D4E">
        <w:t>T</w:t>
      </w:r>
      <w:r w:rsidR="00B03B00">
        <w:t>he AURA Surveillance System</w:t>
      </w:r>
      <w:r w:rsidR="00262298">
        <w:t xml:space="preserve"> </w:t>
      </w:r>
      <w:r w:rsidR="00262298" w:rsidRPr="00262298">
        <w:t>enabl</w:t>
      </w:r>
      <w:r w:rsidR="00262298">
        <w:t>es</w:t>
      </w:r>
      <w:r w:rsidR="00262298" w:rsidRPr="00262298">
        <w:t xml:space="preserve"> improved coordination and integration of data on antimicrobial resistance, antimicrobial use and appropriateness of prescribing in Australia, </w:t>
      </w:r>
      <w:r w:rsidR="00262298">
        <w:t>and has</w:t>
      </w:r>
      <w:r w:rsidR="00755E99">
        <w:t xml:space="preserve">, </w:t>
      </w:r>
      <w:r w:rsidR="00755E99" w:rsidRPr="00755E99">
        <w:t>since it was established in 2014</w:t>
      </w:r>
      <w:r w:rsidR="00755E99">
        <w:t>,</w:t>
      </w:r>
      <w:r w:rsidR="00262298">
        <w:t xml:space="preserve"> increased </w:t>
      </w:r>
      <w:r w:rsidR="00262298" w:rsidRPr="00262298">
        <w:t>the comprehensiveness of that data</w:t>
      </w:r>
      <w:r>
        <w:t xml:space="preserve">. </w:t>
      </w:r>
    </w:p>
    <w:p w:rsidR="005C2D36" w:rsidRDefault="005C2D36" w:rsidP="005C2D36">
      <w:r>
        <w:t xml:space="preserve">This report presents </w:t>
      </w:r>
      <w:r w:rsidR="00E27F5D">
        <w:t xml:space="preserve">analyses of </w:t>
      </w:r>
      <w:r>
        <w:t xml:space="preserve">acNAPS data collected and submitted </w:t>
      </w:r>
      <w:r w:rsidR="005E7087">
        <w:t xml:space="preserve">in </w:t>
      </w:r>
      <w:r>
        <w:t>2017</w:t>
      </w:r>
      <w:r w:rsidR="00B542EB">
        <w:t xml:space="preserve"> and </w:t>
      </w:r>
      <w:r w:rsidR="00961199">
        <w:t xml:space="preserve">includes </w:t>
      </w:r>
      <w:r w:rsidR="00B542EB">
        <w:t>comparisons with 2016 acNAPS data</w:t>
      </w:r>
      <w:r>
        <w:t xml:space="preserve">. </w:t>
      </w:r>
    </w:p>
    <w:p w:rsidR="005C2D36" w:rsidRDefault="005C2D36" w:rsidP="005C2D36">
      <w:pPr>
        <w:pStyle w:val="Heading1"/>
      </w:pPr>
      <w:bookmarkStart w:id="14" w:name="_Toc513125573"/>
      <w:bookmarkStart w:id="15" w:name="_Toc520373124"/>
      <w:r>
        <w:t>Methods</w:t>
      </w:r>
      <w:bookmarkEnd w:id="14"/>
      <w:bookmarkEnd w:id="15"/>
    </w:p>
    <w:p w:rsidR="005C2D36" w:rsidRPr="005C2D36" w:rsidRDefault="005C2D36" w:rsidP="005C2D36">
      <w:pPr>
        <w:pStyle w:val="Heading2"/>
      </w:pPr>
      <w:bookmarkStart w:id="16" w:name="_Toc513125574"/>
      <w:r>
        <w:t>Time frame</w:t>
      </w:r>
      <w:bookmarkEnd w:id="16"/>
    </w:p>
    <w:p w:rsidR="005C2D36" w:rsidRDefault="005C2D36" w:rsidP="005C2D36">
      <w:r>
        <w:t xml:space="preserve">The official data collection and submission period for </w:t>
      </w:r>
      <w:r w:rsidRPr="00567FC2">
        <w:t xml:space="preserve">2016 </w:t>
      </w:r>
      <w:r w:rsidR="00406186">
        <w:t xml:space="preserve">acNAPS </w:t>
      </w:r>
      <w:r w:rsidRPr="00567FC2">
        <w:t>was between 27 June and 9 September</w:t>
      </w:r>
      <w:r w:rsidR="005E7087">
        <w:t>,</w:t>
      </w:r>
      <w:r>
        <w:t xml:space="preserve"> and for 2017 </w:t>
      </w:r>
      <w:r w:rsidR="00406186">
        <w:t xml:space="preserve">acNAPS </w:t>
      </w:r>
      <w:r w:rsidR="00961199">
        <w:t xml:space="preserve">the data collection period was </w:t>
      </w:r>
      <w:r>
        <w:t xml:space="preserve">between 19 June and 1 September. </w:t>
      </w:r>
    </w:p>
    <w:p w:rsidR="005C2D36" w:rsidRDefault="005C2D36" w:rsidP="005C2D36">
      <w:pPr>
        <w:pStyle w:val="Heading2"/>
      </w:pPr>
      <w:bookmarkStart w:id="17" w:name="_Toc513125575"/>
      <w:r>
        <w:t>Recruitment</w:t>
      </w:r>
      <w:bookmarkEnd w:id="17"/>
    </w:p>
    <w:p w:rsidR="005C2D36" w:rsidRDefault="005C2D36" w:rsidP="005C2D36">
      <w:r>
        <w:t xml:space="preserve">Numerous strategies were used to notify </w:t>
      </w:r>
      <w:r w:rsidR="003F219D">
        <w:t>aged care homes</w:t>
      </w:r>
      <w:r>
        <w:t xml:space="preserve"> about </w:t>
      </w:r>
      <w:r w:rsidR="009C3007">
        <w:t xml:space="preserve">the </w:t>
      </w:r>
      <w:r>
        <w:t>acNAPS. Th</w:t>
      </w:r>
      <w:r w:rsidR="003F219D">
        <w:t>ese</w:t>
      </w:r>
      <w:r>
        <w:t xml:space="preserve"> included newsletters issued by the </w:t>
      </w:r>
      <w:r w:rsidR="003F219D">
        <w:t xml:space="preserve">Australian Government </w:t>
      </w:r>
      <w:r>
        <w:t>Department of Health, NCAS, VICNISS Coordinating Centre, the Commission, the Australian Aged Ca</w:t>
      </w:r>
      <w:r w:rsidR="00406186">
        <w:t>re Quality Agency, NPS Medicine</w:t>
      </w:r>
      <w:r>
        <w:t xml:space="preserve">Wise, the Australasian College for Infection Prevention and Control, </w:t>
      </w:r>
      <w:proofErr w:type="spellStart"/>
      <w:r>
        <w:t>AusPharm</w:t>
      </w:r>
      <w:proofErr w:type="spellEnd"/>
      <w:r>
        <w:t xml:space="preserve">, and the Pharmaceutical Society of Australia. The objectives </w:t>
      </w:r>
      <w:r w:rsidR="003F219D">
        <w:t xml:space="preserve">of the communication strategy </w:t>
      </w:r>
      <w:r>
        <w:t xml:space="preserve">were to </w:t>
      </w:r>
      <w:r w:rsidR="006059C3">
        <w:t xml:space="preserve">sustain </w:t>
      </w:r>
      <w:r w:rsidR="009B2939">
        <w:t>participation</w:t>
      </w:r>
      <w:r w:rsidR="006059C3">
        <w:t xml:space="preserve"> by </w:t>
      </w:r>
      <w:r w:rsidR="003F219D">
        <w:t xml:space="preserve">aged care homes </w:t>
      </w:r>
      <w:r w:rsidR="003F219D" w:rsidRPr="003F219D">
        <w:t xml:space="preserve">and multi-purpose services </w:t>
      </w:r>
      <w:r>
        <w:t xml:space="preserve">and </w:t>
      </w:r>
      <w:r w:rsidR="00B11658">
        <w:t xml:space="preserve">to </w:t>
      </w:r>
      <w:r>
        <w:t xml:space="preserve">recruit </w:t>
      </w:r>
      <w:r w:rsidR="006059C3">
        <w:t>new</w:t>
      </w:r>
      <w:r>
        <w:t xml:space="preserve"> </w:t>
      </w:r>
      <w:r w:rsidR="003F219D">
        <w:t xml:space="preserve">participants </w:t>
      </w:r>
      <w:r>
        <w:t xml:space="preserve">in all states and territories. </w:t>
      </w:r>
    </w:p>
    <w:p w:rsidR="005C2D36" w:rsidRDefault="005C2D36" w:rsidP="005C2D36">
      <w:pPr>
        <w:pStyle w:val="Heading2"/>
      </w:pPr>
      <w:bookmarkStart w:id="18" w:name="_Toc513125576"/>
      <w:r>
        <w:t>Survey method</w:t>
      </w:r>
      <w:bookmarkEnd w:id="18"/>
    </w:p>
    <w:p w:rsidR="005C2D36" w:rsidRDefault="003F219D" w:rsidP="005C2D36">
      <w:r>
        <w:t xml:space="preserve">Aged care homes </w:t>
      </w:r>
      <w:r w:rsidR="005C2D36">
        <w:t xml:space="preserve">could choose to use one of two survey methods to collect data. Method 2 was recommended for smaller </w:t>
      </w:r>
      <w:r>
        <w:t>aged care homes</w:t>
      </w:r>
      <w:r w:rsidR="005C2D36">
        <w:t xml:space="preserve"> that wished to expand their sample size to better assess their performance.</w:t>
      </w:r>
    </w:p>
    <w:p w:rsidR="008A7915" w:rsidRDefault="008A7915" w:rsidP="008A7915">
      <w:pPr>
        <w:ind w:left="720"/>
      </w:pPr>
      <w:r>
        <w:rPr>
          <w:rStyle w:val="Strong"/>
        </w:rPr>
        <w:t xml:space="preserve">Method </w:t>
      </w:r>
      <w:r>
        <w:rPr>
          <w:rStyle w:val="Strong"/>
        </w:rPr>
        <w:t>1</w:t>
      </w:r>
      <w:r>
        <w:rPr>
          <w:rStyle w:val="Strong"/>
        </w:rPr>
        <w:t>: A single-day point prevalence survey</w:t>
      </w:r>
    </w:p>
    <w:p w:rsidR="008A7915" w:rsidRDefault="008A7915" w:rsidP="008A7915">
      <w:pPr>
        <w:pStyle w:val="Normal-beforebullets"/>
        <w:ind w:left="720"/>
      </w:pPr>
      <w:r>
        <w:t>On the survey day, all residents are screened to determine if they:</w:t>
      </w:r>
    </w:p>
    <w:p w:rsidR="008A7915" w:rsidRDefault="008A7915" w:rsidP="008A7915">
      <w:pPr>
        <w:pStyle w:val="Bulletlist"/>
        <w:ind w:left="1288"/>
      </w:pPr>
      <w:r>
        <w:t>Have an antimicrobial prescription and/or</w:t>
      </w:r>
    </w:p>
    <w:p w:rsidR="008A7915" w:rsidRDefault="008A7915" w:rsidP="008A7915">
      <w:pPr>
        <w:pStyle w:val="Bulletlist"/>
        <w:ind w:left="1288"/>
      </w:pPr>
      <w:r>
        <w:t>Have signs and symptoms of a suspected or confirmed infection.</w:t>
      </w:r>
    </w:p>
    <w:p w:rsidR="008A7915" w:rsidRPr="00E716B4" w:rsidRDefault="008A7915" w:rsidP="008A7915">
      <w:pPr>
        <w:ind w:left="720"/>
        <w:rPr>
          <w:rStyle w:val="Strong"/>
        </w:rPr>
      </w:pPr>
      <w:r>
        <w:rPr>
          <w:rStyle w:val="Strong"/>
        </w:rPr>
        <w:t>Method 2: A single-day point prevalence survey plus an additional one month retrospective survey</w:t>
      </w:r>
    </w:p>
    <w:p w:rsidR="008A7915" w:rsidRDefault="008A7915" w:rsidP="008A7915">
      <w:pPr>
        <w:pStyle w:val="Normal-beforebullets"/>
        <w:ind w:left="720"/>
      </w:pPr>
      <w:r>
        <w:t>On the survey day, all residents are screened to determine if they:</w:t>
      </w:r>
    </w:p>
    <w:p w:rsidR="008A7915" w:rsidRDefault="008A7915" w:rsidP="008A7915">
      <w:pPr>
        <w:pStyle w:val="Bulletlist"/>
        <w:ind w:left="1288"/>
      </w:pPr>
      <w:r>
        <w:t>Have an antimicrobial prescription and/or</w:t>
      </w:r>
    </w:p>
    <w:p w:rsidR="008A7915" w:rsidRDefault="008A7915" w:rsidP="008A7915">
      <w:pPr>
        <w:pStyle w:val="Bulletlist"/>
        <w:ind w:left="1288"/>
      </w:pPr>
      <w:r>
        <w:t>Have signs and symptoms of a suspected or confirmed infection.</w:t>
      </w:r>
    </w:p>
    <w:p w:rsidR="008A7915" w:rsidRDefault="008A7915" w:rsidP="008A7915">
      <w:pPr>
        <w:ind w:left="720"/>
      </w:pPr>
      <w:r>
        <w:t xml:space="preserve">In addition, all residents present on the survey day are screened to determine if they had an antimicrobial prescription on any day during the previous month (that was ceased prior to the survey day). </w:t>
      </w:r>
    </w:p>
    <w:p w:rsidR="00CB733F" w:rsidRDefault="005C2D36" w:rsidP="009424A5">
      <w:pPr>
        <w:pStyle w:val="Heading2"/>
      </w:pPr>
      <w:bookmarkStart w:id="19" w:name="_Toc476822634"/>
      <w:bookmarkStart w:id="20" w:name="_Toc476822655"/>
      <w:bookmarkStart w:id="21" w:name="_Toc476822855"/>
      <w:bookmarkStart w:id="22" w:name="_Toc476823159"/>
      <w:bookmarkStart w:id="23" w:name="_Toc482782730"/>
      <w:bookmarkStart w:id="24" w:name="_Toc513125578"/>
      <w:r>
        <w:lastRenderedPageBreak/>
        <w:t>Data collection forms</w:t>
      </w:r>
      <w:bookmarkEnd w:id="19"/>
      <w:bookmarkEnd w:id="20"/>
      <w:bookmarkEnd w:id="21"/>
      <w:bookmarkEnd w:id="22"/>
      <w:bookmarkEnd w:id="23"/>
      <w:bookmarkEnd w:id="24"/>
    </w:p>
    <w:p w:rsidR="005C2D36" w:rsidRDefault="005C2D36" w:rsidP="005C2D36">
      <w:pPr>
        <w:pStyle w:val="Heading3"/>
      </w:pPr>
      <w:bookmarkStart w:id="25" w:name="_Toc513125579"/>
      <w:r>
        <w:t>Aged Care Home form</w:t>
      </w:r>
      <w:bookmarkEnd w:id="25"/>
    </w:p>
    <w:p w:rsidR="005C2D36" w:rsidRDefault="005C2D36" w:rsidP="005C2D36">
      <w:r>
        <w:t xml:space="preserve">Each participating </w:t>
      </w:r>
      <w:r w:rsidR="003F219D">
        <w:t xml:space="preserve">aged care home </w:t>
      </w:r>
      <w:r>
        <w:t>completed the A</w:t>
      </w:r>
      <w:r w:rsidR="003F219D">
        <w:t xml:space="preserve">ged </w:t>
      </w:r>
      <w:r>
        <w:t>C</w:t>
      </w:r>
      <w:r w:rsidR="003F219D">
        <w:t xml:space="preserve">are </w:t>
      </w:r>
      <w:r>
        <w:t>H</w:t>
      </w:r>
      <w:r w:rsidR="003F219D">
        <w:t>ome</w:t>
      </w:r>
      <w:r w:rsidRPr="00B07973">
        <w:t xml:space="preserve"> form</w:t>
      </w:r>
      <w:r w:rsidR="009C3007">
        <w:t xml:space="preserve"> (A</w:t>
      </w:r>
      <w:r>
        <w:t>ppendix 1)</w:t>
      </w:r>
      <w:r w:rsidRPr="00B07973">
        <w:t>.</w:t>
      </w:r>
      <w:r>
        <w:t xml:space="preserve"> Both facility and resident</w:t>
      </w:r>
      <w:r w:rsidR="003F219D">
        <w:t>-</w:t>
      </w:r>
      <w:r>
        <w:t>level data w</w:t>
      </w:r>
      <w:r w:rsidR="003F219D">
        <w:t>ere</w:t>
      </w:r>
      <w:r>
        <w:t xml:space="preserve"> captured. </w:t>
      </w:r>
    </w:p>
    <w:p w:rsidR="005C2D36" w:rsidRDefault="005C2D36" w:rsidP="005C2D36">
      <w:pPr>
        <w:pStyle w:val="Normal-beforebullets"/>
      </w:pPr>
      <w:r>
        <w:t>Facility</w:t>
      </w:r>
      <w:r w:rsidR="003F219D">
        <w:t>-</w:t>
      </w:r>
      <w:r>
        <w:t>level d</w:t>
      </w:r>
      <w:r w:rsidR="009C3007">
        <w:t xml:space="preserve">emographic and denominator data </w:t>
      </w:r>
      <w:r>
        <w:t xml:space="preserve">fields included: </w:t>
      </w:r>
    </w:p>
    <w:p w:rsidR="005C2D36" w:rsidRPr="005C2D36" w:rsidRDefault="005C2D36" w:rsidP="005C2D36">
      <w:pPr>
        <w:pStyle w:val="Bulletlist"/>
      </w:pPr>
      <w:r w:rsidRPr="005C2D36">
        <w:t xml:space="preserve">State or territory </w:t>
      </w:r>
    </w:p>
    <w:p w:rsidR="005C2D36" w:rsidRPr="005C2D36" w:rsidRDefault="005C2D36" w:rsidP="005C2D36">
      <w:pPr>
        <w:pStyle w:val="Bulletlist"/>
      </w:pPr>
      <w:r w:rsidRPr="005C2D36">
        <w:t>Remoteness classification (major city, inner/outer regional, remote or very remote)</w:t>
      </w:r>
      <w:r w:rsidR="003F219D">
        <w:rPr>
          <w:rStyle w:val="EndnoteReference"/>
        </w:rPr>
        <w:endnoteReference w:id="14"/>
      </w:r>
    </w:p>
    <w:p w:rsidR="005C2D36" w:rsidRPr="005C2D36" w:rsidRDefault="005C2D36" w:rsidP="005C2D36">
      <w:pPr>
        <w:pStyle w:val="Bulletlist"/>
      </w:pPr>
      <w:r w:rsidRPr="005C2D36">
        <w:t>Organisation type (not</w:t>
      </w:r>
      <w:r w:rsidR="003F219D">
        <w:t>-</w:t>
      </w:r>
      <w:r w:rsidRPr="005C2D36">
        <w:t>for</w:t>
      </w:r>
      <w:r w:rsidR="003F219D">
        <w:t>-</w:t>
      </w:r>
      <w:r w:rsidRPr="005C2D36">
        <w:t>profit, government or private)</w:t>
      </w:r>
    </w:p>
    <w:p w:rsidR="005C2D36" w:rsidRPr="005C2D36" w:rsidRDefault="005C2D36" w:rsidP="005C2D36">
      <w:pPr>
        <w:pStyle w:val="Bulletlist"/>
      </w:pPr>
      <w:r w:rsidRPr="005C2D36">
        <w:t xml:space="preserve">Use of the </w:t>
      </w:r>
      <w:r w:rsidR="00961199" w:rsidRPr="005C2D36">
        <w:t>National Residential Medication Chart</w:t>
      </w:r>
      <w:r w:rsidR="008C444F">
        <w:rPr>
          <w:rStyle w:val="EndnoteReference"/>
        </w:rPr>
        <w:endnoteReference w:id="15"/>
      </w:r>
    </w:p>
    <w:p w:rsidR="005C2D36" w:rsidRPr="005C2D36" w:rsidRDefault="005C2D36" w:rsidP="005C2D36">
      <w:pPr>
        <w:pStyle w:val="Bulletlist"/>
      </w:pPr>
      <w:r w:rsidRPr="005C2D36">
        <w:t xml:space="preserve">Access to the </w:t>
      </w:r>
      <w:r w:rsidRPr="00EC1113">
        <w:rPr>
          <w:i/>
        </w:rPr>
        <w:t>Therapeutic Guidelines: Antibiotic</w:t>
      </w:r>
      <w:r w:rsidR="005F6296">
        <w:rPr>
          <w:rStyle w:val="EndnoteReference"/>
        </w:rPr>
        <w:endnoteReference w:id="16"/>
      </w:r>
    </w:p>
    <w:p w:rsidR="005C2D36" w:rsidRPr="005C2D36" w:rsidRDefault="005C2D36" w:rsidP="005C2D36">
      <w:pPr>
        <w:pStyle w:val="Bulletlist"/>
      </w:pPr>
      <w:r w:rsidRPr="005C2D36">
        <w:t xml:space="preserve">Endorsed guidelines routinely used for the management of suspected urinary tract infections.  </w:t>
      </w:r>
    </w:p>
    <w:p w:rsidR="005C2D36" w:rsidRDefault="001C512B" w:rsidP="005C2D36">
      <w:r>
        <w:t>A</w:t>
      </w:r>
      <w:r w:rsidR="008D0AAB">
        <w:t xml:space="preserve">ged care homes </w:t>
      </w:r>
      <w:r>
        <w:t xml:space="preserve">are not required </w:t>
      </w:r>
      <w:r w:rsidR="000E0DD4">
        <w:t xml:space="preserve">to use the National Residential Medication </w:t>
      </w:r>
      <w:proofErr w:type="gramStart"/>
      <w:r w:rsidR="000E0DD4">
        <w:t>Chart</w:t>
      </w:r>
      <w:r>
        <w:t>,</w:t>
      </w:r>
      <w:proofErr w:type="gramEnd"/>
      <w:r>
        <w:t xml:space="preserve"> however there are potential benefits of using it</w:t>
      </w:r>
      <w:r w:rsidR="000E0DD4">
        <w:t xml:space="preserve">. </w:t>
      </w:r>
      <w:r w:rsidR="006059C3">
        <w:t>T</w:t>
      </w:r>
      <w:r w:rsidR="005C2D36">
        <w:t xml:space="preserve">he </w:t>
      </w:r>
      <w:r w:rsidR="005C2D36" w:rsidRPr="00EC1113">
        <w:rPr>
          <w:i/>
        </w:rPr>
        <w:t>Therapeutic Guidelines: Antibiotic</w:t>
      </w:r>
      <w:r w:rsidR="005C2D36">
        <w:t xml:space="preserve"> aims to assist clinicians prescribing </w:t>
      </w:r>
      <w:r w:rsidR="00BA4E01">
        <w:t>of</w:t>
      </w:r>
      <w:r w:rsidR="005C2D36">
        <w:t xml:space="preserve"> therapeutic and prophylactic antimicrobials</w:t>
      </w:r>
      <w:r w:rsidR="005F6296">
        <w:t xml:space="preserve">. </w:t>
      </w:r>
      <w:r w:rsidR="005C2D36">
        <w:t xml:space="preserve">In the latest version of these guidelines, optimal management of </w:t>
      </w:r>
      <w:r w:rsidR="008D0AAB">
        <w:t xml:space="preserve">aged care home </w:t>
      </w:r>
      <w:r w:rsidR="005C2D36">
        <w:t>residents with suspected urinary tract infections is outlined by a clinical algorithm.</w:t>
      </w:r>
      <w:r w:rsidR="00E27F5D">
        <w:t xml:space="preserve"> </w:t>
      </w:r>
    </w:p>
    <w:p w:rsidR="005C2D36" w:rsidRDefault="005C2D36" w:rsidP="005C2D36">
      <w:pPr>
        <w:pStyle w:val="Normal-beforebullets"/>
      </w:pPr>
      <w:r>
        <w:t>Resident survey day denominator data</w:t>
      </w:r>
      <w:r w:rsidR="005F6296">
        <w:t xml:space="preserve"> </w:t>
      </w:r>
      <w:r w:rsidR="00A8778E">
        <w:t>fields included</w:t>
      </w:r>
      <w:r>
        <w:t xml:space="preserve">: </w:t>
      </w:r>
    </w:p>
    <w:p w:rsidR="005C2D36" w:rsidRDefault="005C2D36" w:rsidP="005C2D36">
      <w:pPr>
        <w:pStyle w:val="Bulletlist"/>
      </w:pPr>
      <w:r>
        <w:t>Number of residents present</w:t>
      </w:r>
    </w:p>
    <w:p w:rsidR="005C2D36" w:rsidRDefault="005C2D36" w:rsidP="005C2D36">
      <w:pPr>
        <w:pStyle w:val="Bulletlist"/>
      </w:pPr>
      <w:r>
        <w:t xml:space="preserve">Number of residents aged 85 </w:t>
      </w:r>
      <w:r w:rsidR="005F6296">
        <w:t xml:space="preserve">years </w:t>
      </w:r>
      <w:r>
        <w:t>and over</w:t>
      </w:r>
    </w:p>
    <w:p w:rsidR="005C2D36" w:rsidRDefault="005C2D36" w:rsidP="005C2D36">
      <w:pPr>
        <w:pStyle w:val="Bulletlist"/>
      </w:pPr>
      <w:r>
        <w:t xml:space="preserve">Number of male residents.  </w:t>
      </w:r>
    </w:p>
    <w:p w:rsidR="005C2D36" w:rsidRDefault="00D050CF" w:rsidP="005C2D36">
      <w:r>
        <w:t xml:space="preserve">All residents of the participating aged care home </w:t>
      </w:r>
      <w:r w:rsidR="00881A87">
        <w:t xml:space="preserve">or multipurpose service </w:t>
      </w:r>
      <w:r w:rsidR="00F93872">
        <w:t xml:space="preserve">who were </w:t>
      </w:r>
      <w:r>
        <w:t>present on the survey day were eligible for inclusion</w:t>
      </w:r>
      <w:r w:rsidR="005C2D36">
        <w:t>.</w:t>
      </w:r>
    </w:p>
    <w:p w:rsidR="00277D58" w:rsidRPr="00277D58" w:rsidRDefault="00277D58" w:rsidP="00277D58">
      <w:pPr>
        <w:pStyle w:val="Heading3"/>
      </w:pPr>
      <w:bookmarkStart w:id="26" w:name="_Toc513125580"/>
      <w:r w:rsidRPr="00277D58">
        <w:t>Antimicrobials form</w:t>
      </w:r>
      <w:bookmarkEnd w:id="26"/>
    </w:p>
    <w:p w:rsidR="00277D58" w:rsidRDefault="00277D58" w:rsidP="00277D58">
      <w:r>
        <w:t>Th</w:t>
      </w:r>
      <w:r w:rsidR="005F6296">
        <w:t>e Antimicrobials</w:t>
      </w:r>
      <w:r w:rsidRPr="008174B2">
        <w:t xml:space="preserve"> form</w:t>
      </w:r>
      <w:r w:rsidR="009C3007">
        <w:t xml:space="preserve"> (A</w:t>
      </w:r>
      <w:r>
        <w:t>ppendix 2) was completed for residents who were receiving an antimicrobial on the survey day (Methods 1 and 2), and within the previous month (Method 2 only). Antimicrobial prescriptions included all antibiotics, antiviral agents, antifungal agents, and anti-parasitic agents. Data w</w:t>
      </w:r>
      <w:r w:rsidR="005F6296">
        <w:t>ere</w:t>
      </w:r>
      <w:r>
        <w:t xml:space="preserve"> collected about prescribing elements </w:t>
      </w:r>
      <w:r w:rsidR="005F6296">
        <w:t xml:space="preserve">including </w:t>
      </w:r>
      <w:r>
        <w:t>the start date,</w:t>
      </w:r>
      <w:r w:rsidR="00DE5B54">
        <w:t xml:space="preserve"> choice, dose, frequency and route of the agent,</w:t>
      </w:r>
      <w:r>
        <w:t xml:space="preserve"> initial mode of prescription (for example, written directly by prescriber), indication, and documentation of a review or stop date. The indication for prescribing </w:t>
      </w:r>
      <w:r w:rsidR="00A0243F">
        <w:t xml:space="preserve">an </w:t>
      </w:r>
      <w:r>
        <w:t xml:space="preserve">antimicrobial was reported according to a </w:t>
      </w:r>
      <w:r w:rsidR="00522EDF">
        <w:t xml:space="preserve">standardised </w:t>
      </w:r>
      <w:r>
        <w:t xml:space="preserve">list. </w:t>
      </w:r>
    </w:p>
    <w:p w:rsidR="00277D58" w:rsidRDefault="00277D58" w:rsidP="00277D58">
      <w:r>
        <w:t>If the antimicrobial start date was known</w:t>
      </w:r>
      <w:r w:rsidR="005F6296">
        <w:t>,</w:t>
      </w:r>
      <w:r>
        <w:t xml:space="preserve"> and the therapy had commenced less than six months before the survey day, data w</w:t>
      </w:r>
      <w:r w:rsidR="005F6296">
        <w:t>ere</w:t>
      </w:r>
      <w:r>
        <w:t xml:space="preserve"> collected about the resident’s microbiology results, </w:t>
      </w:r>
      <w:r w:rsidR="00A8778E">
        <w:t>urinary investigations and catheter devices and signs and/or symptoms</w:t>
      </w:r>
      <w:r w:rsidR="005D3FD7">
        <w:t xml:space="preserve"> of a suspected infection</w:t>
      </w:r>
      <w:r>
        <w:t>. The timeframe for th</w:t>
      </w:r>
      <w:r w:rsidR="005F6296">
        <w:t>ese</w:t>
      </w:r>
      <w:r>
        <w:t xml:space="preserve"> data was the antimicrobial start date and the six days prior</w:t>
      </w:r>
      <w:r w:rsidR="00522EDF">
        <w:t xml:space="preserve"> to the survey</w:t>
      </w:r>
      <w:r>
        <w:t xml:space="preserve">. </w:t>
      </w:r>
    </w:p>
    <w:p w:rsidR="00277D58" w:rsidRDefault="00277D58" w:rsidP="00277D58">
      <w:r>
        <w:t>Microbiology data were collected from final microbiology reports only. If more than one specimen was collected within the specified timeframe</w:t>
      </w:r>
      <w:r w:rsidR="005F6296">
        <w:t>,</w:t>
      </w:r>
      <w:r>
        <w:t xml:space="preserve"> only the most recent result was reported. </w:t>
      </w:r>
    </w:p>
    <w:p w:rsidR="00277D58" w:rsidRDefault="00277D58" w:rsidP="00277D58">
      <w:r>
        <w:t>The list of reportable infection signs and</w:t>
      </w:r>
      <w:r w:rsidR="005D3FD7">
        <w:t>/or</w:t>
      </w:r>
      <w:r>
        <w:t xml:space="preserve"> symptoms was divided into seven body systems: urinary tract, respiratory tract, skin or soft tissue, gastrointestinal tract, oral, eye, and other. Signs and symptoms common to many different infection types were also included, such as fever, leucocytosis, </w:t>
      </w:r>
      <w:proofErr w:type="gramStart"/>
      <w:r>
        <w:t>acute</w:t>
      </w:r>
      <w:proofErr w:type="gramEnd"/>
      <w:r>
        <w:t xml:space="preserve"> change in mental status </w:t>
      </w:r>
      <w:r w:rsidR="005F6296">
        <w:t>and</w:t>
      </w:r>
      <w:r>
        <w:t xml:space="preserve"> acute functional decline in activities of daily living. The signs and symptoms </w:t>
      </w:r>
      <w:r w:rsidR="005F6296">
        <w:t xml:space="preserve">were required </w:t>
      </w:r>
      <w:r>
        <w:t>to be recorded in official documents such as resident histories or hospital discharge summaries</w:t>
      </w:r>
      <w:r>
        <w:rPr>
          <w:i/>
        </w:rPr>
        <w:t>.</w:t>
      </w:r>
    </w:p>
    <w:p w:rsidR="00277D58" w:rsidRPr="00277D58" w:rsidRDefault="00277D58" w:rsidP="00277D58">
      <w:pPr>
        <w:pStyle w:val="Heading3"/>
      </w:pPr>
      <w:bookmarkStart w:id="27" w:name="_Toc513125581"/>
      <w:r w:rsidRPr="00277D58">
        <w:lastRenderedPageBreak/>
        <w:t>Infection</w:t>
      </w:r>
      <w:r w:rsidR="003D0F1C">
        <w:t>s</w:t>
      </w:r>
      <w:r w:rsidRPr="00277D58">
        <w:t xml:space="preserve"> form</w:t>
      </w:r>
      <w:bookmarkEnd w:id="27"/>
      <w:r w:rsidRPr="00277D58">
        <w:t xml:space="preserve"> </w:t>
      </w:r>
    </w:p>
    <w:p w:rsidR="00277D58" w:rsidRDefault="00277D58" w:rsidP="00277D58">
      <w:r w:rsidRPr="00B07973">
        <w:t xml:space="preserve">An </w:t>
      </w:r>
      <w:r w:rsidR="005F6296">
        <w:t>I</w:t>
      </w:r>
      <w:r>
        <w:t>nfection</w:t>
      </w:r>
      <w:r w:rsidR="008C73D0">
        <w:t>s</w:t>
      </w:r>
      <w:r w:rsidRPr="00B07973">
        <w:t xml:space="preserve"> form</w:t>
      </w:r>
      <w:r w:rsidR="001B70AD">
        <w:t xml:space="preserve"> (A</w:t>
      </w:r>
      <w:r>
        <w:t xml:space="preserve">ppendix 3) was completed for residents who had signs and/or symptoms </w:t>
      </w:r>
      <w:r w:rsidR="00B270D7">
        <w:t xml:space="preserve">of a suspected infection </w:t>
      </w:r>
      <w:r>
        <w:t>on the survey day. Data were collected about signs and/or symptoms present on the survey date and the two days prior</w:t>
      </w:r>
      <w:r w:rsidR="00522EDF">
        <w:t xml:space="preserve"> to the survey</w:t>
      </w:r>
      <w:r>
        <w:t xml:space="preserve">. </w:t>
      </w:r>
    </w:p>
    <w:p w:rsidR="00277D58" w:rsidRPr="00277D58" w:rsidRDefault="005F6296" w:rsidP="00277D58">
      <w:pPr>
        <w:pStyle w:val="Normal-beforebullets"/>
      </w:pPr>
      <w:r>
        <w:t>In contrast to the A</w:t>
      </w:r>
      <w:r w:rsidR="00277D58" w:rsidRPr="00277D58">
        <w:t>ntimicrobial</w:t>
      </w:r>
      <w:r w:rsidR="003D0F1C">
        <w:t>s</w:t>
      </w:r>
      <w:r w:rsidR="00277D58" w:rsidRPr="00277D58">
        <w:t xml:space="preserve"> form, and as previously detailed in the 2016 acNAPS report</w:t>
      </w:r>
      <w:r>
        <w:rPr>
          <w:vertAlign w:val="superscript"/>
        </w:rPr>
        <w:t>1</w:t>
      </w:r>
      <w:r w:rsidR="00277D58" w:rsidRPr="00277D58">
        <w:t>, the gastrointestinal tract infection signs and/or s</w:t>
      </w:r>
      <w:r>
        <w:t>ymptoms were excluded from the I</w:t>
      </w:r>
      <w:r w:rsidR="00277D58" w:rsidRPr="00277D58">
        <w:t>nfection</w:t>
      </w:r>
      <w:r w:rsidR="003D0F1C">
        <w:t>s</w:t>
      </w:r>
      <w:r w:rsidR="00277D58" w:rsidRPr="00277D58">
        <w:t xml:space="preserve"> form for the following reasons:</w:t>
      </w:r>
    </w:p>
    <w:p w:rsidR="00277D58" w:rsidRPr="00277D58" w:rsidRDefault="00277D58" w:rsidP="00277D58">
      <w:pPr>
        <w:spacing w:after="0"/>
        <w:rPr>
          <w:rFonts w:ascii="Arial" w:hAnsi="Arial" w:cs="Arial"/>
        </w:rPr>
      </w:pPr>
    </w:p>
    <w:p w:rsidR="00277D58" w:rsidRPr="00277D58" w:rsidRDefault="00277D58" w:rsidP="00277D58">
      <w:pPr>
        <w:pStyle w:val="Bulletlist"/>
      </w:pPr>
      <w:r w:rsidRPr="00277D58">
        <w:t xml:space="preserve">Gastrointestinal </w:t>
      </w:r>
      <w:r w:rsidR="00B270D7">
        <w:t xml:space="preserve">tract </w:t>
      </w:r>
      <w:r w:rsidRPr="00277D58">
        <w:t xml:space="preserve">infections have been infrequently reported as part of point prevalence studies over six years (VICNISS/ Rural Infection Control Practice Group and acNAPS data combined) </w:t>
      </w:r>
    </w:p>
    <w:p w:rsidR="00277D58" w:rsidRPr="00277D58" w:rsidRDefault="00277D58" w:rsidP="00277D58">
      <w:pPr>
        <w:pStyle w:val="Bulletlist"/>
      </w:pPr>
      <w:r w:rsidRPr="00277D58">
        <w:t xml:space="preserve">Gastrointestinal outbreaks </w:t>
      </w:r>
      <w:r w:rsidR="005F6296">
        <w:t xml:space="preserve">in aged care homes </w:t>
      </w:r>
      <w:r w:rsidRPr="00277D58">
        <w:t xml:space="preserve">are </w:t>
      </w:r>
      <w:r w:rsidR="005F6296">
        <w:t>notifiable in all states and territories</w:t>
      </w:r>
      <w:r w:rsidRPr="00277D58">
        <w:t xml:space="preserve"> </w:t>
      </w:r>
    </w:p>
    <w:p w:rsidR="00B7368F" w:rsidRDefault="00277D58" w:rsidP="00277D58">
      <w:pPr>
        <w:pStyle w:val="Bulletlist"/>
      </w:pPr>
      <w:r w:rsidRPr="00277D58">
        <w:t xml:space="preserve">The focus </w:t>
      </w:r>
      <w:r w:rsidR="005F6296">
        <w:t xml:space="preserve">of acNAPS is </w:t>
      </w:r>
      <w:r w:rsidRPr="00277D58">
        <w:t xml:space="preserve">on </w:t>
      </w:r>
      <w:r w:rsidR="00B7368F">
        <w:t xml:space="preserve">appropriate surveillance </w:t>
      </w:r>
      <w:r w:rsidRPr="00277D58">
        <w:t>f</w:t>
      </w:r>
      <w:r w:rsidR="001B70AD">
        <w:t>or the more common infections: urinary tract infections (</w:t>
      </w:r>
      <w:r w:rsidRPr="00277D58">
        <w:t>UTIs</w:t>
      </w:r>
      <w:r w:rsidR="001B70AD">
        <w:t>)</w:t>
      </w:r>
      <w:r w:rsidRPr="00277D58">
        <w:t>, respiratory infections</w:t>
      </w:r>
      <w:r w:rsidR="001B70AD">
        <w:t>,</w:t>
      </w:r>
      <w:r w:rsidRPr="00277D58">
        <w:t xml:space="preserve"> and skin </w:t>
      </w:r>
      <w:r w:rsidR="001B70AD">
        <w:t xml:space="preserve">or </w:t>
      </w:r>
      <w:r w:rsidRPr="00277D58">
        <w:t>mucosal infections</w:t>
      </w:r>
    </w:p>
    <w:p w:rsidR="00C63BF6" w:rsidRPr="00277D58" w:rsidRDefault="004C4B18" w:rsidP="008C73D0">
      <w:pPr>
        <w:pStyle w:val="Bulletlist"/>
      </w:pPr>
      <w:r>
        <w:t>There are l</w:t>
      </w:r>
      <w:r w:rsidR="00C63BF6" w:rsidRPr="00C63BF6">
        <w:t>imited resources in aged care h</w:t>
      </w:r>
      <w:r w:rsidR="00BB7508">
        <w:t>omes to collect and submit data.</w:t>
      </w:r>
    </w:p>
    <w:p w:rsidR="00914DFC" w:rsidRDefault="00914DFC" w:rsidP="00914DFC">
      <w:pPr>
        <w:pStyle w:val="Bulletlist"/>
        <w:numPr>
          <w:ilvl w:val="0"/>
          <w:numId w:val="0"/>
        </w:numPr>
        <w:ind w:left="568" w:hanging="284"/>
      </w:pPr>
    </w:p>
    <w:p w:rsidR="00914DFC" w:rsidRDefault="00914DFC" w:rsidP="00914DFC">
      <w:pPr>
        <w:pStyle w:val="Bulletlist"/>
        <w:numPr>
          <w:ilvl w:val="0"/>
          <w:numId w:val="0"/>
        </w:numPr>
      </w:pPr>
      <w:r>
        <w:t xml:space="preserve">Each suspected infection was classified </w:t>
      </w:r>
      <w:r w:rsidR="007341D3">
        <w:t xml:space="preserve">by the surveyor </w:t>
      </w:r>
      <w:r>
        <w:t xml:space="preserve">as ‘aged care home’ or ‘non-aged care home’ associated. Aged care home associated infections were those for which the resident’s signs and/or symptoms commenced at least two calendar days after (re)admission into the home. Conversely, the non-aged care home associated infections were those for which the resident’s signs and symptoms commenced within two calendar days of being admitted into the home. </w:t>
      </w:r>
    </w:p>
    <w:p w:rsidR="00277D58" w:rsidRPr="00B07973" w:rsidRDefault="00277D58" w:rsidP="00277D58">
      <w:r>
        <w:t>When collecting dat</w:t>
      </w:r>
      <w:r w:rsidR="00AC5872">
        <w:t>a for the I</w:t>
      </w:r>
      <w:r>
        <w:t>nfection</w:t>
      </w:r>
      <w:r w:rsidR="003D0F1C">
        <w:t>s</w:t>
      </w:r>
      <w:r>
        <w:t xml:space="preserve"> form, i</w:t>
      </w:r>
      <w:r w:rsidRPr="00B07973">
        <w:t>t was a</w:t>
      </w:r>
      <w:r>
        <w:t xml:space="preserve">cceptable </w:t>
      </w:r>
      <w:r w:rsidRPr="00B07973">
        <w:t>to use official and non-official data sources</w:t>
      </w:r>
      <w:r w:rsidR="00AC5872">
        <w:t>.</w:t>
      </w:r>
      <w:r>
        <w:t xml:space="preserve"> </w:t>
      </w:r>
      <w:r w:rsidR="00AC5872">
        <w:t>F</w:t>
      </w:r>
      <w:r>
        <w:t>or example, staff</w:t>
      </w:r>
      <w:r w:rsidRPr="00B07973">
        <w:t xml:space="preserve"> handover </w:t>
      </w:r>
      <w:proofErr w:type="gramStart"/>
      <w:r w:rsidRPr="00B07973">
        <w:t>notes,</w:t>
      </w:r>
      <w:proofErr w:type="gramEnd"/>
      <w:r w:rsidRPr="00B07973">
        <w:t xml:space="preserve"> incident reports</w:t>
      </w:r>
      <w:r>
        <w:t>,</w:t>
      </w:r>
      <w:r w:rsidRPr="00B07973">
        <w:t xml:space="preserve"> wound</w:t>
      </w:r>
      <w:r>
        <w:t>-care</w:t>
      </w:r>
      <w:r w:rsidRPr="00B07973">
        <w:t xml:space="preserve"> folders </w:t>
      </w:r>
      <w:r>
        <w:t>or verbal information from</w:t>
      </w:r>
      <w:r w:rsidRPr="00B07973">
        <w:t xml:space="preserve"> a </w:t>
      </w:r>
      <w:r>
        <w:t>senior aged care home clinician.</w:t>
      </w:r>
    </w:p>
    <w:p w:rsidR="00277D58" w:rsidRPr="00277D58" w:rsidRDefault="00277D58" w:rsidP="006D1696">
      <w:pPr>
        <w:pStyle w:val="Heading2"/>
      </w:pPr>
      <w:bookmarkStart w:id="28" w:name="_Toc513125582"/>
      <w:r w:rsidRPr="00277D58">
        <w:t>Electronic acNAPS</w:t>
      </w:r>
      <w:bookmarkEnd w:id="28"/>
      <w:r w:rsidRPr="00277D58">
        <w:t xml:space="preserve"> </w:t>
      </w:r>
    </w:p>
    <w:p w:rsidR="0059261E" w:rsidRDefault="00277D58" w:rsidP="0059261E">
      <w:r>
        <w:t xml:space="preserve">The NAPS coordinating team developed detailed information technology specifications that included the data fields required for </w:t>
      </w:r>
      <w:r w:rsidR="0059261E">
        <w:t xml:space="preserve">an </w:t>
      </w:r>
      <w:r w:rsidR="007539E2">
        <w:t xml:space="preserve">e-version of the </w:t>
      </w:r>
      <w:r w:rsidR="0059261E">
        <w:t xml:space="preserve">three </w:t>
      </w:r>
      <w:r>
        <w:t>data collection form</w:t>
      </w:r>
      <w:r w:rsidR="007539E2">
        <w:t xml:space="preserve">s. </w:t>
      </w:r>
      <w:r w:rsidR="0059261E">
        <w:t xml:space="preserve">On the survey day, data collection forms were manually completed by the surveyors and then used to assist with electronic data entry. </w:t>
      </w:r>
      <w:r w:rsidR="00E14C12">
        <w:t xml:space="preserve">Registered surveyors could access the </w:t>
      </w:r>
      <w:r w:rsidR="0059261E">
        <w:t>e-version</w:t>
      </w:r>
      <w:r w:rsidR="00D72EC3">
        <w:t>s</w:t>
      </w:r>
      <w:r w:rsidR="0059261E">
        <w:t xml:space="preserve"> via the </w:t>
      </w:r>
      <w:r w:rsidR="009C5538">
        <w:t xml:space="preserve">NAPS </w:t>
      </w:r>
      <w:r w:rsidR="0059261E">
        <w:t xml:space="preserve">web portal. </w:t>
      </w:r>
    </w:p>
    <w:p w:rsidR="005436E6" w:rsidRDefault="009C5538" w:rsidP="00CF0E2A">
      <w:bookmarkStart w:id="29" w:name="_Toc513125583"/>
      <w:r>
        <w:t xml:space="preserve">Each suspected infection was classified as meeting or not meeting </w:t>
      </w:r>
      <w:proofErr w:type="spellStart"/>
      <w:r>
        <w:t>McGeer</w:t>
      </w:r>
      <w:proofErr w:type="spellEnd"/>
      <w:r>
        <w:t xml:space="preserve"> </w:t>
      </w:r>
      <w:r>
        <w:rPr>
          <w:i/>
        </w:rPr>
        <w:t>et al</w:t>
      </w:r>
      <w:r>
        <w:t xml:space="preserve"> infection surveillance definitions by applying an electronic decision algorithm. The widely referenced </w:t>
      </w:r>
      <w:proofErr w:type="spellStart"/>
      <w:r>
        <w:t>McGeer</w:t>
      </w:r>
      <w:proofErr w:type="spellEnd"/>
      <w:r>
        <w:t xml:space="preserve"> </w:t>
      </w:r>
      <w:r w:rsidRPr="00D07C81">
        <w:rPr>
          <w:i/>
        </w:rPr>
        <w:t>et al</w:t>
      </w:r>
      <w:r>
        <w:t xml:space="preserve"> definitions were </w:t>
      </w:r>
      <w:r>
        <w:rPr>
          <w:lang w:val="en-US"/>
        </w:rPr>
        <w:t>specifically developed for use in long</w:t>
      </w:r>
      <w:r w:rsidR="00B11658">
        <w:rPr>
          <w:lang w:val="en-US"/>
        </w:rPr>
        <w:t>-</w:t>
      </w:r>
      <w:r>
        <w:rPr>
          <w:lang w:val="en-US"/>
        </w:rPr>
        <w:t>term care facilities. The definitions were revised in 2012, taking into account the most recent evidence and the availability of improved diagnostics for surveillance.</w:t>
      </w:r>
    </w:p>
    <w:p w:rsidR="005C13A0" w:rsidRPr="005C13A0" w:rsidRDefault="00CF0E2A" w:rsidP="005C13A0">
      <w:pPr>
        <w:pStyle w:val="Heading2"/>
        <w:rPr>
          <w:b w:val="0"/>
          <w:color w:val="auto"/>
          <w:sz w:val="22"/>
          <w:szCs w:val="22"/>
        </w:rPr>
      </w:pPr>
      <w:r>
        <w:rPr>
          <w:b w:val="0"/>
          <w:color w:val="auto"/>
          <w:sz w:val="22"/>
          <w:szCs w:val="22"/>
        </w:rPr>
        <w:t>Once the data wa</w:t>
      </w:r>
      <w:r w:rsidR="005436E6" w:rsidRPr="005436E6">
        <w:rPr>
          <w:b w:val="0"/>
          <w:color w:val="auto"/>
          <w:sz w:val="22"/>
          <w:szCs w:val="22"/>
        </w:rPr>
        <w:t xml:space="preserve">s entered, </w:t>
      </w:r>
      <w:r>
        <w:rPr>
          <w:b w:val="0"/>
          <w:color w:val="auto"/>
          <w:sz w:val="22"/>
          <w:szCs w:val="22"/>
        </w:rPr>
        <w:t xml:space="preserve">reports could be </w:t>
      </w:r>
      <w:r w:rsidR="00B02CFE" w:rsidRPr="00B02CFE">
        <w:rPr>
          <w:b w:val="0"/>
          <w:color w:val="auto"/>
          <w:sz w:val="22"/>
          <w:szCs w:val="22"/>
        </w:rPr>
        <w:t xml:space="preserve">generated and downloaded </w:t>
      </w:r>
      <w:r w:rsidR="005436E6">
        <w:rPr>
          <w:b w:val="0"/>
          <w:color w:val="auto"/>
          <w:sz w:val="22"/>
          <w:szCs w:val="22"/>
        </w:rPr>
        <w:t xml:space="preserve">immediately </w:t>
      </w:r>
      <w:r>
        <w:rPr>
          <w:b w:val="0"/>
          <w:color w:val="auto"/>
          <w:sz w:val="22"/>
          <w:szCs w:val="22"/>
        </w:rPr>
        <w:t xml:space="preserve">via the NAPS web portal. These reports enabled </w:t>
      </w:r>
      <w:r w:rsidR="002D4D47">
        <w:rPr>
          <w:b w:val="0"/>
          <w:color w:val="auto"/>
          <w:sz w:val="22"/>
          <w:szCs w:val="22"/>
        </w:rPr>
        <w:t xml:space="preserve">participants to compare their performance against national aggregate data. </w:t>
      </w:r>
      <w:r>
        <w:rPr>
          <w:b w:val="0"/>
          <w:color w:val="auto"/>
          <w:sz w:val="22"/>
          <w:szCs w:val="22"/>
        </w:rPr>
        <w:t xml:space="preserve">Surveyors were encouraged to forward the reports to </w:t>
      </w:r>
      <w:r w:rsidR="005C13A0">
        <w:rPr>
          <w:b w:val="0"/>
          <w:color w:val="auto"/>
          <w:sz w:val="22"/>
          <w:szCs w:val="22"/>
        </w:rPr>
        <w:t xml:space="preserve">those who are able to impact on resident care. This included administrators and clinicians such as general practitioners, pharmacists and nurses.  </w:t>
      </w:r>
    </w:p>
    <w:p w:rsidR="00277D58" w:rsidRPr="00277D58" w:rsidRDefault="00277D58" w:rsidP="00277D58">
      <w:pPr>
        <w:pStyle w:val="Heading2"/>
      </w:pPr>
      <w:r w:rsidRPr="00277D58">
        <w:t>Support</w:t>
      </w:r>
      <w:bookmarkEnd w:id="29"/>
    </w:p>
    <w:p w:rsidR="00277D58" w:rsidRPr="00F57CBB" w:rsidRDefault="00277D58" w:rsidP="00277D58">
      <w:r>
        <w:t>Surveyors could choose to participate in optional online training sessions. One-hour beginner sessions for new surveyors provided detailed information about the acNAPS methodology</w:t>
      </w:r>
      <w:r w:rsidR="00AC5872">
        <w:t>.</w:t>
      </w:r>
      <w:r>
        <w:t xml:space="preserve"> </w:t>
      </w:r>
      <w:r w:rsidR="00AC5872">
        <w:t>B</w:t>
      </w:r>
      <w:r>
        <w:t xml:space="preserve">rief refresher sessions were also held for more experienced surveyors. The NAPS coordinating team also provided email and telephone assistance </w:t>
      </w:r>
      <w:r w:rsidR="001B70AD">
        <w:t>throughout 2016 and 2017</w:t>
      </w:r>
      <w:r>
        <w:t xml:space="preserve">. </w:t>
      </w:r>
    </w:p>
    <w:p w:rsidR="0047280D" w:rsidRPr="00277D58" w:rsidRDefault="0047280D" w:rsidP="0047280D">
      <w:pPr>
        <w:pStyle w:val="Heading2"/>
      </w:pPr>
      <w:r>
        <w:lastRenderedPageBreak/>
        <w:t>Limitations</w:t>
      </w:r>
      <w:r w:rsidRPr="00277D58">
        <w:t xml:space="preserve"> </w:t>
      </w:r>
    </w:p>
    <w:p w:rsidR="00277D58" w:rsidRDefault="00277D58" w:rsidP="00277D58">
      <w:r>
        <w:t xml:space="preserve">The </w:t>
      </w:r>
      <w:r w:rsidR="009C5538">
        <w:t>acNAPS results</w:t>
      </w:r>
      <w:r>
        <w:t xml:space="preserve"> should be interpreted in the context of the limitations detailed </w:t>
      </w:r>
      <w:r w:rsidRPr="00AA37B5">
        <w:t>below.</w:t>
      </w:r>
    </w:p>
    <w:p w:rsidR="008A7915" w:rsidRPr="00277D58" w:rsidRDefault="008A7915" w:rsidP="008A7915">
      <w:pPr>
        <w:spacing w:after="0"/>
        <w:rPr>
          <w:b/>
        </w:rPr>
      </w:pPr>
      <w:r w:rsidRPr="00277D58">
        <w:rPr>
          <w:b/>
        </w:rPr>
        <w:t>Sampling and selection bias</w:t>
      </w:r>
    </w:p>
    <w:p w:rsidR="008A7915" w:rsidRDefault="008A7915" w:rsidP="008A7915">
      <w:pPr>
        <w:spacing w:after="0"/>
        <w:rPr>
          <w:rFonts w:cs="Arial"/>
        </w:rPr>
      </w:pPr>
    </w:p>
    <w:p w:rsidR="008A7915" w:rsidRDefault="008A7915" w:rsidP="008A7915">
      <w:pPr>
        <w:spacing w:after="0"/>
        <w:rPr>
          <w:rFonts w:cs="Arial"/>
        </w:rPr>
      </w:pPr>
      <w:r w:rsidRPr="003541F9">
        <w:rPr>
          <w:rFonts w:cs="Arial"/>
        </w:rPr>
        <w:t xml:space="preserve">The results </w:t>
      </w:r>
      <w:r>
        <w:rPr>
          <w:rFonts w:cs="Arial"/>
        </w:rPr>
        <w:t xml:space="preserve">may </w:t>
      </w:r>
      <w:r w:rsidRPr="003541F9">
        <w:rPr>
          <w:rFonts w:cs="Arial"/>
        </w:rPr>
        <w:t xml:space="preserve">not be </w:t>
      </w:r>
      <w:proofErr w:type="spellStart"/>
      <w:r w:rsidRPr="003541F9">
        <w:rPr>
          <w:rFonts w:cs="Arial"/>
        </w:rPr>
        <w:t>generalis</w:t>
      </w:r>
      <w:r>
        <w:rPr>
          <w:rFonts w:cs="Arial"/>
        </w:rPr>
        <w:t>able</w:t>
      </w:r>
      <w:proofErr w:type="spellEnd"/>
      <w:r w:rsidRPr="003541F9">
        <w:rPr>
          <w:rFonts w:cs="Arial"/>
        </w:rPr>
        <w:t xml:space="preserve"> to all Australian </w:t>
      </w:r>
      <w:r>
        <w:rPr>
          <w:rFonts w:cs="Arial"/>
        </w:rPr>
        <w:t>aged care homes. M</w:t>
      </w:r>
      <w:r w:rsidRPr="00AA37B5">
        <w:rPr>
          <w:rFonts w:cs="Arial"/>
        </w:rPr>
        <w:t>ost of</w:t>
      </w:r>
      <w:r w:rsidRPr="003541F9">
        <w:rPr>
          <w:rFonts w:cs="Arial"/>
        </w:rPr>
        <w:t xml:space="preserve"> the participating </w:t>
      </w:r>
      <w:r>
        <w:rPr>
          <w:rFonts w:cs="Arial"/>
        </w:rPr>
        <w:t xml:space="preserve">aged care homes that contributed to acNAPS in 2016 and 2017 </w:t>
      </w:r>
      <w:r w:rsidRPr="003541F9">
        <w:rPr>
          <w:rFonts w:cs="Arial"/>
        </w:rPr>
        <w:t>were</w:t>
      </w:r>
      <w:r>
        <w:rPr>
          <w:rFonts w:cs="Arial"/>
        </w:rPr>
        <w:t>:</w:t>
      </w:r>
    </w:p>
    <w:p w:rsidR="008A7915" w:rsidRDefault="008A7915" w:rsidP="008A7915">
      <w:pPr>
        <w:spacing w:after="0"/>
        <w:rPr>
          <w:rFonts w:cs="Arial"/>
        </w:rPr>
      </w:pPr>
    </w:p>
    <w:p w:rsidR="008A7915" w:rsidRDefault="008A7915" w:rsidP="008A7915">
      <w:pPr>
        <w:pStyle w:val="ListParagraph"/>
        <w:numPr>
          <w:ilvl w:val="0"/>
          <w:numId w:val="32"/>
        </w:numPr>
        <w:spacing w:after="0" w:line="240" w:lineRule="auto"/>
        <w:rPr>
          <w:rFonts w:cs="Arial"/>
        </w:rPr>
      </w:pPr>
      <w:r>
        <w:rPr>
          <w:rFonts w:cs="Arial"/>
        </w:rPr>
        <w:t>L</w:t>
      </w:r>
      <w:r w:rsidRPr="0047280D">
        <w:rPr>
          <w:rFonts w:cs="Arial"/>
        </w:rPr>
        <w:t>ocated in Victoria</w:t>
      </w:r>
    </w:p>
    <w:p w:rsidR="008A7915" w:rsidRDefault="008A7915" w:rsidP="008A7915">
      <w:pPr>
        <w:pStyle w:val="ListParagraph"/>
        <w:numPr>
          <w:ilvl w:val="0"/>
          <w:numId w:val="32"/>
        </w:numPr>
        <w:spacing w:after="0" w:line="240" w:lineRule="auto"/>
        <w:rPr>
          <w:rFonts w:cs="Arial"/>
        </w:rPr>
      </w:pPr>
      <w:r>
        <w:rPr>
          <w:rFonts w:cs="Arial"/>
        </w:rPr>
        <w:t>C</w:t>
      </w:r>
      <w:r w:rsidRPr="0047280D">
        <w:rPr>
          <w:rFonts w:cs="Arial"/>
        </w:rPr>
        <w:t>lassified as inner regional</w:t>
      </w:r>
    </w:p>
    <w:p w:rsidR="008A7915" w:rsidRDefault="008A7915" w:rsidP="008A7915">
      <w:pPr>
        <w:pStyle w:val="ListParagraph"/>
        <w:numPr>
          <w:ilvl w:val="0"/>
          <w:numId w:val="32"/>
        </w:numPr>
        <w:spacing w:after="0" w:line="240" w:lineRule="auto"/>
        <w:rPr>
          <w:rFonts w:cs="Arial"/>
        </w:rPr>
      </w:pPr>
      <w:r>
        <w:rPr>
          <w:rFonts w:cs="Arial"/>
        </w:rPr>
        <w:t>St</w:t>
      </w:r>
      <w:r w:rsidRPr="0047280D">
        <w:rPr>
          <w:rFonts w:cs="Arial"/>
        </w:rPr>
        <w:t xml:space="preserve">ate government operated. </w:t>
      </w:r>
    </w:p>
    <w:p w:rsidR="008A7915" w:rsidRDefault="008A7915" w:rsidP="008A7915">
      <w:pPr>
        <w:spacing w:after="0"/>
        <w:rPr>
          <w:rFonts w:eastAsiaTheme="minorHAnsi" w:cs="Arial"/>
          <w:lang w:eastAsia="en-US"/>
        </w:rPr>
      </w:pPr>
    </w:p>
    <w:p w:rsidR="008A7915" w:rsidRDefault="008A7915" w:rsidP="008A7915">
      <w:pPr>
        <w:spacing w:after="0"/>
      </w:pPr>
      <w:r>
        <w:t>The 2016 data analysed as part of this report may differ from previous reports because</w:t>
      </w:r>
      <w:r w:rsidRPr="00DE1742">
        <w:t xml:space="preserve"> </w:t>
      </w:r>
      <w:r>
        <w:t xml:space="preserve">some data were: </w:t>
      </w:r>
    </w:p>
    <w:p w:rsidR="008A7915" w:rsidRDefault="008A7915" w:rsidP="008A7915">
      <w:pPr>
        <w:spacing w:after="0"/>
      </w:pPr>
    </w:p>
    <w:p w:rsidR="008A7915" w:rsidRPr="00DE1742" w:rsidRDefault="008A7915" w:rsidP="008A7915">
      <w:pPr>
        <w:pStyle w:val="ListParagraph"/>
        <w:numPr>
          <w:ilvl w:val="0"/>
          <w:numId w:val="32"/>
        </w:numPr>
        <w:spacing w:after="0" w:line="240" w:lineRule="auto"/>
      </w:pPr>
      <w:r>
        <w:t xml:space="preserve">Entered </w:t>
      </w:r>
      <w:r w:rsidRPr="00DE1742">
        <w:t>retrospective</w:t>
      </w:r>
      <w:r>
        <w:t xml:space="preserve">ly </w:t>
      </w:r>
    </w:p>
    <w:p w:rsidR="008A7915" w:rsidRPr="00DE1742" w:rsidRDefault="008A7915" w:rsidP="008A7915">
      <w:pPr>
        <w:pStyle w:val="ListParagraph"/>
        <w:numPr>
          <w:ilvl w:val="0"/>
          <w:numId w:val="32"/>
        </w:numPr>
        <w:spacing w:after="0" w:line="240" w:lineRule="auto"/>
      </w:pPr>
      <w:r>
        <w:t>O</w:t>
      </w:r>
      <w:r w:rsidRPr="00DE1742">
        <w:t>mitted due to anomalies</w:t>
      </w:r>
      <w:r>
        <w:t xml:space="preserve"> </w:t>
      </w:r>
      <w:r w:rsidRPr="00DE1742">
        <w:t xml:space="preserve"> </w:t>
      </w:r>
    </w:p>
    <w:p w:rsidR="008A7915" w:rsidRPr="00DE1742" w:rsidRDefault="008A7915" w:rsidP="008A7915">
      <w:pPr>
        <w:pStyle w:val="ListParagraph"/>
        <w:numPr>
          <w:ilvl w:val="0"/>
          <w:numId w:val="32"/>
        </w:numPr>
        <w:spacing w:after="0" w:line="240" w:lineRule="auto"/>
      </w:pPr>
      <w:r>
        <w:t>I</w:t>
      </w:r>
      <w:r w:rsidRPr="00DE1742">
        <w:t>ncluded</w:t>
      </w:r>
      <w:r>
        <w:t xml:space="preserve"> that had </w:t>
      </w:r>
      <w:r w:rsidRPr="00DE1742">
        <w:t xml:space="preserve">previously </w:t>
      </w:r>
      <w:r>
        <w:t xml:space="preserve">been omitted. </w:t>
      </w:r>
    </w:p>
    <w:p w:rsidR="008A7915" w:rsidRPr="00B7368F" w:rsidRDefault="008A7915" w:rsidP="008A7915">
      <w:pPr>
        <w:pStyle w:val="ListParagraph"/>
        <w:spacing w:after="0"/>
        <w:rPr>
          <w:rFonts w:cs="Arial"/>
        </w:rPr>
      </w:pPr>
    </w:p>
    <w:p w:rsidR="008A7915" w:rsidRPr="00277D58" w:rsidRDefault="008A7915" w:rsidP="008A7915">
      <w:pPr>
        <w:rPr>
          <w:b/>
        </w:rPr>
      </w:pPr>
      <w:r w:rsidRPr="00277D58">
        <w:rPr>
          <w:b/>
        </w:rPr>
        <w:t>Infection definitions</w:t>
      </w:r>
    </w:p>
    <w:p w:rsidR="008A7915" w:rsidRPr="003541F9" w:rsidRDefault="008A7915" w:rsidP="008A7915">
      <w:r w:rsidRPr="003541F9">
        <w:t xml:space="preserve">Signs and symptoms of infection in older residents may be atypical, so failure to meet the </w:t>
      </w:r>
      <w:proofErr w:type="spellStart"/>
      <w:r w:rsidRPr="003541F9">
        <w:t>McGeer</w:t>
      </w:r>
      <w:proofErr w:type="spellEnd"/>
      <w:r w:rsidRPr="003541F9">
        <w:t xml:space="preserve"> </w:t>
      </w:r>
      <w:r w:rsidRPr="003541F9">
        <w:rPr>
          <w:i/>
        </w:rPr>
        <w:t xml:space="preserve">et al </w:t>
      </w:r>
      <w:r w:rsidRPr="003541F9">
        <w:t xml:space="preserve">definitions may not fully exclude the presence of a true infection. In addition, the </w:t>
      </w:r>
      <w:proofErr w:type="spellStart"/>
      <w:r w:rsidRPr="003541F9">
        <w:t>McGeer</w:t>
      </w:r>
      <w:proofErr w:type="spellEnd"/>
      <w:r w:rsidRPr="003541F9">
        <w:t xml:space="preserve"> </w:t>
      </w:r>
      <w:r w:rsidRPr="003541F9">
        <w:rPr>
          <w:i/>
        </w:rPr>
        <w:t>et al</w:t>
      </w:r>
      <w:r w:rsidRPr="003541F9">
        <w:t xml:space="preserve"> definitions require microbiological confirmation for some infections (for example, </w:t>
      </w:r>
      <w:r>
        <w:t>UTI</w:t>
      </w:r>
      <w:r w:rsidRPr="003541F9">
        <w:t>). This means that these infections will not be confirmed unless specimens are taken.</w:t>
      </w:r>
    </w:p>
    <w:p w:rsidR="008A7915" w:rsidRPr="00277D58" w:rsidRDefault="008A7915" w:rsidP="008A7915">
      <w:pPr>
        <w:rPr>
          <w:b/>
        </w:rPr>
      </w:pPr>
      <w:r w:rsidRPr="00277D58">
        <w:rPr>
          <w:b/>
        </w:rPr>
        <w:t>Seasonal variation</w:t>
      </w:r>
    </w:p>
    <w:p w:rsidR="008A7915" w:rsidRPr="003541F9" w:rsidRDefault="008A7915" w:rsidP="008A7915">
      <w:r w:rsidRPr="003541F9">
        <w:t xml:space="preserve">The survey was conducted during winter. The results may have been different in another season. </w:t>
      </w:r>
      <w:r>
        <w:t xml:space="preserve">Certain respiratory infections for example are usually less frequent in spring, summer and autumn. </w:t>
      </w:r>
    </w:p>
    <w:p w:rsidR="008A7915" w:rsidRPr="00277D58" w:rsidRDefault="008A7915" w:rsidP="008A7915">
      <w:pPr>
        <w:rPr>
          <w:b/>
        </w:rPr>
      </w:pPr>
      <w:r w:rsidRPr="00277D58">
        <w:rPr>
          <w:b/>
        </w:rPr>
        <w:t xml:space="preserve">Validation </w:t>
      </w:r>
    </w:p>
    <w:p w:rsidR="008A7915" w:rsidRDefault="008A7915" w:rsidP="008A7915">
      <w:r w:rsidRPr="003541F9">
        <w:t xml:space="preserve">The analysis relied on the validity of local assessments. </w:t>
      </w:r>
      <w:r>
        <w:t>There was no additional external validation undertaken.</w:t>
      </w:r>
    </w:p>
    <w:p w:rsidR="006D1696" w:rsidRDefault="006D1696">
      <w:pPr>
        <w:spacing w:after="80"/>
        <w:rPr>
          <w:rFonts w:cs="Arial"/>
          <w:b/>
          <w:bCs/>
          <w:color w:val="1178A2"/>
          <w:kern w:val="28"/>
          <w:sz w:val="40"/>
          <w:szCs w:val="32"/>
        </w:rPr>
      </w:pPr>
      <w:bookmarkStart w:id="30" w:name="_Toc512502143"/>
      <w:bookmarkStart w:id="31" w:name="_Toc476822635"/>
      <w:bookmarkStart w:id="32" w:name="_Toc476822656"/>
      <w:bookmarkStart w:id="33" w:name="_Toc476822856"/>
      <w:bookmarkStart w:id="34" w:name="_Toc482782731"/>
      <w:r>
        <w:br w:type="page"/>
      </w:r>
    </w:p>
    <w:p w:rsidR="00277D58" w:rsidRPr="00C82C65" w:rsidRDefault="00277D58" w:rsidP="00277D58">
      <w:pPr>
        <w:pStyle w:val="Heading1"/>
      </w:pPr>
      <w:bookmarkStart w:id="35" w:name="_Toc513125585"/>
      <w:bookmarkStart w:id="36" w:name="_Toc520373125"/>
      <w:r w:rsidRPr="00C82C65">
        <w:lastRenderedPageBreak/>
        <w:t>Survey results</w:t>
      </w:r>
      <w:bookmarkEnd w:id="30"/>
      <w:bookmarkEnd w:id="35"/>
      <w:bookmarkEnd w:id="36"/>
    </w:p>
    <w:p w:rsidR="00277D58" w:rsidRPr="00277D58" w:rsidRDefault="003536F1" w:rsidP="00277D58">
      <w:pPr>
        <w:pStyle w:val="Heading2"/>
      </w:pPr>
      <w:bookmarkStart w:id="37" w:name="_Toc476731080"/>
      <w:bookmarkStart w:id="38" w:name="_Toc476731148"/>
      <w:bookmarkStart w:id="39" w:name="_Toc513125586"/>
      <w:r>
        <w:t xml:space="preserve">A: </w:t>
      </w:r>
      <w:r w:rsidR="00277D58" w:rsidRPr="00277D58">
        <w:t>Participation</w:t>
      </w:r>
      <w:bookmarkEnd w:id="37"/>
      <w:bookmarkEnd w:id="38"/>
      <w:bookmarkEnd w:id="39"/>
    </w:p>
    <w:p w:rsidR="002F7896" w:rsidRDefault="00277D58" w:rsidP="00277D58">
      <w:r w:rsidRPr="00140D3A">
        <w:t>In</w:t>
      </w:r>
      <w:r>
        <w:t xml:space="preserve"> 2017,</w:t>
      </w:r>
      <w:r w:rsidRPr="00140D3A">
        <w:t xml:space="preserve"> </w:t>
      </w:r>
      <w:r>
        <w:t xml:space="preserve">292 </w:t>
      </w:r>
      <w:r w:rsidR="003F160B">
        <w:t>aged care home</w:t>
      </w:r>
      <w:r>
        <w:t xml:space="preserve">s collected and </w:t>
      </w:r>
      <w:r w:rsidRPr="00140D3A">
        <w:t xml:space="preserve">submitted </w:t>
      </w:r>
      <w:r>
        <w:t xml:space="preserve">acNAPS </w:t>
      </w:r>
      <w:r w:rsidRPr="00140D3A">
        <w:t>data</w:t>
      </w:r>
      <w:r>
        <w:t xml:space="preserve"> to</w:t>
      </w:r>
      <w:r w:rsidR="003F160B">
        <w:t xml:space="preserve"> NCAS;</w:t>
      </w:r>
      <w:r>
        <w:t xml:space="preserve"> 287 participated in 2016. </w:t>
      </w:r>
      <w:r w:rsidR="003D62A3">
        <w:t>In both years</w:t>
      </w:r>
      <w:r>
        <w:t xml:space="preserve"> </w:t>
      </w:r>
      <w:r w:rsidRPr="00140D3A">
        <w:t xml:space="preserve">all states, </w:t>
      </w:r>
      <w:r w:rsidRPr="00757D79">
        <w:t>remoteness areas and organisation types were represe</w:t>
      </w:r>
      <w:r>
        <w:t>nted; there were no participa</w:t>
      </w:r>
      <w:r w:rsidR="003F160B">
        <w:t>nts</w:t>
      </w:r>
      <w:r w:rsidRPr="00757D79">
        <w:t xml:space="preserve"> from </w:t>
      </w:r>
      <w:r w:rsidR="003F160B">
        <w:t xml:space="preserve">either the </w:t>
      </w:r>
      <w:r w:rsidRPr="00757D79">
        <w:t xml:space="preserve">Australian Capital Territory or </w:t>
      </w:r>
      <w:r w:rsidR="003F160B">
        <w:t xml:space="preserve">the </w:t>
      </w:r>
      <w:r w:rsidRPr="00757D79">
        <w:t xml:space="preserve">Northern </w:t>
      </w:r>
      <w:r>
        <w:t xml:space="preserve">Territory. </w:t>
      </w:r>
    </w:p>
    <w:p w:rsidR="00277D58" w:rsidRDefault="00277D58" w:rsidP="00277D58">
      <w:r>
        <w:t xml:space="preserve">Most participating </w:t>
      </w:r>
      <w:r w:rsidR="003F160B" w:rsidRPr="003F160B">
        <w:t xml:space="preserve">aged care homes </w:t>
      </w:r>
      <w:r w:rsidRPr="00757D79">
        <w:t>were located in Victoria (67.8%)</w:t>
      </w:r>
      <w:r w:rsidR="00AC0A30">
        <w:t xml:space="preserve">. More than 40% were </w:t>
      </w:r>
      <w:r w:rsidRPr="00757D79">
        <w:t>classified as inner regional</w:t>
      </w:r>
      <w:r w:rsidR="00AC0A30">
        <w:t>,</w:t>
      </w:r>
      <w:r w:rsidRPr="00757D79">
        <w:t xml:space="preserve"> and</w:t>
      </w:r>
      <w:r>
        <w:t xml:space="preserve"> </w:t>
      </w:r>
      <w:r w:rsidR="00AC0A30">
        <w:t xml:space="preserve">68.2% were </w:t>
      </w:r>
      <w:r w:rsidRPr="00140D3A">
        <w:t xml:space="preserve">state government </w:t>
      </w:r>
      <w:r>
        <w:t xml:space="preserve">operated (Table 1). Of the </w:t>
      </w:r>
      <w:r w:rsidRPr="00AE6964">
        <w:t xml:space="preserve">12,319 </w:t>
      </w:r>
      <w:r w:rsidR="003F160B" w:rsidRPr="003F160B">
        <w:t xml:space="preserve">residents </w:t>
      </w:r>
      <w:r w:rsidRPr="00AE6964">
        <w:t>audited</w:t>
      </w:r>
      <w:r>
        <w:t>, most resided in not-for-profit</w:t>
      </w:r>
      <w:r w:rsidRPr="00AF35BC">
        <w:t xml:space="preserve"> (46.6%)</w:t>
      </w:r>
      <w:r w:rsidRPr="00140D3A">
        <w:t xml:space="preserve"> </w:t>
      </w:r>
      <w:r>
        <w:t xml:space="preserve">and </w:t>
      </w:r>
      <w:r w:rsidRPr="00140D3A">
        <w:t xml:space="preserve">government </w:t>
      </w:r>
      <w:r w:rsidRPr="00AF35BC">
        <w:t>(45.5%)</w:t>
      </w:r>
      <w:r>
        <w:t xml:space="preserve"> operated </w:t>
      </w:r>
      <w:r w:rsidR="003F160B">
        <w:t>aged care homes</w:t>
      </w:r>
      <w:r>
        <w:t>.</w:t>
      </w:r>
    </w:p>
    <w:p w:rsidR="00277D58" w:rsidRPr="00EE0ADF" w:rsidRDefault="00277D58" w:rsidP="00557D08">
      <w:pPr>
        <w:pStyle w:val="FigureTitle"/>
      </w:pPr>
      <w:bookmarkStart w:id="40" w:name="_Toc471808070"/>
      <w:bookmarkStart w:id="41" w:name="_Toc477183303"/>
      <w:r w:rsidRPr="009764F9">
        <w:t xml:space="preserve">Table </w:t>
      </w:r>
      <w:fldSimple w:instr=" SEQ Table \* ARABIC ">
        <w:r w:rsidR="00373260">
          <w:rPr>
            <w:noProof/>
          </w:rPr>
          <w:t>1</w:t>
        </w:r>
      </w:fldSimple>
      <w:r>
        <w:t xml:space="preserve">: </w:t>
      </w:r>
      <w:r w:rsidRPr="00017E84">
        <w:t xml:space="preserve">Participating aged care </w:t>
      </w:r>
      <w:r w:rsidR="00017E84" w:rsidRPr="00017E84">
        <w:t xml:space="preserve">homes </w:t>
      </w:r>
      <w:r w:rsidRPr="00017E84">
        <w:t>by state, remoteness area classification and provider type</w:t>
      </w:r>
      <w:bookmarkEnd w:id="40"/>
      <w:bookmarkEnd w:id="41"/>
      <w:r w:rsidRPr="00017E84">
        <w:t xml:space="preserve"> (2016 and 2017)</w:t>
      </w:r>
      <w:r w:rsidRPr="00757CF4">
        <w:t xml:space="preserve">  </w:t>
      </w:r>
    </w:p>
    <w:tbl>
      <w:tblPr>
        <w:tblStyle w:val="TableGridLight1"/>
        <w:tblW w:w="9747" w:type="dxa"/>
        <w:tblLayout w:type="fixed"/>
        <w:tblLook w:val="04A0" w:firstRow="1" w:lastRow="0" w:firstColumn="1" w:lastColumn="0" w:noHBand="0" w:noVBand="1"/>
      </w:tblPr>
      <w:tblGrid>
        <w:gridCol w:w="1809"/>
        <w:gridCol w:w="2273"/>
        <w:gridCol w:w="916"/>
        <w:gridCol w:w="917"/>
        <w:gridCol w:w="917"/>
        <w:gridCol w:w="917"/>
        <w:gridCol w:w="1998"/>
      </w:tblGrid>
      <w:tr w:rsidR="00277D58" w:rsidRPr="00AA0CBB" w:rsidTr="008A7915">
        <w:trPr>
          <w:trHeight w:val="283"/>
        </w:trPr>
        <w:tc>
          <w:tcPr>
            <w:tcW w:w="4082" w:type="dxa"/>
            <w:gridSpan w:val="2"/>
            <w:vMerge w:val="restart"/>
            <w:noWrap/>
            <w:vAlign w:val="center"/>
            <w:hideMark/>
          </w:tcPr>
          <w:p w:rsidR="00277D58" w:rsidRPr="00AA0CBB" w:rsidRDefault="00277D58" w:rsidP="00797693">
            <w:pPr>
              <w:pStyle w:val="Normal-beforebullets"/>
              <w:rPr>
                <w:lang w:eastAsia="en-AU"/>
              </w:rPr>
            </w:pPr>
          </w:p>
        </w:tc>
        <w:tc>
          <w:tcPr>
            <w:tcW w:w="1833" w:type="dxa"/>
            <w:gridSpan w:val="2"/>
            <w:vAlign w:val="center"/>
            <w:hideMark/>
          </w:tcPr>
          <w:p w:rsidR="00277D58" w:rsidRPr="00AA0CBB" w:rsidRDefault="00277D58" w:rsidP="00797693">
            <w:pPr>
              <w:pStyle w:val="Normal-beforebullets"/>
              <w:jc w:val="center"/>
              <w:rPr>
                <w:b/>
                <w:lang w:eastAsia="en-AU"/>
              </w:rPr>
            </w:pPr>
            <w:r w:rsidRPr="00AA0CBB">
              <w:rPr>
                <w:b/>
                <w:bCs/>
                <w:lang w:eastAsia="en-AU"/>
              </w:rPr>
              <w:t>2016</w:t>
            </w:r>
          </w:p>
        </w:tc>
        <w:tc>
          <w:tcPr>
            <w:tcW w:w="1834" w:type="dxa"/>
            <w:gridSpan w:val="2"/>
            <w:vAlign w:val="center"/>
          </w:tcPr>
          <w:p w:rsidR="00277D58" w:rsidRPr="00AA0CBB" w:rsidRDefault="00277D58" w:rsidP="00797693">
            <w:pPr>
              <w:pStyle w:val="Normal-beforebullets"/>
              <w:jc w:val="center"/>
              <w:rPr>
                <w:b/>
                <w:lang w:eastAsia="en-AU"/>
              </w:rPr>
            </w:pPr>
            <w:r w:rsidRPr="00AA0CBB">
              <w:rPr>
                <w:b/>
                <w:lang w:eastAsia="en-AU"/>
              </w:rPr>
              <w:t>2017</w:t>
            </w:r>
          </w:p>
        </w:tc>
        <w:tc>
          <w:tcPr>
            <w:tcW w:w="1998" w:type="dxa"/>
            <w:vAlign w:val="center"/>
          </w:tcPr>
          <w:p w:rsidR="00277D58" w:rsidRPr="00AA0CBB" w:rsidRDefault="00277D58" w:rsidP="00797693">
            <w:pPr>
              <w:pStyle w:val="Normal-beforebullets"/>
              <w:jc w:val="center"/>
              <w:rPr>
                <w:b/>
                <w:lang w:eastAsia="en-AU"/>
              </w:rPr>
            </w:pPr>
            <w:r w:rsidRPr="00AA0CBB">
              <w:rPr>
                <w:b/>
                <w:lang w:eastAsia="en-AU"/>
              </w:rPr>
              <w:t>2017 residents audited</w:t>
            </w:r>
          </w:p>
        </w:tc>
      </w:tr>
      <w:tr w:rsidR="00277D58" w:rsidRPr="00AA0CBB" w:rsidTr="008A7915">
        <w:trPr>
          <w:trHeight w:val="283"/>
        </w:trPr>
        <w:tc>
          <w:tcPr>
            <w:tcW w:w="4082" w:type="dxa"/>
            <w:gridSpan w:val="2"/>
            <w:vMerge/>
          </w:tcPr>
          <w:p w:rsidR="00277D58" w:rsidRPr="00AA0CBB" w:rsidRDefault="00277D58" w:rsidP="00797693">
            <w:pPr>
              <w:pStyle w:val="Normal-beforebullets"/>
              <w:rPr>
                <w:b/>
                <w:lang w:eastAsia="en-AU"/>
              </w:rPr>
            </w:pPr>
          </w:p>
        </w:tc>
        <w:tc>
          <w:tcPr>
            <w:tcW w:w="916" w:type="dxa"/>
            <w:vAlign w:val="center"/>
          </w:tcPr>
          <w:p w:rsidR="00277D58" w:rsidRPr="00AA0CBB" w:rsidRDefault="00277D58" w:rsidP="00797693">
            <w:pPr>
              <w:pStyle w:val="Normal-beforebullets"/>
              <w:jc w:val="right"/>
              <w:rPr>
                <w:b/>
                <w:lang w:eastAsia="en-AU"/>
              </w:rPr>
            </w:pPr>
            <w:r w:rsidRPr="00AA0CBB">
              <w:rPr>
                <w:b/>
                <w:lang w:eastAsia="en-AU"/>
              </w:rPr>
              <w:t>No.</w:t>
            </w:r>
          </w:p>
        </w:tc>
        <w:tc>
          <w:tcPr>
            <w:tcW w:w="917" w:type="dxa"/>
            <w:vAlign w:val="center"/>
          </w:tcPr>
          <w:p w:rsidR="00277D58" w:rsidRPr="00AA0CBB" w:rsidRDefault="00277D58" w:rsidP="00797693">
            <w:pPr>
              <w:pStyle w:val="Normal-beforebullets"/>
              <w:jc w:val="right"/>
              <w:rPr>
                <w:b/>
                <w:lang w:eastAsia="en-AU"/>
              </w:rPr>
            </w:pPr>
            <w:r w:rsidRPr="00AA0CBB">
              <w:rPr>
                <w:b/>
                <w:lang w:eastAsia="en-AU"/>
              </w:rPr>
              <w:t>%</w:t>
            </w:r>
          </w:p>
        </w:tc>
        <w:tc>
          <w:tcPr>
            <w:tcW w:w="917" w:type="dxa"/>
            <w:vAlign w:val="center"/>
          </w:tcPr>
          <w:p w:rsidR="00277D58" w:rsidRPr="00AA0CBB" w:rsidRDefault="00277D58" w:rsidP="00797693">
            <w:pPr>
              <w:pStyle w:val="Normal-beforebullets"/>
              <w:jc w:val="right"/>
              <w:rPr>
                <w:b/>
                <w:lang w:eastAsia="en-AU"/>
              </w:rPr>
            </w:pPr>
            <w:r w:rsidRPr="00AA0CBB">
              <w:rPr>
                <w:b/>
                <w:lang w:eastAsia="en-AU"/>
              </w:rPr>
              <w:t>No.</w:t>
            </w:r>
          </w:p>
        </w:tc>
        <w:tc>
          <w:tcPr>
            <w:tcW w:w="917" w:type="dxa"/>
            <w:vAlign w:val="center"/>
          </w:tcPr>
          <w:p w:rsidR="00277D58" w:rsidRPr="00AA0CBB" w:rsidRDefault="00277D58" w:rsidP="00797693">
            <w:pPr>
              <w:pStyle w:val="Normal-beforebullets"/>
              <w:jc w:val="right"/>
              <w:rPr>
                <w:b/>
                <w:lang w:eastAsia="en-AU"/>
              </w:rPr>
            </w:pPr>
            <w:r w:rsidRPr="00AA0CBB">
              <w:rPr>
                <w:b/>
                <w:lang w:eastAsia="en-AU"/>
              </w:rPr>
              <w:t>%</w:t>
            </w:r>
          </w:p>
        </w:tc>
        <w:tc>
          <w:tcPr>
            <w:tcW w:w="1998" w:type="dxa"/>
            <w:vAlign w:val="center"/>
          </w:tcPr>
          <w:p w:rsidR="00277D58" w:rsidRPr="00AA0CBB" w:rsidRDefault="00277D58" w:rsidP="00797693">
            <w:pPr>
              <w:pStyle w:val="Normal-beforebullets"/>
              <w:jc w:val="right"/>
              <w:rPr>
                <w:b/>
                <w:lang w:eastAsia="en-AU"/>
              </w:rPr>
            </w:pPr>
            <w:r w:rsidRPr="00AA0CBB">
              <w:rPr>
                <w:b/>
                <w:lang w:eastAsia="en-AU"/>
              </w:rPr>
              <w:t>No.</w:t>
            </w:r>
          </w:p>
        </w:tc>
      </w:tr>
      <w:tr w:rsidR="00277D58" w:rsidRPr="00AA0CBB" w:rsidTr="008A7915">
        <w:trPr>
          <w:trHeight w:val="283"/>
        </w:trPr>
        <w:tc>
          <w:tcPr>
            <w:tcW w:w="1809" w:type="dxa"/>
            <w:vMerge w:val="restart"/>
            <w:hideMark/>
          </w:tcPr>
          <w:p w:rsidR="00277D58" w:rsidRPr="00AA0CBB" w:rsidRDefault="00277D58" w:rsidP="00797693">
            <w:pPr>
              <w:pStyle w:val="Normal-beforebullets"/>
              <w:rPr>
                <w:b/>
                <w:color w:val="000000"/>
                <w:lang w:eastAsia="en-AU"/>
              </w:rPr>
            </w:pPr>
            <w:r w:rsidRPr="00AA0CBB">
              <w:rPr>
                <w:b/>
                <w:color w:val="000000"/>
                <w:lang w:eastAsia="en-AU"/>
              </w:rPr>
              <w:t>State</w:t>
            </w:r>
          </w:p>
        </w:tc>
        <w:tc>
          <w:tcPr>
            <w:tcW w:w="2273" w:type="dxa"/>
            <w:vAlign w:val="center"/>
          </w:tcPr>
          <w:p w:rsidR="00277D58" w:rsidRPr="00AA0CBB" w:rsidRDefault="00277D58" w:rsidP="00797693">
            <w:pPr>
              <w:pStyle w:val="Normal-beforebullets"/>
              <w:rPr>
                <w:b/>
                <w:color w:val="000000"/>
                <w:lang w:eastAsia="en-AU"/>
              </w:rPr>
            </w:pPr>
            <w:r w:rsidRPr="00AA0CBB">
              <w:rPr>
                <w:b/>
                <w:color w:val="000000"/>
                <w:lang w:eastAsia="en-AU"/>
              </w:rPr>
              <w:t>NSW</w:t>
            </w:r>
          </w:p>
        </w:tc>
        <w:tc>
          <w:tcPr>
            <w:tcW w:w="916" w:type="dxa"/>
            <w:vAlign w:val="center"/>
          </w:tcPr>
          <w:p w:rsidR="00277D58" w:rsidRPr="00AA0CBB" w:rsidRDefault="00277D58" w:rsidP="00797693">
            <w:pPr>
              <w:pStyle w:val="Normal-beforebullets"/>
              <w:jc w:val="right"/>
              <w:rPr>
                <w:color w:val="000000"/>
              </w:rPr>
            </w:pPr>
            <w:r w:rsidRPr="00AA0CBB">
              <w:rPr>
                <w:color w:val="000000"/>
              </w:rPr>
              <w:t>36</w:t>
            </w:r>
          </w:p>
        </w:tc>
        <w:tc>
          <w:tcPr>
            <w:tcW w:w="917" w:type="dxa"/>
            <w:vAlign w:val="center"/>
          </w:tcPr>
          <w:p w:rsidR="00277D58" w:rsidRPr="00AA0CBB" w:rsidRDefault="00277D58" w:rsidP="00797693">
            <w:pPr>
              <w:pStyle w:val="Normal-beforebullets"/>
              <w:jc w:val="right"/>
              <w:rPr>
                <w:color w:val="000000"/>
              </w:rPr>
            </w:pPr>
            <w:r w:rsidRPr="00AA0CBB">
              <w:rPr>
                <w:color w:val="000000"/>
              </w:rPr>
              <w:t>12.5</w:t>
            </w:r>
          </w:p>
        </w:tc>
        <w:tc>
          <w:tcPr>
            <w:tcW w:w="917" w:type="dxa"/>
            <w:vAlign w:val="center"/>
          </w:tcPr>
          <w:p w:rsidR="00277D58" w:rsidRPr="00AA0CBB" w:rsidRDefault="00277D58" w:rsidP="00797693">
            <w:pPr>
              <w:pStyle w:val="Normal-beforebullets"/>
              <w:jc w:val="right"/>
              <w:rPr>
                <w:color w:val="000000"/>
              </w:rPr>
            </w:pPr>
            <w:r w:rsidRPr="00AA0CBB">
              <w:rPr>
                <w:color w:val="000000"/>
              </w:rPr>
              <w:t>38</w:t>
            </w:r>
          </w:p>
        </w:tc>
        <w:tc>
          <w:tcPr>
            <w:tcW w:w="917" w:type="dxa"/>
            <w:vAlign w:val="center"/>
          </w:tcPr>
          <w:p w:rsidR="00277D58" w:rsidRPr="00AA0CBB" w:rsidRDefault="00277D58" w:rsidP="00797693">
            <w:pPr>
              <w:pStyle w:val="Normal-beforebullets"/>
              <w:jc w:val="right"/>
              <w:rPr>
                <w:color w:val="000000"/>
              </w:rPr>
            </w:pPr>
            <w:r w:rsidRPr="00AA0CBB">
              <w:rPr>
                <w:color w:val="000000"/>
              </w:rPr>
              <w:t>13.0</w:t>
            </w:r>
          </w:p>
        </w:tc>
        <w:tc>
          <w:tcPr>
            <w:tcW w:w="1998" w:type="dxa"/>
            <w:vAlign w:val="center"/>
          </w:tcPr>
          <w:p w:rsidR="00277D58" w:rsidRPr="00AA0CBB" w:rsidRDefault="00277D58" w:rsidP="00797693">
            <w:pPr>
              <w:pStyle w:val="Normal-beforebullets"/>
              <w:jc w:val="right"/>
              <w:rPr>
                <w:color w:val="000000"/>
              </w:rPr>
            </w:pPr>
            <w:r w:rsidRPr="00AA0CBB">
              <w:rPr>
                <w:color w:val="000000"/>
              </w:rPr>
              <w:t>1</w:t>
            </w:r>
            <w:r>
              <w:rPr>
                <w:color w:val="000000"/>
              </w:rPr>
              <w:t>,</w:t>
            </w:r>
            <w:r w:rsidRPr="00AA0CBB">
              <w:rPr>
                <w:color w:val="000000"/>
              </w:rPr>
              <w:t>378</w:t>
            </w:r>
          </w:p>
        </w:tc>
      </w:tr>
      <w:tr w:rsidR="003F160B" w:rsidRPr="00AA0CBB" w:rsidTr="008A7915">
        <w:trPr>
          <w:trHeight w:val="283"/>
        </w:trPr>
        <w:tc>
          <w:tcPr>
            <w:tcW w:w="1809" w:type="dxa"/>
            <w:vMerge/>
          </w:tcPr>
          <w:p w:rsidR="003F160B" w:rsidRPr="00AA0CBB" w:rsidRDefault="003F160B" w:rsidP="00797693">
            <w:pPr>
              <w:pStyle w:val="Normal-beforebullets"/>
              <w:rPr>
                <w:color w:val="000000"/>
              </w:rPr>
            </w:pPr>
          </w:p>
        </w:tc>
        <w:tc>
          <w:tcPr>
            <w:tcW w:w="2273" w:type="dxa"/>
            <w:vAlign w:val="center"/>
          </w:tcPr>
          <w:p w:rsidR="003F160B" w:rsidRPr="00AA0CBB" w:rsidRDefault="003F160B" w:rsidP="007F1D4B">
            <w:pPr>
              <w:pStyle w:val="Normal-beforebullets"/>
              <w:rPr>
                <w:b/>
                <w:color w:val="000000"/>
                <w:lang w:eastAsia="en-AU"/>
              </w:rPr>
            </w:pPr>
            <w:r w:rsidRPr="00AA0CBB">
              <w:rPr>
                <w:b/>
                <w:color w:val="000000"/>
                <w:lang w:eastAsia="en-AU"/>
              </w:rPr>
              <w:t>Vic</w:t>
            </w:r>
          </w:p>
        </w:tc>
        <w:tc>
          <w:tcPr>
            <w:tcW w:w="916" w:type="dxa"/>
            <w:vAlign w:val="center"/>
          </w:tcPr>
          <w:p w:rsidR="003F160B" w:rsidRPr="00AA0CBB" w:rsidRDefault="003F160B" w:rsidP="007F1D4B">
            <w:pPr>
              <w:pStyle w:val="Normal-beforebullets"/>
              <w:jc w:val="right"/>
              <w:rPr>
                <w:color w:val="000000"/>
              </w:rPr>
            </w:pPr>
            <w:r w:rsidRPr="00AA0CBB">
              <w:rPr>
                <w:color w:val="000000"/>
              </w:rPr>
              <w:t>190</w:t>
            </w:r>
          </w:p>
        </w:tc>
        <w:tc>
          <w:tcPr>
            <w:tcW w:w="917" w:type="dxa"/>
            <w:vAlign w:val="center"/>
          </w:tcPr>
          <w:p w:rsidR="003F160B" w:rsidRPr="00AA0CBB" w:rsidRDefault="003F160B" w:rsidP="007F1D4B">
            <w:pPr>
              <w:pStyle w:val="Normal-beforebullets"/>
              <w:jc w:val="right"/>
              <w:rPr>
                <w:color w:val="000000"/>
              </w:rPr>
            </w:pPr>
            <w:r w:rsidRPr="00AA0CBB">
              <w:rPr>
                <w:color w:val="000000"/>
              </w:rPr>
              <w:t>66.2</w:t>
            </w:r>
          </w:p>
        </w:tc>
        <w:tc>
          <w:tcPr>
            <w:tcW w:w="917" w:type="dxa"/>
            <w:vAlign w:val="center"/>
          </w:tcPr>
          <w:p w:rsidR="003F160B" w:rsidRPr="00AA0CBB" w:rsidRDefault="003F160B" w:rsidP="007F1D4B">
            <w:pPr>
              <w:pStyle w:val="Normal-beforebullets"/>
              <w:jc w:val="right"/>
              <w:rPr>
                <w:color w:val="000000"/>
              </w:rPr>
            </w:pPr>
            <w:r w:rsidRPr="00AA0CBB">
              <w:rPr>
                <w:color w:val="000000"/>
              </w:rPr>
              <w:t>198</w:t>
            </w:r>
          </w:p>
        </w:tc>
        <w:tc>
          <w:tcPr>
            <w:tcW w:w="917" w:type="dxa"/>
            <w:vAlign w:val="center"/>
          </w:tcPr>
          <w:p w:rsidR="003F160B" w:rsidRPr="00AA0CBB" w:rsidRDefault="003F160B" w:rsidP="007F1D4B">
            <w:pPr>
              <w:pStyle w:val="Normal-beforebullets"/>
              <w:jc w:val="right"/>
              <w:rPr>
                <w:color w:val="000000"/>
              </w:rPr>
            </w:pPr>
            <w:r w:rsidRPr="00AA0CBB">
              <w:rPr>
                <w:color w:val="000000"/>
              </w:rPr>
              <w:t>67.8</w:t>
            </w:r>
          </w:p>
        </w:tc>
        <w:tc>
          <w:tcPr>
            <w:tcW w:w="1998" w:type="dxa"/>
            <w:vAlign w:val="center"/>
          </w:tcPr>
          <w:p w:rsidR="003F160B" w:rsidRPr="00AA0CBB" w:rsidRDefault="003F160B" w:rsidP="007F1D4B">
            <w:pPr>
              <w:pStyle w:val="Normal-beforebullets"/>
              <w:jc w:val="right"/>
              <w:rPr>
                <w:color w:val="000000"/>
              </w:rPr>
            </w:pPr>
            <w:r w:rsidRPr="00AA0CBB">
              <w:rPr>
                <w:color w:val="000000"/>
              </w:rPr>
              <w:t>6</w:t>
            </w:r>
            <w:r>
              <w:rPr>
                <w:color w:val="000000"/>
              </w:rPr>
              <w:t>,</w:t>
            </w:r>
            <w:r w:rsidRPr="00AA0CBB">
              <w:rPr>
                <w:color w:val="000000"/>
              </w:rPr>
              <w:t>7</w:t>
            </w:r>
            <w:r>
              <w:rPr>
                <w:color w:val="000000"/>
              </w:rPr>
              <w:t>62</w:t>
            </w:r>
          </w:p>
        </w:tc>
      </w:tr>
      <w:tr w:rsidR="003F160B" w:rsidRPr="00AA0CBB" w:rsidTr="008A7915">
        <w:trPr>
          <w:trHeight w:val="283"/>
        </w:trPr>
        <w:tc>
          <w:tcPr>
            <w:tcW w:w="1809" w:type="dxa"/>
            <w:vMerge/>
          </w:tcPr>
          <w:p w:rsidR="003F160B" w:rsidRPr="00AA0CBB" w:rsidRDefault="003F160B" w:rsidP="00797693">
            <w:pPr>
              <w:pStyle w:val="Normal-beforebullets"/>
              <w:rPr>
                <w:color w:val="000000"/>
                <w:lang w:eastAsia="en-AU"/>
              </w:rPr>
            </w:pPr>
          </w:p>
        </w:tc>
        <w:tc>
          <w:tcPr>
            <w:tcW w:w="2273" w:type="dxa"/>
            <w:vAlign w:val="center"/>
          </w:tcPr>
          <w:p w:rsidR="003F160B" w:rsidRPr="00AA0CBB" w:rsidRDefault="003F160B" w:rsidP="00797693">
            <w:pPr>
              <w:pStyle w:val="Normal-beforebullets"/>
              <w:rPr>
                <w:b/>
                <w:color w:val="000000"/>
                <w:lang w:eastAsia="en-AU"/>
              </w:rPr>
            </w:pPr>
            <w:r w:rsidRPr="00AA0CBB">
              <w:rPr>
                <w:b/>
                <w:color w:val="000000"/>
                <w:lang w:eastAsia="en-AU"/>
              </w:rPr>
              <w:t>Q</w:t>
            </w:r>
            <w:r w:rsidR="0018575F">
              <w:rPr>
                <w:b/>
                <w:color w:val="000000"/>
                <w:lang w:eastAsia="en-AU"/>
              </w:rPr>
              <w:t>LD</w:t>
            </w:r>
          </w:p>
        </w:tc>
        <w:tc>
          <w:tcPr>
            <w:tcW w:w="916" w:type="dxa"/>
            <w:vAlign w:val="center"/>
          </w:tcPr>
          <w:p w:rsidR="003F160B" w:rsidRPr="00AA0CBB" w:rsidRDefault="003F160B" w:rsidP="00797693">
            <w:pPr>
              <w:pStyle w:val="Normal-beforebullets"/>
              <w:jc w:val="right"/>
              <w:rPr>
                <w:color w:val="000000"/>
              </w:rPr>
            </w:pPr>
            <w:r w:rsidRPr="00AA0CBB">
              <w:rPr>
                <w:color w:val="000000"/>
              </w:rPr>
              <w:t>28</w:t>
            </w:r>
          </w:p>
        </w:tc>
        <w:tc>
          <w:tcPr>
            <w:tcW w:w="917" w:type="dxa"/>
            <w:vAlign w:val="center"/>
          </w:tcPr>
          <w:p w:rsidR="003F160B" w:rsidRPr="00AA0CBB" w:rsidRDefault="003F160B" w:rsidP="00797693">
            <w:pPr>
              <w:pStyle w:val="Normal-beforebullets"/>
              <w:jc w:val="right"/>
              <w:rPr>
                <w:color w:val="000000"/>
              </w:rPr>
            </w:pPr>
            <w:r w:rsidRPr="00AA0CBB">
              <w:rPr>
                <w:color w:val="000000"/>
              </w:rPr>
              <w:t>9.8</w:t>
            </w:r>
          </w:p>
        </w:tc>
        <w:tc>
          <w:tcPr>
            <w:tcW w:w="917" w:type="dxa"/>
            <w:vAlign w:val="center"/>
          </w:tcPr>
          <w:p w:rsidR="003F160B" w:rsidRPr="00AA0CBB" w:rsidRDefault="003F160B" w:rsidP="00797693">
            <w:pPr>
              <w:pStyle w:val="Normal-beforebullets"/>
              <w:jc w:val="right"/>
              <w:rPr>
                <w:color w:val="000000"/>
              </w:rPr>
            </w:pPr>
            <w:r w:rsidRPr="00AA0CBB">
              <w:rPr>
                <w:color w:val="000000"/>
              </w:rPr>
              <w:t>19</w:t>
            </w:r>
          </w:p>
        </w:tc>
        <w:tc>
          <w:tcPr>
            <w:tcW w:w="917" w:type="dxa"/>
            <w:vAlign w:val="center"/>
          </w:tcPr>
          <w:p w:rsidR="003F160B" w:rsidRPr="00AA0CBB" w:rsidRDefault="003F160B" w:rsidP="00797693">
            <w:pPr>
              <w:pStyle w:val="Normal-beforebullets"/>
              <w:jc w:val="right"/>
              <w:rPr>
                <w:color w:val="000000"/>
              </w:rPr>
            </w:pPr>
            <w:r w:rsidRPr="00AA0CBB">
              <w:rPr>
                <w:color w:val="000000"/>
              </w:rPr>
              <w:t>6.5</w:t>
            </w:r>
          </w:p>
        </w:tc>
        <w:tc>
          <w:tcPr>
            <w:tcW w:w="1998" w:type="dxa"/>
            <w:vAlign w:val="center"/>
          </w:tcPr>
          <w:p w:rsidR="003F160B" w:rsidRPr="00AA0CBB" w:rsidRDefault="003F160B" w:rsidP="00797693">
            <w:pPr>
              <w:pStyle w:val="Normal-beforebullets"/>
              <w:jc w:val="right"/>
              <w:rPr>
                <w:color w:val="000000"/>
              </w:rPr>
            </w:pPr>
            <w:r w:rsidRPr="00AA0CBB">
              <w:rPr>
                <w:color w:val="000000"/>
              </w:rPr>
              <w:t>1</w:t>
            </w:r>
            <w:r>
              <w:rPr>
                <w:color w:val="000000"/>
              </w:rPr>
              <w:t>,</w:t>
            </w:r>
            <w:r w:rsidRPr="00AA0CBB">
              <w:rPr>
                <w:color w:val="000000"/>
              </w:rPr>
              <w:t>366</w:t>
            </w:r>
          </w:p>
        </w:tc>
      </w:tr>
      <w:tr w:rsidR="003F160B" w:rsidRPr="00AA0CBB" w:rsidTr="008A7915">
        <w:trPr>
          <w:trHeight w:val="283"/>
        </w:trPr>
        <w:tc>
          <w:tcPr>
            <w:tcW w:w="1809" w:type="dxa"/>
            <w:vMerge/>
            <w:hideMark/>
          </w:tcPr>
          <w:p w:rsidR="003F160B" w:rsidRPr="00AA0CBB" w:rsidRDefault="003F160B" w:rsidP="00797693">
            <w:pPr>
              <w:pStyle w:val="Normal-beforebullets"/>
              <w:rPr>
                <w:color w:val="000000"/>
                <w:lang w:eastAsia="en-AU"/>
              </w:rPr>
            </w:pPr>
          </w:p>
        </w:tc>
        <w:tc>
          <w:tcPr>
            <w:tcW w:w="2273" w:type="dxa"/>
            <w:vAlign w:val="center"/>
          </w:tcPr>
          <w:p w:rsidR="003F160B" w:rsidRPr="00AA0CBB" w:rsidRDefault="003F160B" w:rsidP="00797693">
            <w:pPr>
              <w:pStyle w:val="Normal-beforebullets"/>
              <w:rPr>
                <w:b/>
                <w:color w:val="000000"/>
                <w:lang w:eastAsia="en-AU"/>
              </w:rPr>
            </w:pPr>
            <w:r w:rsidRPr="00AA0CBB">
              <w:rPr>
                <w:b/>
                <w:color w:val="000000"/>
                <w:lang w:eastAsia="en-AU"/>
              </w:rPr>
              <w:t>SA</w:t>
            </w:r>
          </w:p>
        </w:tc>
        <w:tc>
          <w:tcPr>
            <w:tcW w:w="916" w:type="dxa"/>
            <w:vAlign w:val="center"/>
          </w:tcPr>
          <w:p w:rsidR="003F160B" w:rsidRPr="00AA0CBB" w:rsidRDefault="003F160B" w:rsidP="00797693">
            <w:pPr>
              <w:pStyle w:val="Normal-beforebullets"/>
              <w:jc w:val="right"/>
              <w:rPr>
                <w:color w:val="000000"/>
              </w:rPr>
            </w:pPr>
            <w:r w:rsidRPr="00AA0CBB">
              <w:rPr>
                <w:color w:val="000000"/>
              </w:rPr>
              <w:t>7</w:t>
            </w:r>
          </w:p>
        </w:tc>
        <w:tc>
          <w:tcPr>
            <w:tcW w:w="917" w:type="dxa"/>
            <w:vAlign w:val="center"/>
          </w:tcPr>
          <w:p w:rsidR="003F160B" w:rsidRPr="00AA0CBB" w:rsidRDefault="003F160B" w:rsidP="00797693">
            <w:pPr>
              <w:pStyle w:val="Normal-beforebullets"/>
              <w:jc w:val="right"/>
              <w:rPr>
                <w:color w:val="000000"/>
              </w:rPr>
            </w:pPr>
            <w:r w:rsidRPr="00AA0CBB">
              <w:rPr>
                <w:color w:val="000000"/>
              </w:rPr>
              <w:t>2.4</w:t>
            </w:r>
          </w:p>
        </w:tc>
        <w:tc>
          <w:tcPr>
            <w:tcW w:w="917" w:type="dxa"/>
            <w:vAlign w:val="center"/>
          </w:tcPr>
          <w:p w:rsidR="003F160B" w:rsidRPr="00AA0CBB" w:rsidRDefault="003F160B" w:rsidP="00797693">
            <w:pPr>
              <w:pStyle w:val="Normal-beforebullets"/>
              <w:jc w:val="right"/>
              <w:rPr>
                <w:color w:val="000000"/>
              </w:rPr>
            </w:pPr>
            <w:r w:rsidRPr="00AA0CBB">
              <w:rPr>
                <w:color w:val="000000"/>
              </w:rPr>
              <w:t>8</w:t>
            </w:r>
          </w:p>
        </w:tc>
        <w:tc>
          <w:tcPr>
            <w:tcW w:w="917" w:type="dxa"/>
            <w:vAlign w:val="center"/>
          </w:tcPr>
          <w:p w:rsidR="003F160B" w:rsidRPr="00AA0CBB" w:rsidRDefault="003F160B" w:rsidP="00797693">
            <w:pPr>
              <w:pStyle w:val="Normal-beforebullets"/>
              <w:jc w:val="right"/>
              <w:rPr>
                <w:color w:val="000000"/>
              </w:rPr>
            </w:pPr>
            <w:r w:rsidRPr="00AA0CBB">
              <w:rPr>
                <w:color w:val="000000"/>
              </w:rPr>
              <w:t>2.7</w:t>
            </w:r>
          </w:p>
        </w:tc>
        <w:tc>
          <w:tcPr>
            <w:tcW w:w="1998" w:type="dxa"/>
            <w:vAlign w:val="center"/>
          </w:tcPr>
          <w:p w:rsidR="003F160B" w:rsidRPr="00AA0CBB" w:rsidRDefault="003F160B" w:rsidP="00797693">
            <w:pPr>
              <w:pStyle w:val="Normal-beforebullets"/>
              <w:jc w:val="right"/>
              <w:rPr>
                <w:color w:val="000000"/>
              </w:rPr>
            </w:pPr>
            <w:r w:rsidRPr="00AA0CBB">
              <w:rPr>
                <w:color w:val="000000"/>
              </w:rPr>
              <w:t>788</w:t>
            </w:r>
          </w:p>
        </w:tc>
      </w:tr>
      <w:tr w:rsidR="007E7001" w:rsidRPr="00AA0CBB" w:rsidTr="008A7915">
        <w:trPr>
          <w:trHeight w:val="283"/>
        </w:trPr>
        <w:tc>
          <w:tcPr>
            <w:tcW w:w="1809" w:type="dxa"/>
            <w:vMerge/>
          </w:tcPr>
          <w:p w:rsidR="007E7001" w:rsidRPr="00AA0CBB" w:rsidRDefault="007E7001" w:rsidP="00797693">
            <w:pPr>
              <w:pStyle w:val="Normal-beforebullets"/>
              <w:rPr>
                <w:color w:val="000000"/>
              </w:rPr>
            </w:pPr>
          </w:p>
        </w:tc>
        <w:tc>
          <w:tcPr>
            <w:tcW w:w="2273" w:type="dxa"/>
            <w:vAlign w:val="center"/>
          </w:tcPr>
          <w:p w:rsidR="007E7001" w:rsidRPr="00AA0CBB" w:rsidRDefault="007E7001" w:rsidP="007F1D4B">
            <w:pPr>
              <w:pStyle w:val="Normal-beforebullets"/>
              <w:rPr>
                <w:b/>
                <w:color w:val="000000"/>
                <w:lang w:eastAsia="en-AU"/>
              </w:rPr>
            </w:pPr>
            <w:r w:rsidRPr="00AA0CBB">
              <w:rPr>
                <w:b/>
                <w:color w:val="000000"/>
                <w:lang w:eastAsia="en-AU"/>
              </w:rPr>
              <w:t>WA</w:t>
            </w:r>
          </w:p>
        </w:tc>
        <w:tc>
          <w:tcPr>
            <w:tcW w:w="916" w:type="dxa"/>
            <w:vAlign w:val="center"/>
          </w:tcPr>
          <w:p w:rsidR="007E7001" w:rsidRPr="00AA0CBB" w:rsidRDefault="007E7001" w:rsidP="007F1D4B">
            <w:pPr>
              <w:pStyle w:val="Normal-beforebullets"/>
              <w:jc w:val="right"/>
              <w:rPr>
                <w:color w:val="000000"/>
              </w:rPr>
            </w:pPr>
            <w:r w:rsidRPr="00AA0CBB">
              <w:rPr>
                <w:color w:val="000000"/>
              </w:rPr>
              <w:t>15</w:t>
            </w:r>
          </w:p>
        </w:tc>
        <w:tc>
          <w:tcPr>
            <w:tcW w:w="917" w:type="dxa"/>
            <w:vAlign w:val="center"/>
          </w:tcPr>
          <w:p w:rsidR="007E7001" w:rsidRPr="00AA0CBB" w:rsidRDefault="007E7001" w:rsidP="007F1D4B">
            <w:pPr>
              <w:pStyle w:val="Normal-beforebullets"/>
              <w:jc w:val="right"/>
              <w:rPr>
                <w:color w:val="000000"/>
              </w:rPr>
            </w:pPr>
            <w:r w:rsidRPr="00AA0CBB">
              <w:rPr>
                <w:color w:val="000000"/>
              </w:rPr>
              <w:t>5.2</w:t>
            </w:r>
          </w:p>
        </w:tc>
        <w:tc>
          <w:tcPr>
            <w:tcW w:w="917" w:type="dxa"/>
            <w:vAlign w:val="center"/>
          </w:tcPr>
          <w:p w:rsidR="007E7001" w:rsidRPr="00AA0CBB" w:rsidRDefault="007E7001" w:rsidP="007F1D4B">
            <w:pPr>
              <w:pStyle w:val="Normal-beforebullets"/>
              <w:jc w:val="right"/>
              <w:rPr>
                <w:color w:val="000000"/>
              </w:rPr>
            </w:pPr>
            <w:r w:rsidRPr="00AA0CBB">
              <w:rPr>
                <w:color w:val="000000"/>
              </w:rPr>
              <w:t>21</w:t>
            </w:r>
          </w:p>
        </w:tc>
        <w:tc>
          <w:tcPr>
            <w:tcW w:w="917" w:type="dxa"/>
            <w:vAlign w:val="center"/>
          </w:tcPr>
          <w:p w:rsidR="007E7001" w:rsidRPr="00AA0CBB" w:rsidRDefault="007E7001" w:rsidP="007F1D4B">
            <w:pPr>
              <w:pStyle w:val="Normal-beforebullets"/>
              <w:jc w:val="right"/>
              <w:rPr>
                <w:color w:val="000000"/>
              </w:rPr>
            </w:pPr>
            <w:r w:rsidRPr="00AA0CBB">
              <w:rPr>
                <w:color w:val="000000"/>
              </w:rPr>
              <w:t>7.2</w:t>
            </w:r>
          </w:p>
        </w:tc>
        <w:tc>
          <w:tcPr>
            <w:tcW w:w="1998" w:type="dxa"/>
            <w:vAlign w:val="center"/>
          </w:tcPr>
          <w:p w:rsidR="007E7001" w:rsidRPr="00AA0CBB" w:rsidRDefault="007E7001" w:rsidP="007F1D4B">
            <w:pPr>
              <w:pStyle w:val="Normal-beforebullets"/>
              <w:jc w:val="right"/>
              <w:rPr>
                <w:color w:val="000000"/>
              </w:rPr>
            </w:pPr>
            <w:r w:rsidRPr="00AA0CBB">
              <w:rPr>
                <w:color w:val="000000"/>
              </w:rPr>
              <w:t>1</w:t>
            </w:r>
            <w:r>
              <w:rPr>
                <w:color w:val="000000"/>
              </w:rPr>
              <w:t>,</w:t>
            </w:r>
            <w:r w:rsidRPr="00AA0CBB">
              <w:rPr>
                <w:color w:val="000000"/>
              </w:rPr>
              <w:t>632</w:t>
            </w:r>
          </w:p>
        </w:tc>
      </w:tr>
      <w:tr w:rsidR="007E7001" w:rsidRPr="00AA0CBB" w:rsidTr="008A7915">
        <w:trPr>
          <w:trHeight w:val="283"/>
        </w:trPr>
        <w:tc>
          <w:tcPr>
            <w:tcW w:w="1809" w:type="dxa"/>
            <w:vMerge/>
          </w:tcPr>
          <w:p w:rsidR="007E7001" w:rsidRPr="00AA0CBB" w:rsidRDefault="007E7001" w:rsidP="00797693">
            <w:pPr>
              <w:pStyle w:val="Normal-beforebullets"/>
              <w:rPr>
                <w:color w:val="000000"/>
                <w:lang w:eastAsia="en-AU"/>
              </w:rPr>
            </w:pPr>
          </w:p>
        </w:tc>
        <w:tc>
          <w:tcPr>
            <w:tcW w:w="2273" w:type="dxa"/>
            <w:vAlign w:val="center"/>
          </w:tcPr>
          <w:p w:rsidR="007E7001" w:rsidRPr="00AA0CBB" w:rsidRDefault="007E7001" w:rsidP="00797693">
            <w:pPr>
              <w:pStyle w:val="Normal-beforebullets"/>
              <w:rPr>
                <w:b/>
                <w:color w:val="000000"/>
                <w:lang w:eastAsia="en-AU"/>
              </w:rPr>
            </w:pPr>
            <w:proofErr w:type="spellStart"/>
            <w:r w:rsidRPr="00AA0CBB">
              <w:rPr>
                <w:b/>
                <w:color w:val="000000"/>
                <w:lang w:eastAsia="en-AU"/>
              </w:rPr>
              <w:t>Tas</w:t>
            </w:r>
            <w:proofErr w:type="spellEnd"/>
          </w:p>
        </w:tc>
        <w:tc>
          <w:tcPr>
            <w:tcW w:w="916" w:type="dxa"/>
            <w:vAlign w:val="center"/>
          </w:tcPr>
          <w:p w:rsidR="007E7001" w:rsidRPr="00AA0CBB" w:rsidRDefault="007E7001" w:rsidP="00797693">
            <w:pPr>
              <w:pStyle w:val="Normal-beforebullets"/>
              <w:jc w:val="right"/>
              <w:rPr>
                <w:color w:val="000000"/>
              </w:rPr>
            </w:pPr>
            <w:r w:rsidRPr="00AA0CBB">
              <w:rPr>
                <w:color w:val="000000"/>
              </w:rPr>
              <w:t>11</w:t>
            </w:r>
          </w:p>
        </w:tc>
        <w:tc>
          <w:tcPr>
            <w:tcW w:w="917" w:type="dxa"/>
            <w:vAlign w:val="center"/>
          </w:tcPr>
          <w:p w:rsidR="007E7001" w:rsidRPr="00AA0CBB" w:rsidRDefault="007E7001" w:rsidP="00797693">
            <w:pPr>
              <w:pStyle w:val="Normal-beforebullets"/>
              <w:jc w:val="right"/>
              <w:rPr>
                <w:color w:val="000000"/>
              </w:rPr>
            </w:pPr>
            <w:r w:rsidRPr="00AA0CBB">
              <w:rPr>
                <w:color w:val="000000"/>
              </w:rPr>
              <w:t>3.8</w:t>
            </w:r>
          </w:p>
        </w:tc>
        <w:tc>
          <w:tcPr>
            <w:tcW w:w="917" w:type="dxa"/>
            <w:vAlign w:val="center"/>
          </w:tcPr>
          <w:p w:rsidR="007E7001" w:rsidRPr="00AA0CBB" w:rsidRDefault="007E7001" w:rsidP="00797693">
            <w:pPr>
              <w:pStyle w:val="Normal-beforebullets"/>
              <w:jc w:val="right"/>
              <w:rPr>
                <w:color w:val="000000"/>
              </w:rPr>
            </w:pPr>
            <w:r w:rsidRPr="00AA0CBB">
              <w:rPr>
                <w:color w:val="000000"/>
              </w:rPr>
              <w:t>8</w:t>
            </w:r>
          </w:p>
        </w:tc>
        <w:tc>
          <w:tcPr>
            <w:tcW w:w="917" w:type="dxa"/>
            <w:vAlign w:val="center"/>
          </w:tcPr>
          <w:p w:rsidR="007E7001" w:rsidRPr="00AA0CBB" w:rsidRDefault="007E7001" w:rsidP="00797693">
            <w:pPr>
              <w:pStyle w:val="Normal-beforebullets"/>
              <w:jc w:val="right"/>
              <w:rPr>
                <w:color w:val="000000"/>
              </w:rPr>
            </w:pPr>
            <w:r w:rsidRPr="00AA0CBB">
              <w:rPr>
                <w:color w:val="000000"/>
              </w:rPr>
              <w:t>2.7</w:t>
            </w:r>
          </w:p>
        </w:tc>
        <w:tc>
          <w:tcPr>
            <w:tcW w:w="1998" w:type="dxa"/>
            <w:vAlign w:val="center"/>
          </w:tcPr>
          <w:p w:rsidR="007E7001" w:rsidRPr="00AA0CBB" w:rsidRDefault="007E7001" w:rsidP="00797693">
            <w:pPr>
              <w:pStyle w:val="Normal-beforebullets"/>
              <w:jc w:val="right"/>
              <w:rPr>
                <w:color w:val="000000"/>
              </w:rPr>
            </w:pPr>
            <w:r w:rsidRPr="00AA0CBB">
              <w:rPr>
                <w:color w:val="000000"/>
              </w:rPr>
              <w:t>381</w:t>
            </w:r>
          </w:p>
        </w:tc>
      </w:tr>
      <w:tr w:rsidR="007E7001" w:rsidRPr="00AA0CBB" w:rsidTr="008A7915">
        <w:trPr>
          <w:trHeight w:val="283"/>
        </w:trPr>
        <w:tc>
          <w:tcPr>
            <w:tcW w:w="1809" w:type="dxa"/>
            <w:vMerge w:val="restart"/>
            <w:hideMark/>
          </w:tcPr>
          <w:p w:rsidR="007E7001" w:rsidRPr="00AA0CBB" w:rsidRDefault="007E7001" w:rsidP="00797693">
            <w:pPr>
              <w:pStyle w:val="Normal-beforebullets"/>
              <w:rPr>
                <w:b/>
                <w:color w:val="000000"/>
                <w:lang w:eastAsia="en-AU"/>
              </w:rPr>
            </w:pPr>
            <w:r w:rsidRPr="00AA0CBB">
              <w:rPr>
                <w:b/>
                <w:color w:val="000000"/>
                <w:lang w:eastAsia="en-AU"/>
              </w:rPr>
              <w:t>Remoteness</w:t>
            </w:r>
          </w:p>
        </w:tc>
        <w:tc>
          <w:tcPr>
            <w:tcW w:w="2273" w:type="dxa"/>
            <w:vAlign w:val="center"/>
            <w:hideMark/>
          </w:tcPr>
          <w:p w:rsidR="007E7001" w:rsidRPr="00AA0CBB" w:rsidRDefault="007E7001" w:rsidP="00797693">
            <w:pPr>
              <w:pStyle w:val="Normal-beforebullets"/>
              <w:rPr>
                <w:b/>
                <w:color w:val="000000"/>
                <w:lang w:eastAsia="en-AU"/>
              </w:rPr>
            </w:pPr>
            <w:r w:rsidRPr="00AA0CBB">
              <w:rPr>
                <w:b/>
                <w:color w:val="000000"/>
                <w:lang w:eastAsia="en-AU"/>
              </w:rPr>
              <w:t>Major Cities</w:t>
            </w:r>
          </w:p>
        </w:tc>
        <w:tc>
          <w:tcPr>
            <w:tcW w:w="916" w:type="dxa"/>
            <w:vAlign w:val="center"/>
          </w:tcPr>
          <w:p w:rsidR="007E7001" w:rsidRPr="00AA0CBB" w:rsidRDefault="007E7001" w:rsidP="00797693">
            <w:pPr>
              <w:pStyle w:val="Normal-beforebullets"/>
              <w:jc w:val="right"/>
              <w:rPr>
                <w:color w:val="000000"/>
              </w:rPr>
            </w:pPr>
            <w:r w:rsidRPr="00AA0CBB">
              <w:rPr>
                <w:color w:val="000000"/>
              </w:rPr>
              <w:t>82</w:t>
            </w:r>
          </w:p>
        </w:tc>
        <w:tc>
          <w:tcPr>
            <w:tcW w:w="917" w:type="dxa"/>
            <w:vAlign w:val="center"/>
          </w:tcPr>
          <w:p w:rsidR="007E7001" w:rsidRPr="00AA0CBB" w:rsidRDefault="007E7001" w:rsidP="00797693">
            <w:pPr>
              <w:pStyle w:val="Normal-beforebullets"/>
              <w:jc w:val="right"/>
              <w:rPr>
                <w:color w:val="000000"/>
              </w:rPr>
            </w:pPr>
            <w:r w:rsidRPr="00AA0CBB">
              <w:rPr>
                <w:color w:val="000000"/>
              </w:rPr>
              <w:t>28.6</w:t>
            </w:r>
          </w:p>
        </w:tc>
        <w:tc>
          <w:tcPr>
            <w:tcW w:w="917" w:type="dxa"/>
            <w:vAlign w:val="center"/>
          </w:tcPr>
          <w:p w:rsidR="007E7001" w:rsidRPr="00AA0CBB" w:rsidRDefault="007E7001" w:rsidP="00797693">
            <w:pPr>
              <w:pStyle w:val="Normal-beforebullets"/>
              <w:jc w:val="right"/>
              <w:rPr>
                <w:color w:val="000000"/>
              </w:rPr>
            </w:pPr>
            <w:r w:rsidRPr="00AA0CBB">
              <w:rPr>
                <w:color w:val="000000"/>
              </w:rPr>
              <w:t>87</w:t>
            </w:r>
          </w:p>
        </w:tc>
        <w:tc>
          <w:tcPr>
            <w:tcW w:w="917" w:type="dxa"/>
            <w:vAlign w:val="center"/>
          </w:tcPr>
          <w:p w:rsidR="007E7001" w:rsidRPr="00AA0CBB" w:rsidRDefault="007E7001" w:rsidP="00797693">
            <w:pPr>
              <w:pStyle w:val="Normal-beforebullets"/>
              <w:jc w:val="right"/>
              <w:rPr>
                <w:color w:val="000000"/>
              </w:rPr>
            </w:pPr>
            <w:r w:rsidRPr="00AA0CBB">
              <w:rPr>
                <w:color w:val="000000"/>
              </w:rPr>
              <w:t>29.8</w:t>
            </w:r>
          </w:p>
        </w:tc>
        <w:tc>
          <w:tcPr>
            <w:tcW w:w="1998" w:type="dxa"/>
            <w:vAlign w:val="center"/>
          </w:tcPr>
          <w:p w:rsidR="007E7001" w:rsidRPr="00AA0CBB" w:rsidRDefault="007E7001" w:rsidP="00797693">
            <w:pPr>
              <w:pStyle w:val="Normal-beforebullets"/>
              <w:jc w:val="right"/>
              <w:rPr>
                <w:color w:val="000000"/>
              </w:rPr>
            </w:pPr>
            <w:r w:rsidRPr="00AA0CBB">
              <w:rPr>
                <w:color w:val="000000"/>
              </w:rPr>
              <w:t>5</w:t>
            </w:r>
            <w:r>
              <w:rPr>
                <w:color w:val="000000"/>
              </w:rPr>
              <w:t>,</w:t>
            </w:r>
            <w:r w:rsidRPr="00AA0CBB">
              <w:rPr>
                <w:color w:val="000000"/>
              </w:rPr>
              <w:t>817</w:t>
            </w:r>
          </w:p>
        </w:tc>
      </w:tr>
      <w:tr w:rsidR="007E7001" w:rsidRPr="00AA0CBB" w:rsidTr="008A7915">
        <w:trPr>
          <w:trHeight w:val="283"/>
        </w:trPr>
        <w:tc>
          <w:tcPr>
            <w:tcW w:w="1809" w:type="dxa"/>
            <w:vMerge/>
            <w:hideMark/>
          </w:tcPr>
          <w:p w:rsidR="007E7001" w:rsidRPr="00AA0CBB" w:rsidRDefault="007E7001" w:rsidP="00797693">
            <w:pPr>
              <w:pStyle w:val="Normal-beforebullets"/>
              <w:rPr>
                <w:b/>
                <w:color w:val="000000"/>
                <w:lang w:eastAsia="en-AU"/>
              </w:rPr>
            </w:pPr>
          </w:p>
        </w:tc>
        <w:tc>
          <w:tcPr>
            <w:tcW w:w="2273" w:type="dxa"/>
            <w:vAlign w:val="center"/>
            <w:hideMark/>
          </w:tcPr>
          <w:p w:rsidR="007E7001" w:rsidRPr="00AA0CBB" w:rsidRDefault="007E7001" w:rsidP="00797693">
            <w:pPr>
              <w:pStyle w:val="Normal-beforebullets"/>
              <w:rPr>
                <w:b/>
                <w:color w:val="000000"/>
                <w:lang w:eastAsia="en-AU"/>
              </w:rPr>
            </w:pPr>
            <w:r w:rsidRPr="00AA0CBB">
              <w:rPr>
                <w:b/>
                <w:color w:val="000000"/>
                <w:lang w:eastAsia="en-AU"/>
              </w:rPr>
              <w:t>Inner regional</w:t>
            </w:r>
          </w:p>
        </w:tc>
        <w:tc>
          <w:tcPr>
            <w:tcW w:w="916" w:type="dxa"/>
            <w:vAlign w:val="center"/>
          </w:tcPr>
          <w:p w:rsidR="007E7001" w:rsidRPr="00AA0CBB" w:rsidRDefault="007E7001" w:rsidP="00797693">
            <w:pPr>
              <w:pStyle w:val="Normal-beforebullets"/>
              <w:jc w:val="right"/>
              <w:rPr>
                <w:color w:val="000000"/>
              </w:rPr>
            </w:pPr>
            <w:r w:rsidRPr="00AA0CBB">
              <w:rPr>
                <w:color w:val="000000"/>
              </w:rPr>
              <w:t>120</w:t>
            </w:r>
          </w:p>
        </w:tc>
        <w:tc>
          <w:tcPr>
            <w:tcW w:w="917" w:type="dxa"/>
            <w:vAlign w:val="center"/>
          </w:tcPr>
          <w:p w:rsidR="007E7001" w:rsidRPr="00AA0CBB" w:rsidRDefault="007E7001" w:rsidP="00797693">
            <w:pPr>
              <w:pStyle w:val="Normal-beforebullets"/>
              <w:jc w:val="right"/>
              <w:rPr>
                <w:color w:val="000000"/>
              </w:rPr>
            </w:pPr>
            <w:r w:rsidRPr="00AA0CBB">
              <w:rPr>
                <w:color w:val="000000"/>
              </w:rPr>
              <w:t>41.8</w:t>
            </w:r>
          </w:p>
        </w:tc>
        <w:tc>
          <w:tcPr>
            <w:tcW w:w="917" w:type="dxa"/>
            <w:vAlign w:val="center"/>
          </w:tcPr>
          <w:p w:rsidR="007E7001" w:rsidRPr="00AA0CBB" w:rsidRDefault="007E7001" w:rsidP="00797693">
            <w:pPr>
              <w:pStyle w:val="Normal-beforebullets"/>
              <w:jc w:val="right"/>
              <w:rPr>
                <w:color w:val="000000"/>
              </w:rPr>
            </w:pPr>
            <w:r w:rsidRPr="00AA0CBB">
              <w:rPr>
                <w:color w:val="000000"/>
              </w:rPr>
              <w:t>128</w:t>
            </w:r>
          </w:p>
        </w:tc>
        <w:tc>
          <w:tcPr>
            <w:tcW w:w="917" w:type="dxa"/>
            <w:vAlign w:val="center"/>
          </w:tcPr>
          <w:p w:rsidR="007E7001" w:rsidRPr="00AA0CBB" w:rsidRDefault="007E7001" w:rsidP="00797693">
            <w:pPr>
              <w:pStyle w:val="Normal-beforebullets"/>
              <w:jc w:val="right"/>
              <w:rPr>
                <w:color w:val="000000"/>
              </w:rPr>
            </w:pPr>
            <w:r w:rsidRPr="00AA0CBB">
              <w:rPr>
                <w:color w:val="000000"/>
              </w:rPr>
              <w:t>43.8</w:t>
            </w:r>
          </w:p>
        </w:tc>
        <w:tc>
          <w:tcPr>
            <w:tcW w:w="1998" w:type="dxa"/>
            <w:vAlign w:val="center"/>
          </w:tcPr>
          <w:p w:rsidR="007E7001" w:rsidRPr="00AA0CBB" w:rsidRDefault="007E7001" w:rsidP="00797693">
            <w:pPr>
              <w:pStyle w:val="Normal-beforebullets"/>
              <w:jc w:val="right"/>
              <w:rPr>
                <w:color w:val="000000"/>
              </w:rPr>
            </w:pPr>
            <w:r w:rsidRPr="00AA0CBB">
              <w:rPr>
                <w:color w:val="000000"/>
              </w:rPr>
              <w:t>4</w:t>
            </w:r>
            <w:r>
              <w:rPr>
                <w:color w:val="000000"/>
              </w:rPr>
              <w:t>,</w:t>
            </w:r>
            <w:r w:rsidRPr="00AA0CBB">
              <w:rPr>
                <w:color w:val="000000"/>
              </w:rPr>
              <w:t>949</w:t>
            </w:r>
          </w:p>
        </w:tc>
      </w:tr>
      <w:tr w:rsidR="007E7001" w:rsidRPr="00AA0CBB" w:rsidTr="008A7915">
        <w:trPr>
          <w:trHeight w:val="283"/>
        </w:trPr>
        <w:tc>
          <w:tcPr>
            <w:tcW w:w="1809" w:type="dxa"/>
            <w:vMerge/>
            <w:hideMark/>
          </w:tcPr>
          <w:p w:rsidR="007E7001" w:rsidRPr="00AA0CBB" w:rsidRDefault="007E7001" w:rsidP="00797693">
            <w:pPr>
              <w:pStyle w:val="Normal-beforebullets"/>
              <w:rPr>
                <w:b/>
                <w:color w:val="000000"/>
                <w:lang w:eastAsia="en-AU"/>
              </w:rPr>
            </w:pPr>
          </w:p>
        </w:tc>
        <w:tc>
          <w:tcPr>
            <w:tcW w:w="2273" w:type="dxa"/>
            <w:vAlign w:val="center"/>
            <w:hideMark/>
          </w:tcPr>
          <w:p w:rsidR="007E7001" w:rsidRPr="00AA0CBB" w:rsidRDefault="007E7001" w:rsidP="00797693">
            <w:pPr>
              <w:pStyle w:val="Normal-beforebullets"/>
              <w:rPr>
                <w:b/>
                <w:color w:val="000000"/>
                <w:lang w:eastAsia="en-AU"/>
              </w:rPr>
            </w:pPr>
            <w:r w:rsidRPr="00AA0CBB">
              <w:rPr>
                <w:b/>
                <w:color w:val="000000"/>
                <w:lang w:eastAsia="en-AU"/>
              </w:rPr>
              <w:t>Outer regional</w:t>
            </w:r>
          </w:p>
        </w:tc>
        <w:tc>
          <w:tcPr>
            <w:tcW w:w="916" w:type="dxa"/>
            <w:vAlign w:val="center"/>
          </w:tcPr>
          <w:p w:rsidR="007E7001" w:rsidRPr="00AA0CBB" w:rsidRDefault="007E7001" w:rsidP="00797693">
            <w:pPr>
              <w:pStyle w:val="Normal-beforebullets"/>
              <w:jc w:val="right"/>
              <w:rPr>
                <w:color w:val="000000"/>
              </w:rPr>
            </w:pPr>
            <w:r w:rsidRPr="00AA0CBB">
              <w:rPr>
                <w:color w:val="000000"/>
              </w:rPr>
              <w:t>73</w:t>
            </w:r>
          </w:p>
        </w:tc>
        <w:tc>
          <w:tcPr>
            <w:tcW w:w="917" w:type="dxa"/>
            <w:vAlign w:val="center"/>
          </w:tcPr>
          <w:p w:rsidR="007E7001" w:rsidRPr="00AA0CBB" w:rsidRDefault="007E7001" w:rsidP="00797693">
            <w:pPr>
              <w:pStyle w:val="Normal-beforebullets"/>
              <w:jc w:val="right"/>
              <w:rPr>
                <w:color w:val="000000"/>
              </w:rPr>
            </w:pPr>
            <w:r w:rsidRPr="00AA0CBB">
              <w:rPr>
                <w:color w:val="000000"/>
              </w:rPr>
              <w:t>25.4</w:t>
            </w:r>
          </w:p>
        </w:tc>
        <w:tc>
          <w:tcPr>
            <w:tcW w:w="917" w:type="dxa"/>
            <w:vAlign w:val="center"/>
          </w:tcPr>
          <w:p w:rsidR="007E7001" w:rsidRPr="00AA0CBB" w:rsidRDefault="007E7001" w:rsidP="00797693">
            <w:pPr>
              <w:pStyle w:val="Normal-beforebullets"/>
              <w:jc w:val="right"/>
              <w:rPr>
                <w:color w:val="000000"/>
              </w:rPr>
            </w:pPr>
            <w:r w:rsidRPr="00AA0CBB">
              <w:rPr>
                <w:color w:val="000000"/>
              </w:rPr>
              <w:t>68</w:t>
            </w:r>
          </w:p>
        </w:tc>
        <w:tc>
          <w:tcPr>
            <w:tcW w:w="917" w:type="dxa"/>
            <w:vAlign w:val="center"/>
          </w:tcPr>
          <w:p w:rsidR="007E7001" w:rsidRPr="00AA0CBB" w:rsidRDefault="007E7001" w:rsidP="00797693">
            <w:pPr>
              <w:pStyle w:val="Normal-beforebullets"/>
              <w:jc w:val="right"/>
              <w:rPr>
                <w:color w:val="000000"/>
              </w:rPr>
            </w:pPr>
            <w:r w:rsidRPr="00AA0CBB">
              <w:rPr>
                <w:color w:val="000000"/>
              </w:rPr>
              <w:t>23.3</w:t>
            </w:r>
          </w:p>
        </w:tc>
        <w:tc>
          <w:tcPr>
            <w:tcW w:w="1998" w:type="dxa"/>
            <w:vAlign w:val="center"/>
          </w:tcPr>
          <w:p w:rsidR="007E7001" w:rsidRPr="00AA0CBB" w:rsidRDefault="007E7001" w:rsidP="00797693">
            <w:pPr>
              <w:pStyle w:val="Normal-beforebullets"/>
              <w:jc w:val="right"/>
              <w:rPr>
                <w:color w:val="000000"/>
              </w:rPr>
            </w:pPr>
            <w:r>
              <w:rPr>
                <w:color w:val="000000"/>
              </w:rPr>
              <w:t>1,414</w:t>
            </w:r>
          </w:p>
        </w:tc>
      </w:tr>
      <w:tr w:rsidR="007E7001" w:rsidRPr="00AA0CBB" w:rsidTr="008A7915">
        <w:trPr>
          <w:trHeight w:val="283"/>
        </w:trPr>
        <w:tc>
          <w:tcPr>
            <w:tcW w:w="1809" w:type="dxa"/>
            <w:vMerge/>
            <w:hideMark/>
          </w:tcPr>
          <w:p w:rsidR="007E7001" w:rsidRPr="00AA0CBB" w:rsidRDefault="007E7001" w:rsidP="00797693">
            <w:pPr>
              <w:pStyle w:val="Normal-beforebullets"/>
              <w:rPr>
                <w:b/>
                <w:color w:val="000000"/>
                <w:lang w:eastAsia="en-AU"/>
              </w:rPr>
            </w:pPr>
          </w:p>
        </w:tc>
        <w:tc>
          <w:tcPr>
            <w:tcW w:w="2273" w:type="dxa"/>
            <w:vAlign w:val="center"/>
            <w:hideMark/>
          </w:tcPr>
          <w:p w:rsidR="007E7001" w:rsidRPr="00AA0CBB" w:rsidRDefault="007E7001" w:rsidP="00797693">
            <w:pPr>
              <w:pStyle w:val="Normal-beforebullets"/>
              <w:rPr>
                <w:b/>
                <w:color w:val="000000"/>
                <w:lang w:eastAsia="en-AU"/>
              </w:rPr>
            </w:pPr>
            <w:r w:rsidRPr="00AA0CBB">
              <w:rPr>
                <w:b/>
                <w:color w:val="000000"/>
                <w:lang w:eastAsia="en-AU"/>
              </w:rPr>
              <w:t>Remote</w:t>
            </w:r>
          </w:p>
        </w:tc>
        <w:tc>
          <w:tcPr>
            <w:tcW w:w="916" w:type="dxa"/>
            <w:vAlign w:val="center"/>
          </w:tcPr>
          <w:p w:rsidR="007E7001" w:rsidRPr="00AA0CBB" w:rsidRDefault="007E7001" w:rsidP="00797693">
            <w:pPr>
              <w:pStyle w:val="Normal-beforebullets"/>
              <w:jc w:val="right"/>
              <w:rPr>
                <w:color w:val="000000"/>
              </w:rPr>
            </w:pPr>
            <w:r w:rsidRPr="00AA0CBB">
              <w:rPr>
                <w:color w:val="000000"/>
              </w:rPr>
              <w:t>9</w:t>
            </w:r>
          </w:p>
        </w:tc>
        <w:tc>
          <w:tcPr>
            <w:tcW w:w="917" w:type="dxa"/>
            <w:vAlign w:val="center"/>
          </w:tcPr>
          <w:p w:rsidR="007E7001" w:rsidRPr="00AA0CBB" w:rsidRDefault="007E7001" w:rsidP="00797693">
            <w:pPr>
              <w:pStyle w:val="Normal-beforebullets"/>
              <w:jc w:val="right"/>
              <w:rPr>
                <w:color w:val="000000"/>
              </w:rPr>
            </w:pPr>
            <w:r w:rsidRPr="00AA0CBB">
              <w:rPr>
                <w:color w:val="000000"/>
              </w:rPr>
              <w:t>3.1</w:t>
            </w:r>
          </w:p>
        </w:tc>
        <w:tc>
          <w:tcPr>
            <w:tcW w:w="917" w:type="dxa"/>
            <w:vAlign w:val="center"/>
          </w:tcPr>
          <w:p w:rsidR="007E7001" w:rsidRPr="00AA0CBB" w:rsidRDefault="007E7001" w:rsidP="00797693">
            <w:pPr>
              <w:pStyle w:val="Normal-beforebullets"/>
              <w:jc w:val="right"/>
              <w:rPr>
                <w:color w:val="000000"/>
              </w:rPr>
            </w:pPr>
            <w:r w:rsidRPr="00AA0CBB">
              <w:rPr>
                <w:color w:val="000000"/>
              </w:rPr>
              <w:t>8</w:t>
            </w:r>
          </w:p>
        </w:tc>
        <w:tc>
          <w:tcPr>
            <w:tcW w:w="917" w:type="dxa"/>
            <w:vAlign w:val="center"/>
          </w:tcPr>
          <w:p w:rsidR="007E7001" w:rsidRPr="00AA0CBB" w:rsidRDefault="007E7001" w:rsidP="00797693">
            <w:pPr>
              <w:pStyle w:val="Normal-beforebullets"/>
              <w:jc w:val="right"/>
              <w:rPr>
                <w:color w:val="000000"/>
              </w:rPr>
            </w:pPr>
            <w:r w:rsidRPr="00AA0CBB">
              <w:rPr>
                <w:color w:val="000000"/>
              </w:rPr>
              <w:t>2.7</w:t>
            </w:r>
          </w:p>
        </w:tc>
        <w:tc>
          <w:tcPr>
            <w:tcW w:w="1998" w:type="dxa"/>
            <w:vAlign w:val="center"/>
          </w:tcPr>
          <w:p w:rsidR="007E7001" w:rsidRPr="00AA0CBB" w:rsidRDefault="007E7001" w:rsidP="00797693">
            <w:pPr>
              <w:pStyle w:val="Normal-beforebullets"/>
              <w:jc w:val="right"/>
              <w:rPr>
                <w:color w:val="000000"/>
              </w:rPr>
            </w:pPr>
            <w:r w:rsidRPr="00AA0CBB">
              <w:rPr>
                <w:color w:val="000000"/>
              </w:rPr>
              <w:t>113</w:t>
            </w:r>
          </w:p>
        </w:tc>
      </w:tr>
      <w:tr w:rsidR="007E7001" w:rsidRPr="00AA0CBB" w:rsidTr="008A7915">
        <w:trPr>
          <w:trHeight w:val="283"/>
        </w:trPr>
        <w:tc>
          <w:tcPr>
            <w:tcW w:w="1809" w:type="dxa"/>
            <w:vMerge/>
            <w:hideMark/>
          </w:tcPr>
          <w:p w:rsidR="007E7001" w:rsidRPr="00AA0CBB" w:rsidRDefault="007E7001" w:rsidP="00797693">
            <w:pPr>
              <w:pStyle w:val="Normal-beforebullets"/>
              <w:rPr>
                <w:b/>
                <w:color w:val="000000"/>
                <w:lang w:eastAsia="en-AU"/>
              </w:rPr>
            </w:pPr>
          </w:p>
        </w:tc>
        <w:tc>
          <w:tcPr>
            <w:tcW w:w="2273" w:type="dxa"/>
            <w:vAlign w:val="center"/>
            <w:hideMark/>
          </w:tcPr>
          <w:p w:rsidR="007E7001" w:rsidRPr="00AA0CBB" w:rsidRDefault="007E7001" w:rsidP="00797693">
            <w:pPr>
              <w:pStyle w:val="Normal-beforebullets"/>
              <w:rPr>
                <w:b/>
                <w:color w:val="000000"/>
                <w:lang w:eastAsia="en-AU"/>
              </w:rPr>
            </w:pPr>
            <w:r w:rsidRPr="00AA0CBB">
              <w:rPr>
                <w:b/>
                <w:color w:val="000000"/>
                <w:lang w:eastAsia="en-AU"/>
              </w:rPr>
              <w:t>Very remote</w:t>
            </w:r>
          </w:p>
        </w:tc>
        <w:tc>
          <w:tcPr>
            <w:tcW w:w="916" w:type="dxa"/>
            <w:vAlign w:val="center"/>
          </w:tcPr>
          <w:p w:rsidR="007E7001" w:rsidRPr="00AA0CBB" w:rsidRDefault="007E7001" w:rsidP="00797693">
            <w:pPr>
              <w:pStyle w:val="Normal-beforebullets"/>
              <w:jc w:val="right"/>
              <w:rPr>
                <w:color w:val="000000"/>
              </w:rPr>
            </w:pPr>
            <w:r w:rsidRPr="00AA0CBB">
              <w:rPr>
                <w:color w:val="000000"/>
              </w:rPr>
              <w:t>3</w:t>
            </w:r>
          </w:p>
        </w:tc>
        <w:tc>
          <w:tcPr>
            <w:tcW w:w="917" w:type="dxa"/>
            <w:vAlign w:val="center"/>
          </w:tcPr>
          <w:p w:rsidR="007E7001" w:rsidRPr="00AA0CBB" w:rsidRDefault="007E7001" w:rsidP="00797693">
            <w:pPr>
              <w:pStyle w:val="Normal-beforebullets"/>
              <w:jc w:val="right"/>
              <w:rPr>
                <w:color w:val="000000"/>
              </w:rPr>
            </w:pPr>
            <w:r w:rsidRPr="00AA0CBB">
              <w:rPr>
                <w:color w:val="000000"/>
              </w:rPr>
              <w:t>1.0</w:t>
            </w:r>
          </w:p>
        </w:tc>
        <w:tc>
          <w:tcPr>
            <w:tcW w:w="917" w:type="dxa"/>
            <w:vAlign w:val="center"/>
          </w:tcPr>
          <w:p w:rsidR="007E7001" w:rsidRPr="00AA0CBB" w:rsidRDefault="007E7001" w:rsidP="00797693">
            <w:pPr>
              <w:pStyle w:val="Normal-beforebullets"/>
              <w:jc w:val="right"/>
              <w:rPr>
                <w:color w:val="000000"/>
              </w:rPr>
            </w:pPr>
            <w:r w:rsidRPr="00AA0CBB">
              <w:rPr>
                <w:color w:val="000000"/>
              </w:rPr>
              <w:t>1</w:t>
            </w:r>
          </w:p>
        </w:tc>
        <w:tc>
          <w:tcPr>
            <w:tcW w:w="917" w:type="dxa"/>
            <w:vAlign w:val="center"/>
          </w:tcPr>
          <w:p w:rsidR="007E7001" w:rsidRPr="00AA0CBB" w:rsidRDefault="007E7001" w:rsidP="00797693">
            <w:pPr>
              <w:pStyle w:val="Normal-beforebullets"/>
              <w:jc w:val="right"/>
              <w:rPr>
                <w:color w:val="000000"/>
              </w:rPr>
            </w:pPr>
            <w:r w:rsidRPr="00AA0CBB">
              <w:rPr>
                <w:color w:val="000000"/>
              </w:rPr>
              <w:t>0.3</w:t>
            </w:r>
          </w:p>
        </w:tc>
        <w:tc>
          <w:tcPr>
            <w:tcW w:w="1998" w:type="dxa"/>
            <w:vAlign w:val="center"/>
          </w:tcPr>
          <w:p w:rsidR="007E7001" w:rsidRPr="00AA0CBB" w:rsidRDefault="007E7001" w:rsidP="00797693">
            <w:pPr>
              <w:pStyle w:val="Normal-beforebullets"/>
              <w:jc w:val="right"/>
              <w:rPr>
                <w:color w:val="000000"/>
              </w:rPr>
            </w:pPr>
            <w:r w:rsidRPr="00AA0CBB">
              <w:rPr>
                <w:color w:val="000000"/>
              </w:rPr>
              <w:t>14</w:t>
            </w:r>
          </w:p>
        </w:tc>
      </w:tr>
      <w:tr w:rsidR="007E7001" w:rsidRPr="00AA0CBB" w:rsidTr="008A7915">
        <w:trPr>
          <w:trHeight w:val="283"/>
        </w:trPr>
        <w:tc>
          <w:tcPr>
            <w:tcW w:w="1809" w:type="dxa"/>
            <w:vMerge w:val="restart"/>
            <w:hideMark/>
          </w:tcPr>
          <w:p w:rsidR="007E7001" w:rsidRPr="00AA0CBB" w:rsidRDefault="007E7001" w:rsidP="00797693">
            <w:pPr>
              <w:pStyle w:val="Normal-beforebullets"/>
              <w:rPr>
                <w:b/>
                <w:color w:val="000000"/>
                <w:lang w:eastAsia="en-AU"/>
              </w:rPr>
            </w:pPr>
            <w:r w:rsidRPr="00AA0CBB">
              <w:rPr>
                <w:b/>
                <w:color w:val="000000"/>
                <w:lang w:eastAsia="en-AU"/>
              </w:rPr>
              <w:t>Provider type</w:t>
            </w:r>
          </w:p>
        </w:tc>
        <w:tc>
          <w:tcPr>
            <w:tcW w:w="2273" w:type="dxa"/>
            <w:vAlign w:val="center"/>
          </w:tcPr>
          <w:p w:rsidR="007E7001" w:rsidRPr="00AA0CBB" w:rsidRDefault="007E7001" w:rsidP="00797693">
            <w:pPr>
              <w:pStyle w:val="Normal-beforebullets"/>
              <w:rPr>
                <w:b/>
                <w:color w:val="000000"/>
                <w:lang w:eastAsia="en-AU"/>
              </w:rPr>
            </w:pPr>
            <w:r w:rsidRPr="00AA0CBB">
              <w:rPr>
                <w:b/>
                <w:color w:val="000000"/>
                <w:lang w:eastAsia="en-AU"/>
              </w:rPr>
              <w:t>Not for profit</w:t>
            </w:r>
          </w:p>
        </w:tc>
        <w:tc>
          <w:tcPr>
            <w:tcW w:w="916" w:type="dxa"/>
            <w:vAlign w:val="center"/>
          </w:tcPr>
          <w:p w:rsidR="007E7001" w:rsidRPr="00AA0CBB" w:rsidRDefault="007E7001" w:rsidP="00797693">
            <w:pPr>
              <w:pStyle w:val="Normal-beforebullets"/>
              <w:jc w:val="right"/>
              <w:rPr>
                <w:color w:val="000000"/>
                <w:lang w:eastAsia="en-AU"/>
              </w:rPr>
            </w:pPr>
            <w:r w:rsidRPr="00AA0CBB">
              <w:rPr>
                <w:color w:val="000000"/>
                <w:lang w:eastAsia="en-AU"/>
              </w:rPr>
              <w:t>83</w:t>
            </w:r>
          </w:p>
        </w:tc>
        <w:tc>
          <w:tcPr>
            <w:tcW w:w="917" w:type="dxa"/>
            <w:vAlign w:val="center"/>
          </w:tcPr>
          <w:p w:rsidR="007E7001" w:rsidRPr="00AA0CBB" w:rsidRDefault="007E7001" w:rsidP="00797693">
            <w:pPr>
              <w:pStyle w:val="Normal-beforebullets"/>
              <w:jc w:val="right"/>
              <w:rPr>
                <w:color w:val="000000"/>
                <w:lang w:eastAsia="en-AU"/>
              </w:rPr>
            </w:pPr>
            <w:r w:rsidRPr="00AA0CBB">
              <w:rPr>
                <w:color w:val="000000"/>
                <w:lang w:eastAsia="en-AU"/>
              </w:rPr>
              <w:t>28.9</w:t>
            </w:r>
          </w:p>
        </w:tc>
        <w:tc>
          <w:tcPr>
            <w:tcW w:w="917" w:type="dxa"/>
            <w:vAlign w:val="center"/>
          </w:tcPr>
          <w:p w:rsidR="007E7001" w:rsidRPr="00AA0CBB" w:rsidRDefault="007E7001" w:rsidP="00797693">
            <w:pPr>
              <w:pStyle w:val="Normal-beforebullets"/>
              <w:jc w:val="right"/>
              <w:rPr>
                <w:color w:val="000000"/>
                <w:lang w:eastAsia="en-AU"/>
              </w:rPr>
            </w:pPr>
            <w:r w:rsidRPr="00AA0CBB">
              <w:rPr>
                <w:color w:val="000000"/>
                <w:lang w:eastAsia="en-AU"/>
              </w:rPr>
              <w:t>81</w:t>
            </w:r>
          </w:p>
        </w:tc>
        <w:tc>
          <w:tcPr>
            <w:tcW w:w="917" w:type="dxa"/>
            <w:vAlign w:val="center"/>
          </w:tcPr>
          <w:p w:rsidR="007E7001" w:rsidRPr="00AA0CBB" w:rsidRDefault="007E7001" w:rsidP="00797693">
            <w:pPr>
              <w:pStyle w:val="Normal-beforebullets"/>
              <w:jc w:val="right"/>
              <w:rPr>
                <w:color w:val="000000"/>
                <w:lang w:eastAsia="en-AU"/>
              </w:rPr>
            </w:pPr>
            <w:r w:rsidRPr="00AA0CBB">
              <w:rPr>
                <w:color w:val="000000"/>
                <w:lang w:eastAsia="en-AU"/>
              </w:rPr>
              <w:t>27.7</w:t>
            </w:r>
          </w:p>
        </w:tc>
        <w:tc>
          <w:tcPr>
            <w:tcW w:w="1998" w:type="dxa"/>
            <w:vAlign w:val="center"/>
          </w:tcPr>
          <w:p w:rsidR="007E7001" w:rsidRPr="0025386E" w:rsidRDefault="007E7001" w:rsidP="00797693">
            <w:pPr>
              <w:pStyle w:val="Normal-beforebullets"/>
              <w:jc w:val="right"/>
              <w:rPr>
                <w:b/>
                <w:color w:val="000000"/>
                <w:lang w:eastAsia="en-AU"/>
              </w:rPr>
            </w:pPr>
            <w:r w:rsidRPr="0025386E">
              <w:rPr>
                <w:b/>
                <w:color w:val="000000"/>
                <w:lang w:eastAsia="en-AU"/>
              </w:rPr>
              <w:t>5</w:t>
            </w:r>
            <w:r>
              <w:rPr>
                <w:b/>
                <w:color w:val="000000"/>
                <w:lang w:eastAsia="en-AU"/>
              </w:rPr>
              <w:t>,</w:t>
            </w:r>
            <w:r w:rsidRPr="0025386E">
              <w:rPr>
                <w:b/>
                <w:color w:val="000000"/>
                <w:lang w:eastAsia="en-AU"/>
              </w:rPr>
              <w:t>737</w:t>
            </w:r>
          </w:p>
        </w:tc>
      </w:tr>
      <w:tr w:rsidR="007E7001" w:rsidRPr="00AA0CBB" w:rsidTr="008A7915">
        <w:trPr>
          <w:trHeight w:val="283"/>
        </w:trPr>
        <w:tc>
          <w:tcPr>
            <w:tcW w:w="1809" w:type="dxa"/>
            <w:vMerge/>
          </w:tcPr>
          <w:p w:rsidR="007E7001" w:rsidRPr="00AA0CBB" w:rsidRDefault="007E7001" w:rsidP="00797693">
            <w:pPr>
              <w:pStyle w:val="Normal-beforebullets"/>
              <w:rPr>
                <w:b/>
                <w:color w:val="000000"/>
                <w:lang w:eastAsia="en-AU"/>
              </w:rPr>
            </w:pPr>
          </w:p>
        </w:tc>
        <w:tc>
          <w:tcPr>
            <w:tcW w:w="2273" w:type="dxa"/>
            <w:vAlign w:val="center"/>
          </w:tcPr>
          <w:p w:rsidR="007E7001" w:rsidRPr="00AA0CBB" w:rsidRDefault="007E7001" w:rsidP="00797693">
            <w:pPr>
              <w:pStyle w:val="Normal-beforebullets"/>
              <w:rPr>
                <w:b/>
                <w:color w:val="000000"/>
                <w:lang w:eastAsia="en-AU"/>
              </w:rPr>
            </w:pPr>
            <w:r w:rsidRPr="00AA0CBB">
              <w:rPr>
                <w:iCs/>
                <w:color w:val="000000"/>
                <w:lang w:eastAsia="en-AU"/>
              </w:rPr>
              <w:t>Charitable</w:t>
            </w:r>
          </w:p>
        </w:tc>
        <w:tc>
          <w:tcPr>
            <w:tcW w:w="916" w:type="dxa"/>
            <w:vAlign w:val="center"/>
          </w:tcPr>
          <w:p w:rsidR="007E7001" w:rsidRPr="00AA0CBB" w:rsidRDefault="007E7001" w:rsidP="00797693">
            <w:pPr>
              <w:pStyle w:val="Normal-beforebullets"/>
              <w:jc w:val="right"/>
              <w:rPr>
                <w:color w:val="000000"/>
              </w:rPr>
            </w:pPr>
            <w:r w:rsidRPr="00AA0CBB">
              <w:rPr>
                <w:color w:val="000000"/>
              </w:rPr>
              <w:t>27</w:t>
            </w:r>
          </w:p>
        </w:tc>
        <w:tc>
          <w:tcPr>
            <w:tcW w:w="917" w:type="dxa"/>
            <w:vAlign w:val="center"/>
          </w:tcPr>
          <w:p w:rsidR="007E7001" w:rsidRPr="00AA0CBB" w:rsidRDefault="007E7001" w:rsidP="00797693">
            <w:pPr>
              <w:pStyle w:val="Normal-beforebullets"/>
              <w:jc w:val="right"/>
              <w:rPr>
                <w:color w:val="000000"/>
              </w:rPr>
            </w:pPr>
            <w:r w:rsidRPr="00AA0CBB">
              <w:rPr>
                <w:color w:val="000000"/>
              </w:rPr>
              <w:t>9.4</w:t>
            </w:r>
          </w:p>
        </w:tc>
        <w:tc>
          <w:tcPr>
            <w:tcW w:w="917" w:type="dxa"/>
            <w:vAlign w:val="center"/>
          </w:tcPr>
          <w:p w:rsidR="007E7001" w:rsidRPr="00AA0CBB" w:rsidRDefault="007E7001" w:rsidP="00797693">
            <w:pPr>
              <w:pStyle w:val="Normal-beforebullets"/>
              <w:jc w:val="right"/>
              <w:rPr>
                <w:color w:val="000000"/>
              </w:rPr>
            </w:pPr>
            <w:r w:rsidRPr="00AA0CBB">
              <w:rPr>
                <w:color w:val="000000"/>
              </w:rPr>
              <w:t>11</w:t>
            </w:r>
          </w:p>
        </w:tc>
        <w:tc>
          <w:tcPr>
            <w:tcW w:w="917" w:type="dxa"/>
            <w:vAlign w:val="center"/>
          </w:tcPr>
          <w:p w:rsidR="007E7001" w:rsidRPr="00AA0CBB" w:rsidRDefault="007E7001" w:rsidP="00797693">
            <w:pPr>
              <w:pStyle w:val="Normal-beforebullets"/>
              <w:jc w:val="right"/>
              <w:rPr>
                <w:color w:val="000000"/>
              </w:rPr>
            </w:pPr>
            <w:r w:rsidRPr="00AA0CBB">
              <w:rPr>
                <w:color w:val="000000"/>
              </w:rPr>
              <w:t>3.8</w:t>
            </w:r>
          </w:p>
        </w:tc>
        <w:tc>
          <w:tcPr>
            <w:tcW w:w="1998" w:type="dxa"/>
            <w:vAlign w:val="center"/>
          </w:tcPr>
          <w:p w:rsidR="007E7001" w:rsidRPr="00AA0CBB" w:rsidRDefault="007E7001" w:rsidP="00797693">
            <w:pPr>
              <w:pStyle w:val="Normal-beforebullets"/>
              <w:jc w:val="right"/>
              <w:rPr>
                <w:color w:val="000000"/>
              </w:rPr>
            </w:pPr>
            <w:r>
              <w:rPr>
                <w:color w:val="000000"/>
              </w:rPr>
              <w:t>6</w:t>
            </w:r>
            <w:r w:rsidRPr="00AA0CBB">
              <w:rPr>
                <w:color w:val="000000"/>
              </w:rPr>
              <w:t>72</w:t>
            </w:r>
          </w:p>
        </w:tc>
      </w:tr>
      <w:tr w:rsidR="007E7001" w:rsidRPr="00AA0CBB" w:rsidTr="008A7915">
        <w:trPr>
          <w:trHeight w:val="283"/>
        </w:trPr>
        <w:tc>
          <w:tcPr>
            <w:tcW w:w="1809" w:type="dxa"/>
            <w:vMerge/>
          </w:tcPr>
          <w:p w:rsidR="007E7001" w:rsidRPr="00AA0CBB" w:rsidRDefault="007E7001" w:rsidP="00797693">
            <w:pPr>
              <w:pStyle w:val="Normal-beforebullets"/>
              <w:rPr>
                <w:b/>
                <w:color w:val="000000"/>
                <w:lang w:eastAsia="en-AU"/>
              </w:rPr>
            </w:pPr>
          </w:p>
        </w:tc>
        <w:tc>
          <w:tcPr>
            <w:tcW w:w="2273" w:type="dxa"/>
            <w:vAlign w:val="center"/>
          </w:tcPr>
          <w:p w:rsidR="007E7001" w:rsidRPr="00AA0CBB" w:rsidRDefault="007E7001" w:rsidP="00797693">
            <w:pPr>
              <w:pStyle w:val="Normal-beforebullets"/>
              <w:rPr>
                <w:b/>
                <w:color w:val="000000"/>
                <w:lang w:eastAsia="en-AU"/>
              </w:rPr>
            </w:pPr>
            <w:r w:rsidRPr="00AA0CBB">
              <w:rPr>
                <w:iCs/>
                <w:color w:val="000000"/>
                <w:lang w:eastAsia="en-AU"/>
              </w:rPr>
              <w:t>Religious</w:t>
            </w:r>
          </w:p>
        </w:tc>
        <w:tc>
          <w:tcPr>
            <w:tcW w:w="916" w:type="dxa"/>
            <w:vAlign w:val="center"/>
          </w:tcPr>
          <w:p w:rsidR="007E7001" w:rsidRPr="00AA0CBB" w:rsidRDefault="007E7001" w:rsidP="00797693">
            <w:pPr>
              <w:pStyle w:val="Normal-beforebullets"/>
              <w:jc w:val="right"/>
              <w:rPr>
                <w:color w:val="000000"/>
              </w:rPr>
            </w:pPr>
            <w:r w:rsidRPr="00AA0CBB">
              <w:rPr>
                <w:color w:val="000000"/>
              </w:rPr>
              <w:t>33</w:t>
            </w:r>
          </w:p>
        </w:tc>
        <w:tc>
          <w:tcPr>
            <w:tcW w:w="917" w:type="dxa"/>
            <w:vAlign w:val="center"/>
          </w:tcPr>
          <w:p w:rsidR="007E7001" w:rsidRPr="00AA0CBB" w:rsidRDefault="007E7001" w:rsidP="00797693">
            <w:pPr>
              <w:pStyle w:val="Normal-beforebullets"/>
              <w:jc w:val="right"/>
              <w:rPr>
                <w:color w:val="000000"/>
              </w:rPr>
            </w:pPr>
            <w:r w:rsidRPr="00AA0CBB">
              <w:rPr>
                <w:color w:val="000000"/>
              </w:rPr>
              <w:t>11.5</w:t>
            </w:r>
          </w:p>
        </w:tc>
        <w:tc>
          <w:tcPr>
            <w:tcW w:w="917" w:type="dxa"/>
            <w:vAlign w:val="center"/>
          </w:tcPr>
          <w:p w:rsidR="007E7001" w:rsidRPr="00AA0CBB" w:rsidRDefault="007E7001" w:rsidP="00797693">
            <w:pPr>
              <w:pStyle w:val="Normal-beforebullets"/>
              <w:jc w:val="right"/>
              <w:rPr>
                <w:color w:val="000000"/>
              </w:rPr>
            </w:pPr>
            <w:r w:rsidRPr="00AA0CBB">
              <w:rPr>
                <w:color w:val="000000"/>
              </w:rPr>
              <w:t>36</w:t>
            </w:r>
          </w:p>
        </w:tc>
        <w:tc>
          <w:tcPr>
            <w:tcW w:w="917" w:type="dxa"/>
            <w:vAlign w:val="center"/>
          </w:tcPr>
          <w:p w:rsidR="007E7001" w:rsidRPr="00AA0CBB" w:rsidRDefault="007E7001" w:rsidP="00797693">
            <w:pPr>
              <w:pStyle w:val="Normal-beforebullets"/>
              <w:jc w:val="right"/>
              <w:rPr>
                <w:color w:val="000000"/>
              </w:rPr>
            </w:pPr>
            <w:r w:rsidRPr="00AA0CBB">
              <w:rPr>
                <w:color w:val="000000"/>
              </w:rPr>
              <w:t>12.3</w:t>
            </w:r>
          </w:p>
        </w:tc>
        <w:tc>
          <w:tcPr>
            <w:tcW w:w="1998" w:type="dxa"/>
            <w:vAlign w:val="center"/>
          </w:tcPr>
          <w:p w:rsidR="007E7001" w:rsidRPr="00AA0CBB" w:rsidRDefault="007E7001" w:rsidP="00797693">
            <w:pPr>
              <w:pStyle w:val="Normal-beforebullets"/>
              <w:jc w:val="right"/>
              <w:rPr>
                <w:color w:val="000000"/>
              </w:rPr>
            </w:pPr>
            <w:r w:rsidRPr="00AA0CBB">
              <w:rPr>
                <w:color w:val="000000"/>
              </w:rPr>
              <w:t>2</w:t>
            </w:r>
            <w:r>
              <w:rPr>
                <w:color w:val="000000"/>
              </w:rPr>
              <w:t>,</w:t>
            </w:r>
            <w:r w:rsidRPr="00AA0CBB">
              <w:rPr>
                <w:color w:val="000000"/>
              </w:rPr>
              <w:t>567</w:t>
            </w:r>
          </w:p>
        </w:tc>
      </w:tr>
      <w:tr w:rsidR="007E7001" w:rsidRPr="00AA0CBB" w:rsidTr="008A7915">
        <w:trPr>
          <w:trHeight w:val="283"/>
        </w:trPr>
        <w:tc>
          <w:tcPr>
            <w:tcW w:w="1809" w:type="dxa"/>
            <w:vMerge/>
          </w:tcPr>
          <w:p w:rsidR="007E7001" w:rsidRPr="00AA0CBB" w:rsidRDefault="007E7001" w:rsidP="00797693">
            <w:pPr>
              <w:pStyle w:val="Normal-beforebullets"/>
              <w:rPr>
                <w:b/>
                <w:color w:val="000000"/>
                <w:lang w:eastAsia="en-AU"/>
              </w:rPr>
            </w:pPr>
          </w:p>
        </w:tc>
        <w:tc>
          <w:tcPr>
            <w:tcW w:w="2273" w:type="dxa"/>
            <w:vAlign w:val="center"/>
          </w:tcPr>
          <w:p w:rsidR="007E7001" w:rsidRPr="00AA0CBB" w:rsidRDefault="007E7001" w:rsidP="00EC79DF">
            <w:pPr>
              <w:pStyle w:val="Normal-beforebullets"/>
              <w:rPr>
                <w:b/>
                <w:color w:val="000000"/>
                <w:lang w:eastAsia="en-AU"/>
              </w:rPr>
            </w:pPr>
            <w:r w:rsidRPr="00AA0CBB">
              <w:rPr>
                <w:iCs/>
                <w:color w:val="000000"/>
                <w:lang w:eastAsia="en-AU"/>
              </w:rPr>
              <w:t>Community</w:t>
            </w:r>
            <w:r w:rsidR="00EC79DF">
              <w:rPr>
                <w:iCs/>
                <w:color w:val="000000"/>
                <w:lang w:eastAsia="en-AU"/>
              </w:rPr>
              <w:t>-</w:t>
            </w:r>
            <w:r w:rsidRPr="00AA0CBB">
              <w:rPr>
                <w:iCs/>
                <w:color w:val="000000"/>
                <w:lang w:eastAsia="en-AU"/>
              </w:rPr>
              <w:t>based</w:t>
            </w:r>
          </w:p>
        </w:tc>
        <w:tc>
          <w:tcPr>
            <w:tcW w:w="916" w:type="dxa"/>
            <w:vAlign w:val="center"/>
          </w:tcPr>
          <w:p w:rsidR="007E7001" w:rsidRPr="00AA0CBB" w:rsidRDefault="007E7001" w:rsidP="00797693">
            <w:pPr>
              <w:pStyle w:val="Normal-beforebullets"/>
              <w:jc w:val="right"/>
              <w:rPr>
                <w:color w:val="000000"/>
              </w:rPr>
            </w:pPr>
            <w:r w:rsidRPr="00AA0CBB">
              <w:rPr>
                <w:color w:val="000000"/>
              </w:rPr>
              <w:t>23</w:t>
            </w:r>
          </w:p>
        </w:tc>
        <w:tc>
          <w:tcPr>
            <w:tcW w:w="917" w:type="dxa"/>
            <w:vAlign w:val="center"/>
          </w:tcPr>
          <w:p w:rsidR="007E7001" w:rsidRPr="00AA0CBB" w:rsidRDefault="007E7001" w:rsidP="00797693">
            <w:pPr>
              <w:pStyle w:val="Normal-beforebullets"/>
              <w:jc w:val="right"/>
              <w:rPr>
                <w:color w:val="000000"/>
              </w:rPr>
            </w:pPr>
            <w:r w:rsidRPr="00AA0CBB">
              <w:rPr>
                <w:color w:val="000000"/>
              </w:rPr>
              <w:t>8.0</w:t>
            </w:r>
          </w:p>
        </w:tc>
        <w:tc>
          <w:tcPr>
            <w:tcW w:w="917" w:type="dxa"/>
            <w:vAlign w:val="center"/>
          </w:tcPr>
          <w:p w:rsidR="007E7001" w:rsidRPr="00AA0CBB" w:rsidRDefault="007E7001" w:rsidP="00797693">
            <w:pPr>
              <w:pStyle w:val="Normal-beforebullets"/>
              <w:jc w:val="right"/>
              <w:rPr>
                <w:color w:val="000000"/>
              </w:rPr>
            </w:pPr>
            <w:r w:rsidRPr="00AA0CBB">
              <w:rPr>
                <w:color w:val="000000"/>
              </w:rPr>
              <w:t>34</w:t>
            </w:r>
          </w:p>
        </w:tc>
        <w:tc>
          <w:tcPr>
            <w:tcW w:w="917" w:type="dxa"/>
            <w:vAlign w:val="center"/>
          </w:tcPr>
          <w:p w:rsidR="007E7001" w:rsidRPr="00AA0CBB" w:rsidRDefault="007E7001" w:rsidP="00797693">
            <w:pPr>
              <w:pStyle w:val="Normal-beforebullets"/>
              <w:jc w:val="right"/>
              <w:rPr>
                <w:color w:val="000000"/>
              </w:rPr>
            </w:pPr>
            <w:r w:rsidRPr="00AA0CBB">
              <w:rPr>
                <w:color w:val="000000"/>
              </w:rPr>
              <w:t>11.6</w:t>
            </w:r>
          </w:p>
        </w:tc>
        <w:tc>
          <w:tcPr>
            <w:tcW w:w="1998" w:type="dxa"/>
            <w:vAlign w:val="center"/>
          </w:tcPr>
          <w:p w:rsidR="007E7001" w:rsidRPr="00AA0CBB" w:rsidRDefault="007E7001" w:rsidP="00797693">
            <w:pPr>
              <w:pStyle w:val="Normal-beforebullets"/>
              <w:jc w:val="right"/>
              <w:rPr>
                <w:color w:val="000000"/>
              </w:rPr>
            </w:pPr>
            <w:r w:rsidRPr="00AA0CBB">
              <w:rPr>
                <w:color w:val="000000"/>
              </w:rPr>
              <w:t>2</w:t>
            </w:r>
            <w:r>
              <w:rPr>
                <w:color w:val="000000"/>
              </w:rPr>
              <w:t>,</w:t>
            </w:r>
            <w:r w:rsidRPr="00AA0CBB">
              <w:rPr>
                <w:color w:val="000000"/>
              </w:rPr>
              <w:t>498</w:t>
            </w:r>
          </w:p>
        </w:tc>
      </w:tr>
      <w:tr w:rsidR="007E7001" w:rsidRPr="00AA0CBB" w:rsidTr="008A7915">
        <w:trPr>
          <w:trHeight w:val="283"/>
        </w:trPr>
        <w:tc>
          <w:tcPr>
            <w:tcW w:w="1809" w:type="dxa"/>
            <w:vMerge/>
            <w:hideMark/>
          </w:tcPr>
          <w:p w:rsidR="007E7001" w:rsidRPr="00AA0CBB" w:rsidRDefault="007E7001" w:rsidP="00797693">
            <w:pPr>
              <w:pStyle w:val="Normal-beforebullets"/>
              <w:rPr>
                <w:b/>
                <w:color w:val="000000"/>
                <w:lang w:eastAsia="en-AU"/>
              </w:rPr>
            </w:pPr>
          </w:p>
        </w:tc>
        <w:tc>
          <w:tcPr>
            <w:tcW w:w="2273" w:type="dxa"/>
            <w:vAlign w:val="center"/>
          </w:tcPr>
          <w:p w:rsidR="007E7001" w:rsidRPr="00AA0CBB" w:rsidRDefault="007E7001" w:rsidP="00797693">
            <w:pPr>
              <w:pStyle w:val="Normal-beforebullets"/>
              <w:rPr>
                <w:b/>
                <w:color w:val="000000"/>
                <w:lang w:eastAsia="en-AU"/>
              </w:rPr>
            </w:pPr>
            <w:r w:rsidRPr="00AA0CBB">
              <w:rPr>
                <w:b/>
                <w:color w:val="000000"/>
                <w:lang w:eastAsia="en-AU"/>
              </w:rPr>
              <w:t>Government</w:t>
            </w:r>
          </w:p>
        </w:tc>
        <w:tc>
          <w:tcPr>
            <w:tcW w:w="916" w:type="dxa"/>
            <w:vAlign w:val="center"/>
          </w:tcPr>
          <w:p w:rsidR="007E7001" w:rsidRPr="00AA0CBB" w:rsidRDefault="007E7001" w:rsidP="00797693">
            <w:pPr>
              <w:pStyle w:val="Normal-beforebullets"/>
              <w:jc w:val="right"/>
              <w:rPr>
                <w:color w:val="000000"/>
                <w:lang w:eastAsia="en-AU"/>
              </w:rPr>
            </w:pPr>
            <w:r w:rsidRPr="00AA0CBB">
              <w:rPr>
                <w:color w:val="000000"/>
                <w:lang w:eastAsia="en-AU"/>
              </w:rPr>
              <w:t>183</w:t>
            </w:r>
          </w:p>
        </w:tc>
        <w:tc>
          <w:tcPr>
            <w:tcW w:w="917" w:type="dxa"/>
            <w:vAlign w:val="center"/>
          </w:tcPr>
          <w:p w:rsidR="007E7001" w:rsidRPr="00AA0CBB" w:rsidRDefault="007E7001" w:rsidP="00797693">
            <w:pPr>
              <w:pStyle w:val="Normal-beforebullets"/>
              <w:jc w:val="right"/>
              <w:rPr>
                <w:color w:val="000000"/>
                <w:lang w:eastAsia="en-AU"/>
              </w:rPr>
            </w:pPr>
            <w:r w:rsidRPr="00AA0CBB">
              <w:rPr>
                <w:color w:val="000000"/>
                <w:lang w:eastAsia="en-AU"/>
              </w:rPr>
              <w:t>63.8</w:t>
            </w:r>
          </w:p>
        </w:tc>
        <w:tc>
          <w:tcPr>
            <w:tcW w:w="917" w:type="dxa"/>
            <w:vAlign w:val="center"/>
          </w:tcPr>
          <w:p w:rsidR="007E7001" w:rsidRPr="00AA0CBB" w:rsidRDefault="007E7001" w:rsidP="00797693">
            <w:pPr>
              <w:pStyle w:val="Normal-beforebullets"/>
              <w:jc w:val="right"/>
              <w:rPr>
                <w:color w:val="000000"/>
                <w:lang w:eastAsia="en-AU"/>
              </w:rPr>
            </w:pPr>
            <w:r w:rsidRPr="00AA0CBB">
              <w:rPr>
                <w:color w:val="000000"/>
                <w:lang w:eastAsia="en-AU"/>
              </w:rPr>
              <w:t>201</w:t>
            </w:r>
          </w:p>
        </w:tc>
        <w:tc>
          <w:tcPr>
            <w:tcW w:w="917" w:type="dxa"/>
            <w:vAlign w:val="center"/>
          </w:tcPr>
          <w:p w:rsidR="007E7001" w:rsidRPr="00AA0CBB" w:rsidRDefault="007E7001" w:rsidP="00797693">
            <w:pPr>
              <w:pStyle w:val="Normal-beforebullets"/>
              <w:jc w:val="right"/>
              <w:rPr>
                <w:color w:val="000000"/>
                <w:lang w:eastAsia="en-AU"/>
              </w:rPr>
            </w:pPr>
            <w:r w:rsidRPr="00AA0CBB">
              <w:rPr>
                <w:color w:val="000000"/>
                <w:lang w:eastAsia="en-AU"/>
              </w:rPr>
              <w:t>68.9</w:t>
            </w:r>
          </w:p>
        </w:tc>
        <w:tc>
          <w:tcPr>
            <w:tcW w:w="1998" w:type="dxa"/>
            <w:vAlign w:val="center"/>
          </w:tcPr>
          <w:p w:rsidR="007E7001" w:rsidRPr="0025386E" w:rsidRDefault="007E7001" w:rsidP="00797693">
            <w:pPr>
              <w:pStyle w:val="Normal-beforebullets"/>
              <w:jc w:val="right"/>
              <w:rPr>
                <w:b/>
                <w:color w:val="000000"/>
                <w:lang w:eastAsia="en-AU"/>
              </w:rPr>
            </w:pPr>
            <w:r w:rsidRPr="0025386E">
              <w:rPr>
                <w:b/>
                <w:color w:val="000000"/>
                <w:lang w:eastAsia="en-AU"/>
              </w:rPr>
              <w:t>5</w:t>
            </w:r>
            <w:r>
              <w:rPr>
                <w:b/>
                <w:color w:val="000000"/>
                <w:lang w:eastAsia="en-AU"/>
              </w:rPr>
              <w:t>,</w:t>
            </w:r>
            <w:r w:rsidRPr="0025386E">
              <w:rPr>
                <w:b/>
                <w:color w:val="000000"/>
                <w:lang w:eastAsia="en-AU"/>
              </w:rPr>
              <w:t>593</w:t>
            </w:r>
          </w:p>
        </w:tc>
      </w:tr>
      <w:tr w:rsidR="007E7001" w:rsidRPr="00AA0CBB" w:rsidTr="008A7915">
        <w:trPr>
          <w:trHeight w:val="283"/>
        </w:trPr>
        <w:tc>
          <w:tcPr>
            <w:tcW w:w="1809" w:type="dxa"/>
            <w:vMerge/>
          </w:tcPr>
          <w:p w:rsidR="007E7001" w:rsidRPr="00AA0CBB" w:rsidRDefault="007E7001" w:rsidP="00797693">
            <w:pPr>
              <w:pStyle w:val="Normal-beforebullets"/>
              <w:rPr>
                <w:b/>
                <w:color w:val="000000"/>
                <w:lang w:eastAsia="en-AU"/>
              </w:rPr>
            </w:pPr>
          </w:p>
        </w:tc>
        <w:tc>
          <w:tcPr>
            <w:tcW w:w="2273" w:type="dxa"/>
            <w:vAlign w:val="center"/>
          </w:tcPr>
          <w:p w:rsidR="007E7001" w:rsidRPr="00AA0CBB" w:rsidRDefault="007E7001" w:rsidP="00797693">
            <w:pPr>
              <w:pStyle w:val="Normal-beforebullets"/>
              <w:rPr>
                <w:b/>
                <w:color w:val="000000"/>
                <w:lang w:eastAsia="en-AU"/>
              </w:rPr>
            </w:pPr>
            <w:r w:rsidRPr="00AA0CBB">
              <w:rPr>
                <w:iCs/>
                <w:color w:val="000000"/>
                <w:lang w:eastAsia="en-AU"/>
              </w:rPr>
              <w:t>State government</w:t>
            </w:r>
          </w:p>
        </w:tc>
        <w:tc>
          <w:tcPr>
            <w:tcW w:w="916" w:type="dxa"/>
            <w:vAlign w:val="center"/>
          </w:tcPr>
          <w:p w:rsidR="007E7001" w:rsidRPr="00AA0CBB" w:rsidRDefault="007E7001" w:rsidP="00797693">
            <w:pPr>
              <w:pStyle w:val="Normal-beforebullets"/>
              <w:jc w:val="right"/>
              <w:rPr>
                <w:color w:val="000000"/>
              </w:rPr>
            </w:pPr>
            <w:r w:rsidRPr="00AA0CBB">
              <w:rPr>
                <w:color w:val="000000"/>
              </w:rPr>
              <w:t>182</w:t>
            </w:r>
          </w:p>
        </w:tc>
        <w:tc>
          <w:tcPr>
            <w:tcW w:w="917" w:type="dxa"/>
            <w:vAlign w:val="center"/>
          </w:tcPr>
          <w:p w:rsidR="007E7001" w:rsidRPr="00AA0CBB" w:rsidRDefault="007E7001" w:rsidP="00797693">
            <w:pPr>
              <w:pStyle w:val="Normal-beforebullets"/>
              <w:jc w:val="right"/>
              <w:rPr>
                <w:color w:val="000000"/>
              </w:rPr>
            </w:pPr>
            <w:r w:rsidRPr="00AA0CBB">
              <w:rPr>
                <w:color w:val="000000"/>
              </w:rPr>
              <w:t>63.4</w:t>
            </w:r>
          </w:p>
        </w:tc>
        <w:tc>
          <w:tcPr>
            <w:tcW w:w="917" w:type="dxa"/>
            <w:vAlign w:val="center"/>
          </w:tcPr>
          <w:p w:rsidR="007E7001" w:rsidRPr="00AA0CBB" w:rsidRDefault="007E7001" w:rsidP="00797693">
            <w:pPr>
              <w:pStyle w:val="Normal-beforebullets"/>
              <w:jc w:val="right"/>
              <w:rPr>
                <w:color w:val="000000"/>
              </w:rPr>
            </w:pPr>
            <w:r w:rsidRPr="00AA0CBB">
              <w:rPr>
                <w:color w:val="000000"/>
              </w:rPr>
              <w:t>199</w:t>
            </w:r>
          </w:p>
        </w:tc>
        <w:tc>
          <w:tcPr>
            <w:tcW w:w="917" w:type="dxa"/>
            <w:vAlign w:val="center"/>
          </w:tcPr>
          <w:p w:rsidR="007E7001" w:rsidRPr="00AA0CBB" w:rsidRDefault="007E7001" w:rsidP="00797693">
            <w:pPr>
              <w:pStyle w:val="Normal-beforebullets"/>
              <w:jc w:val="right"/>
              <w:rPr>
                <w:color w:val="000000"/>
              </w:rPr>
            </w:pPr>
            <w:r w:rsidRPr="00AA0CBB">
              <w:rPr>
                <w:color w:val="000000"/>
              </w:rPr>
              <w:t>68.2</w:t>
            </w:r>
          </w:p>
        </w:tc>
        <w:tc>
          <w:tcPr>
            <w:tcW w:w="1998" w:type="dxa"/>
            <w:vAlign w:val="center"/>
          </w:tcPr>
          <w:p w:rsidR="007E7001" w:rsidRPr="00AA0CBB" w:rsidRDefault="007E7001" w:rsidP="00797693">
            <w:pPr>
              <w:pStyle w:val="Normal-beforebullets"/>
              <w:jc w:val="right"/>
              <w:rPr>
                <w:color w:val="000000"/>
              </w:rPr>
            </w:pPr>
            <w:r w:rsidRPr="00AA0CBB">
              <w:rPr>
                <w:color w:val="000000"/>
              </w:rPr>
              <w:t>5</w:t>
            </w:r>
            <w:r>
              <w:rPr>
                <w:color w:val="000000"/>
              </w:rPr>
              <w:t>,395</w:t>
            </w:r>
          </w:p>
        </w:tc>
      </w:tr>
      <w:tr w:rsidR="007E7001" w:rsidRPr="00AA0CBB" w:rsidTr="008A7915">
        <w:trPr>
          <w:trHeight w:val="283"/>
        </w:trPr>
        <w:tc>
          <w:tcPr>
            <w:tcW w:w="1809" w:type="dxa"/>
            <w:vMerge/>
          </w:tcPr>
          <w:p w:rsidR="007E7001" w:rsidRPr="00AA0CBB" w:rsidRDefault="007E7001" w:rsidP="00797693">
            <w:pPr>
              <w:pStyle w:val="Normal-beforebullets"/>
              <w:rPr>
                <w:b/>
                <w:color w:val="000000"/>
                <w:lang w:eastAsia="en-AU"/>
              </w:rPr>
            </w:pPr>
          </w:p>
        </w:tc>
        <w:tc>
          <w:tcPr>
            <w:tcW w:w="2273" w:type="dxa"/>
            <w:vAlign w:val="center"/>
          </w:tcPr>
          <w:p w:rsidR="007E7001" w:rsidRPr="00AA0CBB" w:rsidRDefault="007E7001" w:rsidP="00797693">
            <w:pPr>
              <w:pStyle w:val="Normal-beforebullets"/>
              <w:rPr>
                <w:b/>
                <w:color w:val="000000"/>
                <w:lang w:eastAsia="en-AU"/>
              </w:rPr>
            </w:pPr>
            <w:r w:rsidRPr="00AA0CBB">
              <w:rPr>
                <w:iCs/>
                <w:color w:val="000000"/>
                <w:lang w:eastAsia="en-AU"/>
              </w:rPr>
              <w:t>Local government</w:t>
            </w:r>
          </w:p>
        </w:tc>
        <w:tc>
          <w:tcPr>
            <w:tcW w:w="916" w:type="dxa"/>
            <w:vAlign w:val="center"/>
          </w:tcPr>
          <w:p w:rsidR="007E7001" w:rsidRPr="00AA0CBB" w:rsidRDefault="007E7001" w:rsidP="00797693">
            <w:pPr>
              <w:pStyle w:val="Normal-beforebullets"/>
              <w:jc w:val="right"/>
              <w:rPr>
                <w:color w:val="000000"/>
              </w:rPr>
            </w:pPr>
            <w:r w:rsidRPr="00AA0CBB">
              <w:rPr>
                <w:color w:val="000000"/>
              </w:rPr>
              <w:t>1</w:t>
            </w:r>
          </w:p>
        </w:tc>
        <w:tc>
          <w:tcPr>
            <w:tcW w:w="917" w:type="dxa"/>
            <w:vAlign w:val="center"/>
          </w:tcPr>
          <w:p w:rsidR="007E7001" w:rsidRPr="00AA0CBB" w:rsidRDefault="007E7001" w:rsidP="00797693">
            <w:pPr>
              <w:pStyle w:val="Normal-beforebullets"/>
              <w:jc w:val="right"/>
              <w:rPr>
                <w:color w:val="000000"/>
              </w:rPr>
            </w:pPr>
            <w:r w:rsidRPr="00AA0CBB">
              <w:rPr>
                <w:color w:val="000000"/>
              </w:rPr>
              <w:t>0.3</w:t>
            </w:r>
          </w:p>
        </w:tc>
        <w:tc>
          <w:tcPr>
            <w:tcW w:w="917" w:type="dxa"/>
            <w:vAlign w:val="center"/>
          </w:tcPr>
          <w:p w:rsidR="007E7001" w:rsidRPr="00AA0CBB" w:rsidRDefault="007E7001" w:rsidP="00797693">
            <w:pPr>
              <w:pStyle w:val="Normal-beforebullets"/>
              <w:jc w:val="right"/>
              <w:rPr>
                <w:color w:val="000000"/>
              </w:rPr>
            </w:pPr>
            <w:r w:rsidRPr="00AA0CBB">
              <w:rPr>
                <w:color w:val="000000"/>
              </w:rPr>
              <w:t>2</w:t>
            </w:r>
          </w:p>
        </w:tc>
        <w:tc>
          <w:tcPr>
            <w:tcW w:w="917" w:type="dxa"/>
            <w:vAlign w:val="center"/>
          </w:tcPr>
          <w:p w:rsidR="007E7001" w:rsidRPr="00AA0CBB" w:rsidRDefault="007E7001" w:rsidP="00797693">
            <w:pPr>
              <w:pStyle w:val="Normal-beforebullets"/>
              <w:jc w:val="right"/>
              <w:rPr>
                <w:color w:val="000000"/>
              </w:rPr>
            </w:pPr>
            <w:r w:rsidRPr="00AA0CBB">
              <w:rPr>
                <w:color w:val="000000"/>
              </w:rPr>
              <w:t>0.7</w:t>
            </w:r>
          </w:p>
        </w:tc>
        <w:tc>
          <w:tcPr>
            <w:tcW w:w="1998" w:type="dxa"/>
            <w:vAlign w:val="center"/>
          </w:tcPr>
          <w:p w:rsidR="007E7001" w:rsidRPr="00AA0CBB" w:rsidRDefault="007E7001" w:rsidP="00797693">
            <w:pPr>
              <w:pStyle w:val="Normal-beforebullets"/>
              <w:jc w:val="right"/>
              <w:rPr>
                <w:color w:val="000000"/>
              </w:rPr>
            </w:pPr>
            <w:r w:rsidRPr="00AA0CBB">
              <w:rPr>
                <w:color w:val="000000"/>
              </w:rPr>
              <w:t>198</w:t>
            </w:r>
          </w:p>
        </w:tc>
      </w:tr>
      <w:tr w:rsidR="007E7001" w:rsidRPr="00AA0CBB" w:rsidTr="008A7915">
        <w:trPr>
          <w:trHeight w:val="283"/>
        </w:trPr>
        <w:tc>
          <w:tcPr>
            <w:tcW w:w="1809" w:type="dxa"/>
            <w:vMerge/>
            <w:hideMark/>
          </w:tcPr>
          <w:p w:rsidR="007E7001" w:rsidRPr="00AA0CBB" w:rsidRDefault="007E7001" w:rsidP="00797693">
            <w:pPr>
              <w:pStyle w:val="Normal-beforebullets"/>
              <w:rPr>
                <w:b/>
                <w:color w:val="000000"/>
                <w:lang w:eastAsia="en-AU"/>
              </w:rPr>
            </w:pPr>
          </w:p>
        </w:tc>
        <w:tc>
          <w:tcPr>
            <w:tcW w:w="2273" w:type="dxa"/>
            <w:vAlign w:val="center"/>
          </w:tcPr>
          <w:p w:rsidR="007E7001" w:rsidRPr="00AA0CBB" w:rsidRDefault="007E7001" w:rsidP="00797693">
            <w:pPr>
              <w:pStyle w:val="Normal-beforebullets"/>
              <w:rPr>
                <w:b/>
                <w:color w:val="000000"/>
                <w:lang w:eastAsia="en-AU"/>
              </w:rPr>
            </w:pPr>
            <w:r w:rsidRPr="00AA0CBB">
              <w:rPr>
                <w:b/>
                <w:color w:val="000000"/>
                <w:lang w:eastAsia="en-AU"/>
              </w:rPr>
              <w:t>Private</w:t>
            </w:r>
          </w:p>
        </w:tc>
        <w:tc>
          <w:tcPr>
            <w:tcW w:w="916" w:type="dxa"/>
            <w:vAlign w:val="center"/>
          </w:tcPr>
          <w:p w:rsidR="007E7001" w:rsidRPr="00AA0CBB" w:rsidRDefault="007E7001" w:rsidP="00797693">
            <w:pPr>
              <w:pStyle w:val="Normal-beforebullets"/>
              <w:jc w:val="right"/>
              <w:rPr>
                <w:color w:val="000000"/>
              </w:rPr>
            </w:pPr>
            <w:r w:rsidRPr="00AA0CBB">
              <w:rPr>
                <w:color w:val="000000"/>
              </w:rPr>
              <w:t>21</w:t>
            </w:r>
          </w:p>
        </w:tc>
        <w:tc>
          <w:tcPr>
            <w:tcW w:w="917" w:type="dxa"/>
            <w:vAlign w:val="center"/>
          </w:tcPr>
          <w:p w:rsidR="007E7001" w:rsidRPr="00AA0CBB" w:rsidRDefault="007E7001" w:rsidP="00797693">
            <w:pPr>
              <w:pStyle w:val="Normal-beforebullets"/>
              <w:jc w:val="right"/>
              <w:rPr>
                <w:color w:val="000000"/>
              </w:rPr>
            </w:pPr>
            <w:r w:rsidRPr="00AA0CBB">
              <w:rPr>
                <w:color w:val="000000"/>
              </w:rPr>
              <w:t>7.3</w:t>
            </w:r>
          </w:p>
        </w:tc>
        <w:tc>
          <w:tcPr>
            <w:tcW w:w="917" w:type="dxa"/>
            <w:vAlign w:val="center"/>
          </w:tcPr>
          <w:p w:rsidR="007E7001" w:rsidRPr="00AA0CBB" w:rsidRDefault="007E7001" w:rsidP="00797693">
            <w:pPr>
              <w:pStyle w:val="Normal-beforebullets"/>
              <w:jc w:val="right"/>
              <w:rPr>
                <w:color w:val="000000"/>
              </w:rPr>
            </w:pPr>
            <w:r w:rsidRPr="00AA0CBB">
              <w:rPr>
                <w:color w:val="000000"/>
              </w:rPr>
              <w:t>10</w:t>
            </w:r>
          </w:p>
        </w:tc>
        <w:tc>
          <w:tcPr>
            <w:tcW w:w="917" w:type="dxa"/>
            <w:vAlign w:val="center"/>
          </w:tcPr>
          <w:p w:rsidR="007E7001" w:rsidRPr="00AA0CBB" w:rsidRDefault="007E7001" w:rsidP="00797693">
            <w:pPr>
              <w:pStyle w:val="Normal-beforebullets"/>
              <w:jc w:val="right"/>
              <w:rPr>
                <w:color w:val="000000"/>
              </w:rPr>
            </w:pPr>
            <w:r w:rsidRPr="00AA0CBB">
              <w:rPr>
                <w:color w:val="000000"/>
              </w:rPr>
              <w:t>3.4</w:t>
            </w:r>
          </w:p>
        </w:tc>
        <w:tc>
          <w:tcPr>
            <w:tcW w:w="1998" w:type="dxa"/>
            <w:vAlign w:val="center"/>
          </w:tcPr>
          <w:p w:rsidR="007E7001" w:rsidRPr="0025386E" w:rsidRDefault="007E7001" w:rsidP="00797693">
            <w:pPr>
              <w:pStyle w:val="Normal-beforebullets"/>
              <w:jc w:val="right"/>
              <w:rPr>
                <w:b/>
                <w:color w:val="000000"/>
              </w:rPr>
            </w:pPr>
            <w:r w:rsidRPr="0025386E">
              <w:rPr>
                <w:b/>
                <w:color w:val="000000"/>
              </w:rPr>
              <w:t>977</w:t>
            </w:r>
          </w:p>
        </w:tc>
      </w:tr>
      <w:tr w:rsidR="007E7001" w:rsidRPr="00AA0CBB" w:rsidTr="008A7915">
        <w:trPr>
          <w:trHeight w:val="283"/>
        </w:trPr>
        <w:tc>
          <w:tcPr>
            <w:tcW w:w="4082" w:type="dxa"/>
            <w:gridSpan w:val="2"/>
            <w:vAlign w:val="center"/>
            <w:hideMark/>
          </w:tcPr>
          <w:p w:rsidR="007E7001" w:rsidRPr="00757D79" w:rsidRDefault="007E7001" w:rsidP="00797693">
            <w:pPr>
              <w:pStyle w:val="Normal-beforebullets"/>
              <w:rPr>
                <w:b/>
                <w:bCs/>
                <w:color w:val="000000"/>
                <w:lang w:eastAsia="en-AU"/>
              </w:rPr>
            </w:pPr>
            <w:r w:rsidRPr="00757D79">
              <w:rPr>
                <w:b/>
                <w:color w:val="000000"/>
                <w:lang w:eastAsia="en-AU"/>
              </w:rPr>
              <w:t>Total</w:t>
            </w:r>
          </w:p>
        </w:tc>
        <w:tc>
          <w:tcPr>
            <w:tcW w:w="916" w:type="dxa"/>
            <w:vAlign w:val="center"/>
          </w:tcPr>
          <w:p w:rsidR="007E7001" w:rsidRPr="00AA0CBB" w:rsidRDefault="007E7001" w:rsidP="00797693">
            <w:pPr>
              <w:pStyle w:val="Normal-beforebullets"/>
              <w:jc w:val="right"/>
              <w:rPr>
                <w:b/>
                <w:bCs/>
                <w:color w:val="000000"/>
                <w:lang w:eastAsia="en-AU"/>
              </w:rPr>
            </w:pPr>
            <w:r w:rsidRPr="00AA0CBB">
              <w:rPr>
                <w:b/>
                <w:bCs/>
                <w:color w:val="000000"/>
                <w:lang w:eastAsia="en-AU"/>
              </w:rPr>
              <w:t>287</w:t>
            </w:r>
          </w:p>
        </w:tc>
        <w:tc>
          <w:tcPr>
            <w:tcW w:w="917" w:type="dxa"/>
            <w:vAlign w:val="center"/>
          </w:tcPr>
          <w:p w:rsidR="007E7001" w:rsidRPr="00AA0CBB" w:rsidRDefault="007E7001" w:rsidP="00797693">
            <w:pPr>
              <w:pStyle w:val="Normal-beforebullets"/>
              <w:jc w:val="right"/>
              <w:rPr>
                <w:b/>
                <w:bCs/>
                <w:color w:val="000000"/>
                <w:lang w:eastAsia="en-AU"/>
              </w:rPr>
            </w:pPr>
            <w:r w:rsidRPr="00AA0CBB">
              <w:rPr>
                <w:b/>
                <w:bCs/>
                <w:color w:val="000000"/>
                <w:lang w:eastAsia="en-AU"/>
              </w:rPr>
              <w:t>-</w:t>
            </w:r>
          </w:p>
        </w:tc>
        <w:tc>
          <w:tcPr>
            <w:tcW w:w="917" w:type="dxa"/>
            <w:vAlign w:val="center"/>
          </w:tcPr>
          <w:p w:rsidR="007E7001" w:rsidRPr="00AA0CBB" w:rsidRDefault="007E7001" w:rsidP="00797693">
            <w:pPr>
              <w:pStyle w:val="Normal-beforebullets"/>
              <w:jc w:val="right"/>
              <w:rPr>
                <w:b/>
                <w:bCs/>
                <w:color w:val="000000"/>
                <w:lang w:eastAsia="en-AU"/>
              </w:rPr>
            </w:pPr>
            <w:r w:rsidRPr="00AA0CBB">
              <w:rPr>
                <w:b/>
                <w:bCs/>
                <w:color w:val="000000"/>
                <w:lang w:eastAsia="en-AU"/>
              </w:rPr>
              <w:t>292</w:t>
            </w:r>
          </w:p>
        </w:tc>
        <w:tc>
          <w:tcPr>
            <w:tcW w:w="917" w:type="dxa"/>
            <w:vAlign w:val="center"/>
          </w:tcPr>
          <w:p w:rsidR="007E7001" w:rsidRPr="00AA0CBB" w:rsidRDefault="007E7001" w:rsidP="00797693">
            <w:pPr>
              <w:pStyle w:val="Normal-beforebullets"/>
              <w:jc w:val="right"/>
              <w:rPr>
                <w:b/>
                <w:bCs/>
                <w:color w:val="000000"/>
                <w:lang w:eastAsia="en-AU"/>
              </w:rPr>
            </w:pPr>
            <w:r w:rsidRPr="00AA0CBB">
              <w:rPr>
                <w:b/>
                <w:bCs/>
                <w:color w:val="000000"/>
                <w:lang w:eastAsia="en-AU"/>
              </w:rPr>
              <w:t>-</w:t>
            </w:r>
          </w:p>
        </w:tc>
        <w:tc>
          <w:tcPr>
            <w:tcW w:w="1998" w:type="dxa"/>
            <w:vAlign w:val="center"/>
          </w:tcPr>
          <w:p w:rsidR="007E7001" w:rsidRPr="00AA0CBB" w:rsidRDefault="007E7001" w:rsidP="00797693">
            <w:pPr>
              <w:pStyle w:val="Normal-beforebullets"/>
              <w:jc w:val="right"/>
              <w:rPr>
                <w:b/>
                <w:bCs/>
                <w:color w:val="000000"/>
                <w:lang w:eastAsia="en-AU"/>
              </w:rPr>
            </w:pPr>
            <w:r w:rsidRPr="00AA0CBB">
              <w:rPr>
                <w:b/>
                <w:bCs/>
                <w:color w:val="000000"/>
                <w:lang w:eastAsia="en-AU"/>
              </w:rPr>
              <w:t>12</w:t>
            </w:r>
            <w:r>
              <w:rPr>
                <w:b/>
                <w:bCs/>
                <w:color w:val="000000"/>
                <w:lang w:eastAsia="en-AU"/>
              </w:rPr>
              <w:t>,307</w:t>
            </w:r>
          </w:p>
        </w:tc>
      </w:tr>
    </w:tbl>
    <w:p w:rsidR="00277D58" w:rsidRPr="00277D58" w:rsidRDefault="003536F1" w:rsidP="00277D58">
      <w:pPr>
        <w:pStyle w:val="Heading2"/>
      </w:pPr>
      <w:bookmarkStart w:id="42" w:name="_Toc513125587"/>
      <w:r>
        <w:t xml:space="preserve">B: </w:t>
      </w:r>
      <w:r w:rsidR="00277D58" w:rsidRPr="00277D58">
        <w:t>Resident characteristics</w:t>
      </w:r>
      <w:bookmarkEnd w:id="42"/>
    </w:p>
    <w:p w:rsidR="00277D58" w:rsidRPr="007B3CD0" w:rsidRDefault="00277D58" w:rsidP="00277D58">
      <w:r w:rsidRPr="00757D79">
        <w:t xml:space="preserve">For both 2016 and 2017, </w:t>
      </w:r>
      <w:r w:rsidR="003D62A3">
        <w:t>a little over one</w:t>
      </w:r>
      <w:r w:rsidR="007E7001">
        <w:t xml:space="preserve"> </w:t>
      </w:r>
      <w:r>
        <w:t xml:space="preserve">half </w:t>
      </w:r>
      <w:r w:rsidR="00FE39AF">
        <w:t xml:space="preserve">(57.5%) </w:t>
      </w:r>
      <w:r>
        <w:t xml:space="preserve">of </w:t>
      </w:r>
      <w:r w:rsidRPr="00757D79">
        <w:t>the residents were aged greater than 85 years</w:t>
      </w:r>
      <w:r>
        <w:t xml:space="preserve"> and </w:t>
      </w:r>
      <w:r w:rsidR="003D62A3">
        <w:t>one-</w:t>
      </w:r>
      <w:r w:rsidRPr="00757D79">
        <w:t xml:space="preserve">third </w:t>
      </w:r>
      <w:r w:rsidR="00FE39AF">
        <w:t xml:space="preserve">(33.9%) </w:t>
      </w:r>
      <w:r w:rsidRPr="00757D79">
        <w:t>were male. In 2017, 4.1</w:t>
      </w:r>
      <w:r>
        <w:t>% (</w:t>
      </w:r>
      <w:r w:rsidRPr="00492FB8">
        <w:rPr>
          <w:i/>
        </w:rPr>
        <w:t>n</w:t>
      </w:r>
      <w:r>
        <w:t xml:space="preserve">=507) of </w:t>
      </w:r>
      <w:r w:rsidRPr="00757D79">
        <w:t xml:space="preserve">residents had been admitted to a hospital in the previous 30 days, and 3.5% </w:t>
      </w:r>
      <w:r>
        <w:t>(</w:t>
      </w:r>
      <w:r w:rsidRPr="00492FB8">
        <w:rPr>
          <w:i/>
        </w:rPr>
        <w:t>n</w:t>
      </w:r>
      <w:r>
        <w:t xml:space="preserve">=432) </w:t>
      </w:r>
      <w:r w:rsidRPr="00757D79">
        <w:t>had an indwelling urinary catheter on the survey day</w:t>
      </w:r>
      <w:r>
        <w:t xml:space="preserve"> (Table 2).</w:t>
      </w:r>
    </w:p>
    <w:p w:rsidR="008A7915" w:rsidRDefault="008A7915">
      <w:pPr>
        <w:spacing w:after="80"/>
        <w:rPr>
          <w:b/>
        </w:rPr>
      </w:pPr>
      <w:bookmarkStart w:id="43" w:name="_Toc477183305"/>
      <w:bookmarkStart w:id="44" w:name="_Toc471808072"/>
      <w:r>
        <w:br w:type="page"/>
      </w:r>
    </w:p>
    <w:p w:rsidR="00277D58" w:rsidRPr="00F5392F" w:rsidRDefault="00277D58" w:rsidP="00557D08">
      <w:pPr>
        <w:pStyle w:val="FigureTitle"/>
      </w:pPr>
      <w:r w:rsidRPr="007B3CD0">
        <w:lastRenderedPageBreak/>
        <w:t xml:space="preserve">Table </w:t>
      </w:r>
      <w:r>
        <w:t xml:space="preserve">2: </w:t>
      </w:r>
      <w:r w:rsidRPr="00F5392F">
        <w:t>Number and characteristics of all residents on the survey day</w:t>
      </w:r>
      <w:bookmarkEnd w:id="43"/>
      <w:r w:rsidRPr="00F5392F">
        <w:t xml:space="preserve"> (2016 and 2017)  </w:t>
      </w:r>
    </w:p>
    <w:tbl>
      <w:tblPr>
        <w:tblStyle w:val="TableGridLight1"/>
        <w:tblW w:w="0" w:type="auto"/>
        <w:tblLayout w:type="fixed"/>
        <w:tblLook w:val="04A0" w:firstRow="1" w:lastRow="0" w:firstColumn="1" w:lastColumn="0" w:noHBand="0" w:noVBand="1"/>
      </w:tblPr>
      <w:tblGrid>
        <w:gridCol w:w="5070"/>
        <w:gridCol w:w="920"/>
        <w:gridCol w:w="851"/>
        <w:gridCol w:w="70"/>
        <w:gridCol w:w="921"/>
        <w:gridCol w:w="923"/>
      </w:tblGrid>
      <w:tr w:rsidR="00277D58" w:rsidRPr="00481FE5" w:rsidTr="008A7915">
        <w:trPr>
          <w:trHeight w:val="283"/>
        </w:trPr>
        <w:tc>
          <w:tcPr>
            <w:tcW w:w="5070" w:type="dxa"/>
            <w:vMerge w:val="restart"/>
            <w:vAlign w:val="center"/>
          </w:tcPr>
          <w:bookmarkEnd w:id="44"/>
          <w:p w:rsidR="00277D58" w:rsidRPr="00BD39D6" w:rsidRDefault="00BD39D6" w:rsidP="00ED1E21">
            <w:pPr>
              <w:pStyle w:val="Normal-beforebullets"/>
              <w:rPr>
                <w:b/>
              </w:rPr>
            </w:pPr>
            <w:r w:rsidRPr="00BD39D6">
              <w:rPr>
                <w:b/>
              </w:rPr>
              <w:t xml:space="preserve">Characteristic </w:t>
            </w:r>
          </w:p>
        </w:tc>
        <w:tc>
          <w:tcPr>
            <w:tcW w:w="1771" w:type="dxa"/>
            <w:gridSpan w:val="2"/>
            <w:vAlign w:val="center"/>
          </w:tcPr>
          <w:p w:rsidR="00277D58" w:rsidRPr="00AA0CBB" w:rsidRDefault="00277D58" w:rsidP="00ED1E21">
            <w:pPr>
              <w:pStyle w:val="Normal-beforebullets"/>
              <w:jc w:val="center"/>
              <w:rPr>
                <w:b/>
              </w:rPr>
            </w:pPr>
            <w:r w:rsidRPr="00AA0CBB">
              <w:rPr>
                <w:b/>
              </w:rPr>
              <w:t>2016</w:t>
            </w:r>
          </w:p>
        </w:tc>
        <w:tc>
          <w:tcPr>
            <w:tcW w:w="1914" w:type="dxa"/>
            <w:gridSpan w:val="3"/>
            <w:vAlign w:val="center"/>
          </w:tcPr>
          <w:p w:rsidR="00277D58" w:rsidRPr="00AA0CBB" w:rsidRDefault="00277D58" w:rsidP="00ED1E21">
            <w:pPr>
              <w:pStyle w:val="Normal-beforebullets"/>
              <w:jc w:val="center"/>
              <w:rPr>
                <w:b/>
              </w:rPr>
            </w:pPr>
            <w:r w:rsidRPr="00AA0CBB">
              <w:rPr>
                <w:b/>
              </w:rPr>
              <w:t>2017</w:t>
            </w:r>
          </w:p>
        </w:tc>
      </w:tr>
      <w:tr w:rsidR="00277D58" w:rsidRPr="00481FE5" w:rsidTr="008A7915">
        <w:trPr>
          <w:trHeight w:val="283"/>
        </w:trPr>
        <w:tc>
          <w:tcPr>
            <w:tcW w:w="5070" w:type="dxa"/>
            <w:vMerge/>
          </w:tcPr>
          <w:p w:rsidR="00277D58" w:rsidRPr="00AA0CBB" w:rsidRDefault="00277D58" w:rsidP="00ED1E21">
            <w:pPr>
              <w:pStyle w:val="Normal-beforebullets"/>
            </w:pPr>
          </w:p>
        </w:tc>
        <w:tc>
          <w:tcPr>
            <w:tcW w:w="920" w:type="dxa"/>
            <w:vAlign w:val="center"/>
          </w:tcPr>
          <w:p w:rsidR="00277D58" w:rsidRPr="00AA0CBB" w:rsidRDefault="00277D58" w:rsidP="00ED1E21">
            <w:pPr>
              <w:pStyle w:val="Normal-beforebullets"/>
              <w:jc w:val="right"/>
              <w:rPr>
                <w:b/>
              </w:rPr>
            </w:pPr>
            <w:r w:rsidRPr="00AA0CBB">
              <w:rPr>
                <w:b/>
              </w:rPr>
              <w:t>No.</w:t>
            </w:r>
          </w:p>
        </w:tc>
        <w:tc>
          <w:tcPr>
            <w:tcW w:w="921" w:type="dxa"/>
            <w:gridSpan w:val="2"/>
            <w:vAlign w:val="center"/>
          </w:tcPr>
          <w:p w:rsidR="00277D58" w:rsidRPr="00AA0CBB" w:rsidRDefault="00277D58" w:rsidP="00ED1E21">
            <w:pPr>
              <w:pStyle w:val="Normal-beforebullets"/>
              <w:jc w:val="right"/>
              <w:rPr>
                <w:b/>
              </w:rPr>
            </w:pPr>
            <w:r w:rsidRPr="00AA0CBB">
              <w:rPr>
                <w:b/>
              </w:rPr>
              <w:t>%</w:t>
            </w:r>
          </w:p>
        </w:tc>
        <w:tc>
          <w:tcPr>
            <w:tcW w:w="921" w:type="dxa"/>
            <w:vAlign w:val="center"/>
          </w:tcPr>
          <w:p w:rsidR="00277D58" w:rsidRPr="00AA0CBB" w:rsidRDefault="00277D58" w:rsidP="00ED1E21">
            <w:pPr>
              <w:pStyle w:val="Normal-beforebullets"/>
              <w:jc w:val="right"/>
              <w:rPr>
                <w:b/>
              </w:rPr>
            </w:pPr>
            <w:r w:rsidRPr="00AA0CBB">
              <w:rPr>
                <w:b/>
              </w:rPr>
              <w:t>No.</w:t>
            </w:r>
          </w:p>
        </w:tc>
        <w:tc>
          <w:tcPr>
            <w:tcW w:w="921" w:type="dxa"/>
            <w:vAlign w:val="center"/>
          </w:tcPr>
          <w:p w:rsidR="00277D58" w:rsidRPr="00AA0CBB" w:rsidRDefault="00277D58" w:rsidP="00ED1E21">
            <w:pPr>
              <w:pStyle w:val="Normal-beforebullets"/>
              <w:jc w:val="right"/>
              <w:rPr>
                <w:b/>
              </w:rPr>
            </w:pPr>
            <w:r w:rsidRPr="00AA0CBB">
              <w:rPr>
                <w:b/>
              </w:rPr>
              <w:t>%</w:t>
            </w:r>
          </w:p>
        </w:tc>
      </w:tr>
      <w:tr w:rsidR="00277D58" w:rsidRPr="00481FE5" w:rsidTr="008A7915">
        <w:trPr>
          <w:trHeight w:val="283"/>
        </w:trPr>
        <w:tc>
          <w:tcPr>
            <w:tcW w:w="5070" w:type="dxa"/>
          </w:tcPr>
          <w:p w:rsidR="00277D58" w:rsidRPr="00AA0CBB" w:rsidRDefault="00277D58" w:rsidP="00ED1E21">
            <w:pPr>
              <w:pStyle w:val="Normal-beforebullets"/>
              <w:rPr>
                <w:b/>
              </w:rPr>
            </w:pPr>
            <w:r w:rsidRPr="00AA0CBB">
              <w:rPr>
                <w:b/>
              </w:rPr>
              <w:t>Present on survey day</w:t>
            </w:r>
          </w:p>
        </w:tc>
        <w:tc>
          <w:tcPr>
            <w:tcW w:w="920" w:type="dxa"/>
            <w:vAlign w:val="center"/>
          </w:tcPr>
          <w:p w:rsidR="00277D58" w:rsidRPr="00151FA5" w:rsidRDefault="00277D58" w:rsidP="00ED1E21">
            <w:pPr>
              <w:pStyle w:val="Normal-beforebullets"/>
              <w:jc w:val="right"/>
            </w:pPr>
            <w:r w:rsidRPr="00151FA5">
              <w:t>13,398</w:t>
            </w:r>
          </w:p>
        </w:tc>
        <w:tc>
          <w:tcPr>
            <w:tcW w:w="921" w:type="dxa"/>
            <w:gridSpan w:val="2"/>
            <w:vAlign w:val="center"/>
          </w:tcPr>
          <w:p w:rsidR="00277D58" w:rsidRPr="00151FA5" w:rsidRDefault="00277D58" w:rsidP="00ED1E21">
            <w:pPr>
              <w:pStyle w:val="Normal-beforebullets"/>
              <w:jc w:val="right"/>
            </w:pPr>
            <w:r w:rsidRPr="00151FA5">
              <w:t>-</w:t>
            </w:r>
          </w:p>
        </w:tc>
        <w:tc>
          <w:tcPr>
            <w:tcW w:w="921" w:type="dxa"/>
            <w:vAlign w:val="center"/>
          </w:tcPr>
          <w:p w:rsidR="00277D58" w:rsidRPr="00151FA5" w:rsidRDefault="00277D58" w:rsidP="00ED1E21">
            <w:pPr>
              <w:pStyle w:val="Normal-beforebullets"/>
              <w:jc w:val="right"/>
            </w:pPr>
            <w:r w:rsidRPr="00151FA5">
              <w:t>12,307</w:t>
            </w:r>
          </w:p>
        </w:tc>
        <w:tc>
          <w:tcPr>
            <w:tcW w:w="921" w:type="dxa"/>
            <w:vAlign w:val="center"/>
          </w:tcPr>
          <w:p w:rsidR="00277D58" w:rsidRPr="00151FA5" w:rsidRDefault="00277D58" w:rsidP="00ED1E21">
            <w:pPr>
              <w:pStyle w:val="Normal-beforebullets"/>
              <w:jc w:val="right"/>
            </w:pPr>
            <w:r w:rsidRPr="00151FA5">
              <w:t>-</w:t>
            </w:r>
          </w:p>
        </w:tc>
      </w:tr>
      <w:tr w:rsidR="00277D58" w:rsidRPr="00481FE5" w:rsidTr="008A7915">
        <w:trPr>
          <w:trHeight w:val="283"/>
        </w:trPr>
        <w:tc>
          <w:tcPr>
            <w:tcW w:w="5070" w:type="dxa"/>
          </w:tcPr>
          <w:p w:rsidR="00277D58" w:rsidRPr="00AA0CBB" w:rsidRDefault="007E7001" w:rsidP="00ED1E21">
            <w:pPr>
              <w:pStyle w:val="Normal-beforebullets"/>
              <w:rPr>
                <w:b/>
              </w:rPr>
            </w:pPr>
            <w:r>
              <w:rPr>
                <w:b/>
              </w:rPr>
              <w:t xml:space="preserve">Aged </w:t>
            </w:r>
            <w:r w:rsidR="00277D58" w:rsidRPr="00AA0CBB">
              <w:rPr>
                <w:b/>
              </w:rPr>
              <w:t>&gt;85 years</w:t>
            </w:r>
          </w:p>
        </w:tc>
        <w:tc>
          <w:tcPr>
            <w:tcW w:w="920" w:type="dxa"/>
            <w:vAlign w:val="center"/>
          </w:tcPr>
          <w:p w:rsidR="00277D58" w:rsidRPr="00AA0CBB" w:rsidRDefault="00277D58" w:rsidP="00ED1E21">
            <w:pPr>
              <w:pStyle w:val="Normal-beforebullets"/>
              <w:jc w:val="right"/>
              <w:rPr>
                <w:color w:val="000000"/>
              </w:rPr>
            </w:pPr>
            <w:r w:rsidRPr="00AA0CBB">
              <w:rPr>
                <w:color w:val="000000"/>
              </w:rPr>
              <w:t>7</w:t>
            </w:r>
            <w:r w:rsidR="00E67CB4">
              <w:rPr>
                <w:color w:val="000000"/>
              </w:rPr>
              <w:t>,</w:t>
            </w:r>
            <w:r w:rsidRPr="00AA0CBB">
              <w:rPr>
                <w:color w:val="000000"/>
              </w:rPr>
              <w:t>355</w:t>
            </w:r>
          </w:p>
        </w:tc>
        <w:tc>
          <w:tcPr>
            <w:tcW w:w="921" w:type="dxa"/>
            <w:gridSpan w:val="2"/>
            <w:vAlign w:val="center"/>
          </w:tcPr>
          <w:p w:rsidR="00277D58" w:rsidRPr="00AA0CBB" w:rsidRDefault="00277D58" w:rsidP="00ED1E21">
            <w:pPr>
              <w:pStyle w:val="Normal-beforebullets"/>
              <w:jc w:val="right"/>
              <w:rPr>
                <w:color w:val="000000"/>
              </w:rPr>
            </w:pPr>
            <w:r>
              <w:rPr>
                <w:color w:val="000000"/>
              </w:rPr>
              <w:t>54.9</w:t>
            </w:r>
          </w:p>
        </w:tc>
        <w:tc>
          <w:tcPr>
            <w:tcW w:w="921" w:type="dxa"/>
            <w:vAlign w:val="center"/>
          </w:tcPr>
          <w:p w:rsidR="00277D58" w:rsidRPr="00AA0CBB" w:rsidRDefault="00277D58" w:rsidP="00ED1E21">
            <w:pPr>
              <w:pStyle w:val="Normal-beforebullets"/>
              <w:jc w:val="right"/>
              <w:rPr>
                <w:color w:val="000000"/>
              </w:rPr>
            </w:pPr>
            <w:r w:rsidRPr="00AA0CBB">
              <w:rPr>
                <w:color w:val="000000"/>
              </w:rPr>
              <w:t>7</w:t>
            </w:r>
            <w:r w:rsidR="00E67CB4">
              <w:rPr>
                <w:color w:val="000000"/>
              </w:rPr>
              <w:t>,</w:t>
            </w:r>
            <w:r w:rsidRPr="00AA0CBB">
              <w:rPr>
                <w:color w:val="000000"/>
              </w:rPr>
              <w:t>07</w:t>
            </w:r>
            <w:r>
              <w:rPr>
                <w:color w:val="000000"/>
              </w:rPr>
              <w:t>2</w:t>
            </w:r>
          </w:p>
        </w:tc>
        <w:tc>
          <w:tcPr>
            <w:tcW w:w="921" w:type="dxa"/>
            <w:vAlign w:val="center"/>
          </w:tcPr>
          <w:p w:rsidR="00277D58" w:rsidRPr="00AA0CBB" w:rsidRDefault="00277D58" w:rsidP="00ED1E21">
            <w:pPr>
              <w:pStyle w:val="Normal-beforebullets"/>
              <w:jc w:val="right"/>
              <w:rPr>
                <w:color w:val="000000"/>
              </w:rPr>
            </w:pPr>
            <w:r>
              <w:rPr>
                <w:color w:val="000000"/>
              </w:rPr>
              <w:t>57.5</w:t>
            </w:r>
          </w:p>
        </w:tc>
      </w:tr>
      <w:tr w:rsidR="00277D58" w:rsidRPr="00481FE5" w:rsidTr="008A7915">
        <w:trPr>
          <w:trHeight w:val="283"/>
        </w:trPr>
        <w:tc>
          <w:tcPr>
            <w:tcW w:w="5070" w:type="dxa"/>
          </w:tcPr>
          <w:p w:rsidR="00277D58" w:rsidRPr="00AA0CBB" w:rsidRDefault="00277D58" w:rsidP="00ED1E21">
            <w:pPr>
              <w:pStyle w:val="Normal-beforebullets"/>
              <w:rPr>
                <w:b/>
              </w:rPr>
            </w:pPr>
            <w:r>
              <w:rPr>
                <w:b/>
              </w:rPr>
              <w:t>Male</w:t>
            </w:r>
          </w:p>
        </w:tc>
        <w:tc>
          <w:tcPr>
            <w:tcW w:w="920" w:type="dxa"/>
            <w:vAlign w:val="center"/>
          </w:tcPr>
          <w:p w:rsidR="00277D58" w:rsidRPr="00AA0CBB" w:rsidRDefault="00277D58" w:rsidP="00ED1E21">
            <w:pPr>
              <w:pStyle w:val="Normal-beforebullets"/>
              <w:jc w:val="right"/>
              <w:rPr>
                <w:color w:val="000000"/>
              </w:rPr>
            </w:pPr>
            <w:r>
              <w:rPr>
                <w:color w:val="000000"/>
              </w:rPr>
              <w:t>4</w:t>
            </w:r>
            <w:r w:rsidR="00E67CB4">
              <w:rPr>
                <w:color w:val="000000"/>
              </w:rPr>
              <w:t>,</w:t>
            </w:r>
            <w:r>
              <w:rPr>
                <w:color w:val="000000"/>
              </w:rPr>
              <w:t>448</w:t>
            </w:r>
          </w:p>
        </w:tc>
        <w:tc>
          <w:tcPr>
            <w:tcW w:w="921" w:type="dxa"/>
            <w:gridSpan w:val="2"/>
            <w:vAlign w:val="center"/>
          </w:tcPr>
          <w:p w:rsidR="00277D58" w:rsidRPr="00AA0CBB" w:rsidRDefault="00277D58" w:rsidP="00ED1E21">
            <w:pPr>
              <w:pStyle w:val="Normal-beforebullets"/>
              <w:jc w:val="right"/>
              <w:rPr>
                <w:color w:val="000000"/>
              </w:rPr>
            </w:pPr>
            <w:r>
              <w:rPr>
                <w:color w:val="000000"/>
              </w:rPr>
              <w:t>33.2</w:t>
            </w:r>
          </w:p>
        </w:tc>
        <w:tc>
          <w:tcPr>
            <w:tcW w:w="921" w:type="dxa"/>
            <w:vAlign w:val="center"/>
          </w:tcPr>
          <w:p w:rsidR="00277D58" w:rsidRPr="00AA0CBB" w:rsidRDefault="00277D58" w:rsidP="00ED1E21">
            <w:pPr>
              <w:pStyle w:val="Normal-beforebullets"/>
              <w:jc w:val="right"/>
              <w:rPr>
                <w:color w:val="000000"/>
              </w:rPr>
            </w:pPr>
            <w:r>
              <w:rPr>
                <w:color w:val="000000"/>
              </w:rPr>
              <w:t>4</w:t>
            </w:r>
            <w:r w:rsidR="00E67CB4">
              <w:rPr>
                <w:color w:val="000000"/>
              </w:rPr>
              <w:t>,</w:t>
            </w:r>
            <w:r>
              <w:rPr>
                <w:color w:val="000000"/>
              </w:rPr>
              <w:t>167</w:t>
            </w:r>
          </w:p>
        </w:tc>
        <w:tc>
          <w:tcPr>
            <w:tcW w:w="921" w:type="dxa"/>
            <w:vAlign w:val="center"/>
          </w:tcPr>
          <w:p w:rsidR="00277D58" w:rsidRPr="00AA0CBB" w:rsidRDefault="00277D58" w:rsidP="00ED1E21">
            <w:pPr>
              <w:pStyle w:val="Normal-beforebullets"/>
              <w:jc w:val="right"/>
              <w:rPr>
                <w:color w:val="000000"/>
              </w:rPr>
            </w:pPr>
            <w:r>
              <w:rPr>
                <w:color w:val="000000"/>
              </w:rPr>
              <w:t>33.9</w:t>
            </w:r>
          </w:p>
        </w:tc>
      </w:tr>
      <w:tr w:rsidR="00277D58" w:rsidRPr="00481FE5" w:rsidTr="008A7915">
        <w:trPr>
          <w:trHeight w:val="283"/>
        </w:trPr>
        <w:tc>
          <w:tcPr>
            <w:tcW w:w="5070" w:type="dxa"/>
          </w:tcPr>
          <w:p w:rsidR="00277D58" w:rsidRPr="00AA0CBB" w:rsidRDefault="00277D58" w:rsidP="00ED1E21">
            <w:pPr>
              <w:pStyle w:val="Normal-beforebullets"/>
              <w:rPr>
                <w:b/>
              </w:rPr>
            </w:pPr>
            <w:r w:rsidRPr="00AA0CBB">
              <w:rPr>
                <w:b/>
              </w:rPr>
              <w:t>Admitted to hospital in previous 30 days</w:t>
            </w:r>
          </w:p>
        </w:tc>
        <w:tc>
          <w:tcPr>
            <w:tcW w:w="920" w:type="dxa"/>
            <w:vAlign w:val="center"/>
          </w:tcPr>
          <w:p w:rsidR="00277D58" w:rsidRPr="00AA0CBB" w:rsidRDefault="00277D58" w:rsidP="00ED1E21">
            <w:pPr>
              <w:pStyle w:val="Normal-beforebullets"/>
              <w:jc w:val="right"/>
              <w:rPr>
                <w:color w:val="000000"/>
              </w:rPr>
            </w:pPr>
            <w:r w:rsidRPr="00AA0CBB">
              <w:rPr>
                <w:color w:val="000000"/>
              </w:rPr>
              <w:t>630</w:t>
            </w:r>
          </w:p>
        </w:tc>
        <w:tc>
          <w:tcPr>
            <w:tcW w:w="921" w:type="dxa"/>
            <w:gridSpan w:val="2"/>
            <w:vAlign w:val="center"/>
          </w:tcPr>
          <w:p w:rsidR="00277D58" w:rsidRPr="00AA0CBB" w:rsidRDefault="00277D58" w:rsidP="00ED1E21">
            <w:pPr>
              <w:pStyle w:val="Normal-beforebullets"/>
              <w:jc w:val="right"/>
              <w:rPr>
                <w:color w:val="000000"/>
              </w:rPr>
            </w:pPr>
            <w:r>
              <w:rPr>
                <w:color w:val="000000"/>
              </w:rPr>
              <w:t>4.7</w:t>
            </w:r>
          </w:p>
        </w:tc>
        <w:tc>
          <w:tcPr>
            <w:tcW w:w="921" w:type="dxa"/>
            <w:vAlign w:val="center"/>
          </w:tcPr>
          <w:p w:rsidR="00277D58" w:rsidRPr="00AA0CBB" w:rsidRDefault="00277D58" w:rsidP="00ED1E21">
            <w:pPr>
              <w:pStyle w:val="Normal-beforebullets"/>
              <w:jc w:val="right"/>
              <w:rPr>
                <w:color w:val="000000"/>
              </w:rPr>
            </w:pPr>
            <w:r w:rsidRPr="00AA0CBB">
              <w:rPr>
                <w:color w:val="000000"/>
              </w:rPr>
              <w:t>50</w:t>
            </w:r>
            <w:r>
              <w:rPr>
                <w:color w:val="000000"/>
              </w:rPr>
              <w:t>7</w:t>
            </w:r>
          </w:p>
        </w:tc>
        <w:tc>
          <w:tcPr>
            <w:tcW w:w="921" w:type="dxa"/>
            <w:vAlign w:val="center"/>
          </w:tcPr>
          <w:p w:rsidR="00277D58" w:rsidRPr="00AA0CBB" w:rsidRDefault="00277D58" w:rsidP="00ED1E21">
            <w:pPr>
              <w:pStyle w:val="Normal-beforebullets"/>
              <w:jc w:val="right"/>
              <w:rPr>
                <w:color w:val="000000"/>
              </w:rPr>
            </w:pPr>
            <w:r>
              <w:rPr>
                <w:color w:val="000000"/>
              </w:rPr>
              <w:t>4.1</w:t>
            </w:r>
          </w:p>
        </w:tc>
      </w:tr>
      <w:tr w:rsidR="00277D58" w:rsidRPr="00481FE5" w:rsidTr="008A7915">
        <w:trPr>
          <w:trHeight w:val="283"/>
        </w:trPr>
        <w:tc>
          <w:tcPr>
            <w:tcW w:w="5070" w:type="dxa"/>
          </w:tcPr>
          <w:p w:rsidR="00277D58" w:rsidRPr="00AA0CBB" w:rsidRDefault="00277D58" w:rsidP="00ED1E21">
            <w:pPr>
              <w:pStyle w:val="Normal-beforebullets"/>
              <w:rPr>
                <w:b/>
              </w:rPr>
            </w:pPr>
            <w:r w:rsidRPr="00AA0CBB">
              <w:rPr>
                <w:b/>
              </w:rPr>
              <w:t>Indwelling urinary catheter present</w:t>
            </w:r>
          </w:p>
        </w:tc>
        <w:tc>
          <w:tcPr>
            <w:tcW w:w="920" w:type="dxa"/>
            <w:vAlign w:val="center"/>
          </w:tcPr>
          <w:p w:rsidR="00277D58" w:rsidRPr="00AA0CBB" w:rsidRDefault="00277D58" w:rsidP="00ED1E21">
            <w:pPr>
              <w:pStyle w:val="Normal-beforebullets"/>
              <w:jc w:val="right"/>
              <w:rPr>
                <w:color w:val="000000"/>
              </w:rPr>
            </w:pPr>
            <w:r w:rsidRPr="00AA0CBB">
              <w:rPr>
                <w:color w:val="000000"/>
              </w:rPr>
              <w:t>513</w:t>
            </w:r>
          </w:p>
        </w:tc>
        <w:tc>
          <w:tcPr>
            <w:tcW w:w="921" w:type="dxa"/>
            <w:gridSpan w:val="2"/>
            <w:vAlign w:val="center"/>
          </w:tcPr>
          <w:p w:rsidR="00277D58" w:rsidRPr="00AA0CBB" w:rsidRDefault="00277D58" w:rsidP="00ED1E21">
            <w:pPr>
              <w:pStyle w:val="Normal-beforebullets"/>
              <w:jc w:val="right"/>
              <w:rPr>
                <w:color w:val="000000"/>
              </w:rPr>
            </w:pPr>
            <w:r>
              <w:rPr>
                <w:color w:val="000000"/>
              </w:rPr>
              <w:t>3.8</w:t>
            </w:r>
          </w:p>
        </w:tc>
        <w:tc>
          <w:tcPr>
            <w:tcW w:w="921" w:type="dxa"/>
            <w:vAlign w:val="center"/>
          </w:tcPr>
          <w:p w:rsidR="00277D58" w:rsidRPr="00AA0CBB" w:rsidRDefault="00277D58" w:rsidP="00ED1E21">
            <w:pPr>
              <w:pStyle w:val="Normal-beforebullets"/>
              <w:jc w:val="right"/>
              <w:rPr>
                <w:color w:val="000000"/>
              </w:rPr>
            </w:pPr>
            <w:r w:rsidRPr="00AA0CBB">
              <w:rPr>
                <w:color w:val="000000"/>
              </w:rPr>
              <w:t>432</w:t>
            </w:r>
          </w:p>
        </w:tc>
        <w:tc>
          <w:tcPr>
            <w:tcW w:w="921" w:type="dxa"/>
            <w:vAlign w:val="center"/>
          </w:tcPr>
          <w:p w:rsidR="00277D58" w:rsidRPr="00AA0CBB" w:rsidRDefault="00277D58" w:rsidP="00ED1E21">
            <w:pPr>
              <w:pStyle w:val="Normal-beforebullets"/>
              <w:jc w:val="right"/>
              <w:rPr>
                <w:color w:val="000000"/>
              </w:rPr>
            </w:pPr>
            <w:r>
              <w:rPr>
                <w:color w:val="000000"/>
              </w:rPr>
              <w:t>3.5</w:t>
            </w:r>
          </w:p>
        </w:tc>
      </w:tr>
    </w:tbl>
    <w:p w:rsidR="00557D08" w:rsidRPr="00557D08" w:rsidRDefault="003536F1" w:rsidP="00557D08">
      <w:pPr>
        <w:pStyle w:val="Heading2"/>
      </w:pPr>
      <w:bookmarkStart w:id="45" w:name="_Toc513125588"/>
      <w:r>
        <w:t xml:space="preserve">C: </w:t>
      </w:r>
      <w:r w:rsidR="00557D08" w:rsidRPr="00557D08">
        <w:t>Prevalence of infections</w:t>
      </w:r>
      <w:bookmarkEnd w:id="45"/>
      <w:r w:rsidR="00FE39AF">
        <w:t xml:space="preserve"> and antimicrobial use</w:t>
      </w:r>
    </w:p>
    <w:p w:rsidR="009003C1" w:rsidRDefault="009003C1" w:rsidP="00557D08">
      <w:r>
        <w:t xml:space="preserve">The prevalence of infection was calculated as the proportion of residents present on the survey day who had signs and/or symptoms of a suspected infection. The prevalence of antimicrobial use was calculated as the proportion of residents present on the survey day who were prescribed at least one antimicrobial. </w:t>
      </w:r>
    </w:p>
    <w:p w:rsidR="00557D08" w:rsidRPr="003E6271" w:rsidRDefault="00557D08" w:rsidP="00557D08">
      <w:r w:rsidRPr="003E6271">
        <w:t xml:space="preserve">The </w:t>
      </w:r>
      <w:r w:rsidR="00163513">
        <w:t xml:space="preserve">prevalence </w:t>
      </w:r>
      <w:r w:rsidRPr="003E6271">
        <w:t xml:space="preserve">of residents </w:t>
      </w:r>
      <w:r w:rsidR="00163513">
        <w:t xml:space="preserve">who had </w:t>
      </w:r>
      <w:r w:rsidRPr="003E6271">
        <w:t xml:space="preserve">signs and/or symptoms </w:t>
      </w:r>
      <w:r w:rsidR="00D21974">
        <w:t>of a</w:t>
      </w:r>
      <w:r w:rsidR="0096198D">
        <w:t xml:space="preserve"> suspected</w:t>
      </w:r>
      <w:r w:rsidR="00D21974">
        <w:t xml:space="preserve"> </w:t>
      </w:r>
      <w:r w:rsidR="00163513">
        <w:t xml:space="preserve">infection </w:t>
      </w:r>
      <w:proofErr w:type="gramStart"/>
      <w:r w:rsidR="0096198D">
        <w:t>was</w:t>
      </w:r>
      <w:proofErr w:type="gramEnd"/>
      <w:r w:rsidR="0096198D">
        <w:t xml:space="preserve"> </w:t>
      </w:r>
      <w:r>
        <w:t xml:space="preserve">2.8% </w:t>
      </w:r>
      <w:r w:rsidR="003312F1">
        <w:t>in 2017</w:t>
      </w:r>
      <w:r w:rsidR="0096198D">
        <w:t>,</w:t>
      </w:r>
      <w:r w:rsidR="007E7001">
        <w:t xml:space="preserve"> </w:t>
      </w:r>
      <w:r w:rsidR="00165756">
        <w:t>compared with</w:t>
      </w:r>
      <w:r>
        <w:t xml:space="preserve"> 3.</w:t>
      </w:r>
      <w:r w:rsidR="00466D06">
        <w:t>1</w:t>
      </w:r>
      <w:r>
        <w:t xml:space="preserve">% </w:t>
      </w:r>
      <w:r w:rsidR="007E7001">
        <w:t>in 2016</w:t>
      </w:r>
      <w:r w:rsidR="00FE39AF">
        <w:t>.</w:t>
      </w:r>
      <w:r w:rsidR="007E7001">
        <w:t xml:space="preserve"> </w:t>
      </w:r>
      <w:r w:rsidR="00FE39AF" w:rsidRPr="003E6271">
        <w:t xml:space="preserve">The prevalence of residents prescribed at least one antimicrobial was 8.8% </w:t>
      </w:r>
      <w:r w:rsidR="00FE39AF">
        <w:t>in</w:t>
      </w:r>
      <w:r w:rsidR="00FE39AF" w:rsidRPr="003E6271">
        <w:t xml:space="preserve"> 2017</w:t>
      </w:r>
      <w:r w:rsidR="00FE39AF">
        <w:t>,</w:t>
      </w:r>
      <w:r w:rsidR="00FE39AF" w:rsidRPr="003E6271">
        <w:t xml:space="preserve"> compared </w:t>
      </w:r>
      <w:r w:rsidR="00FE39AF">
        <w:t>with</w:t>
      </w:r>
      <w:r w:rsidR="00FE39AF" w:rsidRPr="003E6271">
        <w:t xml:space="preserve"> 9.9% in 2016</w:t>
      </w:r>
      <w:r w:rsidR="00BB7508">
        <w:t xml:space="preserve"> (Table 3)</w:t>
      </w:r>
      <w:r w:rsidR="00FE39AF" w:rsidRPr="003E6271">
        <w:t xml:space="preserve">. If all topical antimicrobials were excluded, the prevalence was 6.7% </w:t>
      </w:r>
      <w:r w:rsidR="00FE39AF">
        <w:t xml:space="preserve">in 2017 </w:t>
      </w:r>
      <w:r w:rsidR="00FE39AF" w:rsidRPr="003E6271">
        <w:t xml:space="preserve">compared </w:t>
      </w:r>
      <w:r w:rsidR="00FE39AF">
        <w:t>with</w:t>
      </w:r>
      <w:r w:rsidR="00FE39AF" w:rsidRPr="003E6271">
        <w:t xml:space="preserve"> 7.6%</w:t>
      </w:r>
      <w:r w:rsidR="00FE39AF">
        <w:t xml:space="preserve"> in 2016</w:t>
      </w:r>
      <w:r w:rsidR="00BB7508">
        <w:t>.</w:t>
      </w:r>
    </w:p>
    <w:p w:rsidR="00557D08" w:rsidRPr="00557D08" w:rsidRDefault="00557D08" w:rsidP="00557D08">
      <w:pPr>
        <w:pStyle w:val="FigureTitle"/>
      </w:pPr>
      <w:r w:rsidRPr="00557D08">
        <w:t>Table 3: Prevalence of infections</w:t>
      </w:r>
      <w:r w:rsidR="003A3B91">
        <w:t xml:space="preserve"> and antimicrobial use</w:t>
      </w:r>
      <w:r w:rsidRPr="00557D08">
        <w:t xml:space="preserve"> (2016 and 2017) </w:t>
      </w:r>
    </w:p>
    <w:tbl>
      <w:tblPr>
        <w:tblStyle w:val="TableGridLight1"/>
        <w:tblW w:w="9889" w:type="dxa"/>
        <w:tblLayout w:type="fixed"/>
        <w:tblLook w:val="04A0" w:firstRow="1" w:lastRow="0" w:firstColumn="1" w:lastColumn="0" w:noHBand="0" w:noVBand="1"/>
      </w:tblPr>
      <w:tblGrid>
        <w:gridCol w:w="3227"/>
        <w:gridCol w:w="992"/>
        <w:gridCol w:w="779"/>
        <w:gridCol w:w="1064"/>
        <w:gridCol w:w="992"/>
        <w:gridCol w:w="921"/>
        <w:gridCol w:w="951"/>
        <w:gridCol w:w="963"/>
      </w:tblGrid>
      <w:tr w:rsidR="00557D08" w:rsidRPr="00481FE5" w:rsidTr="00775658">
        <w:trPr>
          <w:trHeight w:val="283"/>
        </w:trPr>
        <w:tc>
          <w:tcPr>
            <w:tcW w:w="3227" w:type="dxa"/>
            <w:vMerge w:val="restart"/>
            <w:vAlign w:val="center"/>
          </w:tcPr>
          <w:p w:rsidR="00557D08" w:rsidRPr="00E67CB4" w:rsidRDefault="00BD39D6" w:rsidP="00ED1E21">
            <w:pPr>
              <w:pStyle w:val="Normal-beforebullets"/>
              <w:rPr>
                <w:b/>
              </w:rPr>
            </w:pPr>
            <w:r>
              <w:rPr>
                <w:b/>
              </w:rPr>
              <w:t>O</w:t>
            </w:r>
            <w:r w:rsidR="00557D08" w:rsidRPr="00E67CB4">
              <w:rPr>
                <w:b/>
              </w:rPr>
              <w:t>n survey day</w:t>
            </w:r>
          </w:p>
        </w:tc>
        <w:tc>
          <w:tcPr>
            <w:tcW w:w="2835" w:type="dxa"/>
            <w:gridSpan w:val="3"/>
            <w:vAlign w:val="center"/>
          </w:tcPr>
          <w:p w:rsidR="00557D08" w:rsidRPr="00E67CB4" w:rsidRDefault="00557D08" w:rsidP="00ED1E21">
            <w:pPr>
              <w:pStyle w:val="Normal-beforebullets"/>
              <w:jc w:val="center"/>
              <w:rPr>
                <w:b/>
              </w:rPr>
            </w:pPr>
            <w:r w:rsidRPr="00E67CB4">
              <w:rPr>
                <w:b/>
              </w:rPr>
              <w:t>2016</w:t>
            </w:r>
          </w:p>
        </w:tc>
        <w:tc>
          <w:tcPr>
            <w:tcW w:w="2864" w:type="dxa"/>
            <w:gridSpan w:val="3"/>
            <w:vAlign w:val="center"/>
          </w:tcPr>
          <w:p w:rsidR="00557D08" w:rsidRPr="00E67CB4" w:rsidRDefault="00557D08" w:rsidP="00ED1E21">
            <w:pPr>
              <w:pStyle w:val="Normal-beforebullets"/>
              <w:jc w:val="center"/>
              <w:rPr>
                <w:b/>
              </w:rPr>
            </w:pPr>
            <w:r w:rsidRPr="00E67CB4">
              <w:rPr>
                <w:b/>
              </w:rPr>
              <w:t>2017</w:t>
            </w:r>
          </w:p>
        </w:tc>
        <w:tc>
          <w:tcPr>
            <w:tcW w:w="963" w:type="dxa"/>
            <w:vMerge w:val="restart"/>
            <w:vAlign w:val="center"/>
          </w:tcPr>
          <w:p w:rsidR="00557D08" w:rsidRPr="00E67CB4" w:rsidRDefault="00557D08" w:rsidP="00ED1E21">
            <w:pPr>
              <w:pStyle w:val="Normal-beforebullets"/>
              <w:rPr>
                <w:b/>
              </w:rPr>
            </w:pPr>
            <w:r w:rsidRPr="00E67CB4">
              <w:rPr>
                <w:b/>
              </w:rPr>
              <w:t>p-value</w:t>
            </w:r>
          </w:p>
        </w:tc>
      </w:tr>
      <w:tr w:rsidR="00557D08" w:rsidRPr="00481FE5" w:rsidTr="00775658">
        <w:trPr>
          <w:trHeight w:val="283"/>
        </w:trPr>
        <w:tc>
          <w:tcPr>
            <w:tcW w:w="3227" w:type="dxa"/>
            <w:vMerge/>
          </w:tcPr>
          <w:p w:rsidR="00557D08" w:rsidRPr="00E67CB4" w:rsidRDefault="00557D08" w:rsidP="00ED1E21">
            <w:pPr>
              <w:pStyle w:val="Normal-beforebullets"/>
              <w:rPr>
                <w:b/>
              </w:rPr>
            </w:pPr>
          </w:p>
        </w:tc>
        <w:tc>
          <w:tcPr>
            <w:tcW w:w="992" w:type="dxa"/>
            <w:vAlign w:val="center"/>
          </w:tcPr>
          <w:p w:rsidR="00557D08" w:rsidRPr="00E67CB4" w:rsidRDefault="00557D08" w:rsidP="00ED1E21">
            <w:pPr>
              <w:pStyle w:val="Normal-beforebullets"/>
              <w:jc w:val="right"/>
              <w:rPr>
                <w:b/>
              </w:rPr>
            </w:pPr>
            <w:r w:rsidRPr="00E67CB4">
              <w:rPr>
                <w:b/>
              </w:rPr>
              <w:t>No.</w:t>
            </w:r>
          </w:p>
        </w:tc>
        <w:tc>
          <w:tcPr>
            <w:tcW w:w="779" w:type="dxa"/>
            <w:vAlign w:val="center"/>
          </w:tcPr>
          <w:p w:rsidR="00557D08" w:rsidRPr="00E67CB4" w:rsidRDefault="00557D08" w:rsidP="00ED1E21">
            <w:pPr>
              <w:pStyle w:val="Normal-beforebullets"/>
              <w:jc w:val="right"/>
              <w:rPr>
                <w:b/>
              </w:rPr>
            </w:pPr>
            <w:r w:rsidRPr="00E67CB4">
              <w:rPr>
                <w:b/>
              </w:rPr>
              <w:t>%</w:t>
            </w:r>
          </w:p>
        </w:tc>
        <w:tc>
          <w:tcPr>
            <w:tcW w:w="1064" w:type="dxa"/>
            <w:vAlign w:val="center"/>
          </w:tcPr>
          <w:p w:rsidR="00557D08" w:rsidRPr="00E67CB4" w:rsidRDefault="00557D08" w:rsidP="00ED1E21">
            <w:pPr>
              <w:pStyle w:val="Normal-beforebullets"/>
              <w:jc w:val="right"/>
              <w:rPr>
                <w:b/>
              </w:rPr>
            </w:pPr>
            <w:r w:rsidRPr="00E67CB4">
              <w:rPr>
                <w:b/>
              </w:rPr>
              <w:t>95% CI</w:t>
            </w:r>
          </w:p>
        </w:tc>
        <w:tc>
          <w:tcPr>
            <w:tcW w:w="992" w:type="dxa"/>
            <w:vAlign w:val="center"/>
          </w:tcPr>
          <w:p w:rsidR="00557D08" w:rsidRPr="00E67CB4" w:rsidRDefault="00557D08" w:rsidP="00ED1E21">
            <w:pPr>
              <w:pStyle w:val="Normal-beforebullets"/>
              <w:jc w:val="right"/>
              <w:rPr>
                <w:b/>
              </w:rPr>
            </w:pPr>
            <w:r w:rsidRPr="00E67CB4">
              <w:rPr>
                <w:b/>
              </w:rPr>
              <w:t>No.</w:t>
            </w:r>
          </w:p>
        </w:tc>
        <w:tc>
          <w:tcPr>
            <w:tcW w:w="921" w:type="dxa"/>
            <w:vAlign w:val="center"/>
          </w:tcPr>
          <w:p w:rsidR="00557D08" w:rsidRPr="00E67CB4" w:rsidRDefault="00557D08" w:rsidP="00ED1E21">
            <w:pPr>
              <w:pStyle w:val="Normal-beforebullets"/>
              <w:jc w:val="right"/>
              <w:rPr>
                <w:b/>
              </w:rPr>
            </w:pPr>
            <w:r w:rsidRPr="00E67CB4">
              <w:rPr>
                <w:b/>
              </w:rPr>
              <w:t>%</w:t>
            </w:r>
          </w:p>
        </w:tc>
        <w:tc>
          <w:tcPr>
            <w:tcW w:w="951" w:type="dxa"/>
            <w:vAlign w:val="center"/>
          </w:tcPr>
          <w:p w:rsidR="00557D08" w:rsidRPr="00E67CB4" w:rsidRDefault="00557D08" w:rsidP="00ED1E21">
            <w:pPr>
              <w:pStyle w:val="Normal-beforebullets"/>
              <w:jc w:val="right"/>
              <w:rPr>
                <w:b/>
              </w:rPr>
            </w:pPr>
            <w:r w:rsidRPr="00E67CB4">
              <w:rPr>
                <w:b/>
              </w:rPr>
              <w:t>95% CI</w:t>
            </w:r>
          </w:p>
        </w:tc>
        <w:tc>
          <w:tcPr>
            <w:tcW w:w="963" w:type="dxa"/>
            <w:vMerge/>
            <w:vAlign w:val="center"/>
          </w:tcPr>
          <w:p w:rsidR="00557D08" w:rsidRPr="0043065B" w:rsidRDefault="00557D08" w:rsidP="00ED1E21">
            <w:pPr>
              <w:pStyle w:val="Normal-beforebullets"/>
              <w:jc w:val="right"/>
            </w:pPr>
          </w:p>
        </w:tc>
      </w:tr>
      <w:tr w:rsidR="003A3B91" w:rsidRPr="00481FE5" w:rsidTr="00775658">
        <w:trPr>
          <w:trHeight w:val="283"/>
        </w:trPr>
        <w:tc>
          <w:tcPr>
            <w:tcW w:w="3227" w:type="dxa"/>
          </w:tcPr>
          <w:p w:rsidR="003A3B91" w:rsidRPr="00E67CB4" w:rsidRDefault="003A3B91" w:rsidP="0063529E">
            <w:pPr>
              <w:pStyle w:val="Normal-beforebullets"/>
              <w:rPr>
                <w:b/>
              </w:rPr>
            </w:pPr>
            <w:r w:rsidRPr="00E67CB4">
              <w:rPr>
                <w:b/>
              </w:rPr>
              <w:t>Residents with signs and/or symptoms</w:t>
            </w:r>
            <w:r w:rsidR="00AA4E4F">
              <w:rPr>
                <w:b/>
              </w:rPr>
              <w:t xml:space="preserve"> of a suspected infection </w:t>
            </w:r>
          </w:p>
        </w:tc>
        <w:tc>
          <w:tcPr>
            <w:tcW w:w="992" w:type="dxa"/>
            <w:vAlign w:val="center"/>
          </w:tcPr>
          <w:p w:rsidR="003A3B91" w:rsidRPr="003E6271" w:rsidRDefault="003A3B91" w:rsidP="00F762FA">
            <w:pPr>
              <w:pStyle w:val="Normal-beforebullets"/>
              <w:jc w:val="right"/>
              <w:rPr>
                <w:color w:val="000000"/>
              </w:rPr>
            </w:pPr>
            <w:r w:rsidRPr="003E6271">
              <w:rPr>
                <w:color w:val="000000"/>
              </w:rPr>
              <w:t>417</w:t>
            </w:r>
          </w:p>
        </w:tc>
        <w:tc>
          <w:tcPr>
            <w:tcW w:w="779" w:type="dxa"/>
            <w:vAlign w:val="center"/>
          </w:tcPr>
          <w:p w:rsidR="003A3B91" w:rsidRPr="003E6271" w:rsidRDefault="003A3B91" w:rsidP="00F762FA">
            <w:pPr>
              <w:pStyle w:val="Normal-beforebullets"/>
              <w:jc w:val="right"/>
              <w:rPr>
                <w:color w:val="000000"/>
              </w:rPr>
            </w:pPr>
            <w:r>
              <w:t>3.1</w:t>
            </w:r>
          </w:p>
        </w:tc>
        <w:tc>
          <w:tcPr>
            <w:tcW w:w="1064" w:type="dxa"/>
            <w:vAlign w:val="center"/>
          </w:tcPr>
          <w:p w:rsidR="003A3B91" w:rsidRPr="003E6271" w:rsidRDefault="003A3B91" w:rsidP="00F762FA">
            <w:pPr>
              <w:pStyle w:val="Normal-beforebullets"/>
              <w:jc w:val="right"/>
              <w:rPr>
                <w:color w:val="000000"/>
              </w:rPr>
            </w:pPr>
            <w:r>
              <w:t>2.8-3.4</w:t>
            </w:r>
          </w:p>
        </w:tc>
        <w:tc>
          <w:tcPr>
            <w:tcW w:w="992" w:type="dxa"/>
            <w:vAlign w:val="center"/>
          </w:tcPr>
          <w:p w:rsidR="003A3B91" w:rsidRPr="003E6271" w:rsidRDefault="003A3B91" w:rsidP="00F762FA">
            <w:pPr>
              <w:pStyle w:val="Normal-beforebullets"/>
              <w:jc w:val="right"/>
              <w:rPr>
                <w:color w:val="000000"/>
              </w:rPr>
            </w:pPr>
            <w:r w:rsidRPr="003E6271">
              <w:rPr>
                <w:color w:val="000000"/>
              </w:rPr>
              <w:t>349</w:t>
            </w:r>
          </w:p>
        </w:tc>
        <w:tc>
          <w:tcPr>
            <w:tcW w:w="921" w:type="dxa"/>
            <w:vAlign w:val="center"/>
          </w:tcPr>
          <w:p w:rsidR="003A3B91" w:rsidRPr="003E6271" w:rsidRDefault="003A3B91" w:rsidP="00F762FA">
            <w:pPr>
              <w:pStyle w:val="Normal-beforebullets"/>
              <w:jc w:val="right"/>
              <w:rPr>
                <w:color w:val="000000"/>
              </w:rPr>
            </w:pPr>
            <w:r>
              <w:t>2.8</w:t>
            </w:r>
          </w:p>
        </w:tc>
        <w:tc>
          <w:tcPr>
            <w:tcW w:w="951" w:type="dxa"/>
            <w:vAlign w:val="center"/>
          </w:tcPr>
          <w:p w:rsidR="003A3B91" w:rsidRPr="003E6271" w:rsidRDefault="003A3B91" w:rsidP="00F762FA">
            <w:pPr>
              <w:pStyle w:val="Normal-beforebullets"/>
              <w:jc w:val="right"/>
              <w:rPr>
                <w:color w:val="000000"/>
              </w:rPr>
            </w:pPr>
            <w:r w:rsidRPr="003E6271">
              <w:t>2.5-3.1</w:t>
            </w:r>
          </w:p>
        </w:tc>
        <w:tc>
          <w:tcPr>
            <w:tcW w:w="963" w:type="dxa"/>
            <w:vAlign w:val="center"/>
          </w:tcPr>
          <w:p w:rsidR="003A3B91" w:rsidRPr="003E6271" w:rsidRDefault="003A3B91" w:rsidP="00F762FA">
            <w:pPr>
              <w:pStyle w:val="Normal-beforebullets"/>
              <w:jc w:val="right"/>
              <w:rPr>
                <w:color w:val="000000"/>
              </w:rPr>
            </w:pPr>
            <w:r w:rsidRPr="003E6271">
              <w:rPr>
                <w:color w:val="000000"/>
              </w:rPr>
              <w:t>0.08</w:t>
            </w:r>
          </w:p>
        </w:tc>
      </w:tr>
      <w:tr w:rsidR="003A3B91" w:rsidRPr="00481FE5" w:rsidTr="00775658">
        <w:trPr>
          <w:trHeight w:val="283"/>
        </w:trPr>
        <w:tc>
          <w:tcPr>
            <w:tcW w:w="3227" w:type="dxa"/>
          </w:tcPr>
          <w:p w:rsidR="003A3B91" w:rsidRPr="00E67CB4" w:rsidRDefault="003A3B91" w:rsidP="00ED1E21">
            <w:pPr>
              <w:pStyle w:val="Normal-beforebullets"/>
              <w:rPr>
                <w:b/>
              </w:rPr>
            </w:pPr>
            <w:r w:rsidRPr="00E67CB4">
              <w:rPr>
                <w:b/>
              </w:rPr>
              <w:t xml:space="preserve">Residents prescribed at least one antimicrobial </w:t>
            </w:r>
          </w:p>
        </w:tc>
        <w:tc>
          <w:tcPr>
            <w:tcW w:w="992" w:type="dxa"/>
            <w:vAlign w:val="center"/>
          </w:tcPr>
          <w:p w:rsidR="003A3B91" w:rsidRPr="003E6271" w:rsidRDefault="003A3B91" w:rsidP="00ED1E21">
            <w:pPr>
              <w:pStyle w:val="Normal-beforebullets"/>
              <w:jc w:val="right"/>
            </w:pPr>
            <w:r w:rsidRPr="003E6271">
              <w:t>1,321</w:t>
            </w:r>
          </w:p>
        </w:tc>
        <w:tc>
          <w:tcPr>
            <w:tcW w:w="779" w:type="dxa"/>
            <w:vAlign w:val="center"/>
          </w:tcPr>
          <w:p w:rsidR="003A3B91" w:rsidRPr="003E6271" w:rsidRDefault="003A3B91" w:rsidP="00ED1E21">
            <w:pPr>
              <w:pStyle w:val="Normal-beforebullets"/>
              <w:jc w:val="right"/>
            </w:pPr>
            <w:r w:rsidRPr="003E6271">
              <w:t>9.9</w:t>
            </w:r>
          </w:p>
        </w:tc>
        <w:tc>
          <w:tcPr>
            <w:tcW w:w="1064" w:type="dxa"/>
            <w:vAlign w:val="center"/>
          </w:tcPr>
          <w:p w:rsidR="003A3B91" w:rsidRPr="003E6271" w:rsidRDefault="003A3B91" w:rsidP="00ED1E21">
            <w:pPr>
              <w:pStyle w:val="Normal-beforebullets"/>
              <w:jc w:val="right"/>
            </w:pPr>
            <w:r>
              <w:t>9.4-10.4</w:t>
            </w:r>
          </w:p>
        </w:tc>
        <w:tc>
          <w:tcPr>
            <w:tcW w:w="992" w:type="dxa"/>
            <w:vAlign w:val="center"/>
          </w:tcPr>
          <w:p w:rsidR="003A3B91" w:rsidRPr="003E6271" w:rsidRDefault="003A3B91" w:rsidP="00ED1E21">
            <w:pPr>
              <w:pStyle w:val="Normal-beforebullets"/>
              <w:jc w:val="right"/>
            </w:pPr>
            <w:r w:rsidRPr="003E6271">
              <w:t>1,087</w:t>
            </w:r>
          </w:p>
        </w:tc>
        <w:tc>
          <w:tcPr>
            <w:tcW w:w="921" w:type="dxa"/>
            <w:vAlign w:val="center"/>
          </w:tcPr>
          <w:p w:rsidR="003A3B91" w:rsidRPr="003E6271" w:rsidRDefault="003A3B91" w:rsidP="00ED1E21">
            <w:pPr>
              <w:pStyle w:val="Normal-beforebullets"/>
              <w:jc w:val="right"/>
            </w:pPr>
            <w:r w:rsidRPr="003E6271">
              <w:t>8.8</w:t>
            </w:r>
          </w:p>
        </w:tc>
        <w:tc>
          <w:tcPr>
            <w:tcW w:w="951" w:type="dxa"/>
            <w:vAlign w:val="center"/>
          </w:tcPr>
          <w:p w:rsidR="003A3B91" w:rsidRPr="003E6271" w:rsidRDefault="003A3B91" w:rsidP="00ED1E21">
            <w:pPr>
              <w:pStyle w:val="Normal-beforebullets"/>
              <w:jc w:val="right"/>
            </w:pPr>
            <w:r>
              <w:t>8.3-9.3</w:t>
            </w:r>
          </w:p>
        </w:tc>
        <w:tc>
          <w:tcPr>
            <w:tcW w:w="963" w:type="dxa"/>
            <w:vAlign w:val="center"/>
          </w:tcPr>
          <w:p w:rsidR="003A3B91" w:rsidRPr="003E6271" w:rsidRDefault="003A3B91" w:rsidP="00ED1E21">
            <w:pPr>
              <w:pStyle w:val="Normal-beforebullets"/>
              <w:jc w:val="right"/>
            </w:pPr>
            <w:r>
              <w:t>&lt;0.01</w:t>
            </w:r>
          </w:p>
        </w:tc>
      </w:tr>
      <w:tr w:rsidR="003A3B91" w:rsidRPr="00481FE5" w:rsidTr="00775658">
        <w:trPr>
          <w:trHeight w:val="283"/>
        </w:trPr>
        <w:tc>
          <w:tcPr>
            <w:tcW w:w="3227" w:type="dxa"/>
          </w:tcPr>
          <w:p w:rsidR="003A3B91" w:rsidRPr="00E67CB4" w:rsidRDefault="003A3B91" w:rsidP="00BD39D6">
            <w:pPr>
              <w:pStyle w:val="Normal-beforebullets"/>
              <w:rPr>
                <w:b/>
              </w:rPr>
            </w:pPr>
            <w:r>
              <w:rPr>
                <w:b/>
              </w:rPr>
              <w:t xml:space="preserve">Number of residents present </w:t>
            </w:r>
          </w:p>
        </w:tc>
        <w:tc>
          <w:tcPr>
            <w:tcW w:w="992" w:type="dxa"/>
            <w:vAlign w:val="center"/>
          </w:tcPr>
          <w:p w:rsidR="003A3B91" w:rsidRPr="003E6271" w:rsidRDefault="003A3B91" w:rsidP="00E67CB4">
            <w:pPr>
              <w:pStyle w:val="Normal-beforebullets"/>
              <w:jc w:val="right"/>
              <w:rPr>
                <w:color w:val="000000"/>
              </w:rPr>
            </w:pPr>
            <w:r>
              <w:rPr>
                <w:color w:val="000000"/>
              </w:rPr>
              <w:t>13,398</w:t>
            </w:r>
          </w:p>
        </w:tc>
        <w:tc>
          <w:tcPr>
            <w:tcW w:w="779" w:type="dxa"/>
            <w:vAlign w:val="center"/>
          </w:tcPr>
          <w:p w:rsidR="003A3B91" w:rsidRDefault="005A50DB" w:rsidP="00ED1E21">
            <w:pPr>
              <w:pStyle w:val="Normal-beforebullets"/>
              <w:jc w:val="right"/>
            </w:pPr>
            <w:r>
              <w:t>-</w:t>
            </w:r>
          </w:p>
        </w:tc>
        <w:tc>
          <w:tcPr>
            <w:tcW w:w="1064" w:type="dxa"/>
            <w:vAlign w:val="center"/>
          </w:tcPr>
          <w:p w:rsidR="003A3B91" w:rsidRDefault="005A50DB" w:rsidP="00ED1E21">
            <w:pPr>
              <w:pStyle w:val="Normal-beforebullets"/>
              <w:jc w:val="right"/>
            </w:pPr>
            <w:r>
              <w:t>-</w:t>
            </w:r>
          </w:p>
        </w:tc>
        <w:tc>
          <w:tcPr>
            <w:tcW w:w="992" w:type="dxa"/>
            <w:vAlign w:val="center"/>
          </w:tcPr>
          <w:p w:rsidR="003A3B91" w:rsidRPr="003E6271" w:rsidRDefault="003A3B91" w:rsidP="00ED1E21">
            <w:pPr>
              <w:pStyle w:val="Normal-beforebullets"/>
              <w:jc w:val="right"/>
              <w:rPr>
                <w:color w:val="000000"/>
              </w:rPr>
            </w:pPr>
            <w:r>
              <w:rPr>
                <w:color w:val="000000"/>
              </w:rPr>
              <w:t>12,307</w:t>
            </w:r>
          </w:p>
        </w:tc>
        <w:tc>
          <w:tcPr>
            <w:tcW w:w="921" w:type="dxa"/>
            <w:vAlign w:val="center"/>
          </w:tcPr>
          <w:p w:rsidR="003A3B91" w:rsidRDefault="005A50DB" w:rsidP="00ED1E21">
            <w:pPr>
              <w:pStyle w:val="Normal-beforebullets"/>
              <w:jc w:val="right"/>
            </w:pPr>
            <w:r>
              <w:t>-</w:t>
            </w:r>
          </w:p>
        </w:tc>
        <w:tc>
          <w:tcPr>
            <w:tcW w:w="951" w:type="dxa"/>
            <w:vAlign w:val="center"/>
          </w:tcPr>
          <w:p w:rsidR="003A3B91" w:rsidRPr="003E6271" w:rsidRDefault="005A50DB" w:rsidP="00ED1E21">
            <w:pPr>
              <w:pStyle w:val="Normal-beforebullets"/>
              <w:jc w:val="right"/>
            </w:pPr>
            <w:r>
              <w:t>-</w:t>
            </w:r>
          </w:p>
        </w:tc>
        <w:tc>
          <w:tcPr>
            <w:tcW w:w="963" w:type="dxa"/>
            <w:vAlign w:val="center"/>
          </w:tcPr>
          <w:p w:rsidR="003A3B91" w:rsidRPr="003E6271" w:rsidRDefault="005A50DB" w:rsidP="00ED1E21">
            <w:pPr>
              <w:pStyle w:val="Normal-beforebullets"/>
              <w:jc w:val="right"/>
              <w:rPr>
                <w:color w:val="000000"/>
              </w:rPr>
            </w:pPr>
            <w:r>
              <w:rPr>
                <w:color w:val="000000"/>
              </w:rPr>
              <w:t>-</w:t>
            </w:r>
          </w:p>
        </w:tc>
      </w:tr>
    </w:tbl>
    <w:p w:rsidR="00557D08" w:rsidRDefault="00557D08" w:rsidP="00557D08">
      <w:pPr>
        <w:spacing w:after="0"/>
        <w:rPr>
          <w:rFonts w:ascii="Arial" w:hAnsi="Arial" w:cs="Arial"/>
          <w:highlight w:val="yellow"/>
        </w:rPr>
      </w:pPr>
    </w:p>
    <w:p w:rsidR="003A3B91" w:rsidRDefault="003A3B91" w:rsidP="003A3B91">
      <w:r>
        <w:t xml:space="preserve">In 2017, Queensland had the lowest prevalence of residents with signs and/or symptoms </w:t>
      </w:r>
      <w:r w:rsidR="004A3A35">
        <w:t xml:space="preserve">of a suspected infection </w:t>
      </w:r>
      <w:r>
        <w:t>(</w:t>
      </w:r>
      <w:r w:rsidRPr="00492FB8">
        <w:rPr>
          <w:i/>
        </w:rPr>
        <w:t>n</w:t>
      </w:r>
      <w:r>
        <w:t xml:space="preserve">=23; 1.7%). Of the three organisation types, not-for-profit aged care homes had the lowest prevalence </w:t>
      </w:r>
      <w:r w:rsidR="00406186">
        <w:t xml:space="preserve">of suspected infections </w:t>
      </w:r>
      <w:r>
        <w:t>in</w:t>
      </w:r>
      <w:r w:rsidRPr="00A50D58">
        <w:t xml:space="preserve"> both 2016 and 2017</w:t>
      </w:r>
      <w:r>
        <w:t>: 2.7% (</w:t>
      </w:r>
      <w:r w:rsidRPr="00492FB8">
        <w:rPr>
          <w:i/>
        </w:rPr>
        <w:t>n</w:t>
      </w:r>
      <w:r>
        <w:t>=166) and 2.3% (</w:t>
      </w:r>
      <w:r w:rsidRPr="00492FB8">
        <w:rPr>
          <w:i/>
        </w:rPr>
        <w:t>n</w:t>
      </w:r>
      <w:r>
        <w:t xml:space="preserve">=131) respectively (Table </w:t>
      </w:r>
      <w:r w:rsidR="00BB7508">
        <w:t>4</w:t>
      </w:r>
      <w:r>
        <w:t xml:space="preserve">). </w:t>
      </w:r>
    </w:p>
    <w:p w:rsidR="003A3B91" w:rsidRPr="00416D5F" w:rsidRDefault="003A3B91" w:rsidP="003A3B91">
      <w:r>
        <w:t xml:space="preserve">In 2017, South Australia had the highest prevalence of residents with signs and/or symptoms </w:t>
      </w:r>
      <w:r w:rsidR="004A3A35">
        <w:t xml:space="preserve">of a suspected infection </w:t>
      </w:r>
      <w:r>
        <w:t>(</w:t>
      </w:r>
      <w:r w:rsidRPr="00492FB8">
        <w:rPr>
          <w:i/>
        </w:rPr>
        <w:t>n</w:t>
      </w:r>
      <w:r>
        <w:t>= 50, 6.3%). Of the five remote</w:t>
      </w:r>
      <w:r w:rsidR="003312F1">
        <w:t xml:space="preserve">ness classifications, </w:t>
      </w:r>
      <w:r w:rsidR="002B719E" w:rsidRPr="002B719E">
        <w:t xml:space="preserve">for both 2016 and 2017 </w:t>
      </w:r>
      <w:r w:rsidR="003312F1">
        <w:t>aged care home</w:t>
      </w:r>
      <w:r>
        <w:t xml:space="preserve">s </w:t>
      </w:r>
      <w:r w:rsidR="002B719E">
        <w:t xml:space="preserve">in remote areas </w:t>
      </w:r>
      <w:r>
        <w:t>had the highest prevalence</w:t>
      </w:r>
      <w:r w:rsidR="00406186">
        <w:t xml:space="preserve"> of suspected infections</w:t>
      </w:r>
      <w:r>
        <w:t>: 12.4% (</w:t>
      </w:r>
      <w:r w:rsidRPr="00492FB8">
        <w:rPr>
          <w:i/>
        </w:rPr>
        <w:t>n</w:t>
      </w:r>
      <w:r>
        <w:t>=17) and 7.1% (</w:t>
      </w:r>
      <w:r w:rsidRPr="00492FB8">
        <w:rPr>
          <w:i/>
        </w:rPr>
        <w:t>n</w:t>
      </w:r>
      <w:r>
        <w:t>=8) respectively. Similarly, of the three organisati</w:t>
      </w:r>
      <w:r w:rsidR="003312F1">
        <w:t>on types</w:t>
      </w:r>
      <w:r w:rsidR="00E44EFE">
        <w:t>,</w:t>
      </w:r>
      <w:r w:rsidR="003312F1">
        <w:t xml:space="preserve"> government</w:t>
      </w:r>
      <w:r w:rsidR="00B11658">
        <w:t xml:space="preserve"> </w:t>
      </w:r>
      <w:r w:rsidR="003312F1">
        <w:t>operated aged care home</w:t>
      </w:r>
      <w:r>
        <w:t>s had the highest prevalence</w:t>
      </w:r>
      <w:r w:rsidR="00406186">
        <w:t xml:space="preserve"> of suspected infections</w:t>
      </w:r>
      <w:r>
        <w:t>: 3.7% (</w:t>
      </w:r>
      <w:r w:rsidRPr="00492FB8">
        <w:rPr>
          <w:i/>
        </w:rPr>
        <w:t>n</w:t>
      </w:r>
      <w:r>
        <w:t>=203) and 3.5% (</w:t>
      </w:r>
      <w:r w:rsidRPr="00492FB8">
        <w:rPr>
          <w:i/>
        </w:rPr>
        <w:t>n</w:t>
      </w:r>
      <w:r>
        <w:t xml:space="preserve">=196) </w:t>
      </w:r>
      <w:r w:rsidR="00B11658">
        <w:t xml:space="preserve">in 2016 and 2017 </w:t>
      </w:r>
      <w:r>
        <w:t xml:space="preserve">respectively (Table </w:t>
      </w:r>
      <w:r w:rsidR="00B11658">
        <w:t>4</w:t>
      </w:r>
      <w:r>
        <w:t>).</w:t>
      </w:r>
    </w:p>
    <w:p w:rsidR="003A3B91" w:rsidRDefault="003A3B91" w:rsidP="003A3B91">
      <w:pPr>
        <w:spacing w:after="80"/>
        <w:rPr>
          <w:b/>
        </w:rPr>
      </w:pPr>
      <w:r>
        <w:br w:type="page"/>
      </w:r>
    </w:p>
    <w:p w:rsidR="003A3B91" w:rsidRPr="005D6BF7" w:rsidRDefault="003A3B91" w:rsidP="003A3B91">
      <w:pPr>
        <w:pStyle w:val="FigureTitle"/>
      </w:pPr>
      <w:r w:rsidRPr="00BF1AA1">
        <w:lastRenderedPageBreak/>
        <w:t xml:space="preserve">Table </w:t>
      </w:r>
      <w:r>
        <w:t xml:space="preserve">4: </w:t>
      </w:r>
      <w:r w:rsidRPr="005D6BF7">
        <w:t>Prevalence of residents with signs and/or symptoms</w:t>
      </w:r>
      <w:r>
        <w:t xml:space="preserve"> </w:t>
      </w:r>
      <w:r w:rsidR="009176A0">
        <w:t xml:space="preserve">of a suspected infection </w:t>
      </w:r>
      <w:r w:rsidRPr="005D6BF7">
        <w:t xml:space="preserve">on the survey day, by state, remoteness and provider type (2016 and 2017)  </w:t>
      </w:r>
    </w:p>
    <w:tbl>
      <w:tblPr>
        <w:tblStyle w:val="TableGridLight1"/>
        <w:tblW w:w="9747" w:type="dxa"/>
        <w:tblLayout w:type="fixed"/>
        <w:tblLook w:val="04A0" w:firstRow="1" w:lastRow="0" w:firstColumn="1" w:lastColumn="0" w:noHBand="0" w:noVBand="1"/>
      </w:tblPr>
      <w:tblGrid>
        <w:gridCol w:w="1641"/>
        <w:gridCol w:w="1756"/>
        <w:gridCol w:w="1389"/>
        <w:gridCol w:w="1786"/>
        <w:gridCol w:w="1333"/>
        <w:gridCol w:w="1842"/>
      </w:tblGrid>
      <w:tr w:rsidR="003A3B91" w:rsidRPr="00D954D6" w:rsidTr="008A7915">
        <w:trPr>
          <w:trHeight w:val="283"/>
        </w:trPr>
        <w:tc>
          <w:tcPr>
            <w:tcW w:w="3397" w:type="dxa"/>
            <w:gridSpan w:val="2"/>
            <w:vMerge w:val="restart"/>
            <w:noWrap/>
          </w:tcPr>
          <w:p w:rsidR="003A3B91" w:rsidRPr="00A50D58" w:rsidRDefault="003A3B91" w:rsidP="00F762FA">
            <w:pPr>
              <w:pStyle w:val="Normal-beforebullets"/>
              <w:rPr>
                <w:b/>
                <w:lang w:eastAsia="en-AU"/>
              </w:rPr>
            </w:pPr>
            <w:r w:rsidRPr="00A50D58">
              <w:rPr>
                <w:b/>
                <w:lang w:eastAsia="en-AU"/>
              </w:rPr>
              <w:t xml:space="preserve">Category </w:t>
            </w:r>
          </w:p>
        </w:tc>
        <w:tc>
          <w:tcPr>
            <w:tcW w:w="6350" w:type="dxa"/>
            <w:gridSpan w:val="4"/>
            <w:vAlign w:val="center"/>
          </w:tcPr>
          <w:p w:rsidR="003A3B91" w:rsidRPr="00A50D58" w:rsidRDefault="003A3B91" w:rsidP="00F762FA">
            <w:pPr>
              <w:pStyle w:val="Normal-beforebullets"/>
              <w:jc w:val="center"/>
              <w:rPr>
                <w:b/>
                <w:lang w:eastAsia="en-AU"/>
              </w:rPr>
            </w:pPr>
            <w:r w:rsidRPr="00A50D58">
              <w:rPr>
                <w:b/>
                <w:lang w:eastAsia="en-AU"/>
              </w:rPr>
              <w:t>Residents with infection signs and/or symptoms</w:t>
            </w:r>
          </w:p>
        </w:tc>
      </w:tr>
      <w:tr w:rsidR="003A3B91" w:rsidRPr="00D954D6" w:rsidTr="008A7915">
        <w:trPr>
          <w:trHeight w:val="283"/>
        </w:trPr>
        <w:tc>
          <w:tcPr>
            <w:tcW w:w="3397" w:type="dxa"/>
            <w:gridSpan w:val="2"/>
            <w:vMerge/>
            <w:noWrap/>
            <w:hideMark/>
          </w:tcPr>
          <w:p w:rsidR="003A3B91" w:rsidRPr="00A50D58" w:rsidRDefault="003A3B91" w:rsidP="00F762FA">
            <w:pPr>
              <w:pStyle w:val="Normal-beforebullets"/>
              <w:rPr>
                <w:b/>
                <w:lang w:eastAsia="en-AU"/>
              </w:rPr>
            </w:pPr>
          </w:p>
        </w:tc>
        <w:tc>
          <w:tcPr>
            <w:tcW w:w="3175" w:type="dxa"/>
            <w:gridSpan w:val="2"/>
            <w:vAlign w:val="center"/>
          </w:tcPr>
          <w:p w:rsidR="003A3B91" w:rsidRPr="00A50D58" w:rsidRDefault="003A3B91" w:rsidP="00F762FA">
            <w:pPr>
              <w:pStyle w:val="Normal-beforebullets"/>
              <w:jc w:val="center"/>
              <w:rPr>
                <w:b/>
                <w:lang w:eastAsia="en-AU"/>
              </w:rPr>
            </w:pPr>
            <w:r w:rsidRPr="00A50D58">
              <w:rPr>
                <w:b/>
                <w:lang w:eastAsia="en-AU"/>
              </w:rPr>
              <w:t>2016</w:t>
            </w:r>
          </w:p>
        </w:tc>
        <w:tc>
          <w:tcPr>
            <w:tcW w:w="3175" w:type="dxa"/>
            <w:gridSpan w:val="2"/>
            <w:vAlign w:val="center"/>
          </w:tcPr>
          <w:p w:rsidR="003A3B91" w:rsidRPr="00A50D58" w:rsidRDefault="003A3B91" w:rsidP="00F762FA">
            <w:pPr>
              <w:pStyle w:val="Normal-beforebullets"/>
              <w:jc w:val="center"/>
              <w:rPr>
                <w:b/>
                <w:highlight w:val="yellow"/>
                <w:lang w:eastAsia="en-AU"/>
              </w:rPr>
            </w:pPr>
            <w:r w:rsidRPr="00A50D58">
              <w:rPr>
                <w:b/>
                <w:lang w:eastAsia="en-AU"/>
              </w:rPr>
              <w:t>2017</w:t>
            </w:r>
          </w:p>
        </w:tc>
      </w:tr>
      <w:tr w:rsidR="003A3B91" w:rsidRPr="00D954D6" w:rsidTr="008A7915">
        <w:trPr>
          <w:trHeight w:val="283"/>
        </w:trPr>
        <w:tc>
          <w:tcPr>
            <w:tcW w:w="3397" w:type="dxa"/>
            <w:gridSpan w:val="2"/>
            <w:vMerge/>
          </w:tcPr>
          <w:p w:rsidR="003A3B91" w:rsidRPr="00A50D58" w:rsidRDefault="003A3B91" w:rsidP="00F762FA">
            <w:pPr>
              <w:pStyle w:val="Normal-beforebullets"/>
              <w:rPr>
                <w:b/>
                <w:lang w:eastAsia="en-AU"/>
              </w:rPr>
            </w:pPr>
          </w:p>
        </w:tc>
        <w:tc>
          <w:tcPr>
            <w:tcW w:w="1389" w:type="dxa"/>
            <w:vAlign w:val="center"/>
          </w:tcPr>
          <w:p w:rsidR="003A3B91" w:rsidRPr="00A50D58" w:rsidRDefault="003A3B91" w:rsidP="00F762FA">
            <w:pPr>
              <w:pStyle w:val="Normal-beforebullets"/>
              <w:jc w:val="right"/>
              <w:rPr>
                <w:b/>
              </w:rPr>
            </w:pPr>
            <w:r w:rsidRPr="00A50D58">
              <w:rPr>
                <w:b/>
              </w:rPr>
              <w:t>No.</w:t>
            </w:r>
          </w:p>
        </w:tc>
        <w:tc>
          <w:tcPr>
            <w:tcW w:w="1786" w:type="dxa"/>
            <w:vAlign w:val="center"/>
          </w:tcPr>
          <w:p w:rsidR="003A3B91" w:rsidRPr="00A50D58" w:rsidRDefault="003A3B91" w:rsidP="00F762FA">
            <w:pPr>
              <w:pStyle w:val="Normal-beforebullets"/>
              <w:jc w:val="right"/>
              <w:rPr>
                <w:b/>
              </w:rPr>
            </w:pPr>
            <w:r w:rsidRPr="00A50D58">
              <w:rPr>
                <w:b/>
              </w:rPr>
              <w:t>Prevalence (%)</w:t>
            </w:r>
          </w:p>
        </w:tc>
        <w:tc>
          <w:tcPr>
            <w:tcW w:w="1333" w:type="dxa"/>
            <w:vAlign w:val="center"/>
          </w:tcPr>
          <w:p w:rsidR="003A3B91" w:rsidRPr="00A50D58" w:rsidRDefault="003A3B91" w:rsidP="00F762FA">
            <w:pPr>
              <w:pStyle w:val="Normal-beforebullets"/>
              <w:jc w:val="right"/>
              <w:rPr>
                <w:b/>
              </w:rPr>
            </w:pPr>
            <w:r w:rsidRPr="00A50D58">
              <w:rPr>
                <w:b/>
              </w:rPr>
              <w:t>No.</w:t>
            </w:r>
          </w:p>
        </w:tc>
        <w:tc>
          <w:tcPr>
            <w:tcW w:w="1842" w:type="dxa"/>
            <w:vAlign w:val="center"/>
          </w:tcPr>
          <w:p w:rsidR="003A3B91" w:rsidRPr="00A50D58" w:rsidRDefault="003A3B91" w:rsidP="00F762FA">
            <w:pPr>
              <w:pStyle w:val="Normal-beforebullets"/>
              <w:jc w:val="right"/>
              <w:rPr>
                <w:b/>
              </w:rPr>
            </w:pPr>
            <w:r w:rsidRPr="00A50D58">
              <w:rPr>
                <w:b/>
              </w:rPr>
              <w:t>Prevalence (%)</w:t>
            </w:r>
          </w:p>
        </w:tc>
      </w:tr>
      <w:tr w:rsidR="003A3B91" w:rsidRPr="00D954D6" w:rsidTr="008A7915">
        <w:trPr>
          <w:trHeight w:val="283"/>
        </w:trPr>
        <w:tc>
          <w:tcPr>
            <w:tcW w:w="1641" w:type="dxa"/>
            <w:vMerge w:val="restart"/>
            <w:hideMark/>
          </w:tcPr>
          <w:p w:rsidR="003A3B91" w:rsidRPr="00A50D58" w:rsidRDefault="003A3B91" w:rsidP="00F762FA">
            <w:pPr>
              <w:pStyle w:val="Normal-beforebullets"/>
              <w:rPr>
                <w:b/>
                <w:color w:val="000000"/>
                <w:lang w:eastAsia="en-AU"/>
              </w:rPr>
            </w:pPr>
            <w:r w:rsidRPr="00A50D58">
              <w:rPr>
                <w:b/>
                <w:color w:val="000000"/>
                <w:lang w:eastAsia="en-AU"/>
              </w:rPr>
              <w:t>State</w:t>
            </w:r>
          </w:p>
        </w:tc>
        <w:tc>
          <w:tcPr>
            <w:tcW w:w="1756" w:type="dxa"/>
            <w:hideMark/>
          </w:tcPr>
          <w:p w:rsidR="003A3B91" w:rsidRPr="00A50D58" w:rsidRDefault="003A3B91" w:rsidP="00F762FA">
            <w:pPr>
              <w:pStyle w:val="Normal-beforebullets"/>
              <w:rPr>
                <w:b/>
                <w:color w:val="000000"/>
                <w:lang w:eastAsia="en-AU"/>
              </w:rPr>
            </w:pPr>
            <w:r w:rsidRPr="00A50D58">
              <w:rPr>
                <w:b/>
                <w:color w:val="000000"/>
                <w:lang w:eastAsia="en-AU"/>
              </w:rPr>
              <w:t>NSW</w:t>
            </w:r>
          </w:p>
        </w:tc>
        <w:tc>
          <w:tcPr>
            <w:tcW w:w="1389" w:type="dxa"/>
            <w:vAlign w:val="center"/>
          </w:tcPr>
          <w:p w:rsidR="003A3B91" w:rsidRPr="00C21B19" w:rsidRDefault="003A3B91" w:rsidP="00F762FA">
            <w:pPr>
              <w:pStyle w:val="Normal-beforebullets"/>
              <w:jc w:val="right"/>
              <w:rPr>
                <w:color w:val="000000"/>
              </w:rPr>
            </w:pPr>
            <w:r w:rsidRPr="00C21B19">
              <w:rPr>
                <w:color w:val="000000"/>
              </w:rPr>
              <w:t>59</w:t>
            </w:r>
          </w:p>
        </w:tc>
        <w:tc>
          <w:tcPr>
            <w:tcW w:w="1786" w:type="dxa"/>
            <w:vAlign w:val="center"/>
          </w:tcPr>
          <w:p w:rsidR="003A3B91" w:rsidRPr="00C21B19" w:rsidRDefault="003A3B91" w:rsidP="00F762FA">
            <w:pPr>
              <w:pStyle w:val="Normal-beforebullets"/>
              <w:jc w:val="right"/>
              <w:rPr>
                <w:color w:val="000000"/>
              </w:rPr>
            </w:pPr>
            <w:r>
              <w:rPr>
                <w:color w:val="000000"/>
              </w:rPr>
              <w:t>4.0</w:t>
            </w:r>
          </w:p>
        </w:tc>
        <w:tc>
          <w:tcPr>
            <w:tcW w:w="1333" w:type="dxa"/>
            <w:vAlign w:val="center"/>
          </w:tcPr>
          <w:p w:rsidR="003A3B91" w:rsidRPr="00C21B19" w:rsidRDefault="003A3B91" w:rsidP="00F762FA">
            <w:pPr>
              <w:pStyle w:val="Normal-beforebullets"/>
              <w:jc w:val="right"/>
              <w:rPr>
                <w:color w:val="000000"/>
              </w:rPr>
            </w:pPr>
            <w:r w:rsidRPr="00C21B19">
              <w:rPr>
                <w:color w:val="000000"/>
              </w:rPr>
              <w:t>71</w:t>
            </w:r>
          </w:p>
        </w:tc>
        <w:tc>
          <w:tcPr>
            <w:tcW w:w="1842" w:type="dxa"/>
            <w:vAlign w:val="center"/>
          </w:tcPr>
          <w:p w:rsidR="003A3B91" w:rsidRPr="00C21B19" w:rsidRDefault="003A3B91" w:rsidP="00F762FA">
            <w:pPr>
              <w:pStyle w:val="Normal-beforebullets"/>
              <w:jc w:val="right"/>
              <w:rPr>
                <w:color w:val="000000"/>
              </w:rPr>
            </w:pPr>
            <w:r>
              <w:rPr>
                <w:color w:val="000000"/>
              </w:rPr>
              <w:t>5.2</w:t>
            </w:r>
          </w:p>
        </w:tc>
      </w:tr>
      <w:tr w:rsidR="003A3B91" w:rsidRPr="00D954D6" w:rsidTr="008A7915">
        <w:trPr>
          <w:trHeight w:val="283"/>
        </w:trPr>
        <w:tc>
          <w:tcPr>
            <w:tcW w:w="1641" w:type="dxa"/>
            <w:vMerge/>
          </w:tcPr>
          <w:p w:rsidR="003A3B91" w:rsidRPr="00A50D58" w:rsidRDefault="003A3B91" w:rsidP="00F762FA">
            <w:pPr>
              <w:pStyle w:val="Normal-beforebullets"/>
              <w:rPr>
                <w:b/>
                <w:color w:val="000000"/>
              </w:rPr>
            </w:pPr>
          </w:p>
        </w:tc>
        <w:tc>
          <w:tcPr>
            <w:tcW w:w="1756" w:type="dxa"/>
          </w:tcPr>
          <w:p w:rsidR="003A3B91" w:rsidRPr="00A50D58" w:rsidRDefault="003A3B91" w:rsidP="00F762FA">
            <w:pPr>
              <w:pStyle w:val="Normal-beforebullets"/>
              <w:rPr>
                <w:b/>
                <w:color w:val="000000"/>
                <w:lang w:eastAsia="en-AU"/>
              </w:rPr>
            </w:pPr>
            <w:r w:rsidRPr="00A50D58">
              <w:rPr>
                <w:b/>
                <w:color w:val="000000"/>
                <w:lang w:eastAsia="en-AU"/>
              </w:rPr>
              <w:t>Vic</w:t>
            </w:r>
          </w:p>
        </w:tc>
        <w:tc>
          <w:tcPr>
            <w:tcW w:w="1389" w:type="dxa"/>
            <w:vAlign w:val="center"/>
          </w:tcPr>
          <w:p w:rsidR="003A3B91" w:rsidRPr="00C21B19" w:rsidRDefault="003A3B91" w:rsidP="00F762FA">
            <w:pPr>
              <w:pStyle w:val="Normal-beforebullets"/>
              <w:jc w:val="right"/>
              <w:rPr>
                <w:color w:val="000000"/>
              </w:rPr>
            </w:pPr>
            <w:r w:rsidRPr="00C21B19">
              <w:rPr>
                <w:color w:val="000000"/>
              </w:rPr>
              <w:t>226</w:t>
            </w:r>
          </w:p>
        </w:tc>
        <w:tc>
          <w:tcPr>
            <w:tcW w:w="1786" w:type="dxa"/>
            <w:vAlign w:val="center"/>
          </w:tcPr>
          <w:p w:rsidR="003A3B91" w:rsidRPr="00C21B19" w:rsidRDefault="003A3B91" w:rsidP="00F762FA">
            <w:pPr>
              <w:pStyle w:val="Normal-beforebullets"/>
              <w:jc w:val="right"/>
              <w:rPr>
                <w:color w:val="000000"/>
              </w:rPr>
            </w:pPr>
            <w:r>
              <w:rPr>
                <w:color w:val="000000"/>
              </w:rPr>
              <w:t>3.0</w:t>
            </w:r>
          </w:p>
        </w:tc>
        <w:tc>
          <w:tcPr>
            <w:tcW w:w="1333" w:type="dxa"/>
            <w:vAlign w:val="center"/>
          </w:tcPr>
          <w:p w:rsidR="003A3B91" w:rsidRPr="00C21B19" w:rsidRDefault="003A3B91" w:rsidP="00F762FA">
            <w:pPr>
              <w:pStyle w:val="Normal-beforebullets"/>
              <w:jc w:val="right"/>
              <w:rPr>
                <w:color w:val="000000"/>
              </w:rPr>
            </w:pPr>
            <w:r w:rsidRPr="00C21B19">
              <w:rPr>
                <w:color w:val="000000"/>
              </w:rPr>
              <w:t>162</w:t>
            </w:r>
          </w:p>
        </w:tc>
        <w:tc>
          <w:tcPr>
            <w:tcW w:w="1842" w:type="dxa"/>
            <w:vAlign w:val="center"/>
          </w:tcPr>
          <w:p w:rsidR="003A3B91" w:rsidRPr="00C21B19" w:rsidRDefault="003A3B91" w:rsidP="00F762FA">
            <w:pPr>
              <w:pStyle w:val="Normal-beforebullets"/>
              <w:jc w:val="right"/>
              <w:rPr>
                <w:color w:val="000000"/>
              </w:rPr>
            </w:pPr>
            <w:r>
              <w:rPr>
                <w:color w:val="000000"/>
              </w:rPr>
              <w:t>2.4</w:t>
            </w:r>
          </w:p>
        </w:tc>
      </w:tr>
      <w:tr w:rsidR="003A3B91" w:rsidRPr="00D954D6" w:rsidTr="008A7915">
        <w:trPr>
          <w:trHeight w:val="283"/>
        </w:trPr>
        <w:tc>
          <w:tcPr>
            <w:tcW w:w="1641" w:type="dxa"/>
            <w:vMerge/>
            <w:hideMark/>
          </w:tcPr>
          <w:p w:rsidR="003A3B91" w:rsidRPr="00A50D58" w:rsidRDefault="003A3B91" w:rsidP="00F762FA">
            <w:pPr>
              <w:pStyle w:val="Normal-beforebullets"/>
              <w:rPr>
                <w:b/>
                <w:color w:val="000000"/>
                <w:lang w:eastAsia="en-AU"/>
              </w:rPr>
            </w:pPr>
          </w:p>
        </w:tc>
        <w:tc>
          <w:tcPr>
            <w:tcW w:w="1756" w:type="dxa"/>
            <w:hideMark/>
          </w:tcPr>
          <w:p w:rsidR="003A3B91" w:rsidRPr="00A50D58" w:rsidRDefault="003A3B91" w:rsidP="00F762FA">
            <w:pPr>
              <w:pStyle w:val="Normal-beforebullets"/>
              <w:rPr>
                <w:b/>
                <w:color w:val="000000"/>
                <w:lang w:eastAsia="en-AU"/>
              </w:rPr>
            </w:pPr>
            <w:r w:rsidRPr="00A50D58">
              <w:rPr>
                <w:b/>
                <w:color w:val="000000"/>
                <w:lang w:eastAsia="en-AU"/>
              </w:rPr>
              <w:t>QLD</w:t>
            </w:r>
          </w:p>
        </w:tc>
        <w:tc>
          <w:tcPr>
            <w:tcW w:w="1389" w:type="dxa"/>
            <w:vAlign w:val="center"/>
          </w:tcPr>
          <w:p w:rsidR="003A3B91" w:rsidRPr="00C21B19" w:rsidRDefault="003A3B91" w:rsidP="00F762FA">
            <w:pPr>
              <w:pStyle w:val="Normal-beforebullets"/>
              <w:jc w:val="right"/>
              <w:rPr>
                <w:color w:val="000000"/>
              </w:rPr>
            </w:pPr>
            <w:r w:rsidRPr="00C21B19">
              <w:rPr>
                <w:color w:val="000000"/>
              </w:rPr>
              <w:t>48</w:t>
            </w:r>
          </w:p>
        </w:tc>
        <w:tc>
          <w:tcPr>
            <w:tcW w:w="1786" w:type="dxa"/>
            <w:vAlign w:val="center"/>
          </w:tcPr>
          <w:p w:rsidR="003A3B91" w:rsidRPr="00C21B19" w:rsidRDefault="003A3B91" w:rsidP="00F762FA">
            <w:pPr>
              <w:pStyle w:val="Normal-beforebullets"/>
              <w:jc w:val="right"/>
              <w:rPr>
                <w:color w:val="000000"/>
              </w:rPr>
            </w:pPr>
            <w:r>
              <w:rPr>
                <w:color w:val="000000"/>
              </w:rPr>
              <w:t>2.4</w:t>
            </w:r>
          </w:p>
        </w:tc>
        <w:tc>
          <w:tcPr>
            <w:tcW w:w="1333" w:type="dxa"/>
            <w:vAlign w:val="center"/>
          </w:tcPr>
          <w:p w:rsidR="003A3B91" w:rsidRPr="00C21B19" w:rsidRDefault="003A3B91" w:rsidP="00F762FA">
            <w:pPr>
              <w:pStyle w:val="Normal-beforebullets"/>
              <w:jc w:val="right"/>
              <w:rPr>
                <w:color w:val="000000"/>
              </w:rPr>
            </w:pPr>
            <w:r w:rsidRPr="00C21B19">
              <w:rPr>
                <w:color w:val="000000"/>
              </w:rPr>
              <w:t>23</w:t>
            </w:r>
          </w:p>
        </w:tc>
        <w:tc>
          <w:tcPr>
            <w:tcW w:w="1842" w:type="dxa"/>
            <w:vAlign w:val="center"/>
          </w:tcPr>
          <w:p w:rsidR="003A3B91" w:rsidRPr="00C21B19" w:rsidRDefault="003A3B91" w:rsidP="00F762FA">
            <w:pPr>
              <w:pStyle w:val="Normal-beforebullets"/>
              <w:jc w:val="right"/>
              <w:rPr>
                <w:color w:val="000000"/>
              </w:rPr>
            </w:pPr>
            <w:r>
              <w:rPr>
                <w:color w:val="000000"/>
              </w:rPr>
              <w:t>1.7</w:t>
            </w:r>
          </w:p>
        </w:tc>
      </w:tr>
      <w:tr w:rsidR="003A3B91" w:rsidRPr="00D954D6" w:rsidTr="008A7915">
        <w:trPr>
          <w:trHeight w:val="283"/>
        </w:trPr>
        <w:tc>
          <w:tcPr>
            <w:tcW w:w="1641" w:type="dxa"/>
            <w:vMerge/>
            <w:hideMark/>
          </w:tcPr>
          <w:p w:rsidR="003A3B91" w:rsidRPr="00A50D58" w:rsidRDefault="003A3B91" w:rsidP="00F762FA">
            <w:pPr>
              <w:pStyle w:val="Normal-beforebullets"/>
              <w:rPr>
                <w:b/>
                <w:color w:val="000000"/>
                <w:lang w:eastAsia="en-AU"/>
              </w:rPr>
            </w:pPr>
          </w:p>
        </w:tc>
        <w:tc>
          <w:tcPr>
            <w:tcW w:w="1756" w:type="dxa"/>
            <w:hideMark/>
          </w:tcPr>
          <w:p w:rsidR="003A3B91" w:rsidRPr="00A50D58" w:rsidRDefault="003A3B91" w:rsidP="00F762FA">
            <w:pPr>
              <w:pStyle w:val="Normal-beforebullets"/>
              <w:rPr>
                <w:b/>
                <w:color w:val="000000"/>
                <w:lang w:eastAsia="en-AU"/>
              </w:rPr>
            </w:pPr>
            <w:r w:rsidRPr="00A50D58">
              <w:rPr>
                <w:b/>
                <w:color w:val="000000"/>
                <w:lang w:eastAsia="en-AU"/>
              </w:rPr>
              <w:t>SA</w:t>
            </w:r>
          </w:p>
        </w:tc>
        <w:tc>
          <w:tcPr>
            <w:tcW w:w="1389" w:type="dxa"/>
            <w:vAlign w:val="center"/>
          </w:tcPr>
          <w:p w:rsidR="003A3B91" w:rsidRPr="00C21B19" w:rsidRDefault="003A3B91" w:rsidP="00F762FA">
            <w:pPr>
              <w:pStyle w:val="Normal-beforebullets"/>
              <w:jc w:val="right"/>
              <w:rPr>
                <w:color w:val="000000"/>
              </w:rPr>
            </w:pPr>
            <w:r w:rsidRPr="00C21B19">
              <w:rPr>
                <w:color w:val="000000"/>
              </w:rPr>
              <w:t>21</w:t>
            </w:r>
          </w:p>
        </w:tc>
        <w:tc>
          <w:tcPr>
            <w:tcW w:w="1786" w:type="dxa"/>
            <w:vAlign w:val="center"/>
          </w:tcPr>
          <w:p w:rsidR="003A3B91" w:rsidRPr="00C21B19" w:rsidRDefault="003A3B91" w:rsidP="00F762FA">
            <w:pPr>
              <w:pStyle w:val="Normal-beforebullets"/>
              <w:jc w:val="right"/>
              <w:rPr>
                <w:color w:val="000000"/>
              </w:rPr>
            </w:pPr>
            <w:r>
              <w:rPr>
                <w:color w:val="000000"/>
              </w:rPr>
              <w:t>3.6</w:t>
            </w:r>
          </w:p>
        </w:tc>
        <w:tc>
          <w:tcPr>
            <w:tcW w:w="1333" w:type="dxa"/>
            <w:vAlign w:val="center"/>
          </w:tcPr>
          <w:p w:rsidR="003A3B91" w:rsidRPr="00C21B19" w:rsidRDefault="003A3B91" w:rsidP="00F762FA">
            <w:pPr>
              <w:pStyle w:val="Normal-beforebullets"/>
              <w:jc w:val="right"/>
              <w:rPr>
                <w:color w:val="000000"/>
              </w:rPr>
            </w:pPr>
            <w:r w:rsidRPr="00C21B19">
              <w:rPr>
                <w:color w:val="000000"/>
              </w:rPr>
              <w:t>50</w:t>
            </w:r>
          </w:p>
        </w:tc>
        <w:tc>
          <w:tcPr>
            <w:tcW w:w="1842" w:type="dxa"/>
            <w:vAlign w:val="center"/>
          </w:tcPr>
          <w:p w:rsidR="003A3B91" w:rsidRPr="00C21B19" w:rsidRDefault="003A3B91" w:rsidP="00F762FA">
            <w:pPr>
              <w:pStyle w:val="Normal-beforebullets"/>
              <w:jc w:val="right"/>
              <w:rPr>
                <w:color w:val="000000"/>
              </w:rPr>
            </w:pPr>
            <w:r>
              <w:rPr>
                <w:color w:val="000000"/>
              </w:rPr>
              <w:t>6.3</w:t>
            </w:r>
          </w:p>
        </w:tc>
      </w:tr>
      <w:tr w:rsidR="003A3B91" w:rsidRPr="00D954D6" w:rsidTr="008A7915">
        <w:trPr>
          <w:trHeight w:val="283"/>
        </w:trPr>
        <w:tc>
          <w:tcPr>
            <w:tcW w:w="1641" w:type="dxa"/>
            <w:vMerge/>
          </w:tcPr>
          <w:p w:rsidR="003A3B91" w:rsidRPr="00A50D58" w:rsidRDefault="003A3B91" w:rsidP="00F762FA">
            <w:pPr>
              <w:pStyle w:val="Normal-beforebullets"/>
              <w:rPr>
                <w:b/>
                <w:color w:val="000000"/>
              </w:rPr>
            </w:pPr>
          </w:p>
        </w:tc>
        <w:tc>
          <w:tcPr>
            <w:tcW w:w="1756" w:type="dxa"/>
          </w:tcPr>
          <w:p w:rsidR="003A3B91" w:rsidRPr="00A50D58" w:rsidRDefault="003A3B91" w:rsidP="00F762FA">
            <w:pPr>
              <w:pStyle w:val="Normal-beforebullets"/>
              <w:rPr>
                <w:b/>
                <w:color w:val="000000"/>
                <w:lang w:eastAsia="en-AU"/>
              </w:rPr>
            </w:pPr>
            <w:r w:rsidRPr="00A50D58">
              <w:rPr>
                <w:b/>
                <w:color w:val="000000"/>
                <w:lang w:eastAsia="en-AU"/>
              </w:rPr>
              <w:t>WA</w:t>
            </w:r>
          </w:p>
        </w:tc>
        <w:tc>
          <w:tcPr>
            <w:tcW w:w="1389" w:type="dxa"/>
            <w:vAlign w:val="center"/>
          </w:tcPr>
          <w:p w:rsidR="003A3B91" w:rsidRPr="00C21B19" w:rsidRDefault="003A3B91" w:rsidP="00F762FA">
            <w:pPr>
              <w:pStyle w:val="Normal-beforebullets"/>
              <w:jc w:val="right"/>
              <w:rPr>
                <w:color w:val="000000"/>
              </w:rPr>
            </w:pPr>
            <w:r w:rsidRPr="00C21B19">
              <w:rPr>
                <w:color w:val="000000"/>
              </w:rPr>
              <w:t>55</w:t>
            </w:r>
          </w:p>
        </w:tc>
        <w:tc>
          <w:tcPr>
            <w:tcW w:w="1786" w:type="dxa"/>
            <w:vAlign w:val="center"/>
          </w:tcPr>
          <w:p w:rsidR="003A3B91" w:rsidRPr="00C21B19" w:rsidRDefault="003A3B91" w:rsidP="00F762FA">
            <w:pPr>
              <w:pStyle w:val="Normal-beforebullets"/>
              <w:jc w:val="right"/>
              <w:rPr>
                <w:color w:val="000000"/>
              </w:rPr>
            </w:pPr>
            <w:r>
              <w:rPr>
                <w:color w:val="000000"/>
              </w:rPr>
              <w:t>4.5</w:t>
            </w:r>
          </w:p>
        </w:tc>
        <w:tc>
          <w:tcPr>
            <w:tcW w:w="1333" w:type="dxa"/>
            <w:vAlign w:val="center"/>
          </w:tcPr>
          <w:p w:rsidR="003A3B91" w:rsidRPr="00C21B19" w:rsidRDefault="003A3B91" w:rsidP="00F762FA">
            <w:pPr>
              <w:pStyle w:val="Normal-beforebullets"/>
              <w:jc w:val="right"/>
              <w:rPr>
                <w:color w:val="000000"/>
              </w:rPr>
            </w:pPr>
            <w:r w:rsidRPr="00C21B19">
              <w:rPr>
                <w:color w:val="000000"/>
              </w:rPr>
              <w:t>35</w:t>
            </w:r>
          </w:p>
        </w:tc>
        <w:tc>
          <w:tcPr>
            <w:tcW w:w="1842" w:type="dxa"/>
            <w:vAlign w:val="center"/>
          </w:tcPr>
          <w:p w:rsidR="003A3B91" w:rsidRPr="00C21B19" w:rsidRDefault="003A3B91" w:rsidP="00F762FA">
            <w:pPr>
              <w:pStyle w:val="Normal-beforebullets"/>
              <w:jc w:val="right"/>
              <w:rPr>
                <w:color w:val="000000"/>
              </w:rPr>
            </w:pPr>
            <w:r>
              <w:rPr>
                <w:color w:val="000000"/>
              </w:rPr>
              <w:t>2.1</w:t>
            </w:r>
          </w:p>
        </w:tc>
      </w:tr>
      <w:tr w:rsidR="003A3B91" w:rsidRPr="00D954D6" w:rsidTr="008A7915">
        <w:trPr>
          <w:trHeight w:val="283"/>
        </w:trPr>
        <w:tc>
          <w:tcPr>
            <w:tcW w:w="1641" w:type="dxa"/>
            <w:vMerge/>
            <w:hideMark/>
          </w:tcPr>
          <w:p w:rsidR="003A3B91" w:rsidRPr="00A50D58" w:rsidRDefault="003A3B91" w:rsidP="00F762FA">
            <w:pPr>
              <w:pStyle w:val="Normal-beforebullets"/>
              <w:rPr>
                <w:b/>
                <w:color w:val="000000"/>
                <w:lang w:eastAsia="en-AU"/>
              </w:rPr>
            </w:pPr>
          </w:p>
        </w:tc>
        <w:tc>
          <w:tcPr>
            <w:tcW w:w="1756" w:type="dxa"/>
            <w:hideMark/>
          </w:tcPr>
          <w:p w:rsidR="003A3B91" w:rsidRPr="00A50D58" w:rsidRDefault="003A3B91" w:rsidP="00F762FA">
            <w:pPr>
              <w:pStyle w:val="Normal-beforebullets"/>
              <w:rPr>
                <w:b/>
                <w:color w:val="000000"/>
                <w:lang w:eastAsia="en-AU"/>
              </w:rPr>
            </w:pPr>
            <w:proofErr w:type="spellStart"/>
            <w:r w:rsidRPr="00A50D58">
              <w:rPr>
                <w:b/>
                <w:color w:val="000000"/>
                <w:lang w:eastAsia="en-AU"/>
              </w:rPr>
              <w:t>Tas</w:t>
            </w:r>
            <w:proofErr w:type="spellEnd"/>
          </w:p>
        </w:tc>
        <w:tc>
          <w:tcPr>
            <w:tcW w:w="1389" w:type="dxa"/>
            <w:vAlign w:val="center"/>
          </w:tcPr>
          <w:p w:rsidR="003A3B91" w:rsidRPr="00C21B19" w:rsidRDefault="003A3B91" w:rsidP="00F762FA">
            <w:pPr>
              <w:pStyle w:val="Normal-beforebullets"/>
              <w:jc w:val="right"/>
              <w:rPr>
                <w:color w:val="000000"/>
              </w:rPr>
            </w:pPr>
            <w:r w:rsidRPr="00C21B19">
              <w:rPr>
                <w:color w:val="000000"/>
              </w:rPr>
              <w:t>8</w:t>
            </w:r>
          </w:p>
        </w:tc>
        <w:tc>
          <w:tcPr>
            <w:tcW w:w="1786" w:type="dxa"/>
            <w:vAlign w:val="center"/>
          </w:tcPr>
          <w:p w:rsidR="003A3B91" w:rsidRPr="00C21B19" w:rsidRDefault="003A3B91" w:rsidP="00F762FA">
            <w:pPr>
              <w:pStyle w:val="Normal-beforebullets"/>
              <w:jc w:val="right"/>
              <w:rPr>
                <w:color w:val="000000"/>
              </w:rPr>
            </w:pPr>
            <w:r>
              <w:rPr>
                <w:color w:val="000000"/>
              </w:rPr>
              <w:t>1.2</w:t>
            </w:r>
          </w:p>
        </w:tc>
        <w:tc>
          <w:tcPr>
            <w:tcW w:w="1333" w:type="dxa"/>
            <w:vAlign w:val="center"/>
          </w:tcPr>
          <w:p w:rsidR="003A3B91" w:rsidRPr="00C21B19" w:rsidRDefault="003A3B91" w:rsidP="00F762FA">
            <w:pPr>
              <w:pStyle w:val="Normal-beforebullets"/>
              <w:jc w:val="right"/>
              <w:rPr>
                <w:color w:val="000000"/>
              </w:rPr>
            </w:pPr>
            <w:r w:rsidRPr="00C21B19">
              <w:rPr>
                <w:color w:val="000000"/>
              </w:rPr>
              <w:t>8</w:t>
            </w:r>
          </w:p>
        </w:tc>
        <w:tc>
          <w:tcPr>
            <w:tcW w:w="1842" w:type="dxa"/>
            <w:vAlign w:val="center"/>
          </w:tcPr>
          <w:p w:rsidR="003A3B91" w:rsidRPr="00C21B19" w:rsidRDefault="003A3B91" w:rsidP="00F762FA">
            <w:pPr>
              <w:pStyle w:val="Normal-beforebullets"/>
              <w:jc w:val="right"/>
              <w:rPr>
                <w:color w:val="000000"/>
              </w:rPr>
            </w:pPr>
            <w:r>
              <w:rPr>
                <w:color w:val="000000"/>
              </w:rPr>
              <w:t>2.1</w:t>
            </w:r>
          </w:p>
        </w:tc>
      </w:tr>
      <w:tr w:rsidR="003A3B91" w:rsidRPr="00D954D6" w:rsidTr="008A7915">
        <w:trPr>
          <w:trHeight w:val="283"/>
        </w:trPr>
        <w:tc>
          <w:tcPr>
            <w:tcW w:w="1641" w:type="dxa"/>
            <w:vMerge w:val="restart"/>
            <w:hideMark/>
          </w:tcPr>
          <w:p w:rsidR="003A3B91" w:rsidRPr="00A50D58" w:rsidRDefault="003A3B91" w:rsidP="00F762FA">
            <w:pPr>
              <w:pStyle w:val="Normal-beforebullets"/>
              <w:rPr>
                <w:b/>
                <w:color w:val="000000"/>
                <w:lang w:eastAsia="en-AU"/>
              </w:rPr>
            </w:pPr>
            <w:r w:rsidRPr="00A50D58">
              <w:rPr>
                <w:b/>
                <w:color w:val="000000"/>
                <w:lang w:eastAsia="en-AU"/>
              </w:rPr>
              <w:t>Remoteness</w:t>
            </w:r>
          </w:p>
        </w:tc>
        <w:tc>
          <w:tcPr>
            <w:tcW w:w="1756" w:type="dxa"/>
            <w:hideMark/>
          </w:tcPr>
          <w:p w:rsidR="003A3B91" w:rsidRPr="00A50D58" w:rsidRDefault="003A3B91" w:rsidP="00F762FA">
            <w:pPr>
              <w:pStyle w:val="Normal-beforebullets"/>
              <w:rPr>
                <w:b/>
                <w:color w:val="000000"/>
                <w:lang w:eastAsia="en-AU"/>
              </w:rPr>
            </w:pPr>
            <w:r w:rsidRPr="00A50D58">
              <w:rPr>
                <w:b/>
                <w:color w:val="000000"/>
                <w:lang w:eastAsia="en-AU"/>
              </w:rPr>
              <w:t>Major Cities</w:t>
            </w:r>
          </w:p>
        </w:tc>
        <w:tc>
          <w:tcPr>
            <w:tcW w:w="1389" w:type="dxa"/>
            <w:vAlign w:val="center"/>
          </w:tcPr>
          <w:p w:rsidR="003A3B91" w:rsidRPr="00C21B19" w:rsidRDefault="003A3B91" w:rsidP="00F762FA">
            <w:pPr>
              <w:pStyle w:val="Normal-beforebullets"/>
              <w:jc w:val="right"/>
              <w:rPr>
                <w:color w:val="000000"/>
              </w:rPr>
            </w:pPr>
            <w:r w:rsidRPr="00C21B19">
              <w:rPr>
                <w:color w:val="000000"/>
              </w:rPr>
              <w:t>184</w:t>
            </w:r>
          </w:p>
        </w:tc>
        <w:tc>
          <w:tcPr>
            <w:tcW w:w="1786" w:type="dxa"/>
            <w:vAlign w:val="center"/>
          </w:tcPr>
          <w:p w:rsidR="003A3B91" w:rsidRPr="00C21B19" w:rsidRDefault="003A3B91" w:rsidP="00F762FA">
            <w:pPr>
              <w:pStyle w:val="Normal-beforebullets"/>
              <w:jc w:val="right"/>
              <w:rPr>
                <w:color w:val="000000"/>
              </w:rPr>
            </w:pPr>
            <w:r>
              <w:rPr>
                <w:color w:val="000000"/>
              </w:rPr>
              <w:t>3.1</w:t>
            </w:r>
          </w:p>
        </w:tc>
        <w:tc>
          <w:tcPr>
            <w:tcW w:w="1333" w:type="dxa"/>
            <w:vAlign w:val="center"/>
          </w:tcPr>
          <w:p w:rsidR="003A3B91" w:rsidRPr="00C21B19" w:rsidRDefault="003A3B91" w:rsidP="00F762FA">
            <w:pPr>
              <w:pStyle w:val="Normal-beforebullets"/>
              <w:jc w:val="right"/>
              <w:rPr>
                <w:color w:val="000000"/>
              </w:rPr>
            </w:pPr>
            <w:r w:rsidRPr="00C21B19">
              <w:rPr>
                <w:color w:val="000000"/>
              </w:rPr>
              <w:t>135</w:t>
            </w:r>
          </w:p>
        </w:tc>
        <w:tc>
          <w:tcPr>
            <w:tcW w:w="1842" w:type="dxa"/>
            <w:vAlign w:val="center"/>
          </w:tcPr>
          <w:p w:rsidR="003A3B91" w:rsidRPr="00C21B19" w:rsidRDefault="003A3B91" w:rsidP="00F762FA">
            <w:pPr>
              <w:pStyle w:val="Normal-beforebullets"/>
              <w:jc w:val="right"/>
              <w:rPr>
                <w:color w:val="000000"/>
              </w:rPr>
            </w:pPr>
            <w:r>
              <w:rPr>
                <w:color w:val="000000"/>
              </w:rPr>
              <w:t>2.3</w:t>
            </w:r>
          </w:p>
        </w:tc>
      </w:tr>
      <w:tr w:rsidR="003A3B91" w:rsidRPr="00D954D6" w:rsidTr="008A7915">
        <w:trPr>
          <w:trHeight w:val="283"/>
        </w:trPr>
        <w:tc>
          <w:tcPr>
            <w:tcW w:w="1641" w:type="dxa"/>
            <w:vMerge/>
            <w:hideMark/>
          </w:tcPr>
          <w:p w:rsidR="003A3B91" w:rsidRPr="00A50D58" w:rsidRDefault="003A3B91" w:rsidP="00F762FA">
            <w:pPr>
              <w:pStyle w:val="Normal-beforebullets"/>
              <w:rPr>
                <w:b/>
                <w:color w:val="000000"/>
                <w:lang w:eastAsia="en-AU"/>
              </w:rPr>
            </w:pPr>
          </w:p>
        </w:tc>
        <w:tc>
          <w:tcPr>
            <w:tcW w:w="1756" w:type="dxa"/>
            <w:hideMark/>
          </w:tcPr>
          <w:p w:rsidR="003A3B91" w:rsidRPr="00A50D58" w:rsidRDefault="003A3B91" w:rsidP="00F762FA">
            <w:pPr>
              <w:pStyle w:val="Normal-beforebullets"/>
              <w:rPr>
                <w:b/>
                <w:color w:val="000000"/>
                <w:lang w:eastAsia="en-AU"/>
              </w:rPr>
            </w:pPr>
            <w:r w:rsidRPr="00A50D58">
              <w:rPr>
                <w:b/>
                <w:color w:val="000000"/>
                <w:lang w:eastAsia="en-AU"/>
              </w:rPr>
              <w:t>Inner regional</w:t>
            </w:r>
          </w:p>
        </w:tc>
        <w:tc>
          <w:tcPr>
            <w:tcW w:w="1389" w:type="dxa"/>
            <w:vAlign w:val="center"/>
          </w:tcPr>
          <w:p w:rsidR="003A3B91" w:rsidRPr="00C21B19" w:rsidRDefault="003A3B91" w:rsidP="00F762FA">
            <w:pPr>
              <w:pStyle w:val="Normal-beforebullets"/>
              <w:jc w:val="right"/>
              <w:rPr>
                <w:color w:val="000000"/>
              </w:rPr>
            </w:pPr>
            <w:r w:rsidRPr="00C21B19">
              <w:rPr>
                <w:color w:val="000000"/>
              </w:rPr>
              <w:t>148</w:t>
            </w:r>
          </w:p>
        </w:tc>
        <w:tc>
          <w:tcPr>
            <w:tcW w:w="1786" w:type="dxa"/>
            <w:vAlign w:val="center"/>
          </w:tcPr>
          <w:p w:rsidR="003A3B91" w:rsidRPr="00C21B19" w:rsidRDefault="003A3B91" w:rsidP="00F762FA">
            <w:pPr>
              <w:pStyle w:val="Normal-beforebullets"/>
              <w:jc w:val="right"/>
              <w:rPr>
                <w:color w:val="000000"/>
              </w:rPr>
            </w:pPr>
            <w:r>
              <w:rPr>
                <w:color w:val="000000"/>
              </w:rPr>
              <w:t>2.8</w:t>
            </w:r>
          </w:p>
        </w:tc>
        <w:tc>
          <w:tcPr>
            <w:tcW w:w="1333" w:type="dxa"/>
            <w:vAlign w:val="center"/>
          </w:tcPr>
          <w:p w:rsidR="003A3B91" w:rsidRPr="00C21B19" w:rsidRDefault="003A3B91" w:rsidP="00F762FA">
            <w:pPr>
              <w:pStyle w:val="Normal-beforebullets"/>
              <w:jc w:val="right"/>
              <w:rPr>
                <w:color w:val="000000"/>
              </w:rPr>
            </w:pPr>
            <w:r w:rsidRPr="00C21B19">
              <w:rPr>
                <w:color w:val="000000"/>
              </w:rPr>
              <w:t>156</w:t>
            </w:r>
          </w:p>
        </w:tc>
        <w:tc>
          <w:tcPr>
            <w:tcW w:w="1842" w:type="dxa"/>
            <w:vAlign w:val="center"/>
          </w:tcPr>
          <w:p w:rsidR="003A3B91" w:rsidRPr="00C21B19" w:rsidRDefault="003A3B91" w:rsidP="00F762FA">
            <w:pPr>
              <w:pStyle w:val="Normal-beforebullets"/>
              <w:jc w:val="right"/>
              <w:rPr>
                <w:color w:val="000000"/>
              </w:rPr>
            </w:pPr>
            <w:r>
              <w:rPr>
                <w:color w:val="000000"/>
              </w:rPr>
              <w:t>3.2</w:t>
            </w:r>
          </w:p>
        </w:tc>
      </w:tr>
      <w:tr w:rsidR="003A3B91" w:rsidRPr="00D954D6" w:rsidTr="008A7915">
        <w:trPr>
          <w:trHeight w:val="283"/>
        </w:trPr>
        <w:tc>
          <w:tcPr>
            <w:tcW w:w="1641" w:type="dxa"/>
            <w:vMerge/>
            <w:hideMark/>
          </w:tcPr>
          <w:p w:rsidR="003A3B91" w:rsidRPr="00A50D58" w:rsidRDefault="003A3B91" w:rsidP="00F762FA">
            <w:pPr>
              <w:pStyle w:val="Normal-beforebullets"/>
              <w:rPr>
                <w:b/>
                <w:color w:val="000000"/>
                <w:lang w:eastAsia="en-AU"/>
              </w:rPr>
            </w:pPr>
          </w:p>
        </w:tc>
        <w:tc>
          <w:tcPr>
            <w:tcW w:w="1756" w:type="dxa"/>
            <w:hideMark/>
          </w:tcPr>
          <w:p w:rsidR="003A3B91" w:rsidRPr="00A50D58" w:rsidRDefault="003A3B91" w:rsidP="00F762FA">
            <w:pPr>
              <w:pStyle w:val="Normal-beforebullets"/>
              <w:rPr>
                <w:b/>
                <w:color w:val="000000"/>
                <w:lang w:eastAsia="en-AU"/>
              </w:rPr>
            </w:pPr>
            <w:r w:rsidRPr="00A50D58">
              <w:rPr>
                <w:b/>
                <w:color w:val="000000"/>
                <w:lang w:eastAsia="en-AU"/>
              </w:rPr>
              <w:t>Outer regional</w:t>
            </w:r>
          </w:p>
        </w:tc>
        <w:tc>
          <w:tcPr>
            <w:tcW w:w="1389" w:type="dxa"/>
            <w:vAlign w:val="center"/>
          </w:tcPr>
          <w:p w:rsidR="003A3B91" w:rsidRPr="00C21B19" w:rsidRDefault="003A3B91" w:rsidP="00F762FA">
            <w:pPr>
              <w:pStyle w:val="Normal-beforebullets"/>
              <w:jc w:val="right"/>
              <w:rPr>
                <w:color w:val="000000"/>
              </w:rPr>
            </w:pPr>
            <w:r w:rsidRPr="00C21B19">
              <w:rPr>
                <w:color w:val="000000"/>
              </w:rPr>
              <w:t>65</w:t>
            </w:r>
          </w:p>
        </w:tc>
        <w:tc>
          <w:tcPr>
            <w:tcW w:w="1786" w:type="dxa"/>
            <w:vAlign w:val="center"/>
          </w:tcPr>
          <w:p w:rsidR="003A3B91" w:rsidRPr="00C21B19" w:rsidRDefault="003A3B91" w:rsidP="00F762FA">
            <w:pPr>
              <w:pStyle w:val="Normal-beforebullets"/>
              <w:jc w:val="right"/>
              <w:rPr>
                <w:color w:val="000000"/>
              </w:rPr>
            </w:pPr>
            <w:r>
              <w:rPr>
                <w:color w:val="000000"/>
              </w:rPr>
              <w:t>3.2</w:t>
            </w:r>
          </w:p>
        </w:tc>
        <w:tc>
          <w:tcPr>
            <w:tcW w:w="1333" w:type="dxa"/>
            <w:vAlign w:val="center"/>
          </w:tcPr>
          <w:p w:rsidR="003A3B91" w:rsidRPr="00C21B19" w:rsidRDefault="003A3B91" w:rsidP="00F762FA">
            <w:pPr>
              <w:pStyle w:val="Normal-beforebullets"/>
              <w:jc w:val="right"/>
              <w:rPr>
                <w:color w:val="000000"/>
              </w:rPr>
            </w:pPr>
            <w:r w:rsidRPr="00C21B19">
              <w:rPr>
                <w:color w:val="000000"/>
              </w:rPr>
              <w:t>50</w:t>
            </w:r>
          </w:p>
        </w:tc>
        <w:tc>
          <w:tcPr>
            <w:tcW w:w="1842" w:type="dxa"/>
            <w:vAlign w:val="center"/>
          </w:tcPr>
          <w:p w:rsidR="003A3B91" w:rsidRPr="00C21B19" w:rsidRDefault="003A3B91" w:rsidP="00F762FA">
            <w:pPr>
              <w:pStyle w:val="Normal-beforebullets"/>
              <w:jc w:val="right"/>
              <w:rPr>
                <w:color w:val="000000"/>
              </w:rPr>
            </w:pPr>
            <w:r>
              <w:rPr>
                <w:color w:val="000000"/>
              </w:rPr>
              <w:t>3.5</w:t>
            </w:r>
          </w:p>
        </w:tc>
      </w:tr>
      <w:tr w:rsidR="003A3B91" w:rsidRPr="00D954D6" w:rsidTr="008A7915">
        <w:trPr>
          <w:trHeight w:val="283"/>
        </w:trPr>
        <w:tc>
          <w:tcPr>
            <w:tcW w:w="1641" w:type="dxa"/>
            <w:vMerge/>
            <w:hideMark/>
          </w:tcPr>
          <w:p w:rsidR="003A3B91" w:rsidRPr="00A50D58" w:rsidRDefault="003A3B91" w:rsidP="00F762FA">
            <w:pPr>
              <w:pStyle w:val="Normal-beforebullets"/>
              <w:rPr>
                <w:b/>
                <w:color w:val="000000"/>
                <w:lang w:eastAsia="en-AU"/>
              </w:rPr>
            </w:pPr>
          </w:p>
        </w:tc>
        <w:tc>
          <w:tcPr>
            <w:tcW w:w="1756" w:type="dxa"/>
            <w:hideMark/>
          </w:tcPr>
          <w:p w:rsidR="003A3B91" w:rsidRPr="00A50D58" w:rsidRDefault="003A3B91" w:rsidP="00F762FA">
            <w:pPr>
              <w:pStyle w:val="Normal-beforebullets"/>
              <w:rPr>
                <w:b/>
                <w:color w:val="000000"/>
                <w:lang w:eastAsia="en-AU"/>
              </w:rPr>
            </w:pPr>
            <w:r w:rsidRPr="00A50D58">
              <w:rPr>
                <w:b/>
                <w:color w:val="000000"/>
                <w:lang w:eastAsia="en-AU"/>
              </w:rPr>
              <w:t>Remote</w:t>
            </w:r>
          </w:p>
        </w:tc>
        <w:tc>
          <w:tcPr>
            <w:tcW w:w="1389" w:type="dxa"/>
            <w:vAlign w:val="center"/>
          </w:tcPr>
          <w:p w:rsidR="003A3B91" w:rsidRPr="00C21B19" w:rsidRDefault="003A3B91" w:rsidP="00F762FA">
            <w:pPr>
              <w:pStyle w:val="Normal-beforebullets"/>
              <w:jc w:val="right"/>
              <w:rPr>
                <w:color w:val="000000"/>
              </w:rPr>
            </w:pPr>
            <w:r w:rsidRPr="00C21B19">
              <w:rPr>
                <w:color w:val="000000"/>
              </w:rPr>
              <w:t>17</w:t>
            </w:r>
          </w:p>
        </w:tc>
        <w:tc>
          <w:tcPr>
            <w:tcW w:w="1786" w:type="dxa"/>
            <w:vAlign w:val="center"/>
          </w:tcPr>
          <w:p w:rsidR="003A3B91" w:rsidRPr="00C21B19" w:rsidRDefault="003A3B91" w:rsidP="00F762FA">
            <w:pPr>
              <w:pStyle w:val="Normal-beforebullets"/>
              <w:jc w:val="right"/>
              <w:rPr>
                <w:color w:val="000000"/>
              </w:rPr>
            </w:pPr>
            <w:r>
              <w:rPr>
                <w:color w:val="000000"/>
              </w:rPr>
              <w:t>12.4</w:t>
            </w:r>
          </w:p>
        </w:tc>
        <w:tc>
          <w:tcPr>
            <w:tcW w:w="1333" w:type="dxa"/>
            <w:vAlign w:val="center"/>
          </w:tcPr>
          <w:p w:rsidR="003A3B91" w:rsidRPr="00C21B19" w:rsidRDefault="003A3B91" w:rsidP="00F762FA">
            <w:pPr>
              <w:pStyle w:val="Normal-beforebullets"/>
              <w:jc w:val="right"/>
              <w:rPr>
                <w:color w:val="000000"/>
              </w:rPr>
            </w:pPr>
            <w:r w:rsidRPr="00C21B19">
              <w:rPr>
                <w:color w:val="000000"/>
              </w:rPr>
              <w:t>8</w:t>
            </w:r>
          </w:p>
        </w:tc>
        <w:tc>
          <w:tcPr>
            <w:tcW w:w="1842" w:type="dxa"/>
            <w:vAlign w:val="center"/>
          </w:tcPr>
          <w:p w:rsidR="003A3B91" w:rsidRPr="00C21B19" w:rsidRDefault="003A3B91" w:rsidP="00F762FA">
            <w:pPr>
              <w:pStyle w:val="Normal-beforebullets"/>
              <w:jc w:val="right"/>
              <w:rPr>
                <w:color w:val="000000"/>
              </w:rPr>
            </w:pPr>
            <w:r>
              <w:rPr>
                <w:color w:val="000000"/>
              </w:rPr>
              <w:t>7.1</w:t>
            </w:r>
          </w:p>
        </w:tc>
      </w:tr>
      <w:tr w:rsidR="003A3B91" w:rsidRPr="00D954D6" w:rsidTr="008A7915">
        <w:trPr>
          <w:trHeight w:val="283"/>
        </w:trPr>
        <w:tc>
          <w:tcPr>
            <w:tcW w:w="1641" w:type="dxa"/>
            <w:vMerge/>
            <w:hideMark/>
          </w:tcPr>
          <w:p w:rsidR="003A3B91" w:rsidRPr="00A50D58" w:rsidRDefault="003A3B91" w:rsidP="00F762FA">
            <w:pPr>
              <w:pStyle w:val="Normal-beforebullets"/>
              <w:rPr>
                <w:b/>
                <w:color w:val="000000"/>
                <w:lang w:eastAsia="en-AU"/>
              </w:rPr>
            </w:pPr>
          </w:p>
        </w:tc>
        <w:tc>
          <w:tcPr>
            <w:tcW w:w="1756" w:type="dxa"/>
            <w:hideMark/>
          </w:tcPr>
          <w:p w:rsidR="003A3B91" w:rsidRPr="00A50D58" w:rsidRDefault="003A3B91" w:rsidP="00F762FA">
            <w:pPr>
              <w:pStyle w:val="Normal-beforebullets"/>
              <w:rPr>
                <w:b/>
                <w:color w:val="000000"/>
                <w:lang w:eastAsia="en-AU"/>
              </w:rPr>
            </w:pPr>
            <w:r w:rsidRPr="00A50D58">
              <w:rPr>
                <w:b/>
                <w:color w:val="000000"/>
                <w:lang w:eastAsia="en-AU"/>
              </w:rPr>
              <w:t>Very remote</w:t>
            </w:r>
          </w:p>
        </w:tc>
        <w:tc>
          <w:tcPr>
            <w:tcW w:w="1389" w:type="dxa"/>
            <w:vAlign w:val="center"/>
          </w:tcPr>
          <w:p w:rsidR="003A3B91" w:rsidRPr="00C21B19" w:rsidRDefault="003A3B91" w:rsidP="00F762FA">
            <w:pPr>
              <w:pStyle w:val="Normal-beforebullets"/>
              <w:jc w:val="right"/>
              <w:rPr>
                <w:color w:val="000000"/>
              </w:rPr>
            </w:pPr>
            <w:r w:rsidRPr="00C21B19">
              <w:rPr>
                <w:color w:val="000000"/>
              </w:rPr>
              <w:t>3</w:t>
            </w:r>
          </w:p>
        </w:tc>
        <w:tc>
          <w:tcPr>
            <w:tcW w:w="1786" w:type="dxa"/>
            <w:vAlign w:val="center"/>
          </w:tcPr>
          <w:p w:rsidR="003A3B91" w:rsidRPr="00C21B19" w:rsidRDefault="003A3B91" w:rsidP="00F762FA">
            <w:pPr>
              <w:pStyle w:val="Normal-beforebullets"/>
              <w:jc w:val="right"/>
              <w:rPr>
                <w:color w:val="000000"/>
              </w:rPr>
            </w:pPr>
            <w:r>
              <w:rPr>
                <w:color w:val="000000"/>
              </w:rPr>
              <w:t>4.4</w:t>
            </w:r>
          </w:p>
        </w:tc>
        <w:tc>
          <w:tcPr>
            <w:tcW w:w="1333" w:type="dxa"/>
            <w:vAlign w:val="center"/>
          </w:tcPr>
          <w:p w:rsidR="003A3B91" w:rsidRPr="00C21B19" w:rsidRDefault="003A3B91" w:rsidP="00F762FA">
            <w:pPr>
              <w:pStyle w:val="Normal-beforebullets"/>
              <w:jc w:val="right"/>
              <w:rPr>
                <w:color w:val="000000"/>
              </w:rPr>
            </w:pPr>
            <w:r w:rsidRPr="00C21B19">
              <w:rPr>
                <w:color w:val="000000"/>
              </w:rPr>
              <w:t>0</w:t>
            </w:r>
          </w:p>
        </w:tc>
        <w:tc>
          <w:tcPr>
            <w:tcW w:w="1842" w:type="dxa"/>
            <w:vAlign w:val="center"/>
          </w:tcPr>
          <w:p w:rsidR="003A3B91" w:rsidRPr="00C21B19" w:rsidRDefault="003A3B91" w:rsidP="00F762FA">
            <w:pPr>
              <w:pStyle w:val="Normal-beforebullets"/>
              <w:jc w:val="right"/>
              <w:rPr>
                <w:color w:val="000000"/>
              </w:rPr>
            </w:pPr>
            <w:r>
              <w:rPr>
                <w:color w:val="000000"/>
              </w:rPr>
              <w:t>0.0</w:t>
            </w:r>
          </w:p>
        </w:tc>
      </w:tr>
      <w:tr w:rsidR="003A3B91" w:rsidRPr="00D954D6" w:rsidTr="008A7915">
        <w:trPr>
          <w:trHeight w:val="283"/>
        </w:trPr>
        <w:tc>
          <w:tcPr>
            <w:tcW w:w="1641" w:type="dxa"/>
            <w:vMerge w:val="restart"/>
            <w:hideMark/>
          </w:tcPr>
          <w:p w:rsidR="003A3B91" w:rsidRPr="00A50D58" w:rsidRDefault="003A3B91" w:rsidP="00F762FA">
            <w:pPr>
              <w:pStyle w:val="Normal-beforebullets"/>
              <w:rPr>
                <w:b/>
                <w:color w:val="000000"/>
                <w:lang w:eastAsia="en-AU"/>
              </w:rPr>
            </w:pPr>
            <w:r w:rsidRPr="00A50D58">
              <w:rPr>
                <w:b/>
                <w:color w:val="000000"/>
                <w:lang w:eastAsia="en-AU"/>
              </w:rPr>
              <w:t>Organisation type</w:t>
            </w:r>
          </w:p>
        </w:tc>
        <w:tc>
          <w:tcPr>
            <w:tcW w:w="1756" w:type="dxa"/>
            <w:hideMark/>
          </w:tcPr>
          <w:p w:rsidR="003A3B91" w:rsidRPr="00A50D58" w:rsidRDefault="003A3B91" w:rsidP="00F762FA">
            <w:pPr>
              <w:pStyle w:val="Normal-beforebullets"/>
              <w:rPr>
                <w:b/>
                <w:color w:val="000000"/>
                <w:lang w:eastAsia="en-AU"/>
              </w:rPr>
            </w:pPr>
            <w:r w:rsidRPr="00A50D58">
              <w:rPr>
                <w:b/>
                <w:color w:val="000000"/>
                <w:lang w:eastAsia="en-AU"/>
              </w:rPr>
              <w:t>Not for profit</w:t>
            </w:r>
          </w:p>
        </w:tc>
        <w:tc>
          <w:tcPr>
            <w:tcW w:w="1389" w:type="dxa"/>
            <w:vAlign w:val="center"/>
          </w:tcPr>
          <w:p w:rsidR="003A3B91" w:rsidRPr="00C21B19" w:rsidRDefault="003A3B91" w:rsidP="00F762FA">
            <w:pPr>
              <w:pStyle w:val="Normal-beforebullets"/>
              <w:jc w:val="right"/>
              <w:rPr>
                <w:color w:val="000000"/>
              </w:rPr>
            </w:pPr>
            <w:r w:rsidRPr="00C21B19">
              <w:rPr>
                <w:color w:val="000000"/>
              </w:rPr>
              <w:t>166</w:t>
            </w:r>
          </w:p>
        </w:tc>
        <w:tc>
          <w:tcPr>
            <w:tcW w:w="1786" w:type="dxa"/>
            <w:vAlign w:val="center"/>
          </w:tcPr>
          <w:p w:rsidR="003A3B91" w:rsidRPr="00C21B19" w:rsidRDefault="003A3B91" w:rsidP="00F762FA">
            <w:pPr>
              <w:pStyle w:val="Normal-beforebullets"/>
              <w:jc w:val="right"/>
              <w:rPr>
                <w:color w:val="000000"/>
              </w:rPr>
            </w:pPr>
            <w:r>
              <w:rPr>
                <w:color w:val="000000"/>
              </w:rPr>
              <w:t>2.7</w:t>
            </w:r>
          </w:p>
        </w:tc>
        <w:tc>
          <w:tcPr>
            <w:tcW w:w="1333" w:type="dxa"/>
            <w:vAlign w:val="center"/>
          </w:tcPr>
          <w:p w:rsidR="003A3B91" w:rsidRPr="00C21B19" w:rsidRDefault="003A3B91" w:rsidP="00F762FA">
            <w:pPr>
              <w:pStyle w:val="Normal-beforebullets"/>
              <w:jc w:val="right"/>
              <w:rPr>
                <w:color w:val="000000"/>
              </w:rPr>
            </w:pPr>
            <w:r w:rsidRPr="00C21B19">
              <w:rPr>
                <w:color w:val="000000"/>
              </w:rPr>
              <w:t>131</w:t>
            </w:r>
          </w:p>
        </w:tc>
        <w:tc>
          <w:tcPr>
            <w:tcW w:w="1842" w:type="dxa"/>
            <w:vAlign w:val="center"/>
          </w:tcPr>
          <w:p w:rsidR="003A3B91" w:rsidRPr="00C21B19" w:rsidRDefault="003A3B91" w:rsidP="00F762FA">
            <w:pPr>
              <w:pStyle w:val="Normal-beforebullets"/>
              <w:jc w:val="right"/>
              <w:rPr>
                <w:color w:val="000000"/>
              </w:rPr>
            </w:pPr>
            <w:r>
              <w:rPr>
                <w:color w:val="000000"/>
              </w:rPr>
              <w:t>2.3</w:t>
            </w:r>
          </w:p>
        </w:tc>
      </w:tr>
      <w:tr w:rsidR="003A3B91" w:rsidRPr="00D954D6" w:rsidTr="008A7915">
        <w:trPr>
          <w:trHeight w:val="283"/>
        </w:trPr>
        <w:tc>
          <w:tcPr>
            <w:tcW w:w="1641" w:type="dxa"/>
            <w:vMerge/>
            <w:hideMark/>
          </w:tcPr>
          <w:p w:rsidR="003A3B91" w:rsidRPr="00C21B19" w:rsidRDefault="003A3B91" w:rsidP="00F762FA">
            <w:pPr>
              <w:pStyle w:val="Normal-beforebullets"/>
              <w:rPr>
                <w:color w:val="000000"/>
                <w:lang w:eastAsia="en-AU"/>
              </w:rPr>
            </w:pPr>
          </w:p>
        </w:tc>
        <w:tc>
          <w:tcPr>
            <w:tcW w:w="1756" w:type="dxa"/>
            <w:hideMark/>
          </w:tcPr>
          <w:p w:rsidR="003A3B91" w:rsidRPr="00A50D58" w:rsidRDefault="003A3B91" w:rsidP="00F762FA">
            <w:pPr>
              <w:pStyle w:val="Normal-beforebullets"/>
              <w:rPr>
                <w:b/>
                <w:color w:val="000000"/>
                <w:lang w:eastAsia="en-AU"/>
              </w:rPr>
            </w:pPr>
            <w:r w:rsidRPr="00A50D58">
              <w:rPr>
                <w:b/>
                <w:color w:val="000000"/>
                <w:lang w:eastAsia="en-AU"/>
              </w:rPr>
              <w:t>Government</w:t>
            </w:r>
          </w:p>
        </w:tc>
        <w:tc>
          <w:tcPr>
            <w:tcW w:w="1389" w:type="dxa"/>
            <w:vAlign w:val="center"/>
          </w:tcPr>
          <w:p w:rsidR="003A3B91" w:rsidRPr="00C21B19" w:rsidRDefault="003A3B91" w:rsidP="00F762FA">
            <w:pPr>
              <w:pStyle w:val="Normal-beforebullets"/>
              <w:jc w:val="right"/>
              <w:rPr>
                <w:color w:val="000000"/>
              </w:rPr>
            </w:pPr>
            <w:r w:rsidRPr="00C21B19">
              <w:rPr>
                <w:color w:val="000000"/>
              </w:rPr>
              <w:t>203</w:t>
            </w:r>
          </w:p>
        </w:tc>
        <w:tc>
          <w:tcPr>
            <w:tcW w:w="1786" w:type="dxa"/>
            <w:vAlign w:val="center"/>
          </w:tcPr>
          <w:p w:rsidR="003A3B91" w:rsidRPr="00C21B19" w:rsidRDefault="003A3B91" w:rsidP="00F762FA">
            <w:pPr>
              <w:pStyle w:val="Normal-beforebullets"/>
              <w:jc w:val="right"/>
              <w:rPr>
                <w:color w:val="000000"/>
              </w:rPr>
            </w:pPr>
            <w:r>
              <w:rPr>
                <w:color w:val="000000"/>
              </w:rPr>
              <w:t>3.7</w:t>
            </w:r>
          </w:p>
        </w:tc>
        <w:tc>
          <w:tcPr>
            <w:tcW w:w="1333" w:type="dxa"/>
            <w:vAlign w:val="center"/>
          </w:tcPr>
          <w:p w:rsidR="003A3B91" w:rsidRPr="00C21B19" w:rsidRDefault="003A3B91" w:rsidP="00F762FA">
            <w:pPr>
              <w:pStyle w:val="Normal-beforebullets"/>
              <w:jc w:val="right"/>
              <w:rPr>
                <w:color w:val="000000"/>
              </w:rPr>
            </w:pPr>
            <w:r w:rsidRPr="00C21B19">
              <w:rPr>
                <w:color w:val="000000"/>
              </w:rPr>
              <w:t>196</w:t>
            </w:r>
          </w:p>
        </w:tc>
        <w:tc>
          <w:tcPr>
            <w:tcW w:w="1842" w:type="dxa"/>
            <w:vAlign w:val="center"/>
          </w:tcPr>
          <w:p w:rsidR="003A3B91" w:rsidRPr="00C21B19" w:rsidRDefault="003A3B91" w:rsidP="00F762FA">
            <w:pPr>
              <w:pStyle w:val="Normal-beforebullets"/>
              <w:jc w:val="right"/>
              <w:rPr>
                <w:color w:val="000000"/>
              </w:rPr>
            </w:pPr>
            <w:r>
              <w:rPr>
                <w:color w:val="000000"/>
              </w:rPr>
              <w:t>3.5</w:t>
            </w:r>
          </w:p>
        </w:tc>
      </w:tr>
      <w:tr w:rsidR="003A3B91" w:rsidRPr="00D954D6" w:rsidTr="008A7915">
        <w:trPr>
          <w:trHeight w:val="283"/>
        </w:trPr>
        <w:tc>
          <w:tcPr>
            <w:tcW w:w="1641" w:type="dxa"/>
            <w:vMerge/>
            <w:hideMark/>
          </w:tcPr>
          <w:p w:rsidR="003A3B91" w:rsidRPr="00C21B19" w:rsidRDefault="003A3B91" w:rsidP="00F762FA">
            <w:pPr>
              <w:pStyle w:val="Normal-beforebullets"/>
              <w:rPr>
                <w:color w:val="000000"/>
                <w:lang w:eastAsia="en-AU"/>
              </w:rPr>
            </w:pPr>
          </w:p>
        </w:tc>
        <w:tc>
          <w:tcPr>
            <w:tcW w:w="1756" w:type="dxa"/>
            <w:hideMark/>
          </w:tcPr>
          <w:p w:rsidR="003A3B91" w:rsidRPr="00A50D58" w:rsidRDefault="003A3B91" w:rsidP="00F762FA">
            <w:pPr>
              <w:pStyle w:val="Normal-beforebullets"/>
              <w:rPr>
                <w:b/>
                <w:color w:val="000000"/>
                <w:lang w:eastAsia="en-AU"/>
              </w:rPr>
            </w:pPr>
            <w:r w:rsidRPr="00A50D58">
              <w:rPr>
                <w:b/>
                <w:color w:val="000000"/>
                <w:lang w:eastAsia="en-AU"/>
              </w:rPr>
              <w:t>Private</w:t>
            </w:r>
          </w:p>
        </w:tc>
        <w:tc>
          <w:tcPr>
            <w:tcW w:w="1389" w:type="dxa"/>
            <w:vAlign w:val="center"/>
          </w:tcPr>
          <w:p w:rsidR="003A3B91" w:rsidRPr="00C21B19" w:rsidRDefault="003A3B91" w:rsidP="00F762FA">
            <w:pPr>
              <w:pStyle w:val="Normal-beforebullets"/>
              <w:jc w:val="right"/>
              <w:rPr>
                <w:color w:val="000000"/>
              </w:rPr>
            </w:pPr>
            <w:r w:rsidRPr="00C21B19">
              <w:rPr>
                <w:color w:val="000000"/>
              </w:rPr>
              <w:t>48</w:t>
            </w:r>
          </w:p>
        </w:tc>
        <w:tc>
          <w:tcPr>
            <w:tcW w:w="1786" w:type="dxa"/>
            <w:vAlign w:val="center"/>
          </w:tcPr>
          <w:p w:rsidR="003A3B91" w:rsidRPr="00C21B19" w:rsidRDefault="003A3B91" w:rsidP="00F762FA">
            <w:pPr>
              <w:pStyle w:val="Normal-beforebullets"/>
              <w:jc w:val="right"/>
              <w:rPr>
                <w:color w:val="000000"/>
              </w:rPr>
            </w:pPr>
            <w:r>
              <w:rPr>
                <w:color w:val="000000"/>
              </w:rPr>
              <w:t>2.8</w:t>
            </w:r>
          </w:p>
        </w:tc>
        <w:tc>
          <w:tcPr>
            <w:tcW w:w="1333" w:type="dxa"/>
            <w:vAlign w:val="center"/>
          </w:tcPr>
          <w:p w:rsidR="003A3B91" w:rsidRPr="00C21B19" w:rsidRDefault="003A3B91" w:rsidP="00F762FA">
            <w:pPr>
              <w:pStyle w:val="Normal-beforebullets"/>
              <w:jc w:val="right"/>
              <w:rPr>
                <w:color w:val="000000"/>
              </w:rPr>
            </w:pPr>
            <w:r w:rsidRPr="00C21B19">
              <w:rPr>
                <w:color w:val="000000"/>
              </w:rPr>
              <w:t>22</w:t>
            </w:r>
          </w:p>
        </w:tc>
        <w:tc>
          <w:tcPr>
            <w:tcW w:w="1842" w:type="dxa"/>
            <w:vAlign w:val="center"/>
          </w:tcPr>
          <w:p w:rsidR="003A3B91" w:rsidRPr="00C21B19" w:rsidRDefault="003A3B91" w:rsidP="00F762FA">
            <w:pPr>
              <w:pStyle w:val="Normal-beforebullets"/>
              <w:jc w:val="right"/>
              <w:rPr>
                <w:color w:val="000000"/>
              </w:rPr>
            </w:pPr>
            <w:r>
              <w:rPr>
                <w:color w:val="000000"/>
              </w:rPr>
              <w:t>2.3</w:t>
            </w:r>
          </w:p>
        </w:tc>
      </w:tr>
      <w:tr w:rsidR="003A3B91" w:rsidRPr="00D954D6" w:rsidTr="008A7915">
        <w:trPr>
          <w:trHeight w:val="283"/>
        </w:trPr>
        <w:tc>
          <w:tcPr>
            <w:tcW w:w="3397" w:type="dxa"/>
            <w:gridSpan w:val="2"/>
          </w:tcPr>
          <w:p w:rsidR="003A3B91" w:rsidRPr="00140F71" w:rsidRDefault="003A3B91" w:rsidP="00F762FA">
            <w:pPr>
              <w:pStyle w:val="Normal-beforebullets"/>
              <w:rPr>
                <w:b/>
                <w:color w:val="000000"/>
                <w:lang w:eastAsia="en-AU"/>
              </w:rPr>
            </w:pPr>
            <w:r w:rsidRPr="00140F71">
              <w:rPr>
                <w:b/>
                <w:color w:val="000000"/>
                <w:lang w:eastAsia="en-AU"/>
              </w:rPr>
              <w:t>Total</w:t>
            </w:r>
          </w:p>
        </w:tc>
        <w:tc>
          <w:tcPr>
            <w:tcW w:w="1389" w:type="dxa"/>
            <w:vAlign w:val="center"/>
          </w:tcPr>
          <w:p w:rsidR="003A3B91" w:rsidRPr="00140F71" w:rsidRDefault="003A3B91" w:rsidP="00F762FA">
            <w:pPr>
              <w:pStyle w:val="Normal-beforebullets"/>
              <w:jc w:val="right"/>
              <w:rPr>
                <w:b/>
                <w:color w:val="000000"/>
                <w:lang w:eastAsia="en-AU"/>
              </w:rPr>
            </w:pPr>
            <w:r w:rsidRPr="00140F71">
              <w:rPr>
                <w:b/>
                <w:color w:val="000000"/>
              </w:rPr>
              <w:t>417</w:t>
            </w:r>
          </w:p>
        </w:tc>
        <w:tc>
          <w:tcPr>
            <w:tcW w:w="1786" w:type="dxa"/>
            <w:vAlign w:val="center"/>
          </w:tcPr>
          <w:p w:rsidR="003A3B91" w:rsidRPr="00140F71" w:rsidRDefault="003A3B91" w:rsidP="00F762FA">
            <w:pPr>
              <w:pStyle w:val="Normal-beforebullets"/>
              <w:jc w:val="right"/>
              <w:rPr>
                <w:b/>
                <w:color w:val="000000"/>
              </w:rPr>
            </w:pPr>
            <w:r w:rsidRPr="00140F71">
              <w:rPr>
                <w:b/>
                <w:color w:val="000000"/>
              </w:rPr>
              <w:t>3.1</w:t>
            </w:r>
          </w:p>
        </w:tc>
        <w:tc>
          <w:tcPr>
            <w:tcW w:w="1333" w:type="dxa"/>
            <w:vAlign w:val="center"/>
          </w:tcPr>
          <w:p w:rsidR="003A3B91" w:rsidRPr="00140F71" w:rsidRDefault="003A3B91" w:rsidP="00F762FA">
            <w:pPr>
              <w:pStyle w:val="Normal-beforebullets"/>
              <w:jc w:val="right"/>
              <w:rPr>
                <w:b/>
                <w:color w:val="000000"/>
              </w:rPr>
            </w:pPr>
            <w:r w:rsidRPr="00140F71">
              <w:rPr>
                <w:b/>
                <w:color w:val="000000"/>
              </w:rPr>
              <w:t>349</w:t>
            </w:r>
          </w:p>
        </w:tc>
        <w:tc>
          <w:tcPr>
            <w:tcW w:w="1842" w:type="dxa"/>
            <w:vAlign w:val="center"/>
          </w:tcPr>
          <w:p w:rsidR="003A3B91" w:rsidRPr="00140F71" w:rsidRDefault="003A3B91" w:rsidP="00F762FA">
            <w:pPr>
              <w:pStyle w:val="Normal-beforebullets"/>
              <w:jc w:val="right"/>
              <w:rPr>
                <w:b/>
                <w:color w:val="000000"/>
              </w:rPr>
            </w:pPr>
            <w:r w:rsidRPr="00140F71">
              <w:rPr>
                <w:b/>
                <w:color w:val="000000"/>
              </w:rPr>
              <w:t>2.8</w:t>
            </w:r>
          </w:p>
        </w:tc>
      </w:tr>
    </w:tbl>
    <w:p w:rsidR="003A3B91" w:rsidRDefault="003A3B91" w:rsidP="008A7915">
      <w:pPr>
        <w:spacing w:after="120"/>
      </w:pPr>
    </w:p>
    <w:p w:rsidR="00557D08" w:rsidRDefault="00557D08" w:rsidP="00557D08">
      <w:r>
        <w:t xml:space="preserve">In 2017, Tasmania reported the lowest prevalence of residents prescribed at least one antimicrobial </w:t>
      </w:r>
      <w:r w:rsidRPr="00782918">
        <w:t>(</w:t>
      </w:r>
      <w:r w:rsidRPr="00492FB8">
        <w:rPr>
          <w:i/>
        </w:rPr>
        <w:t>n</w:t>
      </w:r>
      <w:r>
        <w:t>=</w:t>
      </w:r>
      <w:r w:rsidRPr="00782918">
        <w:t>15, 3.9%).</w:t>
      </w:r>
      <w:r>
        <w:t xml:space="preserve"> Of the three organisation types, private </w:t>
      </w:r>
      <w:r w:rsidR="003312F1">
        <w:t xml:space="preserve">aged care homes </w:t>
      </w:r>
      <w:r>
        <w:t xml:space="preserve">for both 2016 and 2017 had the lowest prevalence: 6.4% </w:t>
      </w:r>
      <w:r w:rsidRPr="00782918">
        <w:t>(</w:t>
      </w:r>
      <w:r w:rsidRPr="00492FB8">
        <w:rPr>
          <w:i/>
        </w:rPr>
        <w:t>n</w:t>
      </w:r>
      <w:r w:rsidRPr="00782918">
        <w:t>=109)</w:t>
      </w:r>
      <w:r>
        <w:t xml:space="preserve"> and 5.0% (</w:t>
      </w:r>
      <w:r w:rsidRPr="00492FB8">
        <w:rPr>
          <w:i/>
        </w:rPr>
        <w:t>n</w:t>
      </w:r>
      <w:r>
        <w:t xml:space="preserve">=49) respectively (Table </w:t>
      </w:r>
      <w:r w:rsidR="00B11658">
        <w:t>5</w:t>
      </w:r>
      <w:r>
        <w:t xml:space="preserve">). </w:t>
      </w:r>
    </w:p>
    <w:p w:rsidR="00557D08" w:rsidRPr="00416D5F" w:rsidRDefault="007E7001" w:rsidP="00557D08">
      <w:r>
        <w:t xml:space="preserve">In </w:t>
      </w:r>
      <w:r w:rsidRPr="007E7001">
        <w:t>both 2016 and 2017</w:t>
      </w:r>
      <w:r>
        <w:t>,</w:t>
      </w:r>
      <w:r w:rsidRPr="007E7001">
        <w:t xml:space="preserve"> </w:t>
      </w:r>
      <w:r w:rsidR="00557D08">
        <w:t xml:space="preserve">South Australia </w:t>
      </w:r>
      <w:r w:rsidR="00557D08" w:rsidRPr="00416D5F">
        <w:t xml:space="preserve">had the highest </w:t>
      </w:r>
      <w:r w:rsidR="00557D08">
        <w:t>prevalence of residents prescribed at least one antimicrobial: 13.8% (</w:t>
      </w:r>
      <w:r w:rsidR="00557D08" w:rsidRPr="00492FB8">
        <w:rPr>
          <w:i/>
        </w:rPr>
        <w:t>n</w:t>
      </w:r>
      <w:r w:rsidR="00557D08">
        <w:t>=81) and 17.3% (</w:t>
      </w:r>
      <w:r w:rsidR="00557D08" w:rsidRPr="00492FB8">
        <w:rPr>
          <w:i/>
        </w:rPr>
        <w:t>n</w:t>
      </w:r>
      <w:r w:rsidR="00557D08">
        <w:t xml:space="preserve">=136) respectively. </w:t>
      </w:r>
      <w:r w:rsidR="00A50D58">
        <w:t>A</w:t>
      </w:r>
      <w:r>
        <w:t xml:space="preserve">ged care homes in areas classified as remote </w:t>
      </w:r>
      <w:r w:rsidR="00557D08">
        <w:t>had the highest prevalence</w:t>
      </w:r>
      <w:r w:rsidRPr="007E7001">
        <w:t xml:space="preserve"> of residents prescribed at least one antimicrobial</w:t>
      </w:r>
      <w:r w:rsidR="00557D08">
        <w:t>: 19.0% (</w:t>
      </w:r>
      <w:r w:rsidR="00557D08" w:rsidRPr="00492FB8">
        <w:rPr>
          <w:i/>
        </w:rPr>
        <w:t>n</w:t>
      </w:r>
      <w:r w:rsidR="00557D08">
        <w:t>=26) and 24.8% (</w:t>
      </w:r>
      <w:r w:rsidR="00557D08" w:rsidRPr="00492FB8">
        <w:rPr>
          <w:i/>
        </w:rPr>
        <w:t>n</w:t>
      </w:r>
      <w:r w:rsidR="00557D08">
        <w:t xml:space="preserve">=28) </w:t>
      </w:r>
      <w:r w:rsidR="00A50D58">
        <w:t xml:space="preserve">in 2016 and 2017 </w:t>
      </w:r>
      <w:r w:rsidR="00557D08">
        <w:t xml:space="preserve">respectively (Table </w:t>
      </w:r>
      <w:r w:rsidR="00B11658">
        <w:t>5</w:t>
      </w:r>
      <w:r w:rsidR="00557D08">
        <w:t>).</w:t>
      </w:r>
    </w:p>
    <w:p w:rsidR="00557D08" w:rsidRPr="00577F54" w:rsidRDefault="00557D08" w:rsidP="00557D08">
      <w:pPr>
        <w:pStyle w:val="FigureTitle"/>
      </w:pPr>
      <w:bookmarkStart w:id="46" w:name="_Toc477183306"/>
      <w:bookmarkStart w:id="47" w:name="_Toc471808073"/>
      <w:r w:rsidRPr="00CF1B28">
        <w:t xml:space="preserve">Table </w:t>
      </w:r>
      <w:r w:rsidR="003A3B91">
        <w:t>5</w:t>
      </w:r>
      <w:r>
        <w:t xml:space="preserve">: </w:t>
      </w:r>
      <w:r w:rsidRPr="00577F54">
        <w:t>Prevalence of antimicrobial use on the survey day</w:t>
      </w:r>
      <w:r>
        <w:t>,</w:t>
      </w:r>
      <w:r w:rsidRPr="00577F54">
        <w:t xml:space="preserve"> by state, remoteness and provider type </w:t>
      </w:r>
      <w:bookmarkEnd w:id="46"/>
      <w:r w:rsidRPr="00577F54">
        <w:t xml:space="preserve">(2016 and 2017)  </w:t>
      </w:r>
    </w:p>
    <w:tbl>
      <w:tblPr>
        <w:tblStyle w:val="TableGridLight1"/>
        <w:tblW w:w="9747" w:type="dxa"/>
        <w:tblLayout w:type="fixed"/>
        <w:tblLook w:val="04A0" w:firstRow="1" w:lastRow="0" w:firstColumn="1" w:lastColumn="0" w:noHBand="0" w:noVBand="1"/>
      </w:tblPr>
      <w:tblGrid>
        <w:gridCol w:w="1641"/>
        <w:gridCol w:w="1869"/>
        <w:gridCol w:w="1276"/>
        <w:gridCol w:w="1842"/>
        <w:gridCol w:w="1277"/>
        <w:gridCol w:w="1842"/>
      </w:tblGrid>
      <w:tr w:rsidR="00557D08" w:rsidRPr="00C21B19" w:rsidTr="008A7915">
        <w:trPr>
          <w:trHeight w:val="283"/>
        </w:trPr>
        <w:tc>
          <w:tcPr>
            <w:tcW w:w="3510" w:type="dxa"/>
            <w:gridSpan w:val="2"/>
            <w:vMerge w:val="restart"/>
            <w:noWrap/>
          </w:tcPr>
          <w:bookmarkEnd w:id="47"/>
          <w:p w:rsidR="00557D08" w:rsidRPr="007E7001" w:rsidRDefault="00557D08" w:rsidP="00ED1E21">
            <w:pPr>
              <w:pStyle w:val="Normal-beforebullets"/>
              <w:rPr>
                <w:b/>
                <w:lang w:eastAsia="en-AU"/>
              </w:rPr>
            </w:pPr>
            <w:r w:rsidRPr="007E7001">
              <w:rPr>
                <w:b/>
                <w:lang w:eastAsia="en-AU"/>
              </w:rPr>
              <w:t xml:space="preserve">Category </w:t>
            </w:r>
          </w:p>
        </w:tc>
        <w:tc>
          <w:tcPr>
            <w:tcW w:w="6237" w:type="dxa"/>
            <w:gridSpan w:val="4"/>
            <w:vAlign w:val="center"/>
          </w:tcPr>
          <w:p w:rsidR="00557D08" w:rsidRPr="007E7001" w:rsidRDefault="00557D08" w:rsidP="00ED1E21">
            <w:pPr>
              <w:pStyle w:val="Normal-beforebullets"/>
              <w:jc w:val="center"/>
              <w:rPr>
                <w:b/>
                <w:lang w:eastAsia="en-AU"/>
              </w:rPr>
            </w:pPr>
            <w:r w:rsidRPr="007E7001">
              <w:rPr>
                <w:b/>
                <w:lang w:eastAsia="en-AU"/>
              </w:rPr>
              <w:t>Residents prescribed at least one antimicrobial</w:t>
            </w:r>
          </w:p>
        </w:tc>
      </w:tr>
      <w:tr w:rsidR="00557D08" w:rsidRPr="00C21B19" w:rsidTr="008A7915">
        <w:trPr>
          <w:trHeight w:val="283"/>
        </w:trPr>
        <w:tc>
          <w:tcPr>
            <w:tcW w:w="3510" w:type="dxa"/>
            <w:gridSpan w:val="2"/>
            <w:vMerge/>
            <w:noWrap/>
            <w:hideMark/>
          </w:tcPr>
          <w:p w:rsidR="00557D08" w:rsidRPr="007E7001" w:rsidRDefault="00557D08" w:rsidP="00ED1E21">
            <w:pPr>
              <w:pStyle w:val="Normal-beforebullets"/>
              <w:rPr>
                <w:b/>
                <w:lang w:eastAsia="en-AU"/>
              </w:rPr>
            </w:pPr>
          </w:p>
        </w:tc>
        <w:tc>
          <w:tcPr>
            <w:tcW w:w="3118" w:type="dxa"/>
            <w:gridSpan w:val="2"/>
            <w:vAlign w:val="center"/>
          </w:tcPr>
          <w:p w:rsidR="00557D08" w:rsidRPr="007E7001" w:rsidRDefault="00557D08" w:rsidP="00ED1E21">
            <w:pPr>
              <w:pStyle w:val="Normal-beforebullets"/>
              <w:jc w:val="center"/>
              <w:rPr>
                <w:b/>
                <w:lang w:eastAsia="en-AU"/>
              </w:rPr>
            </w:pPr>
            <w:r w:rsidRPr="007E7001">
              <w:rPr>
                <w:b/>
                <w:lang w:eastAsia="en-AU"/>
              </w:rPr>
              <w:t>2016</w:t>
            </w:r>
          </w:p>
        </w:tc>
        <w:tc>
          <w:tcPr>
            <w:tcW w:w="3119" w:type="dxa"/>
            <w:gridSpan w:val="2"/>
            <w:vAlign w:val="center"/>
          </w:tcPr>
          <w:p w:rsidR="00557D08" w:rsidRPr="007E7001" w:rsidRDefault="00557D08" w:rsidP="00ED1E21">
            <w:pPr>
              <w:pStyle w:val="Normal-beforebullets"/>
              <w:jc w:val="center"/>
              <w:rPr>
                <w:b/>
                <w:highlight w:val="yellow"/>
                <w:lang w:eastAsia="en-AU"/>
              </w:rPr>
            </w:pPr>
            <w:r w:rsidRPr="007E7001">
              <w:rPr>
                <w:b/>
                <w:lang w:eastAsia="en-AU"/>
              </w:rPr>
              <w:t>2017</w:t>
            </w:r>
          </w:p>
        </w:tc>
      </w:tr>
      <w:tr w:rsidR="00557D08" w:rsidRPr="00C21B19" w:rsidTr="008A7915">
        <w:trPr>
          <w:trHeight w:val="283"/>
        </w:trPr>
        <w:tc>
          <w:tcPr>
            <w:tcW w:w="3510" w:type="dxa"/>
            <w:gridSpan w:val="2"/>
            <w:vMerge/>
          </w:tcPr>
          <w:p w:rsidR="00557D08" w:rsidRPr="007E7001" w:rsidRDefault="00557D08" w:rsidP="00ED1E21">
            <w:pPr>
              <w:pStyle w:val="Normal-beforebullets"/>
              <w:rPr>
                <w:b/>
                <w:lang w:eastAsia="en-AU"/>
              </w:rPr>
            </w:pPr>
          </w:p>
        </w:tc>
        <w:tc>
          <w:tcPr>
            <w:tcW w:w="1276" w:type="dxa"/>
            <w:vAlign w:val="center"/>
          </w:tcPr>
          <w:p w:rsidR="00557D08" w:rsidRPr="007E7001" w:rsidRDefault="00557D08" w:rsidP="00ED1E21">
            <w:pPr>
              <w:pStyle w:val="Normal-beforebullets"/>
              <w:jc w:val="right"/>
              <w:rPr>
                <w:b/>
              </w:rPr>
            </w:pPr>
            <w:r w:rsidRPr="007E7001">
              <w:rPr>
                <w:b/>
              </w:rPr>
              <w:t>No.</w:t>
            </w:r>
          </w:p>
        </w:tc>
        <w:tc>
          <w:tcPr>
            <w:tcW w:w="1842" w:type="dxa"/>
            <w:vAlign w:val="center"/>
          </w:tcPr>
          <w:p w:rsidR="00557D08" w:rsidRPr="007E7001" w:rsidRDefault="00557D08" w:rsidP="00ED1E21">
            <w:pPr>
              <w:pStyle w:val="Normal-beforebullets"/>
              <w:jc w:val="right"/>
              <w:rPr>
                <w:b/>
              </w:rPr>
            </w:pPr>
            <w:r w:rsidRPr="007E7001">
              <w:rPr>
                <w:b/>
              </w:rPr>
              <w:t>Prevalence (%)</w:t>
            </w:r>
          </w:p>
        </w:tc>
        <w:tc>
          <w:tcPr>
            <w:tcW w:w="1277" w:type="dxa"/>
            <w:vAlign w:val="center"/>
          </w:tcPr>
          <w:p w:rsidR="00557D08" w:rsidRPr="007E7001" w:rsidRDefault="00557D08" w:rsidP="00ED1E21">
            <w:pPr>
              <w:pStyle w:val="Normal-beforebullets"/>
              <w:jc w:val="right"/>
              <w:rPr>
                <w:b/>
              </w:rPr>
            </w:pPr>
            <w:r w:rsidRPr="007E7001">
              <w:rPr>
                <w:b/>
              </w:rPr>
              <w:t>No.</w:t>
            </w:r>
          </w:p>
        </w:tc>
        <w:tc>
          <w:tcPr>
            <w:tcW w:w="1842" w:type="dxa"/>
            <w:vAlign w:val="center"/>
          </w:tcPr>
          <w:p w:rsidR="00557D08" w:rsidRPr="007E7001" w:rsidRDefault="00557D08" w:rsidP="00ED1E21">
            <w:pPr>
              <w:pStyle w:val="Normal-beforebullets"/>
              <w:jc w:val="right"/>
              <w:rPr>
                <w:b/>
              </w:rPr>
            </w:pPr>
            <w:r w:rsidRPr="007E7001">
              <w:rPr>
                <w:b/>
              </w:rPr>
              <w:t>Prevalence (%)</w:t>
            </w:r>
          </w:p>
        </w:tc>
      </w:tr>
      <w:tr w:rsidR="00557D08" w:rsidRPr="00C21B19" w:rsidTr="008A7915">
        <w:trPr>
          <w:trHeight w:val="283"/>
        </w:trPr>
        <w:tc>
          <w:tcPr>
            <w:tcW w:w="1641" w:type="dxa"/>
            <w:vMerge w:val="restart"/>
            <w:hideMark/>
          </w:tcPr>
          <w:p w:rsidR="00557D08" w:rsidRPr="007E7001" w:rsidRDefault="00557D08" w:rsidP="00ED1E21">
            <w:pPr>
              <w:pStyle w:val="Normal-beforebullets"/>
              <w:rPr>
                <w:b/>
                <w:color w:val="000000"/>
                <w:lang w:eastAsia="en-AU"/>
              </w:rPr>
            </w:pPr>
            <w:r w:rsidRPr="007E7001">
              <w:rPr>
                <w:b/>
                <w:color w:val="000000"/>
                <w:lang w:eastAsia="en-AU"/>
              </w:rPr>
              <w:t>State</w:t>
            </w:r>
          </w:p>
        </w:tc>
        <w:tc>
          <w:tcPr>
            <w:tcW w:w="1869" w:type="dxa"/>
            <w:vAlign w:val="center"/>
            <w:hideMark/>
          </w:tcPr>
          <w:p w:rsidR="00557D08" w:rsidRPr="007E7001" w:rsidRDefault="00557D08" w:rsidP="00ED1E21">
            <w:pPr>
              <w:pStyle w:val="Normal-beforebullets"/>
              <w:rPr>
                <w:b/>
                <w:color w:val="000000"/>
                <w:lang w:eastAsia="en-AU"/>
              </w:rPr>
            </w:pPr>
            <w:r w:rsidRPr="007E7001">
              <w:rPr>
                <w:b/>
                <w:color w:val="000000"/>
                <w:lang w:eastAsia="en-AU"/>
              </w:rPr>
              <w:t>NSW</w:t>
            </w:r>
          </w:p>
        </w:tc>
        <w:tc>
          <w:tcPr>
            <w:tcW w:w="1276" w:type="dxa"/>
            <w:vAlign w:val="center"/>
          </w:tcPr>
          <w:p w:rsidR="00557D08" w:rsidRPr="00C21B19" w:rsidRDefault="00557D08" w:rsidP="00ED1E21">
            <w:pPr>
              <w:pStyle w:val="Normal-beforebullets"/>
              <w:jc w:val="right"/>
              <w:rPr>
                <w:color w:val="000000"/>
              </w:rPr>
            </w:pPr>
            <w:r w:rsidRPr="00C21B19">
              <w:rPr>
                <w:color w:val="000000"/>
              </w:rPr>
              <w:t>196</w:t>
            </w:r>
          </w:p>
        </w:tc>
        <w:tc>
          <w:tcPr>
            <w:tcW w:w="1842" w:type="dxa"/>
            <w:vAlign w:val="center"/>
          </w:tcPr>
          <w:p w:rsidR="00557D08" w:rsidRPr="00C21B19" w:rsidRDefault="00557D08" w:rsidP="00ED1E21">
            <w:pPr>
              <w:pStyle w:val="Normal-beforebullets"/>
              <w:jc w:val="right"/>
              <w:rPr>
                <w:color w:val="000000"/>
              </w:rPr>
            </w:pPr>
            <w:r w:rsidRPr="00C21B19">
              <w:rPr>
                <w:color w:val="000000"/>
              </w:rPr>
              <w:t>13.2</w:t>
            </w:r>
          </w:p>
        </w:tc>
        <w:tc>
          <w:tcPr>
            <w:tcW w:w="1277" w:type="dxa"/>
            <w:vAlign w:val="center"/>
          </w:tcPr>
          <w:p w:rsidR="00557D08" w:rsidRPr="00C21B19" w:rsidRDefault="00557D08" w:rsidP="00ED1E21">
            <w:pPr>
              <w:pStyle w:val="Normal-beforebullets"/>
              <w:jc w:val="right"/>
              <w:rPr>
                <w:color w:val="000000"/>
              </w:rPr>
            </w:pPr>
            <w:r w:rsidRPr="00C21B19">
              <w:rPr>
                <w:color w:val="000000"/>
              </w:rPr>
              <w:t>121</w:t>
            </w:r>
          </w:p>
        </w:tc>
        <w:tc>
          <w:tcPr>
            <w:tcW w:w="1842" w:type="dxa"/>
            <w:vAlign w:val="center"/>
          </w:tcPr>
          <w:p w:rsidR="00557D08" w:rsidRPr="00C21B19" w:rsidRDefault="00557D08" w:rsidP="00ED1E21">
            <w:pPr>
              <w:pStyle w:val="Normal-beforebullets"/>
              <w:jc w:val="right"/>
              <w:rPr>
                <w:color w:val="000000"/>
              </w:rPr>
            </w:pPr>
            <w:r>
              <w:rPr>
                <w:color w:val="000000"/>
              </w:rPr>
              <w:t>8.8</w:t>
            </w:r>
          </w:p>
        </w:tc>
      </w:tr>
      <w:tr w:rsidR="007E7001" w:rsidRPr="00C21B19" w:rsidTr="008A7915">
        <w:trPr>
          <w:trHeight w:val="283"/>
        </w:trPr>
        <w:tc>
          <w:tcPr>
            <w:tcW w:w="1641" w:type="dxa"/>
            <w:vMerge/>
          </w:tcPr>
          <w:p w:rsidR="007E7001" w:rsidRPr="007E7001" w:rsidRDefault="007E7001" w:rsidP="00ED1E21">
            <w:pPr>
              <w:pStyle w:val="Normal-beforebullets"/>
              <w:rPr>
                <w:b/>
                <w:color w:val="000000"/>
              </w:rPr>
            </w:pPr>
          </w:p>
        </w:tc>
        <w:tc>
          <w:tcPr>
            <w:tcW w:w="1869" w:type="dxa"/>
            <w:vAlign w:val="center"/>
          </w:tcPr>
          <w:p w:rsidR="007E7001" w:rsidRPr="007E7001" w:rsidRDefault="007E7001" w:rsidP="007F1D4B">
            <w:pPr>
              <w:pStyle w:val="Normal-beforebullets"/>
              <w:rPr>
                <w:b/>
                <w:color w:val="000000"/>
                <w:lang w:eastAsia="en-AU"/>
              </w:rPr>
            </w:pPr>
            <w:r w:rsidRPr="007E7001">
              <w:rPr>
                <w:b/>
                <w:color w:val="000000"/>
                <w:lang w:eastAsia="en-AU"/>
              </w:rPr>
              <w:t>Vic</w:t>
            </w:r>
          </w:p>
        </w:tc>
        <w:tc>
          <w:tcPr>
            <w:tcW w:w="1276" w:type="dxa"/>
            <w:vAlign w:val="center"/>
          </w:tcPr>
          <w:p w:rsidR="007E7001" w:rsidRPr="00C21B19" w:rsidRDefault="007E7001" w:rsidP="007F1D4B">
            <w:pPr>
              <w:pStyle w:val="Normal-beforebullets"/>
              <w:jc w:val="right"/>
              <w:rPr>
                <w:color w:val="000000"/>
              </w:rPr>
            </w:pPr>
            <w:r w:rsidRPr="00C21B19">
              <w:rPr>
                <w:color w:val="000000"/>
              </w:rPr>
              <w:t>616</w:t>
            </w:r>
          </w:p>
        </w:tc>
        <w:tc>
          <w:tcPr>
            <w:tcW w:w="1842" w:type="dxa"/>
            <w:vAlign w:val="center"/>
          </w:tcPr>
          <w:p w:rsidR="007E7001" w:rsidRPr="00C21B19" w:rsidRDefault="007E7001" w:rsidP="007F1D4B">
            <w:pPr>
              <w:pStyle w:val="Normal-beforebullets"/>
              <w:jc w:val="right"/>
              <w:rPr>
                <w:color w:val="000000"/>
              </w:rPr>
            </w:pPr>
            <w:r w:rsidRPr="00C21B19">
              <w:rPr>
                <w:color w:val="000000"/>
              </w:rPr>
              <w:t>8.2</w:t>
            </w:r>
          </w:p>
        </w:tc>
        <w:tc>
          <w:tcPr>
            <w:tcW w:w="1277" w:type="dxa"/>
            <w:vAlign w:val="center"/>
          </w:tcPr>
          <w:p w:rsidR="007E7001" w:rsidRPr="00C21B19" w:rsidRDefault="007E7001" w:rsidP="007F1D4B">
            <w:pPr>
              <w:pStyle w:val="Normal-beforebullets"/>
              <w:jc w:val="right"/>
              <w:rPr>
                <w:color w:val="000000"/>
              </w:rPr>
            </w:pPr>
            <w:r w:rsidRPr="00C21B19">
              <w:rPr>
                <w:color w:val="000000"/>
              </w:rPr>
              <w:t>560</w:t>
            </w:r>
          </w:p>
        </w:tc>
        <w:tc>
          <w:tcPr>
            <w:tcW w:w="1842" w:type="dxa"/>
            <w:vAlign w:val="center"/>
          </w:tcPr>
          <w:p w:rsidR="007E7001" w:rsidRPr="00C21B19" w:rsidRDefault="007E7001" w:rsidP="007F1D4B">
            <w:pPr>
              <w:pStyle w:val="Normal-beforebullets"/>
              <w:jc w:val="right"/>
              <w:rPr>
                <w:color w:val="000000"/>
              </w:rPr>
            </w:pPr>
            <w:r>
              <w:rPr>
                <w:color w:val="000000"/>
              </w:rPr>
              <w:t>8.3</w:t>
            </w:r>
          </w:p>
        </w:tc>
      </w:tr>
      <w:tr w:rsidR="007E7001" w:rsidRPr="00C21B19" w:rsidTr="008A7915">
        <w:trPr>
          <w:trHeight w:val="283"/>
        </w:trPr>
        <w:tc>
          <w:tcPr>
            <w:tcW w:w="1641" w:type="dxa"/>
            <w:vMerge/>
            <w:hideMark/>
          </w:tcPr>
          <w:p w:rsidR="007E7001" w:rsidRPr="007E7001" w:rsidRDefault="007E7001" w:rsidP="00ED1E21">
            <w:pPr>
              <w:pStyle w:val="Normal-beforebullets"/>
              <w:rPr>
                <w:b/>
                <w:color w:val="000000"/>
                <w:lang w:eastAsia="en-AU"/>
              </w:rPr>
            </w:pPr>
          </w:p>
        </w:tc>
        <w:tc>
          <w:tcPr>
            <w:tcW w:w="1869" w:type="dxa"/>
            <w:vAlign w:val="center"/>
            <w:hideMark/>
          </w:tcPr>
          <w:p w:rsidR="007E7001" w:rsidRPr="007E7001" w:rsidRDefault="007E7001" w:rsidP="00ED1E21">
            <w:pPr>
              <w:pStyle w:val="Normal-beforebullets"/>
              <w:rPr>
                <w:b/>
                <w:color w:val="000000"/>
                <w:lang w:eastAsia="en-AU"/>
              </w:rPr>
            </w:pPr>
            <w:r w:rsidRPr="007E7001">
              <w:rPr>
                <w:b/>
                <w:color w:val="000000"/>
                <w:lang w:eastAsia="en-AU"/>
              </w:rPr>
              <w:t>QLD</w:t>
            </w:r>
          </w:p>
        </w:tc>
        <w:tc>
          <w:tcPr>
            <w:tcW w:w="1276" w:type="dxa"/>
            <w:vAlign w:val="center"/>
          </w:tcPr>
          <w:p w:rsidR="007E7001" w:rsidRPr="00C21B19" w:rsidRDefault="007E7001" w:rsidP="00ED1E21">
            <w:pPr>
              <w:pStyle w:val="Normal-beforebullets"/>
              <w:jc w:val="right"/>
              <w:rPr>
                <w:color w:val="000000"/>
              </w:rPr>
            </w:pPr>
            <w:r w:rsidRPr="00C21B19">
              <w:rPr>
                <w:color w:val="000000"/>
              </w:rPr>
              <w:t>235</w:t>
            </w:r>
          </w:p>
        </w:tc>
        <w:tc>
          <w:tcPr>
            <w:tcW w:w="1842" w:type="dxa"/>
            <w:vAlign w:val="center"/>
          </w:tcPr>
          <w:p w:rsidR="007E7001" w:rsidRPr="00C21B19" w:rsidRDefault="007E7001" w:rsidP="00ED1E21">
            <w:pPr>
              <w:pStyle w:val="Normal-beforebullets"/>
              <w:jc w:val="right"/>
              <w:rPr>
                <w:color w:val="000000"/>
              </w:rPr>
            </w:pPr>
            <w:r w:rsidRPr="00C21B19">
              <w:rPr>
                <w:color w:val="000000"/>
              </w:rPr>
              <w:t>11.9</w:t>
            </w:r>
          </w:p>
        </w:tc>
        <w:tc>
          <w:tcPr>
            <w:tcW w:w="1277" w:type="dxa"/>
            <w:vAlign w:val="center"/>
          </w:tcPr>
          <w:p w:rsidR="007E7001" w:rsidRPr="00C21B19" w:rsidRDefault="007E7001" w:rsidP="00ED1E21">
            <w:pPr>
              <w:pStyle w:val="Normal-beforebullets"/>
              <w:jc w:val="right"/>
              <w:rPr>
                <w:color w:val="000000"/>
              </w:rPr>
            </w:pPr>
            <w:r w:rsidRPr="00C21B19">
              <w:rPr>
                <w:color w:val="000000"/>
              </w:rPr>
              <w:t>130</w:t>
            </w:r>
          </w:p>
        </w:tc>
        <w:tc>
          <w:tcPr>
            <w:tcW w:w="1842" w:type="dxa"/>
            <w:vAlign w:val="center"/>
          </w:tcPr>
          <w:p w:rsidR="007E7001" w:rsidRPr="00C21B19" w:rsidRDefault="007E7001" w:rsidP="00ED1E21">
            <w:pPr>
              <w:pStyle w:val="Normal-beforebullets"/>
              <w:jc w:val="right"/>
              <w:rPr>
                <w:color w:val="000000"/>
              </w:rPr>
            </w:pPr>
            <w:r>
              <w:rPr>
                <w:color w:val="000000"/>
              </w:rPr>
              <w:t>9.5</w:t>
            </w:r>
          </w:p>
        </w:tc>
      </w:tr>
      <w:tr w:rsidR="007E7001" w:rsidRPr="00C21B19" w:rsidTr="008A7915">
        <w:trPr>
          <w:trHeight w:val="283"/>
        </w:trPr>
        <w:tc>
          <w:tcPr>
            <w:tcW w:w="1641" w:type="dxa"/>
            <w:vMerge/>
            <w:hideMark/>
          </w:tcPr>
          <w:p w:rsidR="007E7001" w:rsidRPr="007E7001" w:rsidRDefault="007E7001" w:rsidP="00ED1E21">
            <w:pPr>
              <w:pStyle w:val="Normal-beforebullets"/>
              <w:rPr>
                <w:b/>
                <w:color w:val="000000"/>
                <w:lang w:eastAsia="en-AU"/>
              </w:rPr>
            </w:pPr>
          </w:p>
        </w:tc>
        <w:tc>
          <w:tcPr>
            <w:tcW w:w="1869" w:type="dxa"/>
            <w:vAlign w:val="center"/>
            <w:hideMark/>
          </w:tcPr>
          <w:p w:rsidR="007E7001" w:rsidRPr="007E7001" w:rsidRDefault="007E7001" w:rsidP="00ED1E21">
            <w:pPr>
              <w:pStyle w:val="Normal-beforebullets"/>
              <w:rPr>
                <w:b/>
                <w:color w:val="000000"/>
                <w:lang w:eastAsia="en-AU"/>
              </w:rPr>
            </w:pPr>
            <w:r w:rsidRPr="007E7001">
              <w:rPr>
                <w:b/>
                <w:color w:val="000000"/>
                <w:lang w:eastAsia="en-AU"/>
              </w:rPr>
              <w:t>SA</w:t>
            </w:r>
          </w:p>
        </w:tc>
        <w:tc>
          <w:tcPr>
            <w:tcW w:w="1276" w:type="dxa"/>
            <w:vAlign w:val="center"/>
          </w:tcPr>
          <w:p w:rsidR="007E7001" w:rsidRPr="00C21B19" w:rsidRDefault="007E7001" w:rsidP="00ED1E21">
            <w:pPr>
              <w:pStyle w:val="Normal-beforebullets"/>
              <w:jc w:val="right"/>
              <w:rPr>
                <w:color w:val="000000"/>
              </w:rPr>
            </w:pPr>
            <w:r w:rsidRPr="00C21B19">
              <w:rPr>
                <w:color w:val="000000"/>
              </w:rPr>
              <w:t>81</w:t>
            </w:r>
          </w:p>
        </w:tc>
        <w:tc>
          <w:tcPr>
            <w:tcW w:w="1842" w:type="dxa"/>
            <w:vAlign w:val="center"/>
          </w:tcPr>
          <w:p w:rsidR="007E7001" w:rsidRPr="00C21B19" w:rsidRDefault="007E7001" w:rsidP="00ED1E21">
            <w:pPr>
              <w:pStyle w:val="Normal-beforebullets"/>
              <w:jc w:val="right"/>
              <w:rPr>
                <w:color w:val="000000"/>
              </w:rPr>
            </w:pPr>
            <w:r w:rsidRPr="00C21B19">
              <w:rPr>
                <w:color w:val="000000"/>
              </w:rPr>
              <w:t>13.8</w:t>
            </w:r>
          </w:p>
        </w:tc>
        <w:tc>
          <w:tcPr>
            <w:tcW w:w="1277" w:type="dxa"/>
            <w:vAlign w:val="center"/>
          </w:tcPr>
          <w:p w:rsidR="007E7001" w:rsidRPr="00C21B19" w:rsidRDefault="007E7001" w:rsidP="00ED1E21">
            <w:pPr>
              <w:pStyle w:val="Normal-beforebullets"/>
              <w:jc w:val="right"/>
              <w:rPr>
                <w:color w:val="000000"/>
              </w:rPr>
            </w:pPr>
            <w:r w:rsidRPr="00C21B19">
              <w:rPr>
                <w:color w:val="000000"/>
              </w:rPr>
              <w:t>136</w:t>
            </w:r>
          </w:p>
        </w:tc>
        <w:tc>
          <w:tcPr>
            <w:tcW w:w="1842" w:type="dxa"/>
            <w:vAlign w:val="center"/>
          </w:tcPr>
          <w:p w:rsidR="007E7001" w:rsidRPr="00C21B19" w:rsidRDefault="007E7001" w:rsidP="00ED1E21">
            <w:pPr>
              <w:pStyle w:val="Normal-beforebullets"/>
              <w:jc w:val="right"/>
              <w:rPr>
                <w:color w:val="000000"/>
              </w:rPr>
            </w:pPr>
            <w:r>
              <w:rPr>
                <w:color w:val="000000"/>
              </w:rPr>
              <w:t>17.3</w:t>
            </w:r>
          </w:p>
        </w:tc>
      </w:tr>
      <w:tr w:rsidR="007E7001" w:rsidRPr="00C21B19" w:rsidTr="008A7915">
        <w:trPr>
          <w:trHeight w:val="283"/>
        </w:trPr>
        <w:tc>
          <w:tcPr>
            <w:tcW w:w="1641" w:type="dxa"/>
            <w:vMerge/>
            <w:hideMark/>
          </w:tcPr>
          <w:p w:rsidR="007E7001" w:rsidRPr="007E7001" w:rsidRDefault="007E7001" w:rsidP="00ED1E21">
            <w:pPr>
              <w:pStyle w:val="Normal-beforebullets"/>
              <w:rPr>
                <w:b/>
                <w:color w:val="000000"/>
                <w:lang w:eastAsia="en-AU"/>
              </w:rPr>
            </w:pPr>
          </w:p>
        </w:tc>
        <w:tc>
          <w:tcPr>
            <w:tcW w:w="1869" w:type="dxa"/>
            <w:vAlign w:val="center"/>
          </w:tcPr>
          <w:p w:rsidR="007E7001" w:rsidRPr="007E7001" w:rsidRDefault="007E7001" w:rsidP="007F1D4B">
            <w:pPr>
              <w:pStyle w:val="Normal-beforebullets"/>
              <w:rPr>
                <w:b/>
                <w:color w:val="000000"/>
                <w:lang w:eastAsia="en-AU"/>
              </w:rPr>
            </w:pPr>
            <w:r w:rsidRPr="007E7001">
              <w:rPr>
                <w:b/>
                <w:color w:val="000000"/>
                <w:lang w:eastAsia="en-AU"/>
              </w:rPr>
              <w:t>WA</w:t>
            </w:r>
          </w:p>
        </w:tc>
        <w:tc>
          <w:tcPr>
            <w:tcW w:w="1276" w:type="dxa"/>
            <w:vAlign w:val="center"/>
          </w:tcPr>
          <w:p w:rsidR="007E7001" w:rsidRPr="00C21B19" w:rsidRDefault="007E7001" w:rsidP="007F1D4B">
            <w:pPr>
              <w:pStyle w:val="Normal-beforebullets"/>
              <w:jc w:val="right"/>
              <w:rPr>
                <w:color w:val="000000"/>
              </w:rPr>
            </w:pPr>
            <w:r w:rsidRPr="00C21B19">
              <w:rPr>
                <w:color w:val="000000"/>
              </w:rPr>
              <w:t>146</w:t>
            </w:r>
          </w:p>
        </w:tc>
        <w:tc>
          <w:tcPr>
            <w:tcW w:w="1842" w:type="dxa"/>
            <w:vAlign w:val="center"/>
          </w:tcPr>
          <w:p w:rsidR="007E7001" w:rsidRPr="00C21B19" w:rsidRDefault="007E7001" w:rsidP="007F1D4B">
            <w:pPr>
              <w:pStyle w:val="Normal-beforebullets"/>
              <w:jc w:val="right"/>
              <w:rPr>
                <w:color w:val="000000"/>
              </w:rPr>
            </w:pPr>
            <w:r w:rsidRPr="00C21B19">
              <w:rPr>
                <w:color w:val="000000"/>
              </w:rPr>
              <w:t>12.1</w:t>
            </w:r>
          </w:p>
        </w:tc>
        <w:tc>
          <w:tcPr>
            <w:tcW w:w="1277" w:type="dxa"/>
            <w:vAlign w:val="center"/>
          </w:tcPr>
          <w:p w:rsidR="007E7001" w:rsidRPr="00C21B19" w:rsidRDefault="007E7001" w:rsidP="007F1D4B">
            <w:pPr>
              <w:pStyle w:val="Normal-beforebullets"/>
              <w:jc w:val="right"/>
              <w:rPr>
                <w:color w:val="000000"/>
              </w:rPr>
            </w:pPr>
            <w:r w:rsidRPr="00C21B19">
              <w:rPr>
                <w:color w:val="000000"/>
              </w:rPr>
              <w:t>125</w:t>
            </w:r>
          </w:p>
        </w:tc>
        <w:tc>
          <w:tcPr>
            <w:tcW w:w="1842" w:type="dxa"/>
            <w:vAlign w:val="center"/>
          </w:tcPr>
          <w:p w:rsidR="007E7001" w:rsidRPr="00C21B19" w:rsidRDefault="007E7001" w:rsidP="007F1D4B">
            <w:pPr>
              <w:pStyle w:val="Normal-beforebullets"/>
              <w:jc w:val="right"/>
              <w:rPr>
                <w:color w:val="000000"/>
              </w:rPr>
            </w:pPr>
            <w:r>
              <w:rPr>
                <w:color w:val="000000"/>
              </w:rPr>
              <w:t>7.7</w:t>
            </w:r>
          </w:p>
        </w:tc>
      </w:tr>
      <w:tr w:rsidR="007E7001" w:rsidRPr="00C21B19" w:rsidTr="008A7915">
        <w:trPr>
          <w:trHeight w:val="283"/>
        </w:trPr>
        <w:tc>
          <w:tcPr>
            <w:tcW w:w="1641" w:type="dxa"/>
            <w:vMerge/>
            <w:hideMark/>
          </w:tcPr>
          <w:p w:rsidR="007E7001" w:rsidRPr="007E7001" w:rsidRDefault="007E7001" w:rsidP="00ED1E21">
            <w:pPr>
              <w:pStyle w:val="Normal-beforebullets"/>
              <w:rPr>
                <w:b/>
                <w:color w:val="000000"/>
                <w:lang w:eastAsia="en-AU"/>
              </w:rPr>
            </w:pPr>
          </w:p>
        </w:tc>
        <w:tc>
          <w:tcPr>
            <w:tcW w:w="1869" w:type="dxa"/>
            <w:vAlign w:val="center"/>
          </w:tcPr>
          <w:p w:rsidR="007E7001" w:rsidRPr="007E7001" w:rsidRDefault="007E7001" w:rsidP="007F1D4B">
            <w:pPr>
              <w:pStyle w:val="Normal-beforebullets"/>
              <w:rPr>
                <w:b/>
                <w:color w:val="000000"/>
                <w:lang w:eastAsia="en-AU"/>
              </w:rPr>
            </w:pPr>
            <w:proofErr w:type="spellStart"/>
            <w:r w:rsidRPr="007E7001">
              <w:rPr>
                <w:b/>
                <w:color w:val="000000"/>
                <w:lang w:eastAsia="en-AU"/>
              </w:rPr>
              <w:t>Tas</w:t>
            </w:r>
            <w:proofErr w:type="spellEnd"/>
          </w:p>
        </w:tc>
        <w:tc>
          <w:tcPr>
            <w:tcW w:w="1276" w:type="dxa"/>
            <w:vAlign w:val="center"/>
          </w:tcPr>
          <w:p w:rsidR="007E7001" w:rsidRPr="00C21B19" w:rsidRDefault="007E7001" w:rsidP="007F1D4B">
            <w:pPr>
              <w:pStyle w:val="Normal-beforebullets"/>
              <w:jc w:val="right"/>
              <w:rPr>
                <w:color w:val="000000"/>
              </w:rPr>
            </w:pPr>
            <w:r w:rsidRPr="00C21B19">
              <w:rPr>
                <w:color w:val="000000"/>
              </w:rPr>
              <w:t>47</w:t>
            </w:r>
          </w:p>
        </w:tc>
        <w:tc>
          <w:tcPr>
            <w:tcW w:w="1842" w:type="dxa"/>
            <w:vAlign w:val="center"/>
          </w:tcPr>
          <w:p w:rsidR="007E7001" w:rsidRPr="00C21B19" w:rsidRDefault="007E7001" w:rsidP="007F1D4B">
            <w:pPr>
              <w:pStyle w:val="Normal-beforebullets"/>
              <w:jc w:val="right"/>
              <w:rPr>
                <w:color w:val="000000"/>
              </w:rPr>
            </w:pPr>
            <w:r w:rsidRPr="00C21B19">
              <w:rPr>
                <w:color w:val="000000"/>
              </w:rPr>
              <w:t>7.1</w:t>
            </w:r>
          </w:p>
        </w:tc>
        <w:tc>
          <w:tcPr>
            <w:tcW w:w="1277" w:type="dxa"/>
            <w:vAlign w:val="center"/>
          </w:tcPr>
          <w:p w:rsidR="007E7001" w:rsidRPr="00C21B19" w:rsidRDefault="007E7001" w:rsidP="007F1D4B">
            <w:pPr>
              <w:pStyle w:val="Normal-beforebullets"/>
              <w:jc w:val="right"/>
              <w:rPr>
                <w:color w:val="000000"/>
              </w:rPr>
            </w:pPr>
            <w:r w:rsidRPr="00C21B19">
              <w:rPr>
                <w:color w:val="000000"/>
              </w:rPr>
              <w:t>15</w:t>
            </w:r>
          </w:p>
        </w:tc>
        <w:tc>
          <w:tcPr>
            <w:tcW w:w="1842" w:type="dxa"/>
            <w:vAlign w:val="center"/>
          </w:tcPr>
          <w:p w:rsidR="007E7001" w:rsidRPr="00C21B19" w:rsidRDefault="007E7001" w:rsidP="007F1D4B">
            <w:pPr>
              <w:pStyle w:val="Normal-beforebullets"/>
              <w:jc w:val="right"/>
              <w:rPr>
                <w:color w:val="000000"/>
              </w:rPr>
            </w:pPr>
            <w:r>
              <w:rPr>
                <w:color w:val="000000"/>
              </w:rPr>
              <w:t>3.9</w:t>
            </w:r>
          </w:p>
        </w:tc>
      </w:tr>
      <w:tr w:rsidR="007E7001" w:rsidRPr="00C21B19" w:rsidTr="008A7915">
        <w:trPr>
          <w:trHeight w:val="283"/>
        </w:trPr>
        <w:tc>
          <w:tcPr>
            <w:tcW w:w="1641" w:type="dxa"/>
            <w:vMerge w:val="restart"/>
            <w:hideMark/>
          </w:tcPr>
          <w:p w:rsidR="007E7001" w:rsidRPr="007E7001" w:rsidRDefault="007E7001" w:rsidP="00ED1E21">
            <w:pPr>
              <w:pStyle w:val="Normal-beforebullets"/>
              <w:rPr>
                <w:b/>
                <w:color w:val="000000"/>
                <w:lang w:eastAsia="en-AU"/>
              </w:rPr>
            </w:pPr>
            <w:r w:rsidRPr="007E7001">
              <w:rPr>
                <w:b/>
                <w:color w:val="000000"/>
                <w:lang w:eastAsia="en-AU"/>
              </w:rPr>
              <w:t>Remoteness</w:t>
            </w:r>
          </w:p>
        </w:tc>
        <w:tc>
          <w:tcPr>
            <w:tcW w:w="1869" w:type="dxa"/>
            <w:vAlign w:val="center"/>
            <w:hideMark/>
          </w:tcPr>
          <w:p w:rsidR="007E7001" w:rsidRPr="007E7001" w:rsidRDefault="007E7001" w:rsidP="00ED1E21">
            <w:pPr>
              <w:pStyle w:val="Normal-beforebullets"/>
              <w:rPr>
                <w:b/>
                <w:color w:val="000000"/>
                <w:lang w:eastAsia="en-AU"/>
              </w:rPr>
            </w:pPr>
            <w:r w:rsidRPr="007E7001">
              <w:rPr>
                <w:b/>
                <w:color w:val="000000"/>
                <w:lang w:eastAsia="en-AU"/>
              </w:rPr>
              <w:t>Major Cities</w:t>
            </w:r>
          </w:p>
        </w:tc>
        <w:tc>
          <w:tcPr>
            <w:tcW w:w="1276" w:type="dxa"/>
            <w:vAlign w:val="center"/>
          </w:tcPr>
          <w:p w:rsidR="007E7001" w:rsidRPr="00C21B19" w:rsidRDefault="007E7001" w:rsidP="00ED1E21">
            <w:pPr>
              <w:pStyle w:val="Normal-beforebullets"/>
              <w:jc w:val="right"/>
              <w:rPr>
                <w:color w:val="000000"/>
              </w:rPr>
            </w:pPr>
            <w:r w:rsidRPr="00C21B19">
              <w:rPr>
                <w:color w:val="000000"/>
              </w:rPr>
              <w:t>661</w:t>
            </w:r>
          </w:p>
        </w:tc>
        <w:tc>
          <w:tcPr>
            <w:tcW w:w="1842" w:type="dxa"/>
            <w:vAlign w:val="center"/>
          </w:tcPr>
          <w:p w:rsidR="007E7001" w:rsidRPr="00C21B19" w:rsidRDefault="007E7001" w:rsidP="00ED1E21">
            <w:pPr>
              <w:pStyle w:val="Normal-beforebullets"/>
              <w:jc w:val="right"/>
              <w:rPr>
                <w:color w:val="000000"/>
              </w:rPr>
            </w:pPr>
            <w:r w:rsidRPr="00C21B19">
              <w:rPr>
                <w:color w:val="000000"/>
              </w:rPr>
              <w:t>11.1</w:t>
            </w:r>
          </w:p>
        </w:tc>
        <w:tc>
          <w:tcPr>
            <w:tcW w:w="1277" w:type="dxa"/>
            <w:vAlign w:val="center"/>
          </w:tcPr>
          <w:p w:rsidR="007E7001" w:rsidRPr="00C21B19" w:rsidRDefault="007E7001" w:rsidP="00ED1E21">
            <w:pPr>
              <w:pStyle w:val="Normal-beforebullets"/>
              <w:jc w:val="right"/>
              <w:rPr>
                <w:color w:val="000000"/>
              </w:rPr>
            </w:pPr>
            <w:r w:rsidRPr="00C21B19">
              <w:rPr>
                <w:color w:val="000000"/>
              </w:rPr>
              <w:t>474</w:t>
            </w:r>
          </w:p>
        </w:tc>
        <w:tc>
          <w:tcPr>
            <w:tcW w:w="1842" w:type="dxa"/>
            <w:vAlign w:val="center"/>
          </w:tcPr>
          <w:p w:rsidR="007E7001" w:rsidRPr="00C21B19" w:rsidRDefault="007E7001" w:rsidP="00ED1E21">
            <w:pPr>
              <w:pStyle w:val="Normal-beforebullets"/>
              <w:jc w:val="right"/>
              <w:rPr>
                <w:color w:val="000000"/>
              </w:rPr>
            </w:pPr>
            <w:r>
              <w:rPr>
                <w:color w:val="000000"/>
              </w:rPr>
              <w:t>8.1</w:t>
            </w:r>
          </w:p>
        </w:tc>
      </w:tr>
      <w:tr w:rsidR="007E7001" w:rsidRPr="00C21B19" w:rsidTr="008A7915">
        <w:trPr>
          <w:trHeight w:val="283"/>
        </w:trPr>
        <w:tc>
          <w:tcPr>
            <w:tcW w:w="1641" w:type="dxa"/>
            <w:vMerge/>
            <w:hideMark/>
          </w:tcPr>
          <w:p w:rsidR="007E7001" w:rsidRPr="007E7001" w:rsidRDefault="007E7001" w:rsidP="00ED1E21">
            <w:pPr>
              <w:pStyle w:val="Normal-beforebullets"/>
              <w:rPr>
                <w:b/>
                <w:color w:val="000000"/>
                <w:lang w:eastAsia="en-AU"/>
              </w:rPr>
            </w:pPr>
          </w:p>
        </w:tc>
        <w:tc>
          <w:tcPr>
            <w:tcW w:w="1869" w:type="dxa"/>
            <w:vAlign w:val="center"/>
            <w:hideMark/>
          </w:tcPr>
          <w:p w:rsidR="007E7001" w:rsidRPr="007E7001" w:rsidRDefault="007E7001" w:rsidP="00ED1E21">
            <w:pPr>
              <w:pStyle w:val="Normal-beforebullets"/>
              <w:rPr>
                <w:b/>
                <w:color w:val="000000"/>
                <w:lang w:eastAsia="en-AU"/>
              </w:rPr>
            </w:pPr>
            <w:r w:rsidRPr="007E7001">
              <w:rPr>
                <w:b/>
                <w:color w:val="000000"/>
                <w:lang w:eastAsia="en-AU"/>
              </w:rPr>
              <w:t>Inner regional</w:t>
            </w:r>
          </w:p>
        </w:tc>
        <w:tc>
          <w:tcPr>
            <w:tcW w:w="1276" w:type="dxa"/>
            <w:vAlign w:val="center"/>
          </w:tcPr>
          <w:p w:rsidR="007E7001" w:rsidRPr="00C21B19" w:rsidRDefault="007E7001" w:rsidP="00ED1E21">
            <w:pPr>
              <w:pStyle w:val="Normal-beforebullets"/>
              <w:jc w:val="right"/>
              <w:rPr>
                <w:color w:val="000000"/>
              </w:rPr>
            </w:pPr>
            <w:r w:rsidRPr="00C21B19">
              <w:rPr>
                <w:color w:val="000000"/>
              </w:rPr>
              <w:t>439</w:t>
            </w:r>
          </w:p>
        </w:tc>
        <w:tc>
          <w:tcPr>
            <w:tcW w:w="1842" w:type="dxa"/>
            <w:vAlign w:val="center"/>
          </w:tcPr>
          <w:p w:rsidR="007E7001" w:rsidRPr="00C21B19" w:rsidRDefault="007E7001" w:rsidP="00ED1E21">
            <w:pPr>
              <w:pStyle w:val="Normal-beforebullets"/>
              <w:jc w:val="right"/>
              <w:rPr>
                <w:color w:val="000000"/>
              </w:rPr>
            </w:pPr>
            <w:r w:rsidRPr="00C21B19">
              <w:rPr>
                <w:color w:val="000000"/>
              </w:rPr>
              <w:t>8.4</w:t>
            </w:r>
          </w:p>
        </w:tc>
        <w:tc>
          <w:tcPr>
            <w:tcW w:w="1277" w:type="dxa"/>
            <w:vAlign w:val="center"/>
          </w:tcPr>
          <w:p w:rsidR="007E7001" w:rsidRPr="00C21B19" w:rsidRDefault="007E7001" w:rsidP="00ED1E21">
            <w:pPr>
              <w:pStyle w:val="Normal-beforebullets"/>
              <w:jc w:val="right"/>
              <w:rPr>
                <w:color w:val="000000"/>
              </w:rPr>
            </w:pPr>
            <w:r w:rsidRPr="00C21B19">
              <w:rPr>
                <w:color w:val="000000"/>
              </w:rPr>
              <w:t>431</w:t>
            </w:r>
          </w:p>
        </w:tc>
        <w:tc>
          <w:tcPr>
            <w:tcW w:w="1842" w:type="dxa"/>
            <w:vAlign w:val="center"/>
          </w:tcPr>
          <w:p w:rsidR="007E7001" w:rsidRPr="00C21B19" w:rsidRDefault="007E7001" w:rsidP="00ED1E21">
            <w:pPr>
              <w:pStyle w:val="Normal-beforebullets"/>
              <w:jc w:val="right"/>
              <w:rPr>
                <w:color w:val="000000"/>
              </w:rPr>
            </w:pPr>
            <w:r>
              <w:rPr>
                <w:color w:val="000000"/>
              </w:rPr>
              <w:t>8.7</w:t>
            </w:r>
          </w:p>
        </w:tc>
      </w:tr>
      <w:tr w:rsidR="007E7001" w:rsidRPr="00C21B19" w:rsidTr="008A7915">
        <w:trPr>
          <w:trHeight w:val="283"/>
        </w:trPr>
        <w:tc>
          <w:tcPr>
            <w:tcW w:w="1641" w:type="dxa"/>
            <w:vMerge/>
            <w:hideMark/>
          </w:tcPr>
          <w:p w:rsidR="007E7001" w:rsidRPr="007E7001" w:rsidRDefault="007E7001" w:rsidP="00ED1E21">
            <w:pPr>
              <w:pStyle w:val="Normal-beforebullets"/>
              <w:rPr>
                <w:b/>
                <w:color w:val="000000"/>
                <w:lang w:eastAsia="en-AU"/>
              </w:rPr>
            </w:pPr>
          </w:p>
        </w:tc>
        <w:tc>
          <w:tcPr>
            <w:tcW w:w="1869" w:type="dxa"/>
            <w:vAlign w:val="center"/>
            <w:hideMark/>
          </w:tcPr>
          <w:p w:rsidR="007E7001" w:rsidRPr="007E7001" w:rsidRDefault="007E7001" w:rsidP="00ED1E21">
            <w:pPr>
              <w:pStyle w:val="Normal-beforebullets"/>
              <w:rPr>
                <w:b/>
                <w:color w:val="000000"/>
                <w:lang w:eastAsia="en-AU"/>
              </w:rPr>
            </w:pPr>
            <w:r w:rsidRPr="007E7001">
              <w:rPr>
                <w:b/>
                <w:color w:val="000000"/>
                <w:lang w:eastAsia="en-AU"/>
              </w:rPr>
              <w:t>Outer regional</w:t>
            </w:r>
          </w:p>
        </w:tc>
        <w:tc>
          <w:tcPr>
            <w:tcW w:w="1276" w:type="dxa"/>
            <w:vAlign w:val="center"/>
          </w:tcPr>
          <w:p w:rsidR="007E7001" w:rsidRPr="00C21B19" w:rsidRDefault="007E7001" w:rsidP="00ED1E21">
            <w:pPr>
              <w:pStyle w:val="Normal-beforebullets"/>
              <w:jc w:val="right"/>
              <w:rPr>
                <w:color w:val="000000"/>
              </w:rPr>
            </w:pPr>
            <w:r w:rsidRPr="00C21B19">
              <w:rPr>
                <w:color w:val="000000"/>
              </w:rPr>
              <w:t>189</w:t>
            </w:r>
          </w:p>
        </w:tc>
        <w:tc>
          <w:tcPr>
            <w:tcW w:w="1842" w:type="dxa"/>
            <w:vAlign w:val="center"/>
          </w:tcPr>
          <w:p w:rsidR="007E7001" w:rsidRPr="00C21B19" w:rsidRDefault="007E7001" w:rsidP="00ED1E21">
            <w:pPr>
              <w:pStyle w:val="Normal-beforebullets"/>
              <w:jc w:val="right"/>
              <w:rPr>
                <w:color w:val="000000"/>
              </w:rPr>
            </w:pPr>
            <w:r w:rsidRPr="00C21B19">
              <w:rPr>
                <w:color w:val="000000"/>
              </w:rPr>
              <w:t>9.2</w:t>
            </w:r>
          </w:p>
        </w:tc>
        <w:tc>
          <w:tcPr>
            <w:tcW w:w="1277" w:type="dxa"/>
            <w:vAlign w:val="center"/>
          </w:tcPr>
          <w:p w:rsidR="007E7001" w:rsidRPr="00C21B19" w:rsidRDefault="007E7001" w:rsidP="00ED1E21">
            <w:pPr>
              <w:pStyle w:val="Normal-beforebullets"/>
              <w:jc w:val="right"/>
              <w:rPr>
                <w:color w:val="000000"/>
              </w:rPr>
            </w:pPr>
            <w:r w:rsidRPr="00C21B19">
              <w:rPr>
                <w:color w:val="000000"/>
              </w:rPr>
              <w:t>154</w:t>
            </w:r>
          </w:p>
        </w:tc>
        <w:tc>
          <w:tcPr>
            <w:tcW w:w="1842" w:type="dxa"/>
            <w:vAlign w:val="center"/>
          </w:tcPr>
          <w:p w:rsidR="007E7001" w:rsidRPr="00C21B19" w:rsidRDefault="007E7001" w:rsidP="00ED1E21">
            <w:pPr>
              <w:pStyle w:val="Normal-beforebullets"/>
              <w:jc w:val="right"/>
              <w:rPr>
                <w:color w:val="000000"/>
              </w:rPr>
            </w:pPr>
            <w:r>
              <w:rPr>
                <w:color w:val="000000"/>
              </w:rPr>
              <w:t>10.9</w:t>
            </w:r>
          </w:p>
        </w:tc>
      </w:tr>
      <w:tr w:rsidR="007E7001" w:rsidRPr="00C21B19" w:rsidTr="008A7915">
        <w:trPr>
          <w:trHeight w:val="283"/>
        </w:trPr>
        <w:tc>
          <w:tcPr>
            <w:tcW w:w="1641" w:type="dxa"/>
            <w:vMerge/>
            <w:hideMark/>
          </w:tcPr>
          <w:p w:rsidR="007E7001" w:rsidRPr="007E7001" w:rsidRDefault="007E7001" w:rsidP="00ED1E21">
            <w:pPr>
              <w:pStyle w:val="Normal-beforebullets"/>
              <w:rPr>
                <w:b/>
                <w:color w:val="000000"/>
                <w:lang w:eastAsia="en-AU"/>
              </w:rPr>
            </w:pPr>
          </w:p>
        </w:tc>
        <w:tc>
          <w:tcPr>
            <w:tcW w:w="1869" w:type="dxa"/>
            <w:vAlign w:val="center"/>
            <w:hideMark/>
          </w:tcPr>
          <w:p w:rsidR="007E7001" w:rsidRPr="007E7001" w:rsidRDefault="007E7001" w:rsidP="00ED1E21">
            <w:pPr>
              <w:pStyle w:val="Normal-beforebullets"/>
              <w:rPr>
                <w:b/>
                <w:color w:val="000000"/>
                <w:lang w:eastAsia="en-AU"/>
              </w:rPr>
            </w:pPr>
            <w:r w:rsidRPr="007E7001">
              <w:rPr>
                <w:b/>
                <w:color w:val="000000"/>
                <w:lang w:eastAsia="en-AU"/>
              </w:rPr>
              <w:t>Remote</w:t>
            </w:r>
          </w:p>
        </w:tc>
        <w:tc>
          <w:tcPr>
            <w:tcW w:w="1276" w:type="dxa"/>
            <w:vAlign w:val="center"/>
          </w:tcPr>
          <w:p w:rsidR="007E7001" w:rsidRPr="00C21B19" w:rsidRDefault="007E7001" w:rsidP="00ED1E21">
            <w:pPr>
              <w:pStyle w:val="Normal-beforebullets"/>
              <w:jc w:val="right"/>
              <w:rPr>
                <w:color w:val="000000"/>
              </w:rPr>
            </w:pPr>
            <w:r w:rsidRPr="00C21B19">
              <w:rPr>
                <w:color w:val="000000"/>
              </w:rPr>
              <w:t>26</w:t>
            </w:r>
          </w:p>
        </w:tc>
        <w:tc>
          <w:tcPr>
            <w:tcW w:w="1842" w:type="dxa"/>
            <w:vAlign w:val="center"/>
          </w:tcPr>
          <w:p w:rsidR="007E7001" w:rsidRPr="00C21B19" w:rsidRDefault="007E7001" w:rsidP="00ED1E21">
            <w:pPr>
              <w:pStyle w:val="Normal-beforebullets"/>
              <w:jc w:val="right"/>
              <w:rPr>
                <w:color w:val="000000"/>
              </w:rPr>
            </w:pPr>
            <w:r w:rsidRPr="00C21B19">
              <w:rPr>
                <w:color w:val="000000"/>
              </w:rPr>
              <w:t>19.0</w:t>
            </w:r>
          </w:p>
        </w:tc>
        <w:tc>
          <w:tcPr>
            <w:tcW w:w="1277" w:type="dxa"/>
            <w:vAlign w:val="center"/>
          </w:tcPr>
          <w:p w:rsidR="007E7001" w:rsidRPr="00C21B19" w:rsidRDefault="007E7001" w:rsidP="00ED1E21">
            <w:pPr>
              <w:pStyle w:val="Normal-beforebullets"/>
              <w:jc w:val="right"/>
              <w:rPr>
                <w:color w:val="000000"/>
              </w:rPr>
            </w:pPr>
            <w:r w:rsidRPr="00C21B19">
              <w:rPr>
                <w:color w:val="000000"/>
              </w:rPr>
              <w:t>28</w:t>
            </w:r>
          </w:p>
        </w:tc>
        <w:tc>
          <w:tcPr>
            <w:tcW w:w="1842" w:type="dxa"/>
            <w:vAlign w:val="center"/>
          </w:tcPr>
          <w:p w:rsidR="007E7001" w:rsidRPr="00C21B19" w:rsidRDefault="007E7001" w:rsidP="00ED1E21">
            <w:pPr>
              <w:pStyle w:val="Normal-beforebullets"/>
              <w:jc w:val="right"/>
              <w:rPr>
                <w:color w:val="000000"/>
              </w:rPr>
            </w:pPr>
            <w:r>
              <w:rPr>
                <w:color w:val="000000"/>
              </w:rPr>
              <w:t>24.8</w:t>
            </w:r>
          </w:p>
        </w:tc>
      </w:tr>
      <w:tr w:rsidR="007E7001" w:rsidRPr="00C21B19" w:rsidTr="008A7915">
        <w:trPr>
          <w:trHeight w:val="283"/>
        </w:trPr>
        <w:tc>
          <w:tcPr>
            <w:tcW w:w="1641" w:type="dxa"/>
            <w:vMerge/>
            <w:hideMark/>
          </w:tcPr>
          <w:p w:rsidR="007E7001" w:rsidRPr="007E7001" w:rsidRDefault="007E7001" w:rsidP="00ED1E21">
            <w:pPr>
              <w:pStyle w:val="Normal-beforebullets"/>
              <w:rPr>
                <w:b/>
                <w:color w:val="000000"/>
                <w:lang w:eastAsia="en-AU"/>
              </w:rPr>
            </w:pPr>
          </w:p>
        </w:tc>
        <w:tc>
          <w:tcPr>
            <w:tcW w:w="1869" w:type="dxa"/>
            <w:vAlign w:val="center"/>
            <w:hideMark/>
          </w:tcPr>
          <w:p w:rsidR="007E7001" w:rsidRPr="007E7001" w:rsidRDefault="007E7001" w:rsidP="00ED1E21">
            <w:pPr>
              <w:pStyle w:val="Normal-beforebullets"/>
              <w:rPr>
                <w:b/>
                <w:color w:val="000000"/>
                <w:lang w:eastAsia="en-AU"/>
              </w:rPr>
            </w:pPr>
            <w:r w:rsidRPr="007E7001">
              <w:rPr>
                <w:b/>
                <w:color w:val="000000"/>
                <w:lang w:eastAsia="en-AU"/>
              </w:rPr>
              <w:t>Very remote</w:t>
            </w:r>
          </w:p>
        </w:tc>
        <w:tc>
          <w:tcPr>
            <w:tcW w:w="1276" w:type="dxa"/>
            <w:vAlign w:val="center"/>
          </w:tcPr>
          <w:p w:rsidR="007E7001" w:rsidRPr="00C21B19" w:rsidRDefault="007E7001" w:rsidP="00ED1E21">
            <w:pPr>
              <w:pStyle w:val="Normal-beforebullets"/>
              <w:jc w:val="right"/>
              <w:rPr>
                <w:color w:val="000000"/>
              </w:rPr>
            </w:pPr>
            <w:r w:rsidRPr="00C21B19">
              <w:rPr>
                <w:color w:val="000000"/>
              </w:rPr>
              <w:t>6</w:t>
            </w:r>
          </w:p>
        </w:tc>
        <w:tc>
          <w:tcPr>
            <w:tcW w:w="1842" w:type="dxa"/>
            <w:vAlign w:val="center"/>
          </w:tcPr>
          <w:p w:rsidR="007E7001" w:rsidRPr="00C21B19" w:rsidRDefault="007E7001" w:rsidP="00ED1E21">
            <w:pPr>
              <w:pStyle w:val="Normal-beforebullets"/>
              <w:jc w:val="right"/>
              <w:rPr>
                <w:color w:val="000000"/>
              </w:rPr>
            </w:pPr>
            <w:r w:rsidRPr="00C21B19">
              <w:rPr>
                <w:color w:val="000000"/>
              </w:rPr>
              <w:t>8.8</w:t>
            </w:r>
          </w:p>
        </w:tc>
        <w:tc>
          <w:tcPr>
            <w:tcW w:w="1277" w:type="dxa"/>
            <w:vAlign w:val="center"/>
          </w:tcPr>
          <w:p w:rsidR="007E7001" w:rsidRPr="00C21B19" w:rsidRDefault="007E7001" w:rsidP="00ED1E21">
            <w:pPr>
              <w:pStyle w:val="Normal-beforebullets"/>
              <w:jc w:val="right"/>
              <w:rPr>
                <w:color w:val="000000"/>
              </w:rPr>
            </w:pPr>
            <w:r w:rsidRPr="00C21B19">
              <w:rPr>
                <w:color w:val="000000"/>
              </w:rPr>
              <w:t>0</w:t>
            </w:r>
          </w:p>
        </w:tc>
        <w:tc>
          <w:tcPr>
            <w:tcW w:w="1842" w:type="dxa"/>
            <w:vAlign w:val="center"/>
          </w:tcPr>
          <w:p w:rsidR="007E7001" w:rsidRPr="00C21B19" w:rsidRDefault="007E7001" w:rsidP="00ED1E21">
            <w:pPr>
              <w:pStyle w:val="Normal-beforebullets"/>
              <w:jc w:val="right"/>
              <w:rPr>
                <w:color w:val="000000"/>
              </w:rPr>
            </w:pPr>
            <w:r>
              <w:rPr>
                <w:color w:val="000000"/>
              </w:rPr>
              <w:t>0.0</w:t>
            </w:r>
          </w:p>
        </w:tc>
      </w:tr>
      <w:tr w:rsidR="007E7001" w:rsidRPr="00C21B19" w:rsidTr="008A7915">
        <w:trPr>
          <w:trHeight w:val="283"/>
        </w:trPr>
        <w:tc>
          <w:tcPr>
            <w:tcW w:w="1641" w:type="dxa"/>
            <w:vMerge w:val="restart"/>
            <w:hideMark/>
          </w:tcPr>
          <w:p w:rsidR="007E7001" w:rsidRPr="007E7001" w:rsidRDefault="007E7001" w:rsidP="00ED1E21">
            <w:pPr>
              <w:pStyle w:val="Normal-beforebullets"/>
              <w:rPr>
                <w:b/>
                <w:color w:val="000000"/>
                <w:lang w:eastAsia="en-AU"/>
              </w:rPr>
            </w:pPr>
            <w:r w:rsidRPr="007E7001">
              <w:rPr>
                <w:b/>
                <w:color w:val="000000"/>
                <w:lang w:eastAsia="en-AU"/>
              </w:rPr>
              <w:t>Organisation type</w:t>
            </w:r>
          </w:p>
        </w:tc>
        <w:tc>
          <w:tcPr>
            <w:tcW w:w="1869" w:type="dxa"/>
            <w:vAlign w:val="center"/>
            <w:hideMark/>
          </w:tcPr>
          <w:p w:rsidR="007E7001" w:rsidRPr="007E7001" w:rsidRDefault="007E7001" w:rsidP="00EC79DF">
            <w:pPr>
              <w:pStyle w:val="Normal-beforebullets"/>
              <w:rPr>
                <w:b/>
                <w:color w:val="000000"/>
                <w:lang w:eastAsia="en-AU"/>
              </w:rPr>
            </w:pPr>
            <w:r w:rsidRPr="007E7001">
              <w:rPr>
                <w:b/>
                <w:color w:val="000000"/>
                <w:lang w:eastAsia="en-AU"/>
              </w:rPr>
              <w:t>Not</w:t>
            </w:r>
            <w:r w:rsidR="00EC79DF">
              <w:rPr>
                <w:b/>
                <w:color w:val="000000"/>
                <w:lang w:eastAsia="en-AU"/>
              </w:rPr>
              <w:t>-</w:t>
            </w:r>
            <w:r w:rsidRPr="007E7001">
              <w:rPr>
                <w:b/>
                <w:color w:val="000000"/>
                <w:lang w:eastAsia="en-AU"/>
              </w:rPr>
              <w:t>for</w:t>
            </w:r>
            <w:r w:rsidR="00EC79DF">
              <w:rPr>
                <w:b/>
                <w:color w:val="000000"/>
                <w:lang w:eastAsia="en-AU"/>
              </w:rPr>
              <w:t>-</w:t>
            </w:r>
            <w:r w:rsidRPr="007E7001">
              <w:rPr>
                <w:b/>
                <w:color w:val="000000"/>
                <w:lang w:eastAsia="en-AU"/>
              </w:rPr>
              <w:t>profit</w:t>
            </w:r>
          </w:p>
        </w:tc>
        <w:tc>
          <w:tcPr>
            <w:tcW w:w="1276" w:type="dxa"/>
            <w:vAlign w:val="center"/>
          </w:tcPr>
          <w:p w:rsidR="007E7001" w:rsidRPr="00C21B19" w:rsidRDefault="007E7001" w:rsidP="00ED1E21">
            <w:pPr>
              <w:pStyle w:val="Normal-beforebullets"/>
              <w:jc w:val="right"/>
              <w:rPr>
                <w:color w:val="000000"/>
              </w:rPr>
            </w:pPr>
            <w:r w:rsidRPr="00C21B19">
              <w:rPr>
                <w:color w:val="000000"/>
              </w:rPr>
              <w:t>698</w:t>
            </w:r>
          </w:p>
        </w:tc>
        <w:tc>
          <w:tcPr>
            <w:tcW w:w="1842" w:type="dxa"/>
            <w:vAlign w:val="center"/>
          </w:tcPr>
          <w:p w:rsidR="007E7001" w:rsidRPr="00C21B19" w:rsidRDefault="007E7001" w:rsidP="00ED1E21">
            <w:pPr>
              <w:pStyle w:val="Normal-beforebullets"/>
              <w:jc w:val="right"/>
              <w:rPr>
                <w:color w:val="000000"/>
              </w:rPr>
            </w:pPr>
            <w:r w:rsidRPr="00C21B19">
              <w:rPr>
                <w:color w:val="000000"/>
              </w:rPr>
              <w:t>11.3</w:t>
            </w:r>
          </w:p>
        </w:tc>
        <w:tc>
          <w:tcPr>
            <w:tcW w:w="1277" w:type="dxa"/>
            <w:vAlign w:val="center"/>
          </w:tcPr>
          <w:p w:rsidR="007E7001" w:rsidRPr="00C21B19" w:rsidRDefault="007E7001" w:rsidP="00ED1E21">
            <w:pPr>
              <w:pStyle w:val="Normal-beforebullets"/>
              <w:jc w:val="right"/>
              <w:rPr>
                <w:color w:val="000000"/>
              </w:rPr>
            </w:pPr>
            <w:r w:rsidRPr="00C21B19">
              <w:rPr>
                <w:color w:val="000000"/>
              </w:rPr>
              <w:t>486</w:t>
            </w:r>
          </w:p>
        </w:tc>
        <w:tc>
          <w:tcPr>
            <w:tcW w:w="1842" w:type="dxa"/>
            <w:vAlign w:val="center"/>
          </w:tcPr>
          <w:p w:rsidR="007E7001" w:rsidRPr="00C21B19" w:rsidRDefault="007E7001" w:rsidP="00ED1E21">
            <w:pPr>
              <w:pStyle w:val="Normal-beforebullets"/>
              <w:jc w:val="right"/>
              <w:rPr>
                <w:color w:val="000000"/>
              </w:rPr>
            </w:pPr>
            <w:r>
              <w:rPr>
                <w:color w:val="000000"/>
              </w:rPr>
              <w:t>8.5</w:t>
            </w:r>
          </w:p>
        </w:tc>
      </w:tr>
      <w:tr w:rsidR="007E7001" w:rsidRPr="00C21B19" w:rsidTr="008A7915">
        <w:trPr>
          <w:trHeight w:val="283"/>
        </w:trPr>
        <w:tc>
          <w:tcPr>
            <w:tcW w:w="1641" w:type="dxa"/>
            <w:vMerge/>
            <w:vAlign w:val="center"/>
            <w:hideMark/>
          </w:tcPr>
          <w:p w:rsidR="007E7001" w:rsidRPr="00C21B19" w:rsidRDefault="007E7001" w:rsidP="00ED1E21">
            <w:pPr>
              <w:pStyle w:val="Normal-beforebullets"/>
              <w:rPr>
                <w:color w:val="000000"/>
                <w:lang w:eastAsia="en-AU"/>
              </w:rPr>
            </w:pPr>
          </w:p>
        </w:tc>
        <w:tc>
          <w:tcPr>
            <w:tcW w:w="1869" w:type="dxa"/>
            <w:vAlign w:val="center"/>
            <w:hideMark/>
          </w:tcPr>
          <w:p w:rsidR="007E7001" w:rsidRPr="007E7001" w:rsidRDefault="007E7001" w:rsidP="00ED1E21">
            <w:pPr>
              <w:pStyle w:val="Normal-beforebullets"/>
              <w:rPr>
                <w:b/>
                <w:color w:val="000000"/>
                <w:lang w:eastAsia="en-AU"/>
              </w:rPr>
            </w:pPr>
            <w:r w:rsidRPr="007E7001">
              <w:rPr>
                <w:b/>
                <w:color w:val="000000"/>
                <w:lang w:eastAsia="en-AU"/>
              </w:rPr>
              <w:t>Government</w:t>
            </w:r>
          </w:p>
        </w:tc>
        <w:tc>
          <w:tcPr>
            <w:tcW w:w="1276" w:type="dxa"/>
            <w:vAlign w:val="center"/>
          </w:tcPr>
          <w:p w:rsidR="007E7001" w:rsidRPr="00C21B19" w:rsidRDefault="007E7001" w:rsidP="00ED1E21">
            <w:pPr>
              <w:pStyle w:val="Normal-beforebullets"/>
              <w:jc w:val="right"/>
              <w:rPr>
                <w:color w:val="000000"/>
              </w:rPr>
            </w:pPr>
            <w:r w:rsidRPr="00C21B19">
              <w:rPr>
                <w:color w:val="000000"/>
              </w:rPr>
              <w:t>514</w:t>
            </w:r>
          </w:p>
        </w:tc>
        <w:tc>
          <w:tcPr>
            <w:tcW w:w="1842" w:type="dxa"/>
            <w:vAlign w:val="center"/>
          </w:tcPr>
          <w:p w:rsidR="007E7001" w:rsidRPr="00C21B19" w:rsidRDefault="007E7001" w:rsidP="00ED1E21">
            <w:pPr>
              <w:pStyle w:val="Normal-beforebullets"/>
              <w:jc w:val="right"/>
              <w:rPr>
                <w:color w:val="000000"/>
              </w:rPr>
            </w:pPr>
            <w:r w:rsidRPr="00C21B19">
              <w:rPr>
                <w:color w:val="000000"/>
              </w:rPr>
              <w:t>9.3</w:t>
            </w:r>
          </w:p>
        </w:tc>
        <w:tc>
          <w:tcPr>
            <w:tcW w:w="1277" w:type="dxa"/>
            <w:vAlign w:val="center"/>
          </w:tcPr>
          <w:p w:rsidR="007E7001" w:rsidRPr="00C21B19" w:rsidRDefault="007E7001" w:rsidP="00ED1E21">
            <w:pPr>
              <w:pStyle w:val="Normal-beforebullets"/>
              <w:jc w:val="right"/>
              <w:rPr>
                <w:color w:val="000000"/>
              </w:rPr>
            </w:pPr>
            <w:r w:rsidRPr="00C21B19">
              <w:rPr>
                <w:color w:val="000000"/>
              </w:rPr>
              <w:t>552</w:t>
            </w:r>
          </w:p>
        </w:tc>
        <w:tc>
          <w:tcPr>
            <w:tcW w:w="1842" w:type="dxa"/>
            <w:vAlign w:val="center"/>
          </w:tcPr>
          <w:p w:rsidR="007E7001" w:rsidRPr="00C21B19" w:rsidRDefault="007E7001" w:rsidP="00ED1E21">
            <w:pPr>
              <w:pStyle w:val="Normal-beforebullets"/>
              <w:jc w:val="right"/>
              <w:rPr>
                <w:color w:val="000000"/>
              </w:rPr>
            </w:pPr>
            <w:r>
              <w:rPr>
                <w:color w:val="000000"/>
              </w:rPr>
              <w:t>9.9</w:t>
            </w:r>
          </w:p>
        </w:tc>
      </w:tr>
      <w:tr w:rsidR="007E7001" w:rsidRPr="00C21B19" w:rsidTr="008A7915">
        <w:trPr>
          <w:trHeight w:val="283"/>
        </w:trPr>
        <w:tc>
          <w:tcPr>
            <w:tcW w:w="1641" w:type="dxa"/>
            <w:vMerge/>
            <w:vAlign w:val="center"/>
            <w:hideMark/>
          </w:tcPr>
          <w:p w:rsidR="007E7001" w:rsidRPr="00C21B19" w:rsidRDefault="007E7001" w:rsidP="00ED1E21">
            <w:pPr>
              <w:pStyle w:val="Normal-beforebullets"/>
              <w:rPr>
                <w:color w:val="000000"/>
                <w:lang w:eastAsia="en-AU"/>
              </w:rPr>
            </w:pPr>
          </w:p>
        </w:tc>
        <w:tc>
          <w:tcPr>
            <w:tcW w:w="1869" w:type="dxa"/>
            <w:vAlign w:val="center"/>
            <w:hideMark/>
          </w:tcPr>
          <w:p w:rsidR="007E7001" w:rsidRPr="007E7001" w:rsidRDefault="007E7001" w:rsidP="00ED1E21">
            <w:pPr>
              <w:pStyle w:val="Normal-beforebullets"/>
              <w:rPr>
                <w:b/>
                <w:color w:val="000000"/>
                <w:lang w:eastAsia="en-AU"/>
              </w:rPr>
            </w:pPr>
            <w:r w:rsidRPr="007E7001">
              <w:rPr>
                <w:b/>
                <w:color w:val="000000"/>
                <w:lang w:eastAsia="en-AU"/>
              </w:rPr>
              <w:t>Private</w:t>
            </w:r>
          </w:p>
        </w:tc>
        <w:tc>
          <w:tcPr>
            <w:tcW w:w="1276" w:type="dxa"/>
            <w:vAlign w:val="center"/>
          </w:tcPr>
          <w:p w:rsidR="007E7001" w:rsidRPr="00C21B19" w:rsidRDefault="007E7001" w:rsidP="00ED1E21">
            <w:pPr>
              <w:pStyle w:val="Normal-beforebullets"/>
              <w:jc w:val="right"/>
              <w:rPr>
                <w:color w:val="000000"/>
              </w:rPr>
            </w:pPr>
            <w:r w:rsidRPr="00C21B19">
              <w:rPr>
                <w:color w:val="000000"/>
              </w:rPr>
              <w:t>109</w:t>
            </w:r>
          </w:p>
        </w:tc>
        <w:tc>
          <w:tcPr>
            <w:tcW w:w="1842" w:type="dxa"/>
            <w:vAlign w:val="center"/>
          </w:tcPr>
          <w:p w:rsidR="007E7001" w:rsidRPr="00C21B19" w:rsidRDefault="007E7001" w:rsidP="00ED1E21">
            <w:pPr>
              <w:pStyle w:val="Normal-beforebullets"/>
              <w:jc w:val="right"/>
              <w:rPr>
                <w:color w:val="000000"/>
              </w:rPr>
            </w:pPr>
            <w:r w:rsidRPr="00C21B19">
              <w:rPr>
                <w:color w:val="000000"/>
              </w:rPr>
              <w:t>6.4</w:t>
            </w:r>
          </w:p>
        </w:tc>
        <w:tc>
          <w:tcPr>
            <w:tcW w:w="1277" w:type="dxa"/>
            <w:vAlign w:val="center"/>
          </w:tcPr>
          <w:p w:rsidR="007E7001" w:rsidRPr="00C21B19" w:rsidRDefault="007E7001" w:rsidP="00ED1E21">
            <w:pPr>
              <w:pStyle w:val="Normal-beforebullets"/>
              <w:jc w:val="right"/>
              <w:rPr>
                <w:color w:val="000000"/>
              </w:rPr>
            </w:pPr>
            <w:r w:rsidRPr="00C21B19">
              <w:rPr>
                <w:color w:val="000000"/>
              </w:rPr>
              <w:t>49</w:t>
            </w:r>
          </w:p>
        </w:tc>
        <w:tc>
          <w:tcPr>
            <w:tcW w:w="1842" w:type="dxa"/>
            <w:vAlign w:val="center"/>
          </w:tcPr>
          <w:p w:rsidR="007E7001" w:rsidRPr="00C21B19" w:rsidRDefault="007E7001" w:rsidP="00ED1E21">
            <w:pPr>
              <w:pStyle w:val="Normal-beforebullets"/>
              <w:jc w:val="right"/>
              <w:rPr>
                <w:color w:val="000000"/>
              </w:rPr>
            </w:pPr>
            <w:r>
              <w:rPr>
                <w:color w:val="000000"/>
              </w:rPr>
              <w:t>5.0</w:t>
            </w:r>
          </w:p>
        </w:tc>
      </w:tr>
      <w:tr w:rsidR="007E7001" w:rsidRPr="00C21B19" w:rsidTr="008A7915">
        <w:trPr>
          <w:trHeight w:val="283"/>
        </w:trPr>
        <w:tc>
          <w:tcPr>
            <w:tcW w:w="3510" w:type="dxa"/>
            <w:gridSpan w:val="2"/>
            <w:vAlign w:val="center"/>
          </w:tcPr>
          <w:p w:rsidR="007E7001" w:rsidRPr="00140F71" w:rsidRDefault="007E7001" w:rsidP="00ED1E21">
            <w:pPr>
              <w:pStyle w:val="Normal-beforebullets"/>
              <w:rPr>
                <w:b/>
                <w:color w:val="000000"/>
                <w:lang w:eastAsia="en-AU"/>
              </w:rPr>
            </w:pPr>
            <w:r w:rsidRPr="00140F71">
              <w:rPr>
                <w:b/>
                <w:color w:val="000000"/>
                <w:lang w:eastAsia="en-AU"/>
              </w:rPr>
              <w:t>Total</w:t>
            </w:r>
          </w:p>
        </w:tc>
        <w:tc>
          <w:tcPr>
            <w:tcW w:w="1276" w:type="dxa"/>
            <w:vAlign w:val="center"/>
          </w:tcPr>
          <w:p w:rsidR="007E7001" w:rsidRPr="00140F71" w:rsidRDefault="007E7001" w:rsidP="00ED1E21">
            <w:pPr>
              <w:pStyle w:val="Normal-beforebullets"/>
              <w:jc w:val="right"/>
              <w:rPr>
                <w:b/>
                <w:color w:val="000000"/>
                <w:lang w:eastAsia="en-AU"/>
              </w:rPr>
            </w:pPr>
            <w:r w:rsidRPr="00140F71">
              <w:rPr>
                <w:b/>
                <w:color w:val="000000"/>
                <w:lang w:eastAsia="en-AU"/>
              </w:rPr>
              <w:t>1,321</w:t>
            </w:r>
          </w:p>
        </w:tc>
        <w:tc>
          <w:tcPr>
            <w:tcW w:w="1842" w:type="dxa"/>
            <w:vAlign w:val="center"/>
          </w:tcPr>
          <w:p w:rsidR="007E7001" w:rsidRPr="00140F71" w:rsidRDefault="007E7001" w:rsidP="00ED1E21">
            <w:pPr>
              <w:pStyle w:val="Normal-beforebullets"/>
              <w:jc w:val="right"/>
              <w:rPr>
                <w:b/>
                <w:color w:val="000000"/>
              </w:rPr>
            </w:pPr>
            <w:r w:rsidRPr="00140F71">
              <w:rPr>
                <w:b/>
                <w:color w:val="000000"/>
                <w:lang w:eastAsia="en-AU"/>
              </w:rPr>
              <w:t>9.9</w:t>
            </w:r>
          </w:p>
        </w:tc>
        <w:tc>
          <w:tcPr>
            <w:tcW w:w="1277" w:type="dxa"/>
            <w:vAlign w:val="center"/>
          </w:tcPr>
          <w:p w:rsidR="007E7001" w:rsidRPr="00140F71" w:rsidRDefault="007E7001" w:rsidP="00ED1E21">
            <w:pPr>
              <w:pStyle w:val="Normal-beforebullets"/>
              <w:jc w:val="right"/>
              <w:rPr>
                <w:b/>
                <w:color w:val="000000"/>
              </w:rPr>
            </w:pPr>
            <w:r w:rsidRPr="00140F71">
              <w:rPr>
                <w:b/>
                <w:color w:val="000000"/>
              </w:rPr>
              <w:t>1,087</w:t>
            </w:r>
          </w:p>
        </w:tc>
        <w:tc>
          <w:tcPr>
            <w:tcW w:w="1842" w:type="dxa"/>
            <w:vAlign w:val="center"/>
          </w:tcPr>
          <w:p w:rsidR="007E7001" w:rsidRPr="00140F71" w:rsidRDefault="007E7001" w:rsidP="00ED1E21">
            <w:pPr>
              <w:pStyle w:val="Normal-beforebullets"/>
              <w:jc w:val="right"/>
              <w:rPr>
                <w:b/>
                <w:color w:val="000000"/>
              </w:rPr>
            </w:pPr>
            <w:r w:rsidRPr="00140F71">
              <w:rPr>
                <w:b/>
                <w:color w:val="000000"/>
              </w:rPr>
              <w:t>8.8</w:t>
            </w:r>
          </w:p>
        </w:tc>
      </w:tr>
    </w:tbl>
    <w:p w:rsidR="003A3B91" w:rsidRPr="009D44F5" w:rsidRDefault="003536F1" w:rsidP="003A3B91">
      <w:pPr>
        <w:pStyle w:val="Heading2"/>
      </w:pPr>
      <w:bookmarkStart w:id="48" w:name="_Toc476731089"/>
      <w:bookmarkStart w:id="49" w:name="_Toc476731157"/>
      <w:bookmarkStart w:id="50" w:name="_Toc513125594"/>
      <w:r>
        <w:lastRenderedPageBreak/>
        <w:t xml:space="preserve">D: </w:t>
      </w:r>
      <w:r w:rsidR="003A3B91" w:rsidRPr="009D44F5">
        <w:t>Suspected infections</w:t>
      </w:r>
      <w:bookmarkEnd w:id="48"/>
      <w:bookmarkEnd w:id="49"/>
      <w:r w:rsidR="003A3B91" w:rsidRPr="009D44F5">
        <w:t xml:space="preserve"> (on the survey day)</w:t>
      </w:r>
      <w:bookmarkEnd w:id="50"/>
      <w:r w:rsidR="003A3B91" w:rsidRPr="009D44F5">
        <w:t xml:space="preserve"> </w:t>
      </w:r>
    </w:p>
    <w:p w:rsidR="003A3B91" w:rsidRPr="00ED68DE" w:rsidRDefault="003A3B91" w:rsidP="003A3B91">
      <w:r w:rsidRPr="00570E98">
        <w:t>In 2017, 2.8% (</w:t>
      </w:r>
      <w:r w:rsidRPr="00492FB8">
        <w:rPr>
          <w:i/>
        </w:rPr>
        <w:t>n</w:t>
      </w:r>
      <w:r w:rsidRPr="00570E98">
        <w:t xml:space="preserve">=349) </w:t>
      </w:r>
      <w:r>
        <w:t xml:space="preserve">of </w:t>
      </w:r>
      <w:r w:rsidRPr="00570E98">
        <w:t>residents were reported to have a tot</w:t>
      </w:r>
      <w:r>
        <w:t xml:space="preserve">al of 360 suspected infections </w:t>
      </w:r>
      <w:r w:rsidRPr="00570E98">
        <w:t xml:space="preserve">on the survey day. </w:t>
      </w:r>
      <w:r w:rsidRPr="00B91E60">
        <w:t>Overall, 39.4% (</w:t>
      </w:r>
      <w:r w:rsidRPr="00492FB8">
        <w:rPr>
          <w:i/>
        </w:rPr>
        <w:t>n</w:t>
      </w:r>
      <w:r w:rsidRPr="00B91E60">
        <w:t xml:space="preserve">=142) of suspected infections met the </w:t>
      </w:r>
      <w:proofErr w:type="spellStart"/>
      <w:r w:rsidRPr="00B91E60">
        <w:t>McGeer</w:t>
      </w:r>
      <w:proofErr w:type="spellEnd"/>
      <w:r w:rsidRPr="00B91E60">
        <w:t xml:space="preserve"> </w:t>
      </w:r>
      <w:r w:rsidRPr="00B91E60">
        <w:rPr>
          <w:i/>
        </w:rPr>
        <w:t>et al</w:t>
      </w:r>
      <w:r w:rsidRPr="00B91E60">
        <w:t xml:space="preserve"> infection definitions</w:t>
      </w:r>
      <w:r>
        <w:t xml:space="preserve"> (Table 6</w:t>
      </w:r>
      <w:r w:rsidRPr="00B91E60">
        <w:t xml:space="preserve">). </w:t>
      </w:r>
      <w:r>
        <w:t>I</w:t>
      </w:r>
      <w:r w:rsidRPr="00570E98">
        <w:t>n the 4</w:t>
      </w:r>
      <w:r>
        <w:t>8 hours prior to the survey day,</w:t>
      </w:r>
      <w:r w:rsidRPr="00570E98">
        <w:t xml:space="preserve"> </w:t>
      </w:r>
      <w:r>
        <w:t>a</w:t>
      </w:r>
      <w:r w:rsidRPr="00570E98">
        <w:t xml:space="preserve"> microbiological specimen was taken for 6.6% (</w:t>
      </w:r>
      <w:r w:rsidRPr="00492FB8">
        <w:rPr>
          <w:i/>
        </w:rPr>
        <w:t>n</w:t>
      </w:r>
      <w:r w:rsidRPr="00570E98">
        <w:t xml:space="preserve">=23) of these residents. Almost </w:t>
      </w:r>
      <w:r>
        <w:t>one-half of the</w:t>
      </w:r>
      <w:r w:rsidRPr="00570E98">
        <w:t xml:space="preserve"> specimens (</w:t>
      </w:r>
      <w:r w:rsidRPr="00492FB8">
        <w:rPr>
          <w:i/>
        </w:rPr>
        <w:t>n</w:t>
      </w:r>
      <w:r w:rsidRPr="00570E98">
        <w:t xml:space="preserve">=11, 47.8%) were urine samples. </w:t>
      </w:r>
    </w:p>
    <w:p w:rsidR="003A3B91" w:rsidRPr="00797693" w:rsidRDefault="003A3B91" w:rsidP="003A3B91">
      <w:pPr>
        <w:pStyle w:val="FigureTitle"/>
      </w:pPr>
      <w:bookmarkStart w:id="51" w:name="_Toc477183311"/>
      <w:r>
        <w:t>Table 6</w:t>
      </w:r>
      <w:r w:rsidRPr="00797693">
        <w:t xml:space="preserve">: Number and percentage of residents with signs and/or symptoms </w:t>
      </w:r>
      <w:r w:rsidR="009176A0">
        <w:t xml:space="preserve">of a suspected infection </w:t>
      </w:r>
      <w:r w:rsidRPr="00797693">
        <w:t>by body system</w:t>
      </w:r>
      <w:bookmarkEnd w:id="51"/>
      <w:r w:rsidRPr="00797693">
        <w:t xml:space="preserve"> (2017) </w:t>
      </w:r>
    </w:p>
    <w:tbl>
      <w:tblPr>
        <w:tblStyle w:val="TableGridLight1"/>
        <w:tblW w:w="9693" w:type="dxa"/>
        <w:tblLayout w:type="fixed"/>
        <w:tblLook w:val="04A0" w:firstRow="1" w:lastRow="0" w:firstColumn="1" w:lastColumn="0" w:noHBand="0" w:noVBand="1"/>
      </w:tblPr>
      <w:tblGrid>
        <w:gridCol w:w="2122"/>
        <w:gridCol w:w="1844"/>
        <w:gridCol w:w="1431"/>
        <w:gridCol w:w="1432"/>
        <w:gridCol w:w="1432"/>
        <w:gridCol w:w="1432"/>
      </w:tblGrid>
      <w:tr w:rsidR="003A3B91" w:rsidRPr="002B37B1" w:rsidTr="00F762FA">
        <w:trPr>
          <w:trHeight w:val="551"/>
        </w:trPr>
        <w:tc>
          <w:tcPr>
            <w:tcW w:w="2122" w:type="dxa"/>
            <w:vMerge w:val="restart"/>
            <w:vAlign w:val="center"/>
          </w:tcPr>
          <w:p w:rsidR="003A3B91" w:rsidRPr="00EE75B2" w:rsidRDefault="003A3B91" w:rsidP="00F762FA">
            <w:pPr>
              <w:pStyle w:val="Normal-beforebullets"/>
              <w:rPr>
                <w:b/>
                <w:lang w:eastAsia="en-AU"/>
              </w:rPr>
            </w:pPr>
            <w:r w:rsidRPr="00EE75B2">
              <w:rPr>
                <w:b/>
                <w:lang w:eastAsia="en-AU"/>
              </w:rPr>
              <w:t>Body system</w:t>
            </w:r>
          </w:p>
        </w:tc>
        <w:tc>
          <w:tcPr>
            <w:tcW w:w="1844" w:type="dxa"/>
            <w:vMerge w:val="restart"/>
            <w:vAlign w:val="center"/>
          </w:tcPr>
          <w:p w:rsidR="003A3B91" w:rsidRPr="00EE75B2" w:rsidRDefault="003A3B91" w:rsidP="00F762FA">
            <w:pPr>
              <w:pStyle w:val="Normal-beforebullets"/>
              <w:jc w:val="center"/>
              <w:rPr>
                <w:b/>
                <w:lang w:eastAsia="en-AU"/>
              </w:rPr>
            </w:pPr>
            <w:r w:rsidRPr="00EE75B2">
              <w:rPr>
                <w:b/>
                <w:lang w:eastAsia="en-AU"/>
              </w:rPr>
              <w:t>No. of suspected infections</w:t>
            </w:r>
          </w:p>
        </w:tc>
        <w:tc>
          <w:tcPr>
            <w:tcW w:w="2863" w:type="dxa"/>
            <w:gridSpan w:val="2"/>
            <w:vAlign w:val="center"/>
            <w:hideMark/>
          </w:tcPr>
          <w:p w:rsidR="003A3B91" w:rsidRPr="00804701" w:rsidRDefault="003A3B91" w:rsidP="00F762FA">
            <w:pPr>
              <w:pStyle w:val="Normal-beforebullets"/>
              <w:jc w:val="center"/>
              <w:rPr>
                <w:b/>
                <w:vertAlign w:val="superscript"/>
                <w:lang w:eastAsia="en-AU"/>
              </w:rPr>
            </w:pPr>
            <w:r w:rsidRPr="00EE75B2">
              <w:rPr>
                <w:b/>
                <w:lang w:eastAsia="en-AU"/>
              </w:rPr>
              <w:t>ACH-associated suspected infections</w:t>
            </w:r>
            <w:r w:rsidRPr="00804701">
              <w:rPr>
                <w:b/>
                <w:vertAlign w:val="superscript"/>
                <w:lang w:eastAsia="en-AU"/>
              </w:rPr>
              <w:t>§</w:t>
            </w:r>
          </w:p>
        </w:tc>
        <w:tc>
          <w:tcPr>
            <w:tcW w:w="2864" w:type="dxa"/>
            <w:gridSpan w:val="2"/>
            <w:vAlign w:val="center"/>
            <w:hideMark/>
          </w:tcPr>
          <w:p w:rsidR="003A3B91" w:rsidRPr="00EE75B2" w:rsidRDefault="00177B6D" w:rsidP="00F762FA">
            <w:pPr>
              <w:pStyle w:val="Normal-beforebullets"/>
              <w:jc w:val="center"/>
              <w:rPr>
                <w:b/>
                <w:lang w:eastAsia="en-AU"/>
              </w:rPr>
            </w:pPr>
            <w:r>
              <w:rPr>
                <w:b/>
                <w:lang w:eastAsia="en-AU"/>
              </w:rPr>
              <w:t>Suspected i</w:t>
            </w:r>
            <w:r w:rsidR="003A3B91" w:rsidRPr="00EE75B2">
              <w:rPr>
                <w:b/>
                <w:lang w:eastAsia="en-AU"/>
              </w:rPr>
              <w:t xml:space="preserve">nfections that met </w:t>
            </w:r>
            <w:proofErr w:type="spellStart"/>
            <w:r w:rsidR="003A3B91" w:rsidRPr="00EE75B2">
              <w:rPr>
                <w:b/>
                <w:lang w:eastAsia="en-AU"/>
              </w:rPr>
              <w:t>McGeer</w:t>
            </w:r>
            <w:proofErr w:type="spellEnd"/>
            <w:r w:rsidR="003A3B91" w:rsidRPr="00EE75B2">
              <w:rPr>
                <w:b/>
                <w:lang w:eastAsia="en-AU"/>
              </w:rPr>
              <w:t xml:space="preserve"> </w:t>
            </w:r>
            <w:r w:rsidR="003A3B91" w:rsidRPr="00EE75B2">
              <w:rPr>
                <w:b/>
                <w:i/>
                <w:lang w:eastAsia="en-AU"/>
              </w:rPr>
              <w:t>et al</w:t>
            </w:r>
            <w:r w:rsidR="003A3B91" w:rsidRPr="00EE75B2">
              <w:rPr>
                <w:b/>
                <w:lang w:eastAsia="en-AU"/>
              </w:rPr>
              <w:t xml:space="preserve"> definition</w:t>
            </w:r>
          </w:p>
        </w:tc>
      </w:tr>
      <w:tr w:rsidR="003A3B91" w:rsidRPr="002B37B1" w:rsidTr="00F762FA">
        <w:trPr>
          <w:trHeight w:val="300"/>
        </w:trPr>
        <w:tc>
          <w:tcPr>
            <w:tcW w:w="2122" w:type="dxa"/>
            <w:vMerge/>
            <w:vAlign w:val="center"/>
          </w:tcPr>
          <w:p w:rsidR="003A3B91" w:rsidRPr="00EE75B2" w:rsidRDefault="003A3B91" w:rsidP="00F762FA">
            <w:pPr>
              <w:pStyle w:val="Normal-beforebullets"/>
              <w:rPr>
                <w:b/>
                <w:color w:val="000000"/>
                <w:lang w:eastAsia="en-AU"/>
              </w:rPr>
            </w:pPr>
          </w:p>
        </w:tc>
        <w:tc>
          <w:tcPr>
            <w:tcW w:w="1844" w:type="dxa"/>
            <w:vMerge/>
          </w:tcPr>
          <w:p w:rsidR="003A3B91" w:rsidRPr="00EE75B2" w:rsidRDefault="003A3B91" w:rsidP="00F762FA">
            <w:pPr>
              <w:pStyle w:val="Normal-beforebullets"/>
              <w:rPr>
                <w:b/>
                <w:color w:val="000000"/>
                <w:lang w:eastAsia="en-AU"/>
              </w:rPr>
            </w:pPr>
          </w:p>
        </w:tc>
        <w:tc>
          <w:tcPr>
            <w:tcW w:w="1431" w:type="dxa"/>
            <w:noWrap/>
            <w:vAlign w:val="center"/>
          </w:tcPr>
          <w:p w:rsidR="003A3B91" w:rsidRPr="00EE75B2" w:rsidRDefault="003A3B91" w:rsidP="00F762FA">
            <w:pPr>
              <w:pStyle w:val="Normal-beforebullets"/>
              <w:jc w:val="right"/>
              <w:rPr>
                <w:b/>
                <w:color w:val="000000"/>
                <w:lang w:eastAsia="en-AU"/>
              </w:rPr>
            </w:pPr>
            <w:r w:rsidRPr="00EE75B2">
              <w:rPr>
                <w:b/>
                <w:color w:val="000000"/>
                <w:lang w:eastAsia="en-AU"/>
              </w:rPr>
              <w:t>No.</w:t>
            </w:r>
          </w:p>
        </w:tc>
        <w:tc>
          <w:tcPr>
            <w:tcW w:w="1432" w:type="dxa"/>
            <w:vAlign w:val="center"/>
          </w:tcPr>
          <w:p w:rsidR="003A3B91" w:rsidRPr="00EE75B2" w:rsidRDefault="003A3B91" w:rsidP="00F762FA">
            <w:pPr>
              <w:pStyle w:val="Normal-beforebullets"/>
              <w:jc w:val="right"/>
              <w:rPr>
                <w:b/>
                <w:color w:val="000000"/>
                <w:lang w:eastAsia="en-AU"/>
              </w:rPr>
            </w:pPr>
            <w:r w:rsidRPr="00EE75B2">
              <w:rPr>
                <w:b/>
                <w:color w:val="000000"/>
                <w:lang w:eastAsia="en-AU"/>
              </w:rPr>
              <w:t>%</w:t>
            </w:r>
          </w:p>
        </w:tc>
        <w:tc>
          <w:tcPr>
            <w:tcW w:w="1432" w:type="dxa"/>
            <w:noWrap/>
            <w:vAlign w:val="center"/>
          </w:tcPr>
          <w:p w:rsidR="003A3B91" w:rsidRPr="00EE75B2" w:rsidRDefault="003A3B91" w:rsidP="00F762FA">
            <w:pPr>
              <w:pStyle w:val="Normal-beforebullets"/>
              <w:jc w:val="right"/>
              <w:rPr>
                <w:b/>
                <w:color w:val="000000"/>
                <w:lang w:eastAsia="en-AU"/>
              </w:rPr>
            </w:pPr>
            <w:r w:rsidRPr="00EE75B2">
              <w:rPr>
                <w:b/>
                <w:color w:val="000000"/>
                <w:lang w:eastAsia="en-AU"/>
              </w:rPr>
              <w:t>No.</w:t>
            </w:r>
          </w:p>
        </w:tc>
        <w:tc>
          <w:tcPr>
            <w:tcW w:w="1432" w:type="dxa"/>
            <w:vAlign w:val="center"/>
          </w:tcPr>
          <w:p w:rsidR="003A3B91" w:rsidRPr="00EE75B2" w:rsidRDefault="003A3B91" w:rsidP="00F762FA">
            <w:pPr>
              <w:pStyle w:val="Normal-beforebullets"/>
              <w:jc w:val="right"/>
              <w:rPr>
                <w:b/>
                <w:color w:val="000000"/>
                <w:lang w:eastAsia="en-AU"/>
              </w:rPr>
            </w:pPr>
            <w:r w:rsidRPr="00EE75B2">
              <w:rPr>
                <w:b/>
                <w:color w:val="000000"/>
                <w:lang w:eastAsia="en-AU"/>
              </w:rPr>
              <w:t>%</w:t>
            </w:r>
          </w:p>
        </w:tc>
      </w:tr>
      <w:tr w:rsidR="003A3B91" w:rsidRPr="002B37B1" w:rsidTr="00F762FA">
        <w:trPr>
          <w:trHeight w:val="300"/>
        </w:trPr>
        <w:tc>
          <w:tcPr>
            <w:tcW w:w="2122" w:type="dxa"/>
            <w:vAlign w:val="center"/>
          </w:tcPr>
          <w:p w:rsidR="003A3B91" w:rsidRPr="00EE75B2" w:rsidRDefault="003A3B91" w:rsidP="00F762FA">
            <w:pPr>
              <w:pStyle w:val="Normal-beforebullets"/>
              <w:rPr>
                <w:b/>
                <w:color w:val="000000"/>
                <w:lang w:eastAsia="en-AU"/>
              </w:rPr>
            </w:pPr>
            <w:r w:rsidRPr="00EE75B2">
              <w:rPr>
                <w:b/>
                <w:color w:val="000000"/>
                <w:lang w:eastAsia="en-AU"/>
              </w:rPr>
              <w:t>Respiratory tract</w:t>
            </w:r>
          </w:p>
        </w:tc>
        <w:tc>
          <w:tcPr>
            <w:tcW w:w="1844" w:type="dxa"/>
            <w:vAlign w:val="center"/>
          </w:tcPr>
          <w:p w:rsidR="003A3B91" w:rsidRPr="00F55820" w:rsidRDefault="003A3B91" w:rsidP="00F762FA">
            <w:pPr>
              <w:pStyle w:val="Normal-beforebullets"/>
              <w:jc w:val="right"/>
              <w:rPr>
                <w:color w:val="000000"/>
              </w:rPr>
            </w:pPr>
            <w:r w:rsidRPr="00F55820">
              <w:rPr>
                <w:color w:val="000000"/>
              </w:rPr>
              <w:t>132</w:t>
            </w:r>
          </w:p>
        </w:tc>
        <w:tc>
          <w:tcPr>
            <w:tcW w:w="1431" w:type="dxa"/>
            <w:noWrap/>
            <w:vAlign w:val="center"/>
          </w:tcPr>
          <w:p w:rsidR="003A3B91" w:rsidRPr="00F55820" w:rsidRDefault="003A3B91" w:rsidP="00F762FA">
            <w:pPr>
              <w:pStyle w:val="Normal-beforebullets"/>
              <w:jc w:val="right"/>
              <w:rPr>
                <w:color w:val="000000"/>
              </w:rPr>
            </w:pPr>
            <w:r w:rsidRPr="00F55820">
              <w:rPr>
                <w:color w:val="000000"/>
              </w:rPr>
              <w:t>92</w:t>
            </w:r>
          </w:p>
        </w:tc>
        <w:tc>
          <w:tcPr>
            <w:tcW w:w="1432" w:type="dxa"/>
            <w:vAlign w:val="center"/>
          </w:tcPr>
          <w:p w:rsidR="003A3B91" w:rsidRPr="00F55820" w:rsidRDefault="003A3B91" w:rsidP="00F762FA">
            <w:pPr>
              <w:pStyle w:val="Normal-beforebullets"/>
              <w:jc w:val="right"/>
              <w:rPr>
                <w:color w:val="000000"/>
              </w:rPr>
            </w:pPr>
            <w:r>
              <w:rPr>
                <w:color w:val="000000"/>
              </w:rPr>
              <w:t>69.7</w:t>
            </w:r>
          </w:p>
        </w:tc>
        <w:tc>
          <w:tcPr>
            <w:tcW w:w="1432" w:type="dxa"/>
            <w:noWrap/>
            <w:vAlign w:val="center"/>
          </w:tcPr>
          <w:p w:rsidR="003A3B91" w:rsidRPr="00F55820" w:rsidRDefault="003A3B91" w:rsidP="00F762FA">
            <w:pPr>
              <w:pStyle w:val="Normal-beforebullets"/>
              <w:jc w:val="right"/>
              <w:rPr>
                <w:color w:val="000000"/>
              </w:rPr>
            </w:pPr>
            <w:r w:rsidRPr="00F55820">
              <w:rPr>
                <w:color w:val="000000"/>
              </w:rPr>
              <w:t>69</w:t>
            </w:r>
          </w:p>
        </w:tc>
        <w:tc>
          <w:tcPr>
            <w:tcW w:w="1432" w:type="dxa"/>
            <w:vAlign w:val="center"/>
          </w:tcPr>
          <w:p w:rsidR="003A3B91" w:rsidRPr="00F55820" w:rsidRDefault="003A3B91" w:rsidP="00F762FA">
            <w:pPr>
              <w:pStyle w:val="Normal-beforebullets"/>
              <w:jc w:val="right"/>
              <w:rPr>
                <w:color w:val="000000"/>
              </w:rPr>
            </w:pPr>
            <w:r>
              <w:rPr>
                <w:color w:val="000000"/>
              </w:rPr>
              <w:t>52.3</w:t>
            </w:r>
          </w:p>
        </w:tc>
      </w:tr>
      <w:tr w:rsidR="003A3B91" w:rsidRPr="002B37B1" w:rsidTr="00F762FA">
        <w:trPr>
          <w:trHeight w:val="300"/>
        </w:trPr>
        <w:tc>
          <w:tcPr>
            <w:tcW w:w="2122" w:type="dxa"/>
            <w:vAlign w:val="center"/>
          </w:tcPr>
          <w:p w:rsidR="003A3B91" w:rsidRPr="00EE75B2" w:rsidRDefault="003A3B91" w:rsidP="00F762FA">
            <w:pPr>
              <w:pStyle w:val="Normal-beforebullets"/>
              <w:rPr>
                <w:b/>
                <w:color w:val="000000"/>
                <w:lang w:eastAsia="en-AU"/>
              </w:rPr>
            </w:pPr>
            <w:r w:rsidRPr="00EE75B2">
              <w:rPr>
                <w:b/>
                <w:color w:val="000000"/>
                <w:lang w:eastAsia="en-AU"/>
              </w:rPr>
              <w:t>Skin, soft tissue</w:t>
            </w:r>
          </w:p>
        </w:tc>
        <w:tc>
          <w:tcPr>
            <w:tcW w:w="1844" w:type="dxa"/>
            <w:vAlign w:val="center"/>
          </w:tcPr>
          <w:p w:rsidR="003A3B91" w:rsidRPr="00F55820" w:rsidRDefault="003A3B91" w:rsidP="00F762FA">
            <w:pPr>
              <w:pStyle w:val="Normal-beforebullets"/>
              <w:jc w:val="right"/>
              <w:rPr>
                <w:color w:val="000000"/>
              </w:rPr>
            </w:pPr>
            <w:r>
              <w:rPr>
                <w:color w:val="000000"/>
              </w:rPr>
              <w:t>117</w:t>
            </w:r>
          </w:p>
        </w:tc>
        <w:tc>
          <w:tcPr>
            <w:tcW w:w="1431" w:type="dxa"/>
            <w:noWrap/>
            <w:vAlign w:val="center"/>
          </w:tcPr>
          <w:p w:rsidR="003A3B91" w:rsidRPr="00F55820" w:rsidRDefault="003A3B91" w:rsidP="00F762FA">
            <w:pPr>
              <w:pStyle w:val="Normal-beforebullets"/>
              <w:jc w:val="right"/>
              <w:rPr>
                <w:color w:val="000000"/>
              </w:rPr>
            </w:pPr>
            <w:r w:rsidRPr="00F55820">
              <w:rPr>
                <w:color w:val="000000"/>
              </w:rPr>
              <w:t>90</w:t>
            </w:r>
          </w:p>
        </w:tc>
        <w:tc>
          <w:tcPr>
            <w:tcW w:w="1432" w:type="dxa"/>
            <w:vAlign w:val="center"/>
          </w:tcPr>
          <w:p w:rsidR="003A3B91" w:rsidRPr="00F55820" w:rsidRDefault="003A3B91" w:rsidP="00F762FA">
            <w:pPr>
              <w:pStyle w:val="Normal-beforebullets"/>
              <w:jc w:val="right"/>
              <w:rPr>
                <w:color w:val="000000"/>
              </w:rPr>
            </w:pPr>
            <w:r>
              <w:rPr>
                <w:color w:val="000000"/>
              </w:rPr>
              <w:t>76.3</w:t>
            </w:r>
          </w:p>
        </w:tc>
        <w:tc>
          <w:tcPr>
            <w:tcW w:w="1432" w:type="dxa"/>
            <w:noWrap/>
            <w:vAlign w:val="center"/>
          </w:tcPr>
          <w:p w:rsidR="003A3B91" w:rsidRPr="00F55820" w:rsidRDefault="003A3B91" w:rsidP="00F762FA">
            <w:pPr>
              <w:pStyle w:val="Normal-beforebullets"/>
              <w:jc w:val="right"/>
              <w:rPr>
                <w:color w:val="000000"/>
              </w:rPr>
            </w:pPr>
            <w:r w:rsidRPr="00F55820">
              <w:rPr>
                <w:color w:val="000000"/>
              </w:rPr>
              <w:t>50</w:t>
            </w:r>
          </w:p>
        </w:tc>
        <w:tc>
          <w:tcPr>
            <w:tcW w:w="1432" w:type="dxa"/>
            <w:vAlign w:val="center"/>
          </w:tcPr>
          <w:p w:rsidR="003A3B91" w:rsidRPr="00F55820" w:rsidRDefault="003A3B91" w:rsidP="00F762FA">
            <w:pPr>
              <w:pStyle w:val="Normal-beforebullets"/>
              <w:jc w:val="right"/>
              <w:rPr>
                <w:color w:val="000000"/>
              </w:rPr>
            </w:pPr>
            <w:r>
              <w:rPr>
                <w:color w:val="000000"/>
              </w:rPr>
              <w:t>42.4</w:t>
            </w:r>
          </w:p>
        </w:tc>
      </w:tr>
      <w:tr w:rsidR="003A3B91" w:rsidRPr="002B37B1" w:rsidTr="00F762FA">
        <w:trPr>
          <w:trHeight w:val="300"/>
        </w:trPr>
        <w:tc>
          <w:tcPr>
            <w:tcW w:w="2122" w:type="dxa"/>
            <w:vAlign w:val="center"/>
          </w:tcPr>
          <w:p w:rsidR="003A3B91" w:rsidRPr="00EE75B2" w:rsidRDefault="003A3B91" w:rsidP="00F762FA">
            <w:pPr>
              <w:pStyle w:val="Normal-beforebullets"/>
              <w:rPr>
                <w:b/>
                <w:color w:val="000000"/>
                <w:lang w:eastAsia="en-AU"/>
              </w:rPr>
            </w:pPr>
            <w:r w:rsidRPr="00EE75B2">
              <w:rPr>
                <w:b/>
                <w:color w:val="000000"/>
                <w:lang w:eastAsia="en-AU"/>
              </w:rPr>
              <w:t>Urinary tract</w:t>
            </w:r>
          </w:p>
        </w:tc>
        <w:tc>
          <w:tcPr>
            <w:tcW w:w="1844" w:type="dxa"/>
            <w:vAlign w:val="center"/>
          </w:tcPr>
          <w:p w:rsidR="003A3B91" w:rsidRPr="00F55820" w:rsidRDefault="003A3B91" w:rsidP="00F762FA">
            <w:pPr>
              <w:pStyle w:val="Normal-beforebullets"/>
              <w:jc w:val="right"/>
              <w:rPr>
                <w:color w:val="000000"/>
              </w:rPr>
            </w:pPr>
            <w:r>
              <w:rPr>
                <w:color w:val="000000"/>
              </w:rPr>
              <w:t>74</w:t>
            </w:r>
          </w:p>
        </w:tc>
        <w:tc>
          <w:tcPr>
            <w:tcW w:w="1431" w:type="dxa"/>
            <w:noWrap/>
            <w:vAlign w:val="center"/>
          </w:tcPr>
          <w:p w:rsidR="003A3B91" w:rsidRPr="00F55820" w:rsidRDefault="003A3B91" w:rsidP="00F762FA">
            <w:pPr>
              <w:pStyle w:val="Normal-beforebullets"/>
              <w:jc w:val="right"/>
              <w:rPr>
                <w:color w:val="000000"/>
              </w:rPr>
            </w:pPr>
            <w:r w:rsidRPr="00F55820">
              <w:rPr>
                <w:color w:val="000000"/>
              </w:rPr>
              <w:t>56</w:t>
            </w:r>
          </w:p>
        </w:tc>
        <w:tc>
          <w:tcPr>
            <w:tcW w:w="1432" w:type="dxa"/>
            <w:vAlign w:val="center"/>
          </w:tcPr>
          <w:p w:rsidR="003A3B91" w:rsidRPr="00F55820" w:rsidRDefault="003A3B91" w:rsidP="00F762FA">
            <w:pPr>
              <w:pStyle w:val="Normal-beforebullets"/>
              <w:jc w:val="right"/>
              <w:rPr>
                <w:color w:val="000000"/>
              </w:rPr>
            </w:pPr>
            <w:r>
              <w:rPr>
                <w:color w:val="000000"/>
              </w:rPr>
              <w:t>73.7</w:t>
            </w:r>
          </w:p>
        </w:tc>
        <w:tc>
          <w:tcPr>
            <w:tcW w:w="1432" w:type="dxa"/>
            <w:noWrap/>
            <w:vAlign w:val="center"/>
          </w:tcPr>
          <w:p w:rsidR="003A3B91" w:rsidRPr="00F55820" w:rsidRDefault="003A3B91" w:rsidP="00F762FA">
            <w:pPr>
              <w:pStyle w:val="Normal-beforebullets"/>
              <w:jc w:val="right"/>
              <w:rPr>
                <w:color w:val="000000"/>
              </w:rPr>
            </w:pPr>
            <w:r w:rsidRPr="00F55820">
              <w:rPr>
                <w:color w:val="000000"/>
              </w:rPr>
              <w:t>1</w:t>
            </w:r>
          </w:p>
        </w:tc>
        <w:tc>
          <w:tcPr>
            <w:tcW w:w="1432" w:type="dxa"/>
            <w:vAlign w:val="center"/>
          </w:tcPr>
          <w:p w:rsidR="003A3B91" w:rsidRPr="00F55820" w:rsidRDefault="003A3B91" w:rsidP="00F762FA">
            <w:pPr>
              <w:pStyle w:val="Normal-beforebullets"/>
              <w:jc w:val="right"/>
              <w:rPr>
                <w:color w:val="000000"/>
              </w:rPr>
            </w:pPr>
            <w:r>
              <w:rPr>
                <w:color w:val="000000"/>
              </w:rPr>
              <w:t>1.3</w:t>
            </w:r>
          </w:p>
        </w:tc>
      </w:tr>
      <w:tr w:rsidR="003A3B91" w:rsidRPr="002B37B1" w:rsidTr="00F762FA">
        <w:trPr>
          <w:trHeight w:val="300"/>
        </w:trPr>
        <w:tc>
          <w:tcPr>
            <w:tcW w:w="2122" w:type="dxa"/>
            <w:vAlign w:val="center"/>
          </w:tcPr>
          <w:p w:rsidR="003A3B91" w:rsidRPr="00EE75B2" w:rsidRDefault="003A3B91" w:rsidP="00F762FA">
            <w:pPr>
              <w:pStyle w:val="Normal-beforebullets"/>
              <w:rPr>
                <w:b/>
                <w:color w:val="000000"/>
                <w:lang w:eastAsia="en-AU"/>
              </w:rPr>
            </w:pPr>
            <w:r w:rsidRPr="00EE75B2">
              <w:rPr>
                <w:b/>
                <w:color w:val="000000"/>
                <w:lang w:eastAsia="en-AU"/>
              </w:rPr>
              <w:t>Eye</w:t>
            </w:r>
          </w:p>
        </w:tc>
        <w:tc>
          <w:tcPr>
            <w:tcW w:w="1844" w:type="dxa"/>
            <w:vAlign w:val="center"/>
          </w:tcPr>
          <w:p w:rsidR="003A3B91" w:rsidRPr="00F55820" w:rsidRDefault="003A3B91" w:rsidP="00F762FA">
            <w:pPr>
              <w:pStyle w:val="Normal-beforebullets"/>
              <w:jc w:val="right"/>
              <w:rPr>
                <w:color w:val="000000"/>
              </w:rPr>
            </w:pPr>
            <w:r w:rsidRPr="00F55820">
              <w:rPr>
                <w:color w:val="000000"/>
              </w:rPr>
              <w:t>19</w:t>
            </w:r>
          </w:p>
        </w:tc>
        <w:tc>
          <w:tcPr>
            <w:tcW w:w="1431" w:type="dxa"/>
            <w:noWrap/>
            <w:vAlign w:val="center"/>
          </w:tcPr>
          <w:p w:rsidR="003A3B91" w:rsidRPr="00F55820" w:rsidRDefault="003A3B91" w:rsidP="00F762FA">
            <w:pPr>
              <w:pStyle w:val="Normal-beforebullets"/>
              <w:jc w:val="right"/>
              <w:rPr>
                <w:color w:val="000000"/>
              </w:rPr>
            </w:pPr>
            <w:r w:rsidRPr="00F55820">
              <w:rPr>
                <w:color w:val="000000"/>
              </w:rPr>
              <w:t>16</w:t>
            </w:r>
          </w:p>
        </w:tc>
        <w:tc>
          <w:tcPr>
            <w:tcW w:w="1432" w:type="dxa"/>
            <w:vAlign w:val="center"/>
          </w:tcPr>
          <w:p w:rsidR="003A3B91" w:rsidRPr="00F55820" w:rsidRDefault="003A3B91" w:rsidP="00F762FA">
            <w:pPr>
              <w:pStyle w:val="Normal-beforebullets"/>
              <w:jc w:val="right"/>
              <w:rPr>
                <w:color w:val="000000"/>
              </w:rPr>
            </w:pPr>
            <w:r>
              <w:rPr>
                <w:color w:val="000000"/>
              </w:rPr>
              <w:t>84.2</w:t>
            </w:r>
          </w:p>
        </w:tc>
        <w:tc>
          <w:tcPr>
            <w:tcW w:w="1432" w:type="dxa"/>
            <w:noWrap/>
            <w:vAlign w:val="center"/>
          </w:tcPr>
          <w:p w:rsidR="003A3B91" w:rsidRPr="00F55820" w:rsidRDefault="003A3B91" w:rsidP="00F762FA">
            <w:pPr>
              <w:pStyle w:val="Normal-beforebullets"/>
              <w:jc w:val="right"/>
              <w:rPr>
                <w:color w:val="000000"/>
              </w:rPr>
            </w:pPr>
            <w:r w:rsidRPr="00F55820">
              <w:rPr>
                <w:color w:val="000000"/>
              </w:rPr>
              <w:t>16</w:t>
            </w:r>
          </w:p>
        </w:tc>
        <w:tc>
          <w:tcPr>
            <w:tcW w:w="1432" w:type="dxa"/>
            <w:vAlign w:val="center"/>
          </w:tcPr>
          <w:p w:rsidR="003A3B91" w:rsidRPr="00F55820" w:rsidRDefault="003A3B91" w:rsidP="00F762FA">
            <w:pPr>
              <w:pStyle w:val="Normal-beforebullets"/>
              <w:jc w:val="right"/>
              <w:rPr>
                <w:color w:val="000000"/>
              </w:rPr>
            </w:pPr>
            <w:r>
              <w:rPr>
                <w:color w:val="000000"/>
              </w:rPr>
              <w:t>84.2</w:t>
            </w:r>
          </w:p>
        </w:tc>
      </w:tr>
      <w:tr w:rsidR="003A3B91" w:rsidRPr="002B37B1" w:rsidTr="00F762FA">
        <w:trPr>
          <w:trHeight w:val="300"/>
        </w:trPr>
        <w:tc>
          <w:tcPr>
            <w:tcW w:w="2122" w:type="dxa"/>
            <w:vAlign w:val="center"/>
          </w:tcPr>
          <w:p w:rsidR="003A3B91" w:rsidRPr="00EE75B2" w:rsidRDefault="003A3B91" w:rsidP="00F762FA">
            <w:pPr>
              <w:pStyle w:val="Normal-beforebullets"/>
              <w:rPr>
                <w:b/>
                <w:color w:val="000000"/>
                <w:lang w:eastAsia="en-AU"/>
              </w:rPr>
            </w:pPr>
            <w:r w:rsidRPr="00EE75B2">
              <w:rPr>
                <w:b/>
                <w:color w:val="000000"/>
                <w:lang w:eastAsia="en-AU"/>
              </w:rPr>
              <w:t>Oral</w:t>
            </w:r>
          </w:p>
        </w:tc>
        <w:tc>
          <w:tcPr>
            <w:tcW w:w="1844" w:type="dxa"/>
            <w:vAlign w:val="center"/>
          </w:tcPr>
          <w:p w:rsidR="003A3B91" w:rsidRPr="00F55820" w:rsidRDefault="003A3B91" w:rsidP="00F762FA">
            <w:pPr>
              <w:pStyle w:val="Normal-beforebullets"/>
              <w:jc w:val="right"/>
              <w:rPr>
                <w:color w:val="000000"/>
              </w:rPr>
            </w:pPr>
            <w:r w:rsidRPr="00F55820">
              <w:rPr>
                <w:color w:val="000000"/>
              </w:rPr>
              <w:t>9</w:t>
            </w:r>
          </w:p>
        </w:tc>
        <w:tc>
          <w:tcPr>
            <w:tcW w:w="1431" w:type="dxa"/>
            <w:noWrap/>
            <w:vAlign w:val="center"/>
          </w:tcPr>
          <w:p w:rsidR="003A3B91" w:rsidRPr="00F55820" w:rsidRDefault="003A3B91" w:rsidP="00F762FA">
            <w:pPr>
              <w:pStyle w:val="Normal-beforebullets"/>
              <w:jc w:val="right"/>
              <w:rPr>
                <w:color w:val="000000"/>
              </w:rPr>
            </w:pPr>
            <w:r w:rsidRPr="00F55820">
              <w:rPr>
                <w:color w:val="000000"/>
              </w:rPr>
              <w:t>6</w:t>
            </w:r>
          </w:p>
        </w:tc>
        <w:tc>
          <w:tcPr>
            <w:tcW w:w="1432" w:type="dxa"/>
            <w:vAlign w:val="center"/>
          </w:tcPr>
          <w:p w:rsidR="003A3B91" w:rsidRPr="00F55820" w:rsidRDefault="003A3B91" w:rsidP="00F762FA">
            <w:pPr>
              <w:pStyle w:val="Normal-beforebullets"/>
              <w:jc w:val="right"/>
              <w:rPr>
                <w:color w:val="000000"/>
              </w:rPr>
            </w:pPr>
            <w:r>
              <w:rPr>
                <w:color w:val="000000"/>
              </w:rPr>
              <w:t>66.7</w:t>
            </w:r>
          </w:p>
        </w:tc>
        <w:tc>
          <w:tcPr>
            <w:tcW w:w="1432" w:type="dxa"/>
            <w:noWrap/>
            <w:vAlign w:val="center"/>
          </w:tcPr>
          <w:p w:rsidR="003A3B91" w:rsidRPr="00F55820" w:rsidRDefault="003A3B91" w:rsidP="00F762FA">
            <w:pPr>
              <w:pStyle w:val="Normal-beforebullets"/>
              <w:jc w:val="right"/>
              <w:rPr>
                <w:color w:val="000000"/>
              </w:rPr>
            </w:pPr>
            <w:r w:rsidRPr="00F55820">
              <w:rPr>
                <w:color w:val="000000"/>
              </w:rPr>
              <w:t>6</w:t>
            </w:r>
          </w:p>
        </w:tc>
        <w:tc>
          <w:tcPr>
            <w:tcW w:w="1432" w:type="dxa"/>
            <w:vAlign w:val="center"/>
          </w:tcPr>
          <w:p w:rsidR="003A3B91" w:rsidRPr="00F55820" w:rsidRDefault="003A3B91" w:rsidP="00F762FA">
            <w:pPr>
              <w:pStyle w:val="Normal-beforebullets"/>
              <w:jc w:val="right"/>
              <w:rPr>
                <w:color w:val="000000"/>
              </w:rPr>
            </w:pPr>
            <w:r>
              <w:rPr>
                <w:color w:val="000000"/>
              </w:rPr>
              <w:t>66.7</w:t>
            </w:r>
          </w:p>
        </w:tc>
      </w:tr>
      <w:tr w:rsidR="003A3B91" w:rsidRPr="00AA0FAA" w:rsidTr="00F762FA">
        <w:trPr>
          <w:trHeight w:val="300"/>
        </w:trPr>
        <w:tc>
          <w:tcPr>
            <w:tcW w:w="2122" w:type="dxa"/>
            <w:vAlign w:val="center"/>
          </w:tcPr>
          <w:p w:rsidR="003A3B91" w:rsidRPr="00EE75B2" w:rsidRDefault="003A3B91" w:rsidP="00F762FA">
            <w:pPr>
              <w:pStyle w:val="Normal-beforebullets"/>
              <w:rPr>
                <w:b/>
                <w:color w:val="000000"/>
                <w:lang w:eastAsia="en-AU"/>
              </w:rPr>
            </w:pPr>
            <w:r w:rsidRPr="00EE75B2">
              <w:rPr>
                <w:b/>
                <w:color w:val="000000"/>
                <w:lang w:eastAsia="en-AU"/>
              </w:rPr>
              <w:t>Gastrointestinal</w:t>
            </w:r>
          </w:p>
        </w:tc>
        <w:tc>
          <w:tcPr>
            <w:tcW w:w="1844" w:type="dxa"/>
            <w:vAlign w:val="center"/>
          </w:tcPr>
          <w:p w:rsidR="003A3B91" w:rsidRPr="00F55820" w:rsidRDefault="003A3B91" w:rsidP="00F762FA">
            <w:pPr>
              <w:pStyle w:val="Normal-beforebullets"/>
              <w:jc w:val="right"/>
              <w:rPr>
                <w:color w:val="000000"/>
              </w:rPr>
            </w:pPr>
            <w:r w:rsidRPr="00F55820">
              <w:rPr>
                <w:color w:val="000000"/>
              </w:rPr>
              <w:t>1</w:t>
            </w:r>
          </w:p>
        </w:tc>
        <w:tc>
          <w:tcPr>
            <w:tcW w:w="1431" w:type="dxa"/>
            <w:noWrap/>
            <w:vAlign w:val="center"/>
          </w:tcPr>
          <w:p w:rsidR="003A3B91" w:rsidRPr="00F55820" w:rsidRDefault="003A3B91" w:rsidP="00F762FA">
            <w:pPr>
              <w:pStyle w:val="Normal-beforebullets"/>
              <w:jc w:val="right"/>
              <w:rPr>
                <w:color w:val="000000"/>
              </w:rPr>
            </w:pPr>
            <w:r w:rsidRPr="00F55820">
              <w:rPr>
                <w:color w:val="000000"/>
              </w:rPr>
              <w:t>0</w:t>
            </w:r>
          </w:p>
        </w:tc>
        <w:tc>
          <w:tcPr>
            <w:tcW w:w="1432" w:type="dxa"/>
            <w:vAlign w:val="center"/>
          </w:tcPr>
          <w:p w:rsidR="003A3B91" w:rsidRPr="00F55820" w:rsidRDefault="003A3B91" w:rsidP="00F762FA">
            <w:pPr>
              <w:pStyle w:val="Normal-beforebullets"/>
              <w:jc w:val="right"/>
              <w:rPr>
                <w:color w:val="000000"/>
              </w:rPr>
            </w:pPr>
            <w:r>
              <w:rPr>
                <w:color w:val="000000"/>
              </w:rPr>
              <w:t>0.0</w:t>
            </w:r>
          </w:p>
        </w:tc>
        <w:tc>
          <w:tcPr>
            <w:tcW w:w="1432" w:type="dxa"/>
            <w:noWrap/>
            <w:vAlign w:val="center"/>
          </w:tcPr>
          <w:p w:rsidR="003A3B91" w:rsidRPr="00F55820" w:rsidRDefault="003A3B91" w:rsidP="00F762FA">
            <w:pPr>
              <w:pStyle w:val="Normal-beforebullets"/>
              <w:jc w:val="right"/>
              <w:rPr>
                <w:color w:val="000000"/>
              </w:rPr>
            </w:pPr>
            <w:r w:rsidRPr="00F55820">
              <w:rPr>
                <w:color w:val="000000"/>
              </w:rPr>
              <w:t>0</w:t>
            </w:r>
          </w:p>
        </w:tc>
        <w:tc>
          <w:tcPr>
            <w:tcW w:w="1432" w:type="dxa"/>
            <w:vAlign w:val="center"/>
          </w:tcPr>
          <w:p w:rsidR="003A3B91" w:rsidRPr="00F55820" w:rsidRDefault="003A3B91" w:rsidP="00F762FA">
            <w:pPr>
              <w:pStyle w:val="Normal-beforebullets"/>
              <w:jc w:val="right"/>
              <w:rPr>
                <w:color w:val="000000"/>
              </w:rPr>
            </w:pPr>
            <w:r>
              <w:rPr>
                <w:color w:val="000000"/>
              </w:rPr>
              <w:t>0.0</w:t>
            </w:r>
          </w:p>
        </w:tc>
      </w:tr>
      <w:tr w:rsidR="003A3B91" w:rsidRPr="00AA0FAA" w:rsidTr="00F762FA">
        <w:trPr>
          <w:trHeight w:val="300"/>
        </w:trPr>
        <w:tc>
          <w:tcPr>
            <w:tcW w:w="2122" w:type="dxa"/>
            <w:vAlign w:val="center"/>
          </w:tcPr>
          <w:p w:rsidR="003A3B91" w:rsidRPr="00140F71" w:rsidRDefault="003A3B91" w:rsidP="00F762FA">
            <w:pPr>
              <w:pStyle w:val="Normal-beforebullets"/>
              <w:rPr>
                <w:b/>
                <w:color w:val="000000"/>
                <w:lang w:eastAsia="en-AU"/>
              </w:rPr>
            </w:pPr>
            <w:r w:rsidRPr="00140F71">
              <w:rPr>
                <w:b/>
                <w:color w:val="000000"/>
                <w:lang w:eastAsia="en-AU"/>
              </w:rPr>
              <w:t>Total</w:t>
            </w:r>
          </w:p>
        </w:tc>
        <w:tc>
          <w:tcPr>
            <w:tcW w:w="1844" w:type="dxa"/>
            <w:vAlign w:val="center"/>
          </w:tcPr>
          <w:p w:rsidR="003A3B91" w:rsidRPr="00140F71" w:rsidRDefault="003A3B91" w:rsidP="00F762FA">
            <w:pPr>
              <w:pStyle w:val="Normal-beforebullets"/>
              <w:jc w:val="right"/>
              <w:rPr>
                <w:b/>
                <w:color w:val="000000"/>
              </w:rPr>
            </w:pPr>
            <w:r w:rsidRPr="00140F71">
              <w:rPr>
                <w:b/>
                <w:lang w:eastAsia="en-AU"/>
              </w:rPr>
              <w:t>360</w:t>
            </w:r>
          </w:p>
        </w:tc>
        <w:tc>
          <w:tcPr>
            <w:tcW w:w="1431" w:type="dxa"/>
            <w:noWrap/>
            <w:vAlign w:val="center"/>
          </w:tcPr>
          <w:p w:rsidR="003A3B91" w:rsidRPr="00140F71" w:rsidRDefault="003A3B91" w:rsidP="00F762FA">
            <w:pPr>
              <w:pStyle w:val="Normal-beforebullets"/>
              <w:jc w:val="right"/>
              <w:rPr>
                <w:b/>
                <w:color w:val="000000"/>
              </w:rPr>
            </w:pPr>
            <w:r w:rsidRPr="00140F71">
              <w:rPr>
                <w:b/>
                <w:lang w:eastAsia="en-AU"/>
              </w:rPr>
              <w:t>265</w:t>
            </w:r>
          </w:p>
        </w:tc>
        <w:tc>
          <w:tcPr>
            <w:tcW w:w="1432" w:type="dxa"/>
            <w:vAlign w:val="center"/>
          </w:tcPr>
          <w:p w:rsidR="003A3B91" w:rsidRPr="00140F71" w:rsidRDefault="003A3B91" w:rsidP="00F762FA">
            <w:pPr>
              <w:pStyle w:val="Normal-beforebullets"/>
              <w:jc w:val="right"/>
              <w:rPr>
                <w:b/>
                <w:color w:val="000000"/>
              </w:rPr>
            </w:pPr>
            <w:r w:rsidRPr="00140F71">
              <w:rPr>
                <w:b/>
                <w:lang w:eastAsia="en-AU"/>
              </w:rPr>
              <w:t>73.6</w:t>
            </w:r>
          </w:p>
        </w:tc>
        <w:tc>
          <w:tcPr>
            <w:tcW w:w="1432" w:type="dxa"/>
            <w:noWrap/>
            <w:vAlign w:val="center"/>
          </w:tcPr>
          <w:p w:rsidR="003A3B91" w:rsidRPr="00140F71" w:rsidRDefault="003A3B91" w:rsidP="00F762FA">
            <w:pPr>
              <w:pStyle w:val="Normal-beforebullets"/>
              <w:jc w:val="right"/>
              <w:rPr>
                <w:b/>
                <w:color w:val="000000"/>
              </w:rPr>
            </w:pPr>
            <w:r w:rsidRPr="00140F71">
              <w:rPr>
                <w:b/>
                <w:lang w:eastAsia="en-AU"/>
              </w:rPr>
              <w:t>142</w:t>
            </w:r>
          </w:p>
        </w:tc>
        <w:tc>
          <w:tcPr>
            <w:tcW w:w="1432" w:type="dxa"/>
            <w:vAlign w:val="center"/>
          </w:tcPr>
          <w:p w:rsidR="003A3B91" w:rsidRPr="00140F71" w:rsidRDefault="003A3B91" w:rsidP="00F762FA">
            <w:pPr>
              <w:pStyle w:val="Normal-beforebullets"/>
              <w:jc w:val="right"/>
              <w:rPr>
                <w:b/>
                <w:color w:val="000000"/>
              </w:rPr>
            </w:pPr>
            <w:r w:rsidRPr="00140F71">
              <w:rPr>
                <w:b/>
                <w:lang w:eastAsia="en-AU"/>
              </w:rPr>
              <w:t>39.4</w:t>
            </w:r>
          </w:p>
        </w:tc>
      </w:tr>
    </w:tbl>
    <w:p w:rsidR="003A3B91" w:rsidRPr="007D0DD8" w:rsidRDefault="003A3B91" w:rsidP="003A3B91">
      <w:pPr>
        <w:pStyle w:val="Normal-beforebullets"/>
        <w:rPr>
          <w:sz w:val="20"/>
          <w:szCs w:val="20"/>
        </w:rPr>
      </w:pPr>
      <w:bookmarkStart w:id="52" w:name="_Toc476731100"/>
      <w:bookmarkStart w:id="53" w:name="_Toc476731168"/>
      <w:bookmarkStart w:id="54" w:name="_Toc512502144"/>
      <w:r w:rsidRPr="008229F3">
        <w:rPr>
          <w:sz w:val="20"/>
          <w:szCs w:val="20"/>
        </w:rPr>
        <w:t>§</w:t>
      </w:r>
      <w:r>
        <w:rPr>
          <w:sz w:val="20"/>
          <w:szCs w:val="20"/>
        </w:rPr>
        <w:t>ACH=aged care home</w:t>
      </w:r>
    </w:p>
    <w:p w:rsidR="003A3B91" w:rsidRPr="003A3B91" w:rsidRDefault="003536F1" w:rsidP="003A3B91">
      <w:pPr>
        <w:pStyle w:val="Heading2"/>
        <w:rPr>
          <w:rFonts w:cs="Times New Roman"/>
          <w:color w:val="auto"/>
          <w:kern w:val="0"/>
          <w:sz w:val="22"/>
          <w:szCs w:val="22"/>
        </w:rPr>
      </w:pPr>
      <w:bookmarkStart w:id="55" w:name="_Toc513125589"/>
      <w:bookmarkEnd w:id="52"/>
      <w:bookmarkEnd w:id="53"/>
      <w:bookmarkEnd w:id="54"/>
      <w:r>
        <w:t xml:space="preserve">E: </w:t>
      </w:r>
      <w:r w:rsidR="00557D08" w:rsidRPr="00557D08">
        <w:t>Antimicrobial use</w:t>
      </w:r>
      <w:bookmarkEnd w:id="55"/>
    </w:p>
    <w:p w:rsidR="00557D08" w:rsidRPr="001F17EA" w:rsidRDefault="00557D08" w:rsidP="00557D08">
      <w:r w:rsidRPr="00B06586">
        <w:t xml:space="preserve">Antimicrobial data collected </w:t>
      </w:r>
      <w:r w:rsidR="00B06586">
        <w:t xml:space="preserve">as part of </w:t>
      </w:r>
      <w:r w:rsidR="00205D1D">
        <w:t>Method 1 and Method 2 wer</w:t>
      </w:r>
      <w:r w:rsidRPr="00B06586">
        <w:t>e combined for the analyses presented in this section</w:t>
      </w:r>
      <w:r w:rsidR="003536F1" w:rsidRPr="00B06586">
        <w:t>.</w:t>
      </w:r>
      <w:r w:rsidR="00B06586">
        <w:t xml:space="preserve"> The unit of analysis is antimicrobial prescriptions. </w:t>
      </w:r>
    </w:p>
    <w:p w:rsidR="00557D08" w:rsidRPr="00AE6964" w:rsidRDefault="002439FE" w:rsidP="00557D08">
      <w:r w:rsidRPr="001D326D">
        <w:t>In 2017, 1,087 residents were prescribed a total of 1,231 antimicrobials</w:t>
      </w:r>
      <w:r w:rsidR="00BB7508">
        <w:t xml:space="preserve"> (Table 7)</w:t>
      </w:r>
      <w:r w:rsidRPr="001D326D">
        <w:t xml:space="preserve">. </w:t>
      </w:r>
      <w:r w:rsidR="00557D08" w:rsidRPr="001D326D">
        <w:t xml:space="preserve">The start date was unknown for </w:t>
      </w:r>
      <w:r w:rsidR="00DE5D09" w:rsidRPr="001D326D">
        <w:t>4.3% (</w:t>
      </w:r>
      <w:r w:rsidR="00DE5D09" w:rsidRPr="00492FB8">
        <w:rPr>
          <w:i/>
        </w:rPr>
        <w:t>n</w:t>
      </w:r>
      <w:r w:rsidR="00DE5D09" w:rsidRPr="001D326D">
        <w:t xml:space="preserve">= </w:t>
      </w:r>
      <w:r w:rsidR="00557D08" w:rsidRPr="001D326D">
        <w:t>53</w:t>
      </w:r>
      <w:r w:rsidR="00DE5D09" w:rsidRPr="001D326D">
        <w:t>)</w:t>
      </w:r>
      <w:r w:rsidR="00557D08" w:rsidRPr="001D326D">
        <w:t xml:space="preserve"> </w:t>
      </w:r>
      <w:r w:rsidR="00B11658">
        <w:t xml:space="preserve">of </w:t>
      </w:r>
      <w:r w:rsidR="004D7B33" w:rsidRPr="001D326D">
        <w:t xml:space="preserve">antimicrobial </w:t>
      </w:r>
      <w:r w:rsidR="00557D08" w:rsidRPr="001D326D">
        <w:t>prescriptions</w:t>
      </w:r>
      <w:r w:rsidR="00DE5D09" w:rsidRPr="001D326D">
        <w:t>, compared with 3.8% (</w:t>
      </w:r>
      <w:r w:rsidR="00DE5D09" w:rsidRPr="00492FB8">
        <w:rPr>
          <w:i/>
        </w:rPr>
        <w:t>n</w:t>
      </w:r>
      <w:r w:rsidR="00DE5D09" w:rsidRPr="001D326D">
        <w:t>=57) in 2016. About one quarter (</w:t>
      </w:r>
      <w:r w:rsidR="00DE5D09" w:rsidRPr="00492FB8">
        <w:rPr>
          <w:i/>
        </w:rPr>
        <w:t>n</w:t>
      </w:r>
      <w:r w:rsidR="00DE5D09" w:rsidRPr="001D326D">
        <w:t>=332, 26.9%</w:t>
      </w:r>
      <w:r w:rsidR="00557D08" w:rsidRPr="001D326D">
        <w:t xml:space="preserve">) </w:t>
      </w:r>
      <w:r w:rsidR="004D7B33" w:rsidRPr="001D326D">
        <w:t xml:space="preserve">of antimicrobial </w:t>
      </w:r>
      <w:r w:rsidR="00557D08" w:rsidRPr="001D326D">
        <w:t>prescriptions were commenced more than six months prior to the survey day</w:t>
      </w:r>
      <w:r w:rsidR="00DE5D09" w:rsidRPr="001D326D">
        <w:t>, compared with 30.1% in 2016</w:t>
      </w:r>
      <w:r w:rsidR="00557D08" w:rsidRPr="001D326D">
        <w:t>.</w:t>
      </w:r>
    </w:p>
    <w:p w:rsidR="00557D08" w:rsidRPr="003A3B91" w:rsidRDefault="00557D08" w:rsidP="003A3B91">
      <w:pPr>
        <w:pStyle w:val="Heading3"/>
        <w:rPr>
          <w:rFonts w:ascii="Arial" w:eastAsiaTheme="majorEastAsia" w:hAnsi="Arial"/>
          <w:color w:val="1178A2" w:themeColor="accent1"/>
          <w:sz w:val="32"/>
          <w:szCs w:val="32"/>
        </w:rPr>
      </w:pPr>
      <w:bookmarkStart w:id="56" w:name="_Toc476731084"/>
      <w:bookmarkStart w:id="57" w:name="_Toc476731152"/>
      <w:bookmarkStart w:id="58" w:name="_Toc513125590"/>
      <w:r w:rsidRPr="00AE6964">
        <w:t>Quality indicators</w:t>
      </w:r>
      <w:bookmarkEnd w:id="56"/>
      <w:bookmarkEnd w:id="57"/>
      <w:bookmarkEnd w:id="58"/>
    </w:p>
    <w:p w:rsidR="00557D08" w:rsidRPr="00B851D5" w:rsidRDefault="00557D08" w:rsidP="00557D08">
      <w:r w:rsidRPr="00B851D5">
        <w:t xml:space="preserve">In 2017, the two key quality indicators </w:t>
      </w:r>
      <w:r w:rsidR="00A50D58">
        <w:t>–</w:t>
      </w:r>
      <w:r w:rsidRPr="00B851D5">
        <w:t xml:space="preserve"> ‘indication documented’ and ‘review or stop date documented’ </w:t>
      </w:r>
      <w:r w:rsidR="00A50D58" w:rsidRPr="00A50D58">
        <w:t>–</w:t>
      </w:r>
      <w:r w:rsidR="00D80C41">
        <w:t xml:space="preserve"> were reported</w:t>
      </w:r>
      <w:r w:rsidRPr="00B851D5">
        <w:t xml:space="preserve"> </w:t>
      </w:r>
      <w:r w:rsidR="008632AE">
        <w:t xml:space="preserve">for </w:t>
      </w:r>
      <w:r w:rsidRPr="00B851D5">
        <w:t>76.3% (</w:t>
      </w:r>
      <w:r w:rsidRPr="00492FB8">
        <w:rPr>
          <w:i/>
        </w:rPr>
        <w:t>n</w:t>
      </w:r>
      <w:r w:rsidRPr="00B851D5">
        <w:t>=939) and 44.4% (</w:t>
      </w:r>
      <w:r w:rsidRPr="00492FB8">
        <w:rPr>
          <w:i/>
        </w:rPr>
        <w:t>n</w:t>
      </w:r>
      <w:r w:rsidRPr="00B851D5">
        <w:t xml:space="preserve">=547) </w:t>
      </w:r>
      <w:r w:rsidR="002B719E">
        <w:t xml:space="preserve">of </w:t>
      </w:r>
      <w:r w:rsidR="00525699">
        <w:t>antimicrobi</w:t>
      </w:r>
      <w:r w:rsidR="001552F8">
        <w:t xml:space="preserve">al </w:t>
      </w:r>
      <w:r w:rsidR="008632AE">
        <w:t xml:space="preserve">prescriptions </w:t>
      </w:r>
      <w:r w:rsidRPr="00B851D5">
        <w:t xml:space="preserve">respectively. In </w:t>
      </w:r>
      <w:r w:rsidR="00D80C41">
        <w:t>2016, the same indicators were reported</w:t>
      </w:r>
      <w:r w:rsidRPr="00B851D5">
        <w:t xml:space="preserve"> </w:t>
      </w:r>
      <w:r w:rsidR="00D80C41">
        <w:t xml:space="preserve">for </w:t>
      </w:r>
      <w:r w:rsidRPr="00B851D5">
        <w:t>74.4% (</w:t>
      </w:r>
      <w:r w:rsidRPr="00492FB8">
        <w:rPr>
          <w:i/>
        </w:rPr>
        <w:t>n</w:t>
      </w:r>
      <w:r w:rsidRPr="00B851D5">
        <w:t>=1,111) and 40</w:t>
      </w:r>
      <w:r w:rsidR="003A3B91">
        <w:t>.8% (</w:t>
      </w:r>
      <w:r w:rsidR="003A3B91" w:rsidRPr="00492FB8">
        <w:rPr>
          <w:i/>
        </w:rPr>
        <w:t>n</w:t>
      </w:r>
      <w:r w:rsidR="003A3B91">
        <w:t xml:space="preserve">=609) </w:t>
      </w:r>
      <w:r w:rsidR="002B719E">
        <w:t xml:space="preserve">of </w:t>
      </w:r>
      <w:r w:rsidR="00D80C41">
        <w:t xml:space="preserve">antimicrobial prescriptions </w:t>
      </w:r>
      <w:r w:rsidR="003A3B91">
        <w:t>(Table 7</w:t>
      </w:r>
      <w:r w:rsidRPr="00B851D5">
        <w:t xml:space="preserve">). </w:t>
      </w:r>
    </w:p>
    <w:p w:rsidR="00660AF0" w:rsidRDefault="003A3B91" w:rsidP="00557D08">
      <w:pPr>
        <w:pStyle w:val="FigureTitle"/>
      </w:pPr>
      <w:bookmarkStart w:id="59" w:name="_Toc471808074"/>
      <w:bookmarkStart w:id="60" w:name="_Toc477183307"/>
      <w:r>
        <w:t>Table 7</w:t>
      </w:r>
      <w:r w:rsidR="00557D08">
        <w:t xml:space="preserve">: </w:t>
      </w:r>
      <w:r w:rsidR="00557D08" w:rsidRPr="00B851D5">
        <w:t xml:space="preserve">Key quality indicators </w:t>
      </w:r>
      <w:bookmarkEnd w:id="59"/>
      <w:bookmarkEnd w:id="60"/>
      <w:r w:rsidR="00557D08" w:rsidRPr="00B851D5">
        <w:t xml:space="preserve">(2016 and 2017)  </w:t>
      </w:r>
    </w:p>
    <w:tbl>
      <w:tblPr>
        <w:tblStyle w:val="TableGridLight11"/>
        <w:tblW w:w="8122" w:type="dxa"/>
        <w:tblLayout w:type="fixed"/>
        <w:tblLook w:val="04A0" w:firstRow="1" w:lastRow="0" w:firstColumn="1" w:lastColumn="0" w:noHBand="0" w:noVBand="1"/>
      </w:tblPr>
      <w:tblGrid>
        <w:gridCol w:w="2802"/>
        <w:gridCol w:w="1117"/>
        <w:gridCol w:w="1401"/>
        <w:gridCol w:w="1401"/>
        <w:gridCol w:w="1401"/>
      </w:tblGrid>
      <w:tr w:rsidR="00660AF0" w:rsidRPr="00B851D5" w:rsidTr="005E32BF">
        <w:tc>
          <w:tcPr>
            <w:tcW w:w="2802" w:type="dxa"/>
            <w:vMerge w:val="restart"/>
            <w:vAlign w:val="center"/>
          </w:tcPr>
          <w:p w:rsidR="00660AF0" w:rsidRPr="00A50D58" w:rsidRDefault="00660AF0" w:rsidP="00E61E1B">
            <w:pPr>
              <w:pStyle w:val="Normal-beforebullets"/>
              <w:rPr>
                <w:b/>
              </w:rPr>
            </w:pPr>
            <w:r w:rsidRPr="00A50D58">
              <w:rPr>
                <w:b/>
              </w:rPr>
              <w:t>Quality Indicator</w:t>
            </w:r>
          </w:p>
        </w:tc>
        <w:tc>
          <w:tcPr>
            <w:tcW w:w="5320" w:type="dxa"/>
            <w:gridSpan w:val="4"/>
            <w:vAlign w:val="center"/>
          </w:tcPr>
          <w:p w:rsidR="00660AF0" w:rsidRPr="00A50D58" w:rsidRDefault="00660AF0" w:rsidP="00E61E1B">
            <w:pPr>
              <w:pStyle w:val="Normal-beforebullets"/>
              <w:jc w:val="center"/>
              <w:rPr>
                <w:b/>
                <w:bCs/>
              </w:rPr>
            </w:pPr>
            <w:r w:rsidRPr="00A50D58">
              <w:rPr>
                <w:b/>
              </w:rPr>
              <w:t>% of total antimicrobial prescriptions</w:t>
            </w:r>
          </w:p>
        </w:tc>
      </w:tr>
      <w:tr w:rsidR="00660AF0" w:rsidRPr="00B851D5" w:rsidTr="005E32BF">
        <w:trPr>
          <w:trHeight w:val="294"/>
        </w:trPr>
        <w:tc>
          <w:tcPr>
            <w:tcW w:w="2802" w:type="dxa"/>
            <w:vMerge/>
            <w:vAlign w:val="center"/>
          </w:tcPr>
          <w:p w:rsidR="00660AF0" w:rsidRPr="00B851D5" w:rsidRDefault="00660AF0" w:rsidP="00E61E1B">
            <w:pPr>
              <w:pStyle w:val="Normal-beforebullets"/>
            </w:pPr>
          </w:p>
        </w:tc>
        <w:tc>
          <w:tcPr>
            <w:tcW w:w="2518" w:type="dxa"/>
            <w:gridSpan w:val="2"/>
            <w:vAlign w:val="center"/>
          </w:tcPr>
          <w:p w:rsidR="00660AF0" w:rsidRPr="00A50D58" w:rsidRDefault="00660AF0" w:rsidP="008A7915">
            <w:pPr>
              <w:pStyle w:val="Normal-beforebullets"/>
              <w:jc w:val="center"/>
              <w:rPr>
                <w:b/>
              </w:rPr>
            </w:pPr>
            <w:r w:rsidRPr="00A50D58">
              <w:rPr>
                <w:b/>
              </w:rPr>
              <w:t>2016</w:t>
            </w:r>
          </w:p>
        </w:tc>
        <w:tc>
          <w:tcPr>
            <w:tcW w:w="2802" w:type="dxa"/>
            <w:gridSpan w:val="2"/>
            <w:vAlign w:val="center"/>
          </w:tcPr>
          <w:p w:rsidR="00660AF0" w:rsidRPr="00A50D58" w:rsidRDefault="00660AF0" w:rsidP="008A7915">
            <w:pPr>
              <w:pStyle w:val="Normal-beforebullets"/>
              <w:jc w:val="center"/>
              <w:rPr>
                <w:b/>
              </w:rPr>
            </w:pPr>
            <w:r w:rsidRPr="00A50D58">
              <w:rPr>
                <w:b/>
              </w:rPr>
              <w:t>2017</w:t>
            </w:r>
          </w:p>
        </w:tc>
      </w:tr>
      <w:tr w:rsidR="00660AF0" w:rsidRPr="00B851D5" w:rsidTr="005E32BF">
        <w:tc>
          <w:tcPr>
            <w:tcW w:w="2802" w:type="dxa"/>
            <w:vMerge/>
            <w:vAlign w:val="center"/>
          </w:tcPr>
          <w:p w:rsidR="00660AF0" w:rsidRPr="00B851D5" w:rsidRDefault="00660AF0" w:rsidP="00E61E1B">
            <w:pPr>
              <w:pStyle w:val="Normal-beforebullets"/>
              <w:rPr>
                <w:sz w:val="20"/>
                <w:szCs w:val="20"/>
              </w:rPr>
            </w:pPr>
          </w:p>
        </w:tc>
        <w:tc>
          <w:tcPr>
            <w:tcW w:w="1117" w:type="dxa"/>
            <w:vAlign w:val="center"/>
          </w:tcPr>
          <w:p w:rsidR="00660AF0" w:rsidRPr="00A50D58" w:rsidRDefault="00660AF0" w:rsidP="00E61E1B">
            <w:pPr>
              <w:pStyle w:val="Normal-beforebullets"/>
              <w:jc w:val="right"/>
              <w:rPr>
                <w:b/>
              </w:rPr>
            </w:pPr>
            <w:r w:rsidRPr="00A50D58">
              <w:rPr>
                <w:b/>
              </w:rPr>
              <w:t>No.</w:t>
            </w:r>
          </w:p>
        </w:tc>
        <w:tc>
          <w:tcPr>
            <w:tcW w:w="1401" w:type="dxa"/>
            <w:vAlign w:val="center"/>
          </w:tcPr>
          <w:p w:rsidR="00660AF0" w:rsidRPr="00A50D58" w:rsidRDefault="00660AF0" w:rsidP="00E61E1B">
            <w:pPr>
              <w:pStyle w:val="Normal-beforebullets"/>
              <w:jc w:val="right"/>
              <w:rPr>
                <w:b/>
              </w:rPr>
            </w:pPr>
            <w:r w:rsidRPr="00A50D58">
              <w:rPr>
                <w:b/>
              </w:rPr>
              <w:t>%</w:t>
            </w:r>
          </w:p>
        </w:tc>
        <w:tc>
          <w:tcPr>
            <w:tcW w:w="1401" w:type="dxa"/>
            <w:vAlign w:val="center"/>
          </w:tcPr>
          <w:p w:rsidR="00660AF0" w:rsidRPr="00A50D58" w:rsidRDefault="00660AF0" w:rsidP="00E61E1B">
            <w:pPr>
              <w:pStyle w:val="Normal-beforebullets"/>
              <w:jc w:val="right"/>
              <w:rPr>
                <w:b/>
              </w:rPr>
            </w:pPr>
            <w:r w:rsidRPr="00A50D58">
              <w:rPr>
                <w:b/>
              </w:rPr>
              <w:t>No.</w:t>
            </w:r>
          </w:p>
        </w:tc>
        <w:tc>
          <w:tcPr>
            <w:tcW w:w="1401" w:type="dxa"/>
            <w:vAlign w:val="center"/>
          </w:tcPr>
          <w:p w:rsidR="00660AF0" w:rsidRPr="00A50D58" w:rsidRDefault="00660AF0" w:rsidP="00E61E1B">
            <w:pPr>
              <w:pStyle w:val="Normal-beforebullets"/>
              <w:jc w:val="right"/>
              <w:rPr>
                <w:b/>
              </w:rPr>
            </w:pPr>
            <w:r w:rsidRPr="00A50D58">
              <w:rPr>
                <w:b/>
              </w:rPr>
              <w:t>%</w:t>
            </w:r>
          </w:p>
        </w:tc>
      </w:tr>
      <w:tr w:rsidR="003E54E5" w:rsidRPr="00B851D5" w:rsidTr="005E32BF">
        <w:tc>
          <w:tcPr>
            <w:tcW w:w="8122" w:type="dxa"/>
            <w:gridSpan w:val="5"/>
            <w:vAlign w:val="center"/>
          </w:tcPr>
          <w:p w:rsidR="003E54E5" w:rsidRPr="00B851D5" w:rsidRDefault="003E54E5" w:rsidP="005E32BF">
            <w:pPr>
              <w:pStyle w:val="Normal-beforebullets"/>
            </w:pPr>
            <w:r>
              <w:rPr>
                <w:b/>
                <w:sz w:val="20"/>
                <w:szCs w:val="20"/>
              </w:rPr>
              <w:t xml:space="preserve">Indication </w:t>
            </w:r>
          </w:p>
        </w:tc>
      </w:tr>
      <w:tr w:rsidR="00660AF0" w:rsidRPr="00B851D5" w:rsidTr="005E32BF">
        <w:tc>
          <w:tcPr>
            <w:tcW w:w="2802" w:type="dxa"/>
            <w:vAlign w:val="center"/>
          </w:tcPr>
          <w:p w:rsidR="00660AF0" w:rsidRPr="005E32BF" w:rsidRDefault="003E54E5" w:rsidP="005E32BF">
            <w:pPr>
              <w:pStyle w:val="Normal-beforebullets"/>
              <w:jc w:val="right"/>
              <w:rPr>
                <w:sz w:val="20"/>
                <w:szCs w:val="20"/>
              </w:rPr>
            </w:pPr>
            <w:r w:rsidRPr="005E32BF">
              <w:rPr>
                <w:sz w:val="20"/>
                <w:szCs w:val="20"/>
              </w:rPr>
              <w:t>D</w:t>
            </w:r>
            <w:r w:rsidR="00660AF0" w:rsidRPr="005E32BF">
              <w:rPr>
                <w:sz w:val="20"/>
                <w:szCs w:val="20"/>
              </w:rPr>
              <w:t>ocumented</w:t>
            </w:r>
          </w:p>
        </w:tc>
        <w:tc>
          <w:tcPr>
            <w:tcW w:w="1117" w:type="dxa"/>
            <w:vAlign w:val="center"/>
          </w:tcPr>
          <w:p w:rsidR="00660AF0" w:rsidRPr="00B851D5" w:rsidRDefault="00660AF0" w:rsidP="00E61E1B">
            <w:pPr>
              <w:pStyle w:val="Normal-beforebullets"/>
              <w:jc w:val="right"/>
            </w:pPr>
            <w:r w:rsidRPr="00B851D5">
              <w:t>1,111</w:t>
            </w:r>
          </w:p>
        </w:tc>
        <w:tc>
          <w:tcPr>
            <w:tcW w:w="1401" w:type="dxa"/>
            <w:vAlign w:val="center"/>
          </w:tcPr>
          <w:p w:rsidR="00660AF0" w:rsidRPr="00B851D5" w:rsidRDefault="00660AF0" w:rsidP="00E61E1B">
            <w:pPr>
              <w:pStyle w:val="Normal-beforebullets"/>
              <w:jc w:val="right"/>
            </w:pPr>
            <w:r w:rsidRPr="00B851D5">
              <w:t>74.4</w:t>
            </w:r>
          </w:p>
        </w:tc>
        <w:tc>
          <w:tcPr>
            <w:tcW w:w="1401" w:type="dxa"/>
            <w:vAlign w:val="center"/>
          </w:tcPr>
          <w:p w:rsidR="00660AF0" w:rsidRPr="00B851D5" w:rsidRDefault="00660AF0" w:rsidP="00E61E1B">
            <w:pPr>
              <w:pStyle w:val="Normal-beforebullets"/>
              <w:jc w:val="right"/>
            </w:pPr>
            <w:r w:rsidRPr="00B851D5">
              <w:t>939</w:t>
            </w:r>
          </w:p>
        </w:tc>
        <w:tc>
          <w:tcPr>
            <w:tcW w:w="1401" w:type="dxa"/>
            <w:vAlign w:val="center"/>
          </w:tcPr>
          <w:p w:rsidR="00660AF0" w:rsidRPr="00B851D5" w:rsidRDefault="00660AF0" w:rsidP="00E61E1B">
            <w:pPr>
              <w:pStyle w:val="Normal-beforebullets"/>
              <w:jc w:val="right"/>
            </w:pPr>
            <w:r w:rsidRPr="00B851D5">
              <w:t>76.3</w:t>
            </w:r>
          </w:p>
        </w:tc>
      </w:tr>
      <w:tr w:rsidR="00660AF0" w:rsidRPr="009D37D2" w:rsidTr="005E32BF">
        <w:tc>
          <w:tcPr>
            <w:tcW w:w="2802" w:type="dxa"/>
            <w:vAlign w:val="center"/>
          </w:tcPr>
          <w:p w:rsidR="00660AF0" w:rsidRPr="005E32BF" w:rsidRDefault="003E54E5" w:rsidP="005E32BF">
            <w:pPr>
              <w:pStyle w:val="Normal-beforebullets"/>
              <w:jc w:val="right"/>
              <w:rPr>
                <w:sz w:val="20"/>
                <w:szCs w:val="20"/>
              </w:rPr>
            </w:pPr>
            <w:r w:rsidRPr="005E32BF">
              <w:rPr>
                <w:sz w:val="20"/>
                <w:szCs w:val="20"/>
              </w:rPr>
              <w:t>N</w:t>
            </w:r>
            <w:r w:rsidR="00660AF0" w:rsidRPr="005E32BF">
              <w:rPr>
                <w:sz w:val="20"/>
                <w:szCs w:val="20"/>
              </w:rPr>
              <w:t xml:space="preserve">ot documented </w:t>
            </w:r>
          </w:p>
        </w:tc>
        <w:tc>
          <w:tcPr>
            <w:tcW w:w="1117" w:type="dxa"/>
            <w:vAlign w:val="center"/>
          </w:tcPr>
          <w:p w:rsidR="00660AF0" w:rsidRPr="00B851D5" w:rsidRDefault="00660AF0" w:rsidP="00E61E1B">
            <w:pPr>
              <w:pStyle w:val="Normal-beforebullets"/>
              <w:jc w:val="right"/>
            </w:pPr>
            <w:r>
              <w:t>382</w:t>
            </w:r>
          </w:p>
        </w:tc>
        <w:tc>
          <w:tcPr>
            <w:tcW w:w="1401" w:type="dxa"/>
            <w:vAlign w:val="center"/>
          </w:tcPr>
          <w:p w:rsidR="00660AF0" w:rsidRPr="00B851D5" w:rsidRDefault="00660AF0" w:rsidP="00E61E1B">
            <w:pPr>
              <w:pStyle w:val="Normal-beforebullets"/>
              <w:jc w:val="right"/>
            </w:pPr>
            <w:r>
              <w:t>25.6</w:t>
            </w:r>
          </w:p>
        </w:tc>
        <w:tc>
          <w:tcPr>
            <w:tcW w:w="1401" w:type="dxa"/>
            <w:vAlign w:val="center"/>
          </w:tcPr>
          <w:p w:rsidR="00660AF0" w:rsidRPr="00B851D5" w:rsidRDefault="00660AF0" w:rsidP="00E61E1B">
            <w:pPr>
              <w:pStyle w:val="Normal-beforebullets"/>
              <w:jc w:val="right"/>
            </w:pPr>
            <w:r>
              <w:t>292</w:t>
            </w:r>
          </w:p>
        </w:tc>
        <w:tc>
          <w:tcPr>
            <w:tcW w:w="1401" w:type="dxa"/>
            <w:vAlign w:val="center"/>
          </w:tcPr>
          <w:p w:rsidR="00660AF0" w:rsidRPr="00B851D5" w:rsidRDefault="00660AF0" w:rsidP="00E61E1B">
            <w:pPr>
              <w:pStyle w:val="Normal-beforebullets"/>
              <w:jc w:val="right"/>
            </w:pPr>
            <w:r>
              <w:t>23.7</w:t>
            </w:r>
          </w:p>
        </w:tc>
      </w:tr>
      <w:tr w:rsidR="003E54E5" w:rsidRPr="009D37D2" w:rsidTr="005E32BF">
        <w:tc>
          <w:tcPr>
            <w:tcW w:w="8122" w:type="dxa"/>
            <w:gridSpan w:val="5"/>
            <w:vAlign w:val="center"/>
          </w:tcPr>
          <w:p w:rsidR="003E54E5" w:rsidRPr="00B851D5" w:rsidRDefault="003E54E5" w:rsidP="005E32BF">
            <w:pPr>
              <w:pStyle w:val="Normal-beforebullets"/>
            </w:pPr>
            <w:r>
              <w:rPr>
                <w:b/>
                <w:sz w:val="20"/>
                <w:szCs w:val="20"/>
              </w:rPr>
              <w:t xml:space="preserve">Review or stop date </w:t>
            </w:r>
          </w:p>
        </w:tc>
      </w:tr>
      <w:tr w:rsidR="00660AF0" w:rsidRPr="009D37D2" w:rsidTr="005E32BF">
        <w:tc>
          <w:tcPr>
            <w:tcW w:w="2802" w:type="dxa"/>
            <w:vAlign w:val="center"/>
          </w:tcPr>
          <w:p w:rsidR="00660AF0" w:rsidRPr="005E32BF" w:rsidRDefault="003E54E5" w:rsidP="005E32BF">
            <w:pPr>
              <w:pStyle w:val="Normal-beforebullets"/>
              <w:jc w:val="right"/>
              <w:rPr>
                <w:sz w:val="20"/>
                <w:szCs w:val="20"/>
              </w:rPr>
            </w:pPr>
            <w:r w:rsidRPr="005E32BF">
              <w:rPr>
                <w:sz w:val="20"/>
                <w:szCs w:val="20"/>
              </w:rPr>
              <w:t>D</w:t>
            </w:r>
            <w:r w:rsidR="00660AF0" w:rsidRPr="005E32BF">
              <w:rPr>
                <w:sz w:val="20"/>
                <w:szCs w:val="20"/>
              </w:rPr>
              <w:t>ocumented</w:t>
            </w:r>
          </w:p>
        </w:tc>
        <w:tc>
          <w:tcPr>
            <w:tcW w:w="1117" w:type="dxa"/>
            <w:vAlign w:val="center"/>
          </w:tcPr>
          <w:p w:rsidR="00660AF0" w:rsidRPr="00B851D5" w:rsidRDefault="00660AF0" w:rsidP="00E61E1B">
            <w:pPr>
              <w:pStyle w:val="Normal-beforebullets"/>
              <w:jc w:val="right"/>
            </w:pPr>
            <w:r w:rsidRPr="00B851D5">
              <w:t>609</w:t>
            </w:r>
          </w:p>
        </w:tc>
        <w:tc>
          <w:tcPr>
            <w:tcW w:w="1401" w:type="dxa"/>
            <w:vAlign w:val="center"/>
          </w:tcPr>
          <w:p w:rsidR="00660AF0" w:rsidRPr="00B851D5" w:rsidRDefault="00660AF0" w:rsidP="00E61E1B">
            <w:pPr>
              <w:pStyle w:val="Normal-beforebullets"/>
              <w:jc w:val="right"/>
            </w:pPr>
            <w:r w:rsidRPr="00B851D5">
              <w:t>40.8</w:t>
            </w:r>
          </w:p>
        </w:tc>
        <w:tc>
          <w:tcPr>
            <w:tcW w:w="1401" w:type="dxa"/>
            <w:vAlign w:val="center"/>
          </w:tcPr>
          <w:p w:rsidR="00660AF0" w:rsidRPr="00B851D5" w:rsidRDefault="00660AF0" w:rsidP="00E61E1B">
            <w:pPr>
              <w:pStyle w:val="Normal-beforebullets"/>
              <w:jc w:val="right"/>
            </w:pPr>
            <w:r w:rsidRPr="00B851D5">
              <w:t>547</w:t>
            </w:r>
          </w:p>
        </w:tc>
        <w:tc>
          <w:tcPr>
            <w:tcW w:w="1401" w:type="dxa"/>
            <w:vAlign w:val="center"/>
          </w:tcPr>
          <w:p w:rsidR="00660AF0" w:rsidRPr="00704B41" w:rsidRDefault="00660AF0" w:rsidP="00E61E1B">
            <w:pPr>
              <w:pStyle w:val="Normal-beforebullets"/>
              <w:jc w:val="right"/>
            </w:pPr>
            <w:r w:rsidRPr="00B851D5">
              <w:t>44.4</w:t>
            </w:r>
          </w:p>
        </w:tc>
      </w:tr>
      <w:tr w:rsidR="00660AF0" w:rsidRPr="009D37D2" w:rsidTr="005E32BF">
        <w:tc>
          <w:tcPr>
            <w:tcW w:w="2802" w:type="dxa"/>
            <w:vAlign w:val="center"/>
          </w:tcPr>
          <w:p w:rsidR="00660AF0" w:rsidRPr="005E32BF" w:rsidRDefault="003E54E5" w:rsidP="005E32BF">
            <w:pPr>
              <w:pStyle w:val="Normal-beforebullets"/>
              <w:jc w:val="right"/>
              <w:rPr>
                <w:sz w:val="20"/>
                <w:szCs w:val="20"/>
              </w:rPr>
            </w:pPr>
            <w:r w:rsidRPr="005E32BF">
              <w:rPr>
                <w:sz w:val="20"/>
                <w:szCs w:val="20"/>
              </w:rPr>
              <w:t>N</w:t>
            </w:r>
            <w:r w:rsidR="00660AF0" w:rsidRPr="005E32BF">
              <w:rPr>
                <w:sz w:val="20"/>
                <w:szCs w:val="20"/>
              </w:rPr>
              <w:t xml:space="preserve">ot documented </w:t>
            </w:r>
          </w:p>
        </w:tc>
        <w:tc>
          <w:tcPr>
            <w:tcW w:w="1117" w:type="dxa"/>
            <w:vAlign w:val="center"/>
          </w:tcPr>
          <w:p w:rsidR="00660AF0" w:rsidRPr="00B851D5" w:rsidRDefault="00660AF0" w:rsidP="00E61E1B">
            <w:pPr>
              <w:pStyle w:val="Normal-beforebullets"/>
              <w:jc w:val="right"/>
            </w:pPr>
            <w:r>
              <w:t>884</w:t>
            </w:r>
          </w:p>
        </w:tc>
        <w:tc>
          <w:tcPr>
            <w:tcW w:w="1401" w:type="dxa"/>
            <w:vAlign w:val="center"/>
          </w:tcPr>
          <w:p w:rsidR="00660AF0" w:rsidRPr="00B851D5" w:rsidRDefault="00660AF0" w:rsidP="00E61E1B">
            <w:pPr>
              <w:pStyle w:val="Normal-beforebullets"/>
              <w:jc w:val="right"/>
            </w:pPr>
            <w:r>
              <w:t>59.2</w:t>
            </w:r>
          </w:p>
        </w:tc>
        <w:tc>
          <w:tcPr>
            <w:tcW w:w="1401" w:type="dxa"/>
            <w:vAlign w:val="center"/>
          </w:tcPr>
          <w:p w:rsidR="00660AF0" w:rsidRPr="00B851D5" w:rsidRDefault="00660AF0" w:rsidP="00E61E1B">
            <w:pPr>
              <w:pStyle w:val="Normal-beforebullets"/>
              <w:jc w:val="right"/>
            </w:pPr>
            <w:r>
              <w:t>784</w:t>
            </w:r>
          </w:p>
        </w:tc>
        <w:tc>
          <w:tcPr>
            <w:tcW w:w="1401" w:type="dxa"/>
            <w:vAlign w:val="center"/>
          </w:tcPr>
          <w:p w:rsidR="00660AF0" w:rsidRPr="00B851D5" w:rsidRDefault="00660AF0" w:rsidP="00E61E1B">
            <w:pPr>
              <w:pStyle w:val="Normal-beforebullets"/>
              <w:jc w:val="right"/>
            </w:pPr>
            <w:r>
              <w:t>55.6</w:t>
            </w:r>
          </w:p>
        </w:tc>
      </w:tr>
      <w:tr w:rsidR="008035CE" w:rsidRPr="009D37D2" w:rsidTr="005E32BF">
        <w:tc>
          <w:tcPr>
            <w:tcW w:w="2802" w:type="dxa"/>
            <w:vAlign w:val="center"/>
          </w:tcPr>
          <w:p w:rsidR="008035CE" w:rsidRPr="008035CE" w:rsidRDefault="008035CE" w:rsidP="008035CE">
            <w:pPr>
              <w:pStyle w:val="Normal-beforebullets"/>
              <w:rPr>
                <w:b/>
                <w:sz w:val="20"/>
                <w:szCs w:val="20"/>
              </w:rPr>
            </w:pPr>
            <w:r w:rsidRPr="008035CE">
              <w:rPr>
                <w:b/>
                <w:sz w:val="20"/>
                <w:szCs w:val="20"/>
              </w:rPr>
              <w:t xml:space="preserve">Total </w:t>
            </w:r>
          </w:p>
        </w:tc>
        <w:tc>
          <w:tcPr>
            <w:tcW w:w="1117" w:type="dxa"/>
            <w:vAlign w:val="center"/>
          </w:tcPr>
          <w:p w:rsidR="008035CE" w:rsidRPr="008035CE" w:rsidRDefault="008035CE" w:rsidP="00E61E1B">
            <w:pPr>
              <w:pStyle w:val="Normal-beforebullets"/>
              <w:jc w:val="right"/>
              <w:rPr>
                <w:b/>
              </w:rPr>
            </w:pPr>
            <w:r w:rsidRPr="008035CE">
              <w:rPr>
                <w:b/>
              </w:rPr>
              <w:t>1</w:t>
            </w:r>
            <w:r>
              <w:rPr>
                <w:b/>
              </w:rPr>
              <w:t>,</w:t>
            </w:r>
            <w:r w:rsidRPr="008035CE">
              <w:rPr>
                <w:b/>
              </w:rPr>
              <w:t xml:space="preserve">493 </w:t>
            </w:r>
          </w:p>
        </w:tc>
        <w:tc>
          <w:tcPr>
            <w:tcW w:w="1401" w:type="dxa"/>
            <w:vAlign w:val="center"/>
          </w:tcPr>
          <w:p w:rsidR="008035CE" w:rsidRDefault="008035CE" w:rsidP="00E61E1B">
            <w:pPr>
              <w:pStyle w:val="Normal-beforebullets"/>
              <w:jc w:val="right"/>
            </w:pPr>
            <w:r>
              <w:t>-</w:t>
            </w:r>
          </w:p>
        </w:tc>
        <w:tc>
          <w:tcPr>
            <w:tcW w:w="1401" w:type="dxa"/>
            <w:vAlign w:val="center"/>
          </w:tcPr>
          <w:p w:rsidR="008035CE" w:rsidRPr="008035CE" w:rsidRDefault="008035CE" w:rsidP="00E61E1B">
            <w:pPr>
              <w:pStyle w:val="Normal-beforebullets"/>
              <w:jc w:val="right"/>
              <w:rPr>
                <w:b/>
              </w:rPr>
            </w:pPr>
            <w:r w:rsidRPr="008035CE">
              <w:rPr>
                <w:b/>
              </w:rPr>
              <w:t>1,231</w:t>
            </w:r>
          </w:p>
        </w:tc>
        <w:tc>
          <w:tcPr>
            <w:tcW w:w="1401" w:type="dxa"/>
            <w:vAlign w:val="center"/>
          </w:tcPr>
          <w:p w:rsidR="008035CE" w:rsidRDefault="008035CE" w:rsidP="00E61E1B">
            <w:pPr>
              <w:pStyle w:val="Normal-beforebullets"/>
              <w:jc w:val="right"/>
            </w:pPr>
            <w:r>
              <w:t>-</w:t>
            </w:r>
          </w:p>
        </w:tc>
      </w:tr>
    </w:tbl>
    <w:p w:rsidR="003A3B91" w:rsidRDefault="003A3B91">
      <w:pPr>
        <w:spacing w:after="80"/>
      </w:pPr>
      <w:r>
        <w:br w:type="page"/>
      </w:r>
    </w:p>
    <w:p w:rsidR="008632AE" w:rsidRDefault="004E5694" w:rsidP="00557D08">
      <w:r>
        <w:lastRenderedPageBreak/>
        <w:t xml:space="preserve">In 2017, the indication for an </w:t>
      </w:r>
      <w:r w:rsidR="00557D08" w:rsidRPr="00FD1635">
        <w:t xml:space="preserve">antimicrobial prescription was documented for all Tasmanian residents (100%). </w:t>
      </w:r>
    </w:p>
    <w:p w:rsidR="00557D08" w:rsidRDefault="00557D08" w:rsidP="00557D08">
      <w:r w:rsidRPr="00FD1635">
        <w:t xml:space="preserve">Of the three organisation types, indication documentation was highest in the private </w:t>
      </w:r>
      <w:r w:rsidR="004E5694">
        <w:t xml:space="preserve">aged care homes </w:t>
      </w:r>
      <w:r w:rsidRPr="00FD1635">
        <w:t>for both 2016 and 2017: 91.2% (</w:t>
      </w:r>
      <w:r w:rsidRPr="00492FB8">
        <w:rPr>
          <w:i/>
        </w:rPr>
        <w:t>n</w:t>
      </w:r>
      <w:r w:rsidRPr="00FD1635">
        <w:t>=104) and 85.2% (</w:t>
      </w:r>
      <w:r w:rsidRPr="00492FB8">
        <w:rPr>
          <w:i/>
        </w:rPr>
        <w:t>n</w:t>
      </w:r>
      <w:r w:rsidRPr="00FD1635">
        <w:t>=46) respectively. Over</w:t>
      </w:r>
      <w:r w:rsidR="004E5694">
        <w:t xml:space="preserve"> the same time period, private </w:t>
      </w:r>
      <w:r w:rsidR="00887909">
        <w:t xml:space="preserve">aged care </w:t>
      </w:r>
      <w:r w:rsidR="004E5694">
        <w:t>homes</w:t>
      </w:r>
      <w:r w:rsidRPr="00FD1635">
        <w:t xml:space="preserve"> were also most likely to document the review or stop date: 50.0% (</w:t>
      </w:r>
      <w:r w:rsidRPr="00492FB8">
        <w:rPr>
          <w:i/>
        </w:rPr>
        <w:t>n</w:t>
      </w:r>
      <w:r w:rsidRPr="00FD1635">
        <w:t>=57) in 2016 a</w:t>
      </w:r>
      <w:r w:rsidR="003A3B91">
        <w:t>nd 53.7% (</w:t>
      </w:r>
      <w:r w:rsidR="003A3B91" w:rsidRPr="00492FB8">
        <w:rPr>
          <w:i/>
        </w:rPr>
        <w:t>n</w:t>
      </w:r>
      <w:r w:rsidR="003A3B91">
        <w:t>=29) in 2017 (Table 8</w:t>
      </w:r>
      <w:r w:rsidRPr="00FD1635">
        <w:t>).</w:t>
      </w:r>
      <w:bookmarkStart w:id="61" w:name="_Toc471808075"/>
      <w:bookmarkStart w:id="62" w:name="_Toc477183308"/>
    </w:p>
    <w:p w:rsidR="00557D08" w:rsidRPr="00952201" w:rsidRDefault="00557D08" w:rsidP="00557D08">
      <w:pPr>
        <w:pStyle w:val="FigureTitle"/>
      </w:pPr>
      <w:r w:rsidRPr="00952201">
        <w:t>Table</w:t>
      </w:r>
      <w:r w:rsidR="003A3B91">
        <w:t xml:space="preserve"> 8</w:t>
      </w:r>
      <w:r>
        <w:t xml:space="preserve">: </w:t>
      </w:r>
      <w:r w:rsidRPr="00952201">
        <w:t>Key quality indicators, by state, remoteness and provider type</w:t>
      </w:r>
      <w:bookmarkEnd w:id="61"/>
      <w:bookmarkEnd w:id="62"/>
      <w:r w:rsidRPr="00952201">
        <w:t xml:space="preserve"> (2016 and 2017)  </w:t>
      </w:r>
    </w:p>
    <w:tbl>
      <w:tblPr>
        <w:tblStyle w:val="TableGridLight1"/>
        <w:tblW w:w="9634" w:type="dxa"/>
        <w:tblLayout w:type="fixed"/>
        <w:tblLook w:val="04A0" w:firstRow="1" w:lastRow="0" w:firstColumn="1" w:lastColumn="0" w:noHBand="0" w:noVBand="1"/>
      </w:tblPr>
      <w:tblGrid>
        <w:gridCol w:w="1627"/>
        <w:gridCol w:w="1912"/>
        <w:gridCol w:w="779"/>
        <w:gridCol w:w="973"/>
        <w:gridCol w:w="973"/>
        <w:gridCol w:w="973"/>
        <w:gridCol w:w="1263"/>
        <w:gridCol w:w="1134"/>
      </w:tblGrid>
      <w:tr w:rsidR="00557D08" w:rsidRPr="007C4509" w:rsidTr="00ED1E21">
        <w:trPr>
          <w:trHeight w:val="283"/>
        </w:trPr>
        <w:tc>
          <w:tcPr>
            <w:tcW w:w="3539" w:type="dxa"/>
            <w:gridSpan w:val="2"/>
            <w:vMerge w:val="restart"/>
            <w:noWrap/>
            <w:vAlign w:val="center"/>
            <w:hideMark/>
          </w:tcPr>
          <w:p w:rsidR="00557D08" w:rsidRPr="00AC1DB7" w:rsidRDefault="00557D08" w:rsidP="00ED1E21">
            <w:pPr>
              <w:pStyle w:val="Normal-beforebullets"/>
              <w:rPr>
                <w:lang w:eastAsia="en-AU"/>
              </w:rPr>
            </w:pPr>
          </w:p>
          <w:p w:rsidR="00557D08" w:rsidRPr="00AC1DB7" w:rsidRDefault="00557D08" w:rsidP="00ED1E21">
            <w:pPr>
              <w:pStyle w:val="Normal-beforebullets"/>
              <w:rPr>
                <w:lang w:eastAsia="en-AU"/>
              </w:rPr>
            </w:pPr>
          </w:p>
          <w:p w:rsidR="00557D08" w:rsidRPr="00AC1DB7" w:rsidRDefault="00557D08" w:rsidP="00ED1E21">
            <w:pPr>
              <w:pStyle w:val="Normal-beforebullets"/>
              <w:rPr>
                <w:lang w:eastAsia="en-AU"/>
              </w:rPr>
            </w:pPr>
          </w:p>
        </w:tc>
        <w:tc>
          <w:tcPr>
            <w:tcW w:w="1752" w:type="dxa"/>
            <w:gridSpan w:val="2"/>
            <w:vAlign w:val="center"/>
          </w:tcPr>
          <w:p w:rsidR="00557D08" w:rsidRPr="00AC1DB7" w:rsidRDefault="00557D08" w:rsidP="00ED1E21">
            <w:pPr>
              <w:pStyle w:val="Normal-beforebullets"/>
              <w:jc w:val="center"/>
              <w:rPr>
                <w:b/>
                <w:lang w:eastAsia="en-AU"/>
              </w:rPr>
            </w:pPr>
            <w:r w:rsidRPr="00AC1DB7">
              <w:rPr>
                <w:b/>
                <w:lang w:eastAsia="en-AU"/>
              </w:rPr>
              <w:t>No. of prescriptions</w:t>
            </w:r>
          </w:p>
        </w:tc>
        <w:tc>
          <w:tcPr>
            <w:tcW w:w="1946" w:type="dxa"/>
            <w:gridSpan w:val="2"/>
            <w:vAlign w:val="center"/>
            <w:hideMark/>
          </w:tcPr>
          <w:p w:rsidR="00557D08" w:rsidRPr="00AC1DB7" w:rsidRDefault="00557D08" w:rsidP="00ED1E21">
            <w:pPr>
              <w:pStyle w:val="Normal-beforebullets"/>
              <w:jc w:val="center"/>
              <w:rPr>
                <w:b/>
                <w:lang w:eastAsia="en-AU"/>
              </w:rPr>
            </w:pPr>
            <w:r w:rsidRPr="00AC1DB7">
              <w:rPr>
                <w:b/>
                <w:lang w:eastAsia="en-AU"/>
              </w:rPr>
              <w:t>Indication documented (%)</w:t>
            </w:r>
          </w:p>
        </w:tc>
        <w:tc>
          <w:tcPr>
            <w:tcW w:w="2397" w:type="dxa"/>
            <w:gridSpan w:val="2"/>
            <w:vAlign w:val="center"/>
            <w:hideMark/>
          </w:tcPr>
          <w:p w:rsidR="00557D08" w:rsidRPr="00AC1DB7" w:rsidRDefault="00557D08" w:rsidP="00ED1E21">
            <w:pPr>
              <w:pStyle w:val="Normal-beforebullets"/>
              <w:jc w:val="center"/>
              <w:rPr>
                <w:b/>
                <w:lang w:eastAsia="en-AU"/>
              </w:rPr>
            </w:pPr>
            <w:r w:rsidRPr="00AC1DB7">
              <w:rPr>
                <w:b/>
                <w:lang w:eastAsia="en-AU"/>
              </w:rPr>
              <w:t>Review or stop date documented (%)</w:t>
            </w:r>
          </w:p>
        </w:tc>
      </w:tr>
      <w:tr w:rsidR="00557D08" w:rsidRPr="007C4509" w:rsidTr="00ED1E21">
        <w:trPr>
          <w:trHeight w:val="283"/>
        </w:trPr>
        <w:tc>
          <w:tcPr>
            <w:tcW w:w="3539" w:type="dxa"/>
            <w:gridSpan w:val="2"/>
            <w:vMerge/>
            <w:vAlign w:val="center"/>
          </w:tcPr>
          <w:p w:rsidR="00557D08" w:rsidRPr="00AC1DB7" w:rsidRDefault="00557D08" w:rsidP="00ED1E21">
            <w:pPr>
              <w:pStyle w:val="Normal-beforebullets"/>
              <w:rPr>
                <w:b/>
                <w:lang w:eastAsia="en-AU"/>
              </w:rPr>
            </w:pPr>
          </w:p>
        </w:tc>
        <w:tc>
          <w:tcPr>
            <w:tcW w:w="779" w:type="dxa"/>
            <w:vAlign w:val="center"/>
          </w:tcPr>
          <w:p w:rsidR="00557D08" w:rsidRPr="00AC1DB7" w:rsidRDefault="00557D08" w:rsidP="00ED1E21">
            <w:pPr>
              <w:pStyle w:val="Normal-beforebullets"/>
              <w:jc w:val="center"/>
              <w:rPr>
                <w:b/>
                <w:lang w:eastAsia="en-AU"/>
              </w:rPr>
            </w:pPr>
            <w:r w:rsidRPr="00AC1DB7">
              <w:rPr>
                <w:b/>
                <w:lang w:eastAsia="en-AU"/>
              </w:rPr>
              <w:t>2016</w:t>
            </w:r>
          </w:p>
        </w:tc>
        <w:tc>
          <w:tcPr>
            <w:tcW w:w="973" w:type="dxa"/>
            <w:vAlign w:val="center"/>
          </w:tcPr>
          <w:p w:rsidR="00557D08" w:rsidRPr="00AC1DB7" w:rsidRDefault="00557D08" w:rsidP="00ED1E21">
            <w:pPr>
              <w:pStyle w:val="Normal-beforebullets"/>
              <w:jc w:val="center"/>
              <w:rPr>
                <w:b/>
              </w:rPr>
            </w:pPr>
            <w:r w:rsidRPr="00AC1DB7">
              <w:rPr>
                <w:b/>
              </w:rPr>
              <w:t>2017</w:t>
            </w:r>
          </w:p>
        </w:tc>
        <w:tc>
          <w:tcPr>
            <w:tcW w:w="973" w:type="dxa"/>
            <w:vAlign w:val="center"/>
          </w:tcPr>
          <w:p w:rsidR="00557D08" w:rsidRPr="00AC1DB7" w:rsidRDefault="00557D08" w:rsidP="00ED1E21">
            <w:pPr>
              <w:pStyle w:val="Normal-beforebullets"/>
              <w:jc w:val="center"/>
              <w:rPr>
                <w:b/>
              </w:rPr>
            </w:pPr>
            <w:r w:rsidRPr="00AC1DB7">
              <w:rPr>
                <w:b/>
              </w:rPr>
              <w:t>2016</w:t>
            </w:r>
          </w:p>
        </w:tc>
        <w:tc>
          <w:tcPr>
            <w:tcW w:w="973" w:type="dxa"/>
            <w:vAlign w:val="center"/>
          </w:tcPr>
          <w:p w:rsidR="00557D08" w:rsidRPr="00AC1DB7" w:rsidRDefault="00557D08" w:rsidP="00ED1E21">
            <w:pPr>
              <w:pStyle w:val="Normal-beforebullets"/>
              <w:jc w:val="center"/>
              <w:rPr>
                <w:b/>
              </w:rPr>
            </w:pPr>
            <w:r w:rsidRPr="00AC1DB7">
              <w:rPr>
                <w:b/>
              </w:rPr>
              <w:t>2017</w:t>
            </w:r>
          </w:p>
        </w:tc>
        <w:tc>
          <w:tcPr>
            <w:tcW w:w="1263" w:type="dxa"/>
            <w:vAlign w:val="center"/>
          </w:tcPr>
          <w:p w:rsidR="00557D08" w:rsidRPr="00AC1DB7" w:rsidRDefault="00557D08" w:rsidP="00ED1E21">
            <w:pPr>
              <w:pStyle w:val="Normal-beforebullets"/>
              <w:jc w:val="center"/>
              <w:rPr>
                <w:b/>
              </w:rPr>
            </w:pPr>
            <w:r w:rsidRPr="00AC1DB7">
              <w:rPr>
                <w:b/>
              </w:rPr>
              <w:t>2016</w:t>
            </w:r>
          </w:p>
        </w:tc>
        <w:tc>
          <w:tcPr>
            <w:tcW w:w="1134" w:type="dxa"/>
            <w:vAlign w:val="center"/>
          </w:tcPr>
          <w:p w:rsidR="00557D08" w:rsidRPr="00AC1DB7" w:rsidRDefault="00557D08" w:rsidP="00ED1E21">
            <w:pPr>
              <w:pStyle w:val="Normal-beforebullets"/>
              <w:jc w:val="center"/>
              <w:rPr>
                <w:b/>
              </w:rPr>
            </w:pPr>
            <w:r w:rsidRPr="00AC1DB7">
              <w:rPr>
                <w:b/>
              </w:rPr>
              <w:t>2017</w:t>
            </w:r>
          </w:p>
        </w:tc>
      </w:tr>
      <w:tr w:rsidR="00557D08" w:rsidRPr="007C4509" w:rsidTr="00ED1E21">
        <w:trPr>
          <w:trHeight w:val="283"/>
        </w:trPr>
        <w:tc>
          <w:tcPr>
            <w:tcW w:w="1627" w:type="dxa"/>
            <w:vMerge w:val="restart"/>
            <w:hideMark/>
          </w:tcPr>
          <w:p w:rsidR="00557D08" w:rsidRPr="00AC1DB7" w:rsidRDefault="00557D08" w:rsidP="00ED1E21">
            <w:pPr>
              <w:pStyle w:val="Normal-beforebullets"/>
              <w:rPr>
                <w:b/>
                <w:lang w:eastAsia="en-AU"/>
              </w:rPr>
            </w:pPr>
            <w:r w:rsidRPr="00AC1DB7">
              <w:rPr>
                <w:b/>
                <w:lang w:eastAsia="en-AU"/>
              </w:rPr>
              <w:t>State</w:t>
            </w:r>
          </w:p>
        </w:tc>
        <w:tc>
          <w:tcPr>
            <w:tcW w:w="1912" w:type="dxa"/>
            <w:vAlign w:val="center"/>
          </w:tcPr>
          <w:p w:rsidR="00557D08" w:rsidRPr="00AC1DB7" w:rsidRDefault="00557D08" w:rsidP="00ED1E21">
            <w:pPr>
              <w:pStyle w:val="Normal-beforebullets"/>
              <w:rPr>
                <w:b/>
                <w:lang w:eastAsia="en-AU"/>
              </w:rPr>
            </w:pPr>
            <w:r w:rsidRPr="00AC1DB7">
              <w:rPr>
                <w:b/>
                <w:lang w:eastAsia="en-AU"/>
              </w:rPr>
              <w:t>NSW</w:t>
            </w:r>
          </w:p>
        </w:tc>
        <w:tc>
          <w:tcPr>
            <w:tcW w:w="779" w:type="dxa"/>
            <w:vAlign w:val="center"/>
          </w:tcPr>
          <w:p w:rsidR="00557D08" w:rsidRPr="00AC1DB7" w:rsidRDefault="00557D08" w:rsidP="00ED1E21">
            <w:pPr>
              <w:pStyle w:val="Normal-beforebullets"/>
              <w:jc w:val="right"/>
              <w:rPr>
                <w:color w:val="000000"/>
              </w:rPr>
            </w:pPr>
            <w:r w:rsidRPr="00AC1DB7">
              <w:rPr>
                <w:color w:val="000000"/>
              </w:rPr>
              <w:t>237</w:t>
            </w:r>
          </w:p>
        </w:tc>
        <w:tc>
          <w:tcPr>
            <w:tcW w:w="973" w:type="dxa"/>
            <w:vAlign w:val="center"/>
          </w:tcPr>
          <w:p w:rsidR="00557D08" w:rsidRPr="00AC1DB7" w:rsidRDefault="00557D08" w:rsidP="00ED1E21">
            <w:pPr>
              <w:pStyle w:val="Normal-beforebullets"/>
              <w:jc w:val="right"/>
              <w:rPr>
                <w:color w:val="000000"/>
              </w:rPr>
            </w:pPr>
            <w:r w:rsidRPr="00AC1DB7">
              <w:rPr>
                <w:color w:val="000000"/>
              </w:rPr>
              <w:t>136</w:t>
            </w:r>
          </w:p>
        </w:tc>
        <w:tc>
          <w:tcPr>
            <w:tcW w:w="973" w:type="dxa"/>
            <w:vAlign w:val="center"/>
          </w:tcPr>
          <w:p w:rsidR="00557D08" w:rsidRPr="00AC1DB7" w:rsidRDefault="00557D08" w:rsidP="00ED1E21">
            <w:pPr>
              <w:pStyle w:val="Normal-beforebullets"/>
              <w:jc w:val="right"/>
              <w:rPr>
                <w:color w:val="000000"/>
              </w:rPr>
            </w:pPr>
            <w:r w:rsidRPr="00AC1DB7">
              <w:rPr>
                <w:color w:val="000000"/>
              </w:rPr>
              <w:t>77.6</w:t>
            </w:r>
          </w:p>
        </w:tc>
        <w:tc>
          <w:tcPr>
            <w:tcW w:w="973" w:type="dxa"/>
            <w:vAlign w:val="center"/>
          </w:tcPr>
          <w:p w:rsidR="00557D08" w:rsidRPr="00AC1DB7" w:rsidRDefault="00557D08" w:rsidP="00ED1E21">
            <w:pPr>
              <w:pStyle w:val="Normal-beforebullets"/>
              <w:jc w:val="right"/>
              <w:rPr>
                <w:color w:val="000000"/>
              </w:rPr>
            </w:pPr>
            <w:r w:rsidRPr="00AC1DB7">
              <w:rPr>
                <w:color w:val="000000"/>
              </w:rPr>
              <w:t>67.6</w:t>
            </w:r>
          </w:p>
        </w:tc>
        <w:tc>
          <w:tcPr>
            <w:tcW w:w="1263" w:type="dxa"/>
            <w:vAlign w:val="center"/>
          </w:tcPr>
          <w:p w:rsidR="00557D08" w:rsidRPr="00AC1DB7" w:rsidRDefault="00557D08" w:rsidP="00ED1E21">
            <w:pPr>
              <w:pStyle w:val="Normal-beforebullets"/>
              <w:jc w:val="right"/>
              <w:rPr>
                <w:color w:val="000000"/>
              </w:rPr>
            </w:pPr>
            <w:r w:rsidRPr="00AC1DB7">
              <w:rPr>
                <w:color w:val="000000"/>
              </w:rPr>
              <w:t>46.0</w:t>
            </w:r>
          </w:p>
        </w:tc>
        <w:tc>
          <w:tcPr>
            <w:tcW w:w="1134" w:type="dxa"/>
            <w:vAlign w:val="center"/>
          </w:tcPr>
          <w:p w:rsidR="00557D08" w:rsidRPr="00AC1DB7" w:rsidRDefault="00557D08" w:rsidP="00ED1E21">
            <w:pPr>
              <w:pStyle w:val="Normal-beforebullets"/>
              <w:jc w:val="right"/>
              <w:rPr>
                <w:color w:val="000000"/>
              </w:rPr>
            </w:pPr>
            <w:r w:rsidRPr="00AC1DB7">
              <w:rPr>
                <w:color w:val="000000"/>
              </w:rPr>
              <w:t>41.9</w:t>
            </w:r>
          </w:p>
        </w:tc>
      </w:tr>
      <w:tr w:rsidR="00557D08" w:rsidRPr="007C4509" w:rsidTr="00ED1E21">
        <w:trPr>
          <w:trHeight w:val="283"/>
        </w:trPr>
        <w:tc>
          <w:tcPr>
            <w:tcW w:w="1627" w:type="dxa"/>
            <w:vMerge/>
          </w:tcPr>
          <w:p w:rsidR="00557D08" w:rsidRPr="00AC1DB7" w:rsidRDefault="00557D08" w:rsidP="00ED1E21">
            <w:pPr>
              <w:pStyle w:val="Normal-beforebullets"/>
              <w:rPr>
                <w:b/>
                <w:lang w:eastAsia="en-AU"/>
              </w:rPr>
            </w:pPr>
          </w:p>
        </w:tc>
        <w:tc>
          <w:tcPr>
            <w:tcW w:w="1912" w:type="dxa"/>
            <w:vAlign w:val="center"/>
          </w:tcPr>
          <w:p w:rsidR="00557D08" w:rsidRPr="00AC1DB7" w:rsidRDefault="00557D08" w:rsidP="00ED1E21">
            <w:pPr>
              <w:pStyle w:val="Normal-beforebullets"/>
              <w:rPr>
                <w:b/>
                <w:lang w:eastAsia="en-AU"/>
              </w:rPr>
            </w:pPr>
            <w:r>
              <w:rPr>
                <w:b/>
                <w:lang w:eastAsia="en-AU"/>
              </w:rPr>
              <w:t>QLD</w:t>
            </w:r>
          </w:p>
        </w:tc>
        <w:tc>
          <w:tcPr>
            <w:tcW w:w="779" w:type="dxa"/>
            <w:vAlign w:val="center"/>
          </w:tcPr>
          <w:p w:rsidR="00557D08" w:rsidRPr="00AC1DB7" w:rsidRDefault="00557D08" w:rsidP="00ED1E21">
            <w:pPr>
              <w:pStyle w:val="Normal-beforebullets"/>
              <w:jc w:val="right"/>
              <w:rPr>
                <w:color w:val="000000"/>
              </w:rPr>
            </w:pPr>
            <w:r w:rsidRPr="00AC1DB7">
              <w:rPr>
                <w:color w:val="000000"/>
              </w:rPr>
              <w:t>276</w:t>
            </w:r>
          </w:p>
        </w:tc>
        <w:tc>
          <w:tcPr>
            <w:tcW w:w="973" w:type="dxa"/>
            <w:vAlign w:val="center"/>
          </w:tcPr>
          <w:p w:rsidR="00557D08" w:rsidRPr="00AC1DB7" w:rsidRDefault="00557D08" w:rsidP="00ED1E21">
            <w:pPr>
              <w:pStyle w:val="Normal-beforebullets"/>
              <w:jc w:val="right"/>
              <w:rPr>
                <w:color w:val="000000"/>
              </w:rPr>
            </w:pPr>
            <w:r w:rsidRPr="00AC1DB7">
              <w:rPr>
                <w:color w:val="000000"/>
              </w:rPr>
              <w:t>147</w:t>
            </w:r>
          </w:p>
        </w:tc>
        <w:tc>
          <w:tcPr>
            <w:tcW w:w="973" w:type="dxa"/>
            <w:vAlign w:val="center"/>
          </w:tcPr>
          <w:p w:rsidR="00557D08" w:rsidRPr="00AC1DB7" w:rsidRDefault="00557D08" w:rsidP="00ED1E21">
            <w:pPr>
              <w:pStyle w:val="Normal-beforebullets"/>
              <w:jc w:val="right"/>
              <w:rPr>
                <w:color w:val="000000"/>
              </w:rPr>
            </w:pPr>
            <w:r w:rsidRPr="00AC1DB7">
              <w:rPr>
                <w:color w:val="000000"/>
              </w:rPr>
              <w:t>77.9</w:t>
            </w:r>
          </w:p>
        </w:tc>
        <w:tc>
          <w:tcPr>
            <w:tcW w:w="973" w:type="dxa"/>
            <w:vAlign w:val="center"/>
          </w:tcPr>
          <w:p w:rsidR="00557D08" w:rsidRPr="00AC1DB7" w:rsidRDefault="00557D08" w:rsidP="00ED1E21">
            <w:pPr>
              <w:pStyle w:val="Normal-beforebullets"/>
              <w:jc w:val="right"/>
              <w:rPr>
                <w:color w:val="000000"/>
              </w:rPr>
            </w:pPr>
            <w:r w:rsidRPr="00AC1DB7">
              <w:rPr>
                <w:color w:val="000000"/>
              </w:rPr>
              <w:t>87.8</w:t>
            </w:r>
          </w:p>
        </w:tc>
        <w:tc>
          <w:tcPr>
            <w:tcW w:w="1263" w:type="dxa"/>
            <w:vAlign w:val="center"/>
          </w:tcPr>
          <w:p w:rsidR="00557D08" w:rsidRPr="00AC1DB7" w:rsidRDefault="00557D08" w:rsidP="00ED1E21">
            <w:pPr>
              <w:pStyle w:val="Normal-beforebullets"/>
              <w:jc w:val="right"/>
              <w:rPr>
                <w:color w:val="000000"/>
              </w:rPr>
            </w:pPr>
            <w:r w:rsidRPr="00AC1DB7">
              <w:rPr>
                <w:color w:val="000000"/>
              </w:rPr>
              <w:t>35.1</w:t>
            </w:r>
          </w:p>
        </w:tc>
        <w:tc>
          <w:tcPr>
            <w:tcW w:w="1134" w:type="dxa"/>
            <w:vAlign w:val="center"/>
          </w:tcPr>
          <w:p w:rsidR="00557D08" w:rsidRPr="00AC1DB7" w:rsidRDefault="00557D08" w:rsidP="00ED1E21">
            <w:pPr>
              <w:pStyle w:val="Normal-beforebullets"/>
              <w:jc w:val="right"/>
              <w:rPr>
                <w:color w:val="000000"/>
              </w:rPr>
            </w:pPr>
            <w:r w:rsidRPr="00AC1DB7">
              <w:rPr>
                <w:color w:val="000000"/>
              </w:rPr>
              <w:t>44.9</w:t>
            </w:r>
          </w:p>
        </w:tc>
      </w:tr>
      <w:tr w:rsidR="00557D08" w:rsidRPr="007C4509" w:rsidTr="00ED1E21">
        <w:trPr>
          <w:trHeight w:val="283"/>
        </w:trPr>
        <w:tc>
          <w:tcPr>
            <w:tcW w:w="1627" w:type="dxa"/>
            <w:vMerge/>
            <w:hideMark/>
          </w:tcPr>
          <w:p w:rsidR="00557D08" w:rsidRPr="00AC1DB7" w:rsidRDefault="00557D08" w:rsidP="00ED1E21">
            <w:pPr>
              <w:pStyle w:val="Normal-beforebullets"/>
              <w:rPr>
                <w:b/>
                <w:lang w:eastAsia="en-AU"/>
              </w:rPr>
            </w:pPr>
          </w:p>
        </w:tc>
        <w:tc>
          <w:tcPr>
            <w:tcW w:w="1912" w:type="dxa"/>
            <w:vAlign w:val="center"/>
          </w:tcPr>
          <w:p w:rsidR="00557D08" w:rsidRPr="00AC1DB7" w:rsidRDefault="00557D08" w:rsidP="00ED1E21">
            <w:pPr>
              <w:pStyle w:val="Normal-beforebullets"/>
              <w:rPr>
                <w:b/>
                <w:lang w:eastAsia="en-AU"/>
              </w:rPr>
            </w:pPr>
            <w:r w:rsidRPr="00AC1DB7">
              <w:rPr>
                <w:b/>
                <w:lang w:eastAsia="en-AU"/>
              </w:rPr>
              <w:t>SA</w:t>
            </w:r>
          </w:p>
        </w:tc>
        <w:tc>
          <w:tcPr>
            <w:tcW w:w="779" w:type="dxa"/>
            <w:vAlign w:val="center"/>
          </w:tcPr>
          <w:p w:rsidR="00557D08" w:rsidRPr="00AC1DB7" w:rsidRDefault="00557D08" w:rsidP="00ED1E21">
            <w:pPr>
              <w:pStyle w:val="Normal-beforebullets"/>
              <w:jc w:val="right"/>
              <w:rPr>
                <w:color w:val="000000"/>
              </w:rPr>
            </w:pPr>
            <w:r w:rsidRPr="00AC1DB7">
              <w:rPr>
                <w:color w:val="000000"/>
              </w:rPr>
              <w:t>92</w:t>
            </w:r>
          </w:p>
        </w:tc>
        <w:tc>
          <w:tcPr>
            <w:tcW w:w="973" w:type="dxa"/>
            <w:vAlign w:val="center"/>
          </w:tcPr>
          <w:p w:rsidR="00557D08" w:rsidRPr="00AC1DB7" w:rsidRDefault="00557D08" w:rsidP="00ED1E21">
            <w:pPr>
              <w:pStyle w:val="Normal-beforebullets"/>
              <w:jc w:val="right"/>
              <w:rPr>
                <w:color w:val="000000"/>
              </w:rPr>
            </w:pPr>
            <w:r w:rsidRPr="00AC1DB7">
              <w:rPr>
                <w:color w:val="000000"/>
              </w:rPr>
              <w:t>155</w:t>
            </w:r>
          </w:p>
        </w:tc>
        <w:tc>
          <w:tcPr>
            <w:tcW w:w="973" w:type="dxa"/>
            <w:vAlign w:val="center"/>
          </w:tcPr>
          <w:p w:rsidR="00557D08" w:rsidRPr="00AC1DB7" w:rsidRDefault="00557D08" w:rsidP="00ED1E21">
            <w:pPr>
              <w:pStyle w:val="Normal-beforebullets"/>
              <w:jc w:val="right"/>
              <w:rPr>
                <w:color w:val="000000"/>
              </w:rPr>
            </w:pPr>
            <w:r w:rsidRPr="00AC1DB7">
              <w:rPr>
                <w:color w:val="000000"/>
              </w:rPr>
              <w:t>70.7</w:t>
            </w:r>
          </w:p>
        </w:tc>
        <w:tc>
          <w:tcPr>
            <w:tcW w:w="973" w:type="dxa"/>
            <w:vAlign w:val="center"/>
          </w:tcPr>
          <w:p w:rsidR="00557D08" w:rsidRPr="00AC1DB7" w:rsidRDefault="00557D08" w:rsidP="00ED1E21">
            <w:pPr>
              <w:pStyle w:val="Normal-beforebullets"/>
              <w:jc w:val="right"/>
              <w:rPr>
                <w:color w:val="000000"/>
              </w:rPr>
            </w:pPr>
            <w:r w:rsidRPr="00AC1DB7">
              <w:rPr>
                <w:color w:val="000000"/>
              </w:rPr>
              <w:t>79.4</w:t>
            </w:r>
          </w:p>
        </w:tc>
        <w:tc>
          <w:tcPr>
            <w:tcW w:w="1263" w:type="dxa"/>
            <w:vAlign w:val="center"/>
          </w:tcPr>
          <w:p w:rsidR="00557D08" w:rsidRPr="00AC1DB7" w:rsidRDefault="00557D08" w:rsidP="00ED1E21">
            <w:pPr>
              <w:pStyle w:val="Normal-beforebullets"/>
              <w:jc w:val="right"/>
              <w:rPr>
                <w:color w:val="000000"/>
              </w:rPr>
            </w:pPr>
            <w:r w:rsidRPr="00AC1DB7">
              <w:rPr>
                <w:color w:val="000000"/>
              </w:rPr>
              <w:t>50.0</w:t>
            </w:r>
          </w:p>
        </w:tc>
        <w:tc>
          <w:tcPr>
            <w:tcW w:w="1134" w:type="dxa"/>
            <w:vAlign w:val="center"/>
          </w:tcPr>
          <w:p w:rsidR="00557D08" w:rsidRPr="00AC1DB7" w:rsidRDefault="00557D08" w:rsidP="00ED1E21">
            <w:pPr>
              <w:pStyle w:val="Normal-beforebullets"/>
              <w:jc w:val="right"/>
              <w:rPr>
                <w:color w:val="000000"/>
              </w:rPr>
            </w:pPr>
            <w:r w:rsidRPr="00AC1DB7">
              <w:rPr>
                <w:color w:val="000000"/>
              </w:rPr>
              <w:t>61.3</w:t>
            </w:r>
          </w:p>
        </w:tc>
      </w:tr>
      <w:tr w:rsidR="00557D08" w:rsidRPr="007C4509" w:rsidTr="00ED1E21">
        <w:trPr>
          <w:trHeight w:val="283"/>
        </w:trPr>
        <w:tc>
          <w:tcPr>
            <w:tcW w:w="1627" w:type="dxa"/>
            <w:vMerge/>
          </w:tcPr>
          <w:p w:rsidR="00557D08" w:rsidRPr="00AC1DB7" w:rsidRDefault="00557D08" w:rsidP="00ED1E21">
            <w:pPr>
              <w:pStyle w:val="Normal-beforebullets"/>
              <w:rPr>
                <w:b/>
                <w:lang w:eastAsia="en-AU"/>
              </w:rPr>
            </w:pPr>
          </w:p>
        </w:tc>
        <w:tc>
          <w:tcPr>
            <w:tcW w:w="1912" w:type="dxa"/>
            <w:vAlign w:val="center"/>
          </w:tcPr>
          <w:p w:rsidR="00557D08" w:rsidRPr="00AC1DB7" w:rsidRDefault="00557D08" w:rsidP="00ED1E21">
            <w:pPr>
              <w:pStyle w:val="Normal-beforebullets"/>
              <w:rPr>
                <w:b/>
                <w:lang w:eastAsia="en-AU"/>
              </w:rPr>
            </w:pPr>
            <w:proofErr w:type="spellStart"/>
            <w:r w:rsidRPr="00AC1DB7">
              <w:rPr>
                <w:b/>
                <w:lang w:eastAsia="en-AU"/>
              </w:rPr>
              <w:t>Tas</w:t>
            </w:r>
            <w:proofErr w:type="spellEnd"/>
          </w:p>
        </w:tc>
        <w:tc>
          <w:tcPr>
            <w:tcW w:w="779" w:type="dxa"/>
            <w:vAlign w:val="center"/>
          </w:tcPr>
          <w:p w:rsidR="00557D08" w:rsidRPr="00AC1DB7" w:rsidRDefault="00557D08" w:rsidP="00ED1E21">
            <w:pPr>
              <w:pStyle w:val="Normal-beforebullets"/>
              <w:jc w:val="right"/>
              <w:rPr>
                <w:color w:val="000000"/>
              </w:rPr>
            </w:pPr>
            <w:r w:rsidRPr="00AC1DB7">
              <w:rPr>
                <w:color w:val="000000"/>
              </w:rPr>
              <w:t>48</w:t>
            </w:r>
          </w:p>
        </w:tc>
        <w:tc>
          <w:tcPr>
            <w:tcW w:w="973" w:type="dxa"/>
            <w:vAlign w:val="center"/>
          </w:tcPr>
          <w:p w:rsidR="00557D08" w:rsidRPr="00AC1DB7" w:rsidRDefault="00557D08" w:rsidP="00ED1E21">
            <w:pPr>
              <w:pStyle w:val="Normal-beforebullets"/>
              <w:jc w:val="right"/>
              <w:rPr>
                <w:color w:val="000000"/>
              </w:rPr>
            </w:pPr>
            <w:r w:rsidRPr="00AC1DB7">
              <w:rPr>
                <w:color w:val="000000"/>
              </w:rPr>
              <w:t>15</w:t>
            </w:r>
          </w:p>
        </w:tc>
        <w:tc>
          <w:tcPr>
            <w:tcW w:w="973" w:type="dxa"/>
            <w:vAlign w:val="center"/>
          </w:tcPr>
          <w:p w:rsidR="00557D08" w:rsidRPr="00AC1DB7" w:rsidRDefault="00557D08" w:rsidP="00ED1E21">
            <w:pPr>
              <w:pStyle w:val="Normal-beforebullets"/>
              <w:jc w:val="right"/>
              <w:rPr>
                <w:color w:val="000000"/>
              </w:rPr>
            </w:pPr>
            <w:r w:rsidRPr="00AC1DB7">
              <w:rPr>
                <w:color w:val="000000"/>
              </w:rPr>
              <w:t>68.8</w:t>
            </w:r>
          </w:p>
        </w:tc>
        <w:tc>
          <w:tcPr>
            <w:tcW w:w="973" w:type="dxa"/>
            <w:vAlign w:val="center"/>
          </w:tcPr>
          <w:p w:rsidR="00557D08" w:rsidRPr="00AC1DB7" w:rsidRDefault="00557D08" w:rsidP="00ED1E21">
            <w:pPr>
              <w:pStyle w:val="Normal-beforebullets"/>
              <w:jc w:val="right"/>
              <w:rPr>
                <w:color w:val="000000"/>
              </w:rPr>
            </w:pPr>
            <w:r w:rsidRPr="00AC1DB7">
              <w:rPr>
                <w:color w:val="000000"/>
              </w:rPr>
              <w:t>100.0</w:t>
            </w:r>
          </w:p>
        </w:tc>
        <w:tc>
          <w:tcPr>
            <w:tcW w:w="1263" w:type="dxa"/>
            <w:vAlign w:val="center"/>
          </w:tcPr>
          <w:p w:rsidR="00557D08" w:rsidRPr="00AC1DB7" w:rsidRDefault="00557D08" w:rsidP="00ED1E21">
            <w:pPr>
              <w:pStyle w:val="Normal-beforebullets"/>
              <w:jc w:val="right"/>
              <w:rPr>
                <w:color w:val="000000"/>
              </w:rPr>
            </w:pPr>
            <w:r w:rsidRPr="00AC1DB7">
              <w:rPr>
                <w:color w:val="000000"/>
              </w:rPr>
              <w:t>45.8</w:t>
            </w:r>
          </w:p>
        </w:tc>
        <w:tc>
          <w:tcPr>
            <w:tcW w:w="1134" w:type="dxa"/>
            <w:vAlign w:val="center"/>
          </w:tcPr>
          <w:p w:rsidR="00557D08" w:rsidRPr="00AC1DB7" w:rsidRDefault="00557D08" w:rsidP="00ED1E21">
            <w:pPr>
              <w:pStyle w:val="Normal-beforebullets"/>
              <w:jc w:val="right"/>
              <w:rPr>
                <w:color w:val="000000"/>
              </w:rPr>
            </w:pPr>
            <w:r w:rsidRPr="00AC1DB7">
              <w:rPr>
                <w:color w:val="000000"/>
              </w:rPr>
              <w:t>73.3</w:t>
            </w:r>
          </w:p>
        </w:tc>
      </w:tr>
      <w:tr w:rsidR="00557D08" w:rsidRPr="007C4509" w:rsidTr="00ED1E21">
        <w:trPr>
          <w:trHeight w:val="283"/>
        </w:trPr>
        <w:tc>
          <w:tcPr>
            <w:tcW w:w="1627" w:type="dxa"/>
            <w:vMerge/>
            <w:hideMark/>
          </w:tcPr>
          <w:p w:rsidR="00557D08" w:rsidRPr="00AC1DB7" w:rsidRDefault="00557D08" w:rsidP="00ED1E21">
            <w:pPr>
              <w:pStyle w:val="Normal-beforebullets"/>
              <w:rPr>
                <w:b/>
                <w:lang w:eastAsia="en-AU"/>
              </w:rPr>
            </w:pPr>
          </w:p>
        </w:tc>
        <w:tc>
          <w:tcPr>
            <w:tcW w:w="1912" w:type="dxa"/>
            <w:vAlign w:val="center"/>
          </w:tcPr>
          <w:p w:rsidR="00557D08" w:rsidRPr="00AC1DB7" w:rsidRDefault="00557D08" w:rsidP="00ED1E21">
            <w:pPr>
              <w:pStyle w:val="Normal-beforebullets"/>
              <w:rPr>
                <w:b/>
                <w:lang w:eastAsia="en-AU"/>
              </w:rPr>
            </w:pPr>
            <w:r w:rsidRPr="00AC1DB7">
              <w:rPr>
                <w:b/>
                <w:lang w:eastAsia="en-AU"/>
              </w:rPr>
              <w:t>Vic</w:t>
            </w:r>
          </w:p>
        </w:tc>
        <w:tc>
          <w:tcPr>
            <w:tcW w:w="779" w:type="dxa"/>
            <w:vAlign w:val="center"/>
          </w:tcPr>
          <w:p w:rsidR="00557D08" w:rsidRPr="00AC1DB7" w:rsidRDefault="00557D08" w:rsidP="00ED1E21">
            <w:pPr>
              <w:pStyle w:val="Normal-beforebullets"/>
              <w:jc w:val="right"/>
              <w:rPr>
                <w:color w:val="000000"/>
              </w:rPr>
            </w:pPr>
            <w:r w:rsidRPr="00AC1DB7">
              <w:rPr>
                <w:color w:val="000000"/>
              </w:rPr>
              <w:t>656</w:t>
            </w:r>
          </w:p>
        </w:tc>
        <w:tc>
          <w:tcPr>
            <w:tcW w:w="973" w:type="dxa"/>
            <w:vAlign w:val="center"/>
          </w:tcPr>
          <w:p w:rsidR="00557D08" w:rsidRPr="00AC1DB7" w:rsidRDefault="00557D08" w:rsidP="00ED1E21">
            <w:pPr>
              <w:pStyle w:val="Normal-beforebullets"/>
              <w:jc w:val="right"/>
              <w:rPr>
                <w:color w:val="000000"/>
              </w:rPr>
            </w:pPr>
            <w:r w:rsidRPr="00AC1DB7">
              <w:rPr>
                <w:color w:val="000000"/>
              </w:rPr>
              <w:t>639</w:t>
            </w:r>
          </w:p>
        </w:tc>
        <w:tc>
          <w:tcPr>
            <w:tcW w:w="973" w:type="dxa"/>
            <w:vAlign w:val="center"/>
          </w:tcPr>
          <w:p w:rsidR="00557D08" w:rsidRPr="00AC1DB7" w:rsidRDefault="00557D08" w:rsidP="00ED1E21">
            <w:pPr>
              <w:pStyle w:val="Normal-beforebullets"/>
              <w:jc w:val="right"/>
              <w:rPr>
                <w:color w:val="000000"/>
              </w:rPr>
            </w:pPr>
            <w:r w:rsidRPr="00AC1DB7">
              <w:rPr>
                <w:color w:val="000000"/>
              </w:rPr>
              <w:t>73.3</w:t>
            </w:r>
          </w:p>
        </w:tc>
        <w:tc>
          <w:tcPr>
            <w:tcW w:w="973" w:type="dxa"/>
            <w:vAlign w:val="center"/>
          </w:tcPr>
          <w:p w:rsidR="00557D08" w:rsidRPr="00AC1DB7" w:rsidRDefault="00557D08" w:rsidP="00ED1E21">
            <w:pPr>
              <w:pStyle w:val="Normal-beforebullets"/>
              <w:jc w:val="right"/>
              <w:rPr>
                <w:color w:val="000000"/>
              </w:rPr>
            </w:pPr>
            <w:r w:rsidRPr="00AC1DB7">
              <w:rPr>
                <w:color w:val="000000"/>
              </w:rPr>
              <w:t>71.5</w:t>
            </w:r>
          </w:p>
        </w:tc>
        <w:tc>
          <w:tcPr>
            <w:tcW w:w="1263" w:type="dxa"/>
            <w:vAlign w:val="center"/>
          </w:tcPr>
          <w:p w:rsidR="00557D08" w:rsidRPr="00AC1DB7" w:rsidRDefault="00557D08" w:rsidP="00ED1E21">
            <w:pPr>
              <w:pStyle w:val="Normal-beforebullets"/>
              <w:jc w:val="right"/>
              <w:rPr>
                <w:color w:val="000000"/>
              </w:rPr>
            </w:pPr>
            <w:r w:rsidRPr="00AC1DB7">
              <w:rPr>
                <w:color w:val="000000"/>
              </w:rPr>
              <w:t>37.8</w:t>
            </w:r>
          </w:p>
        </w:tc>
        <w:tc>
          <w:tcPr>
            <w:tcW w:w="1134" w:type="dxa"/>
            <w:vAlign w:val="center"/>
          </w:tcPr>
          <w:p w:rsidR="00557D08" w:rsidRPr="00AC1DB7" w:rsidRDefault="00557D08" w:rsidP="00ED1E21">
            <w:pPr>
              <w:pStyle w:val="Normal-beforebullets"/>
              <w:jc w:val="right"/>
              <w:rPr>
                <w:color w:val="000000"/>
              </w:rPr>
            </w:pPr>
            <w:r w:rsidRPr="00AC1DB7">
              <w:rPr>
                <w:color w:val="000000"/>
              </w:rPr>
              <w:t>40.4</w:t>
            </w:r>
          </w:p>
        </w:tc>
      </w:tr>
      <w:tr w:rsidR="00557D08" w:rsidRPr="007C4509" w:rsidTr="00ED1E21">
        <w:trPr>
          <w:trHeight w:val="283"/>
        </w:trPr>
        <w:tc>
          <w:tcPr>
            <w:tcW w:w="1627" w:type="dxa"/>
            <w:vMerge/>
            <w:hideMark/>
          </w:tcPr>
          <w:p w:rsidR="00557D08" w:rsidRPr="00AC1DB7" w:rsidRDefault="00557D08" w:rsidP="00ED1E21">
            <w:pPr>
              <w:pStyle w:val="Normal-beforebullets"/>
              <w:rPr>
                <w:b/>
                <w:lang w:eastAsia="en-AU"/>
              </w:rPr>
            </w:pPr>
          </w:p>
        </w:tc>
        <w:tc>
          <w:tcPr>
            <w:tcW w:w="1912" w:type="dxa"/>
            <w:vAlign w:val="center"/>
          </w:tcPr>
          <w:p w:rsidR="00557D08" w:rsidRPr="00AC1DB7" w:rsidRDefault="00557D08" w:rsidP="00ED1E21">
            <w:pPr>
              <w:pStyle w:val="Normal-beforebullets"/>
              <w:rPr>
                <w:b/>
                <w:lang w:eastAsia="en-AU"/>
              </w:rPr>
            </w:pPr>
            <w:r w:rsidRPr="00AC1DB7">
              <w:rPr>
                <w:b/>
                <w:lang w:eastAsia="en-AU"/>
              </w:rPr>
              <w:t>WA</w:t>
            </w:r>
          </w:p>
        </w:tc>
        <w:tc>
          <w:tcPr>
            <w:tcW w:w="779" w:type="dxa"/>
            <w:vAlign w:val="center"/>
          </w:tcPr>
          <w:p w:rsidR="00557D08" w:rsidRPr="00AC1DB7" w:rsidRDefault="00557D08" w:rsidP="00ED1E21">
            <w:pPr>
              <w:pStyle w:val="Normal-beforebullets"/>
              <w:jc w:val="right"/>
              <w:rPr>
                <w:color w:val="000000"/>
              </w:rPr>
            </w:pPr>
            <w:r w:rsidRPr="00AC1DB7">
              <w:rPr>
                <w:color w:val="000000"/>
              </w:rPr>
              <w:t>184</w:t>
            </w:r>
          </w:p>
        </w:tc>
        <w:tc>
          <w:tcPr>
            <w:tcW w:w="973" w:type="dxa"/>
            <w:vAlign w:val="center"/>
          </w:tcPr>
          <w:p w:rsidR="00557D08" w:rsidRPr="00AC1DB7" w:rsidRDefault="00557D08" w:rsidP="00ED1E21">
            <w:pPr>
              <w:pStyle w:val="Normal-beforebullets"/>
              <w:jc w:val="right"/>
              <w:rPr>
                <w:color w:val="000000"/>
              </w:rPr>
            </w:pPr>
            <w:r w:rsidRPr="00AC1DB7">
              <w:rPr>
                <w:color w:val="000000"/>
              </w:rPr>
              <w:t>139</w:t>
            </w:r>
          </w:p>
        </w:tc>
        <w:tc>
          <w:tcPr>
            <w:tcW w:w="973" w:type="dxa"/>
            <w:vAlign w:val="center"/>
          </w:tcPr>
          <w:p w:rsidR="00557D08" w:rsidRPr="00AC1DB7" w:rsidRDefault="00557D08" w:rsidP="00ED1E21">
            <w:pPr>
              <w:pStyle w:val="Normal-beforebullets"/>
              <w:jc w:val="right"/>
              <w:rPr>
                <w:color w:val="000000"/>
              </w:rPr>
            </w:pPr>
            <w:r w:rsidRPr="00AC1DB7">
              <w:rPr>
                <w:color w:val="000000"/>
              </w:rPr>
              <w:t>72.3</w:t>
            </w:r>
          </w:p>
        </w:tc>
        <w:tc>
          <w:tcPr>
            <w:tcW w:w="973" w:type="dxa"/>
            <w:vAlign w:val="center"/>
          </w:tcPr>
          <w:p w:rsidR="00557D08" w:rsidRPr="00AC1DB7" w:rsidRDefault="00557D08" w:rsidP="00ED1E21">
            <w:pPr>
              <w:pStyle w:val="Normal-beforebullets"/>
              <w:jc w:val="right"/>
              <w:rPr>
                <w:color w:val="000000"/>
              </w:rPr>
            </w:pPr>
            <w:r w:rsidRPr="00AC1DB7">
              <w:rPr>
                <w:color w:val="000000"/>
              </w:rPr>
              <w:t>88.5</w:t>
            </w:r>
          </w:p>
        </w:tc>
        <w:tc>
          <w:tcPr>
            <w:tcW w:w="1263" w:type="dxa"/>
            <w:vAlign w:val="center"/>
          </w:tcPr>
          <w:p w:rsidR="00557D08" w:rsidRPr="00AC1DB7" w:rsidRDefault="00557D08" w:rsidP="00ED1E21">
            <w:pPr>
              <w:pStyle w:val="Normal-beforebullets"/>
              <w:jc w:val="right"/>
              <w:rPr>
                <w:color w:val="000000"/>
              </w:rPr>
            </w:pPr>
            <w:r w:rsidRPr="00AC1DB7">
              <w:rPr>
                <w:color w:val="000000"/>
              </w:rPr>
              <w:t>47.3</w:t>
            </w:r>
          </w:p>
        </w:tc>
        <w:tc>
          <w:tcPr>
            <w:tcW w:w="1134" w:type="dxa"/>
            <w:vAlign w:val="center"/>
          </w:tcPr>
          <w:p w:rsidR="00557D08" w:rsidRPr="00AC1DB7" w:rsidRDefault="00557D08" w:rsidP="00ED1E21">
            <w:pPr>
              <w:pStyle w:val="Normal-beforebullets"/>
              <w:jc w:val="right"/>
              <w:rPr>
                <w:color w:val="000000"/>
              </w:rPr>
            </w:pPr>
            <w:r w:rsidRPr="00AC1DB7">
              <w:rPr>
                <w:color w:val="000000"/>
              </w:rPr>
              <w:t>43.2</w:t>
            </w:r>
          </w:p>
        </w:tc>
      </w:tr>
      <w:tr w:rsidR="00557D08" w:rsidRPr="007C4509" w:rsidTr="00ED1E21">
        <w:trPr>
          <w:trHeight w:val="283"/>
        </w:trPr>
        <w:tc>
          <w:tcPr>
            <w:tcW w:w="1627" w:type="dxa"/>
            <w:vMerge w:val="restart"/>
            <w:hideMark/>
          </w:tcPr>
          <w:p w:rsidR="00557D08" w:rsidRPr="00AC1DB7" w:rsidRDefault="00557D08" w:rsidP="00ED1E21">
            <w:pPr>
              <w:pStyle w:val="Normal-beforebullets"/>
              <w:rPr>
                <w:b/>
                <w:lang w:eastAsia="en-AU"/>
              </w:rPr>
            </w:pPr>
            <w:r w:rsidRPr="00AC1DB7">
              <w:rPr>
                <w:b/>
                <w:lang w:eastAsia="en-AU"/>
              </w:rPr>
              <w:t>Remoteness</w:t>
            </w:r>
          </w:p>
        </w:tc>
        <w:tc>
          <w:tcPr>
            <w:tcW w:w="1912" w:type="dxa"/>
            <w:vAlign w:val="center"/>
            <w:hideMark/>
          </w:tcPr>
          <w:p w:rsidR="00557D08" w:rsidRPr="00AC1DB7" w:rsidRDefault="00557D08" w:rsidP="00ED1E21">
            <w:pPr>
              <w:pStyle w:val="Normal-beforebullets"/>
              <w:rPr>
                <w:b/>
                <w:lang w:eastAsia="en-AU"/>
              </w:rPr>
            </w:pPr>
            <w:r w:rsidRPr="00AC1DB7">
              <w:rPr>
                <w:b/>
                <w:lang w:eastAsia="en-AU"/>
              </w:rPr>
              <w:t>Major Cities</w:t>
            </w:r>
          </w:p>
        </w:tc>
        <w:tc>
          <w:tcPr>
            <w:tcW w:w="779" w:type="dxa"/>
            <w:vAlign w:val="center"/>
          </w:tcPr>
          <w:p w:rsidR="00557D08" w:rsidRPr="00AC1DB7" w:rsidRDefault="00557D08" w:rsidP="00ED1E21">
            <w:pPr>
              <w:pStyle w:val="Normal-beforebullets"/>
              <w:jc w:val="right"/>
              <w:rPr>
                <w:color w:val="000000"/>
              </w:rPr>
            </w:pPr>
            <w:r w:rsidRPr="00AC1DB7">
              <w:rPr>
                <w:color w:val="000000"/>
              </w:rPr>
              <w:t>777</w:t>
            </w:r>
          </w:p>
        </w:tc>
        <w:tc>
          <w:tcPr>
            <w:tcW w:w="973" w:type="dxa"/>
            <w:vAlign w:val="center"/>
          </w:tcPr>
          <w:p w:rsidR="00557D08" w:rsidRPr="00AC1DB7" w:rsidRDefault="00557D08" w:rsidP="00ED1E21">
            <w:pPr>
              <w:pStyle w:val="Normal-beforebullets"/>
              <w:jc w:val="right"/>
              <w:rPr>
                <w:color w:val="000000"/>
              </w:rPr>
            </w:pPr>
            <w:r w:rsidRPr="00AC1DB7">
              <w:rPr>
                <w:color w:val="000000"/>
              </w:rPr>
              <w:t>543</w:t>
            </w:r>
          </w:p>
        </w:tc>
        <w:tc>
          <w:tcPr>
            <w:tcW w:w="973" w:type="dxa"/>
            <w:noWrap/>
            <w:vAlign w:val="center"/>
          </w:tcPr>
          <w:p w:rsidR="00557D08" w:rsidRPr="00AC1DB7" w:rsidRDefault="00557D08" w:rsidP="00ED1E21">
            <w:pPr>
              <w:pStyle w:val="Normal-beforebullets"/>
              <w:jc w:val="right"/>
              <w:rPr>
                <w:color w:val="000000"/>
              </w:rPr>
            </w:pPr>
            <w:r w:rsidRPr="00AC1DB7">
              <w:rPr>
                <w:color w:val="000000"/>
              </w:rPr>
              <w:t>75.4</w:t>
            </w:r>
          </w:p>
        </w:tc>
        <w:tc>
          <w:tcPr>
            <w:tcW w:w="973" w:type="dxa"/>
            <w:vAlign w:val="center"/>
          </w:tcPr>
          <w:p w:rsidR="00557D08" w:rsidRPr="00AC1DB7" w:rsidRDefault="00557D08" w:rsidP="00ED1E21">
            <w:pPr>
              <w:pStyle w:val="Normal-beforebullets"/>
              <w:jc w:val="right"/>
              <w:rPr>
                <w:color w:val="000000"/>
              </w:rPr>
            </w:pPr>
            <w:r w:rsidRPr="00AC1DB7">
              <w:rPr>
                <w:color w:val="000000"/>
              </w:rPr>
              <w:t>81.2</w:t>
            </w:r>
          </w:p>
        </w:tc>
        <w:tc>
          <w:tcPr>
            <w:tcW w:w="1263" w:type="dxa"/>
            <w:noWrap/>
            <w:vAlign w:val="center"/>
          </w:tcPr>
          <w:p w:rsidR="00557D08" w:rsidRPr="00AC1DB7" w:rsidRDefault="00557D08" w:rsidP="00ED1E21">
            <w:pPr>
              <w:pStyle w:val="Normal-beforebullets"/>
              <w:jc w:val="right"/>
              <w:rPr>
                <w:color w:val="000000"/>
              </w:rPr>
            </w:pPr>
            <w:r w:rsidRPr="00AC1DB7">
              <w:rPr>
                <w:color w:val="000000"/>
              </w:rPr>
              <w:t>42.2</w:t>
            </w:r>
          </w:p>
        </w:tc>
        <w:tc>
          <w:tcPr>
            <w:tcW w:w="1134" w:type="dxa"/>
            <w:vAlign w:val="center"/>
          </w:tcPr>
          <w:p w:rsidR="00557D08" w:rsidRPr="00AC1DB7" w:rsidRDefault="00557D08" w:rsidP="00ED1E21">
            <w:pPr>
              <w:pStyle w:val="Normal-beforebullets"/>
              <w:jc w:val="right"/>
              <w:rPr>
                <w:color w:val="000000"/>
              </w:rPr>
            </w:pPr>
            <w:r w:rsidRPr="00AC1DB7">
              <w:rPr>
                <w:color w:val="000000"/>
              </w:rPr>
              <w:t>51.0</w:t>
            </w:r>
          </w:p>
        </w:tc>
      </w:tr>
      <w:tr w:rsidR="00557D08" w:rsidRPr="007C4509" w:rsidTr="00ED1E21">
        <w:trPr>
          <w:trHeight w:val="283"/>
        </w:trPr>
        <w:tc>
          <w:tcPr>
            <w:tcW w:w="1627" w:type="dxa"/>
            <w:vMerge/>
            <w:hideMark/>
          </w:tcPr>
          <w:p w:rsidR="00557D08" w:rsidRPr="00AC1DB7" w:rsidRDefault="00557D08" w:rsidP="00ED1E21">
            <w:pPr>
              <w:pStyle w:val="Normal-beforebullets"/>
              <w:rPr>
                <w:b/>
                <w:lang w:eastAsia="en-AU"/>
              </w:rPr>
            </w:pPr>
          </w:p>
        </w:tc>
        <w:tc>
          <w:tcPr>
            <w:tcW w:w="1912" w:type="dxa"/>
            <w:vAlign w:val="center"/>
            <w:hideMark/>
          </w:tcPr>
          <w:p w:rsidR="00557D08" w:rsidRPr="00AC1DB7" w:rsidRDefault="00557D08" w:rsidP="00ED1E21">
            <w:pPr>
              <w:pStyle w:val="Normal-beforebullets"/>
              <w:rPr>
                <w:b/>
                <w:lang w:eastAsia="en-AU"/>
              </w:rPr>
            </w:pPr>
            <w:r w:rsidRPr="00AC1DB7">
              <w:rPr>
                <w:b/>
                <w:lang w:eastAsia="en-AU"/>
              </w:rPr>
              <w:t>Inner regional</w:t>
            </w:r>
          </w:p>
        </w:tc>
        <w:tc>
          <w:tcPr>
            <w:tcW w:w="779" w:type="dxa"/>
            <w:vAlign w:val="center"/>
          </w:tcPr>
          <w:p w:rsidR="00557D08" w:rsidRPr="00AC1DB7" w:rsidRDefault="00557D08" w:rsidP="00ED1E21">
            <w:pPr>
              <w:pStyle w:val="Normal-beforebullets"/>
              <w:jc w:val="right"/>
              <w:rPr>
                <w:color w:val="000000"/>
              </w:rPr>
            </w:pPr>
            <w:r w:rsidRPr="00AC1DB7">
              <w:rPr>
                <w:color w:val="000000"/>
              </w:rPr>
              <w:t>475</w:t>
            </w:r>
          </w:p>
        </w:tc>
        <w:tc>
          <w:tcPr>
            <w:tcW w:w="973" w:type="dxa"/>
            <w:vAlign w:val="center"/>
          </w:tcPr>
          <w:p w:rsidR="00557D08" w:rsidRPr="00AC1DB7" w:rsidRDefault="00557D08" w:rsidP="00ED1E21">
            <w:pPr>
              <w:pStyle w:val="Normal-beforebullets"/>
              <w:jc w:val="right"/>
              <w:rPr>
                <w:color w:val="000000"/>
              </w:rPr>
            </w:pPr>
            <w:r w:rsidRPr="00AC1DB7">
              <w:rPr>
                <w:color w:val="000000"/>
              </w:rPr>
              <w:t>482</w:t>
            </w:r>
          </w:p>
        </w:tc>
        <w:tc>
          <w:tcPr>
            <w:tcW w:w="973" w:type="dxa"/>
            <w:noWrap/>
            <w:vAlign w:val="center"/>
          </w:tcPr>
          <w:p w:rsidR="00557D08" w:rsidRPr="00AC1DB7" w:rsidRDefault="00557D08" w:rsidP="00ED1E21">
            <w:pPr>
              <w:pStyle w:val="Normal-beforebullets"/>
              <w:jc w:val="right"/>
              <w:rPr>
                <w:color w:val="000000"/>
              </w:rPr>
            </w:pPr>
            <w:r w:rsidRPr="00AC1DB7">
              <w:rPr>
                <w:color w:val="000000"/>
              </w:rPr>
              <w:t>70.5</w:t>
            </w:r>
          </w:p>
        </w:tc>
        <w:tc>
          <w:tcPr>
            <w:tcW w:w="973" w:type="dxa"/>
            <w:vAlign w:val="center"/>
          </w:tcPr>
          <w:p w:rsidR="00557D08" w:rsidRPr="00AC1DB7" w:rsidRDefault="00557D08" w:rsidP="00ED1E21">
            <w:pPr>
              <w:pStyle w:val="Normal-beforebullets"/>
              <w:jc w:val="right"/>
              <w:rPr>
                <w:color w:val="000000"/>
              </w:rPr>
            </w:pPr>
            <w:r w:rsidRPr="00AC1DB7">
              <w:rPr>
                <w:color w:val="000000"/>
              </w:rPr>
              <w:t>77.2</w:t>
            </w:r>
          </w:p>
        </w:tc>
        <w:tc>
          <w:tcPr>
            <w:tcW w:w="1263" w:type="dxa"/>
            <w:noWrap/>
            <w:vAlign w:val="center"/>
          </w:tcPr>
          <w:p w:rsidR="00557D08" w:rsidRPr="00AC1DB7" w:rsidRDefault="00557D08" w:rsidP="00ED1E21">
            <w:pPr>
              <w:pStyle w:val="Normal-beforebullets"/>
              <w:jc w:val="right"/>
              <w:rPr>
                <w:color w:val="000000"/>
              </w:rPr>
            </w:pPr>
            <w:r w:rsidRPr="00AC1DB7">
              <w:rPr>
                <w:color w:val="000000"/>
              </w:rPr>
              <w:t>39.6</w:t>
            </w:r>
          </w:p>
        </w:tc>
        <w:tc>
          <w:tcPr>
            <w:tcW w:w="1134" w:type="dxa"/>
            <w:vAlign w:val="center"/>
          </w:tcPr>
          <w:p w:rsidR="00557D08" w:rsidRPr="00AC1DB7" w:rsidRDefault="00557D08" w:rsidP="00ED1E21">
            <w:pPr>
              <w:pStyle w:val="Normal-beforebullets"/>
              <w:jc w:val="right"/>
              <w:rPr>
                <w:color w:val="000000"/>
              </w:rPr>
            </w:pPr>
            <w:r w:rsidRPr="00AC1DB7">
              <w:rPr>
                <w:color w:val="000000"/>
              </w:rPr>
              <w:t>43.8</w:t>
            </w:r>
          </w:p>
        </w:tc>
      </w:tr>
      <w:tr w:rsidR="00557D08" w:rsidRPr="007C4509" w:rsidTr="00ED1E21">
        <w:trPr>
          <w:trHeight w:val="283"/>
        </w:trPr>
        <w:tc>
          <w:tcPr>
            <w:tcW w:w="1627" w:type="dxa"/>
            <w:vMerge/>
            <w:hideMark/>
          </w:tcPr>
          <w:p w:rsidR="00557D08" w:rsidRPr="00AC1DB7" w:rsidRDefault="00557D08" w:rsidP="00ED1E21">
            <w:pPr>
              <w:pStyle w:val="Normal-beforebullets"/>
              <w:rPr>
                <w:b/>
                <w:lang w:eastAsia="en-AU"/>
              </w:rPr>
            </w:pPr>
          </w:p>
        </w:tc>
        <w:tc>
          <w:tcPr>
            <w:tcW w:w="1912" w:type="dxa"/>
            <w:vAlign w:val="center"/>
            <w:hideMark/>
          </w:tcPr>
          <w:p w:rsidR="00557D08" w:rsidRPr="00AC1DB7" w:rsidRDefault="00557D08" w:rsidP="00ED1E21">
            <w:pPr>
              <w:pStyle w:val="Normal-beforebullets"/>
              <w:rPr>
                <w:b/>
                <w:lang w:eastAsia="en-AU"/>
              </w:rPr>
            </w:pPr>
            <w:r w:rsidRPr="00AC1DB7">
              <w:rPr>
                <w:b/>
                <w:lang w:eastAsia="en-AU"/>
              </w:rPr>
              <w:t>Outer regional</w:t>
            </w:r>
          </w:p>
        </w:tc>
        <w:tc>
          <w:tcPr>
            <w:tcW w:w="779" w:type="dxa"/>
            <w:vAlign w:val="center"/>
          </w:tcPr>
          <w:p w:rsidR="00557D08" w:rsidRPr="00AC1DB7" w:rsidRDefault="00557D08" w:rsidP="00ED1E21">
            <w:pPr>
              <w:pStyle w:val="Normal-beforebullets"/>
              <w:jc w:val="right"/>
              <w:rPr>
                <w:color w:val="000000"/>
              </w:rPr>
            </w:pPr>
            <w:r w:rsidRPr="00AC1DB7">
              <w:rPr>
                <w:color w:val="000000"/>
              </w:rPr>
              <w:t>208</w:t>
            </w:r>
          </w:p>
        </w:tc>
        <w:tc>
          <w:tcPr>
            <w:tcW w:w="973" w:type="dxa"/>
            <w:vAlign w:val="center"/>
          </w:tcPr>
          <w:p w:rsidR="00557D08" w:rsidRPr="00AC1DB7" w:rsidRDefault="00557D08" w:rsidP="00ED1E21">
            <w:pPr>
              <w:pStyle w:val="Normal-beforebullets"/>
              <w:jc w:val="right"/>
              <w:rPr>
                <w:color w:val="000000"/>
              </w:rPr>
            </w:pPr>
            <w:r w:rsidRPr="00AC1DB7">
              <w:rPr>
                <w:color w:val="000000"/>
              </w:rPr>
              <w:t>171</w:t>
            </w:r>
          </w:p>
        </w:tc>
        <w:tc>
          <w:tcPr>
            <w:tcW w:w="973" w:type="dxa"/>
            <w:noWrap/>
            <w:vAlign w:val="center"/>
          </w:tcPr>
          <w:p w:rsidR="00557D08" w:rsidRPr="00AC1DB7" w:rsidRDefault="00557D08" w:rsidP="00ED1E21">
            <w:pPr>
              <w:pStyle w:val="Normal-beforebullets"/>
              <w:jc w:val="right"/>
              <w:rPr>
                <w:color w:val="000000"/>
              </w:rPr>
            </w:pPr>
            <w:r w:rsidRPr="00AC1DB7">
              <w:rPr>
                <w:color w:val="000000"/>
              </w:rPr>
              <w:t>76.9</w:t>
            </w:r>
          </w:p>
        </w:tc>
        <w:tc>
          <w:tcPr>
            <w:tcW w:w="973" w:type="dxa"/>
            <w:vAlign w:val="center"/>
          </w:tcPr>
          <w:p w:rsidR="00557D08" w:rsidRPr="00AC1DB7" w:rsidRDefault="00557D08" w:rsidP="00ED1E21">
            <w:pPr>
              <w:pStyle w:val="Normal-beforebullets"/>
              <w:jc w:val="right"/>
              <w:rPr>
                <w:color w:val="000000"/>
              </w:rPr>
            </w:pPr>
            <w:r w:rsidRPr="00AC1DB7">
              <w:rPr>
                <w:color w:val="000000"/>
              </w:rPr>
              <w:t>63.7</w:t>
            </w:r>
          </w:p>
        </w:tc>
        <w:tc>
          <w:tcPr>
            <w:tcW w:w="1263" w:type="dxa"/>
            <w:noWrap/>
            <w:vAlign w:val="center"/>
          </w:tcPr>
          <w:p w:rsidR="00557D08" w:rsidRPr="00AC1DB7" w:rsidRDefault="00557D08" w:rsidP="00ED1E21">
            <w:pPr>
              <w:pStyle w:val="Normal-beforebullets"/>
              <w:jc w:val="right"/>
              <w:rPr>
                <w:color w:val="000000"/>
              </w:rPr>
            </w:pPr>
            <w:r w:rsidRPr="00AC1DB7">
              <w:rPr>
                <w:color w:val="000000"/>
              </w:rPr>
              <w:t>37.5</w:t>
            </w:r>
          </w:p>
        </w:tc>
        <w:tc>
          <w:tcPr>
            <w:tcW w:w="1134" w:type="dxa"/>
            <w:vAlign w:val="center"/>
          </w:tcPr>
          <w:p w:rsidR="00557D08" w:rsidRPr="00AC1DB7" w:rsidRDefault="00557D08" w:rsidP="00ED1E21">
            <w:pPr>
              <w:pStyle w:val="Normal-beforebullets"/>
              <w:jc w:val="right"/>
              <w:rPr>
                <w:color w:val="000000"/>
              </w:rPr>
            </w:pPr>
            <w:r w:rsidRPr="00AC1DB7">
              <w:rPr>
                <w:color w:val="000000"/>
              </w:rPr>
              <w:t>29.8</w:t>
            </w:r>
          </w:p>
        </w:tc>
      </w:tr>
      <w:tr w:rsidR="00557D08" w:rsidRPr="007C4509" w:rsidTr="00ED1E21">
        <w:trPr>
          <w:trHeight w:val="283"/>
        </w:trPr>
        <w:tc>
          <w:tcPr>
            <w:tcW w:w="1627" w:type="dxa"/>
            <w:vMerge/>
            <w:hideMark/>
          </w:tcPr>
          <w:p w:rsidR="00557D08" w:rsidRPr="00AC1DB7" w:rsidRDefault="00557D08" w:rsidP="00ED1E21">
            <w:pPr>
              <w:pStyle w:val="Normal-beforebullets"/>
              <w:rPr>
                <w:b/>
                <w:lang w:eastAsia="en-AU"/>
              </w:rPr>
            </w:pPr>
          </w:p>
        </w:tc>
        <w:tc>
          <w:tcPr>
            <w:tcW w:w="1912" w:type="dxa"/>
            <w:vAlign w:val="center"/>
            <w:hideMark/>
          </w:tcPr>
          <w:p w:rsidR="00557D08" w:rsidRPr="00AC1DB7" w:rsidRDefault="00557D08" w:rsidP="00ED1E21">
            <w:pPr>
              <w:pStyle w:val="Normal-beforebullets"/>
              <w:rPr>
                <w:b/>
                <w:lang w:eastAsia="en-AU"/>
              </w:rPr>
            </w:pPr>
            <w:r w:rsidRPr="00AC1DB7">
              <w:rPr>
                <w:b/>
                <w:lang w:eastAsia="en-AU"/>
              </w:rPr>
              <w:t>Remote</w:t>
            </w:r>
          </w:p>
        </w:tc>
        <w:tc>
          <w:tcPr>
            <w:tcW w:w="779" w:type="dxa"/>
            <w:vAlign w:val="center"/>
          </w:tcPr>
          <w:p w:rsidR="00557D08" w:rsidRPr="00AC1DB7" w:rsidRDefault="00557D08" w:rsidP="00ED1E21">
            <w:pPr>
              <w:pStyle w:val="Normal-beforebullets"/>
              <w:jc w:val="right"/>
              <w:rPr>
                <w:color w:val="000000"/>
              </w:rPr>
            </w:pPr>
            <w:r w:rsidRPr="00AC1DB7">
              <w:rPr>
                <w:color w:val="000000"/>
              </w:rPr>
              <w:t>27</w:t>
            </w:r>
          </w:p>
        </w:tc>
        <w:tc>
          <w:tcPr>
            <w:tcW w:w="973" w:type="dxa"/>
            <w:vAlign w:val="center"/>
          </w:tcPr>
          <w:p w:rsidR="00557D08" w:rsidRPr="00AC1DB7" w:rsidRDefault="00557D08" w:rsidP="00ED1E21">
            <w:pPr>
              <w:pStyle w:val="Normal-beforebullets"/>
              <w:jc w:val="right"/>
              <w:rPr>
                <w:color w:val="000000"/>
              </w:rPr>
            </w:pPr>
            <w:r w:rsidRPr="00AC1DB7">
              <w:rPr>
                <w:color w:val="000000"/>
              </w:rPr>
              <w:t>35</w:t>
            </w:r>
          </w:p>
        </w:tc>
        <w:tc>
          <w:tcPr>
            <w:tcW w:w="973" w:type="dxa"/>
            <w:noWrap/>
            <w:vAlign w:val="center"/>
          </w:tcPr>
          <w:p w:rsidR="00557D08" w:rsidRPr="00AC1DB7" w:rsidRDefault="00557D08" w:rsidP="00ED1E21">
            <w:pPr>
              <w:pStyle w:val="Normal-beforebullets"/>
              <w:jc w:val="right"/>
              <w:rPr>
                <w:color w:val="000000"/>
              </w:rPr>
            </w:pPr>
            <w:r w:rsidRPr="00AC1DB7">
              <w:rPr>
                <w:color w:val="000000"/>
              </w:rPr>
              <w:t>92.6</w:t>
            </w:r>
          </w:p>
        </w:tc>
        <w:tc>
          <w:tcPr>
            <w:tcW w:w="973" w:type="dxa"/>
            <w:vAlign w:val="center"/>
          </w:tcPr>
          <w:p w:rsidR="00557D08" w:rsidRPr="00AC1DB7" w:rsidRDefault="00557D08" w:rsidP="00ED1E21">
            <w:pPr>
              <w:pStyle w:val="Normal-beforebullets"/>
              <w:jc w:val="right"/>
              <w:rPr>
                <w:color w:val="000000"/>
              </w:rPr>
            </w:pPr>
            <w:r w:rsidRPr="00AC1DB7">
              <w:rPr>
                <w:color w:val="000000"/>
              </w:rPr>
              <w:t>48.6</w:t>
            </w:r>
          </w:p>
        </w:tc>
        <w:tc>
          <w:tcPr>
            <w:tcW w:w="1263" w:type="dxa"/>
            <w:noWrap/>
            <w:vAlign w:val="center"/>
          </w:tcPr>
          <w:p w:rsidR="00557D08" w:rsidRPr="00AC1DB7" w:rsidRDefault="00557D08" w:rsidP="00ED1E21">
            <w:pPr>
              <w:pStyle w:val="Normal-beforebullets"/>
              <w:jc w:val="right"/>
              <w:rPr>
                <w:color w:val="000000"/>
              </w:rPr>
            </w:pPr>
            <w:r w:rsidRPr="00AC1DB7">
              <w:rPr>
                <w:color w:val="000000"/>
              </w:rPr>
              <w:t>33.3</w:t>
            </w:r>
          </w:p>
        </w:tc>
        <w:tc>
          <w:tcPr>
            <w:tcW w:w="1134" w:type="dxa"/>
            <w:vAlign w:val="center"/>
          </w:tcPr>
          <w:p w:rsidR="00557D08" w:rsidRPr="00AC1DB7" w:rsidRDefault="00557D08" w:rsidP="00ED1E21">
            <w:pPr>
              <w:pStyle w:val="Normal-beforebullets"/>
              <w:jc w:val="right"/>
              <w:rPr>
                <w:color w:val="000000"/>
              </w:rPr>
            </w:pPr>
            <w:r w:rsidRPr="00AC1DB7">
              <w:rPr>
                <w:color w:val="000000"/>
              </w:rPr>
              <w:t>22.9</w:t>
            </w:r>
          </w:p>
        </w:tc>
      </w:tr>
      <w:tr w:rsidR="00557D08" w:rsidRPr="007C4509" w:rsidTr="000F4DEC">
        <w:trPr>
          <w:trHeight w:val="293"/>
        </w:trPr>
        <w:tc>
          <w:tcPr>
            <w:tcW w:w="1627" w:type="dxa"/>
            <w:vMerge/>
            <w:hideMark/>
          </w:tcPr>
          <w:p w:rsidR="00557D08" w:rsidRPr="00AC1DB7" w:rsidRDefault="00557D08" w:rsidP="00ED1E21">
            <w:pPr>
              <w:pStyle w:val="Normal-beforebullets"/>
              <w:rPr>
                <w:b/>
                <w:lang w:eastAsia="en-AU"/>
              </w:rPr>
            </w:pPr>
          </w:p>
        </w:tc>
        <w:tc>
          <w:tcPr>
            <w:tcW w:w="1912" w:type="dxa"/>
            <w:vAlign w:val="center"/>
            <w:hideMark/>
          </w:tcPr>
          <w:p w:rsidR="00557D08" w:rsidRPr="00AC1DB7" w:rsidRDefault="00557D08" w:rsidP="00ED1E21">
            <w:pPr>
              <w:pStyle w:val="Normal-beforebullets"/>
              <w:rPr>
                <w:b/>
                <w:lang w:eastAsia="en-AU"/>
              </w:rPr>
            </w:pPr>
            <w:r w:rsidRPr="00AC1DB7">
              <w:rPr>
                <w:b/>
                <w:lang w:eastAsia="en-AU"/>
              </w:rPr>
              <w:t>Very remote</w:t>
            </w:r>
          </w:p>
        </w:tc>
        <w:tc>
          <w:tcPr>
            <w:tcW w:w="779" w:type="dxa"/>
            <w:vAlign w:val="center"/>
          </w:tcPr>
          <w:p w:rsidR="00557D08" w:rsidRPr="00AC1DB7" w:rsidRDefault="00557D08" w:rsidP="00ED1E21">
            <w:pPr>
              <w:pStyle w:val="Normal-beforebullets"/>
              <w:jc w:val="right"/>
              <w:rPr>
                <w:color w:val="000000"/>
              </w:rPr>
            </w:pPr>
            <w:r w:rsidRPr="00AC1DB7">
              <w:rPr>
                <w:color w:val="000000"/>
              </w:rPr>
              <w:t>6</w:t>
            </w:r>
          </w:p>
        </w:tc>
        <w:tc>
          <w:tcPr>
            <w:tcW w:w="973" w:type="dxa"/>
            <w:vAlign w:val="center"/>
          </w:tcPr>
          <w:p w:rsidR="00557D08" w:rsidRPr="00AC1DB7" w:rsidRDefault="00557D08" w:rsidP="00ED1E21">
            <w:pPr>
              <w:pStyle w:val="Normal-beforebullets"/>
              <w:jc w:val="right"/>
              <w:rPr>
                <w:color w:val="000000"/>
              </w:rPr>
            </w:pPr>
            <w:r w:rsidRPr="00AC1DB7">
              <w:rPr>
                <w:color w:val="000000"/>
              </w:rPr>
              <w:t>0</w:t>
            </w:r>
          </w:p>
        </w:tc>
        <w:tc>
          <w:tcPr>
            <w:tcW w:w="973" w:type="dxa"/>
            <w:noWrap/>
            <w:vAlign w:val="center"/>
          </w:tcPr>
          <w:p w:rsidR="00557D08" w:rsidRPr="00AC1DB7" w:rsidRDefault="00557D08" w:rsidP="00ED1E21">
            <w:pPr>
              <w:pStyle w:val="Normal-beforebullets"/>
              <w:jc w:val="right"/>
              <w:rPr>
                <w:color w:val="000000"/>
              </w:rPr>
            </w:pPr>
            <w:r w:rsidRPr="00AC1DB7">
              <w:rPr>
                <w:color w:val="000000"/>
              </w:rPr>
              <w:t>83.3</w:t>
            </w:r>
          </w:p>
        </w:tc>
        <w:tc>
          <w:tcPr>
            <w:tcW w:w="973" w:type="dxa"/>
            <w:vAlign w:val="center"/>
          </w:tcPr>
          <w:p w:rsidR="00557D08" w:rsidRPr="00AC1DB7" w:rsidRDefault="00557D08" w:rsidP="00ED1E21">
            <w:pPr>
              <w:pStyle w:val="Normal-beforebullets"/>
              <w:jc w:val="right"/>
              <w:rPr>
                <w:color w:val="000000"/>
              </w:rPr>
            </w:pPr>
            <w:r w:rsidRPr="00AC1DB7">
              <w:rPr>
                <w:color w:val="000000"/>
              </w:rPr>
              <w:t>0</w:t>
            </w:r>
          </w:p>
        </w:tc>
        <w:tc>
          <w:tcPr>
            <w:tcW w:w="1263" w:type="dxa"/>
            <w:noWrap/>
            <w:vAlign w:val="center"/>
          </w:tcPr>
          <w:p w:rsidR="00557D08" w:rsidRPr="00AC1DB7" w:rsidRDefault="00557D08" w:rsidP="00ED1E21">
            <w:pPr>
              <w:pStyle w:val="Normal-beforebullets"/>
              <w:jc w:val="right"/>
              <w:rPr>
                <w:color w:val="000000"/>
              </w:rPr>
            </w:pPr>
            <w:r w:rsidRPr="00AC1DB7">
              <w:rPr>
                <w:color w:val="000000"/>
              </w:rPr>
              <w:t>100.0</w:t>
            </w:r>
          </w:p>
        </w:tc>
        <w:tc>
          <w:tcPr>
            <w:tcW w:w="1134" w:type="dxa"/>
            <w:vAlign w:val="center"/>
          </w:tcPr>
          <w:p w:rsidR="00557D08" w:rsidRPr="00AC1DB7" w:rsidRDefault="00557D08" w:rsidP="00ED1E21">
            <w:pPr>
              <w:pStyle w:val="Normal-beforebullets"/>
              <w:jc w:val="right"/>
              <w:rPr>
                <w:color w:val="000000"/>
              </w:rPr>
            </w:pPr>
            <w:r w:rsidRPr="00AC1DB7">
              <w:rPr>
                <w:color w:val="000000"/>
              </w:rPr>
              <w:t>0</w:t>
            </w:r>
          </w:p>
        </w:tc>
      </w:tr>
      <w:tr w:rsidR="00557D08" w:rsidRPr="007C4509" w:rsidTr="00ED1E21">
        <w:trPr>
          <w:trHeight w:val="283"/>
        </w:trPr>
        <w:tc>
          <w:tcPr>
            <w:tcW w:w="1627" w:type="dxa"/>
            <w:vMerge w:val="restart"/>
            <w:hideMark/>
          </w:tcPr>
          <w:p w:rsidR="00557D08" w:rsidRPr="00AC1DB7" w:rsidRDefault="00557D08" w:rsidP="00ED1E21">
            <w:pPr>
              <w:pStyle w:val="Normal-beforebullets"/>
              <w:rPr>
                <w:b/>
                <w:lang w:eastAsia="en-AU"/>
              </w:rPr>
            </w:pPr>
            <w:r w:rsidRPr="00AC1DB7">
              <w:rPr>
                <w:b/>
                <w:lang w:eastAsia="en-AU"/>
              </w:rPr>
              <w:t>Organisation type</w:t>
            </w:r>
          </w:p>
        </w:tc>
        <w:tc>
          <w:tcPr>
            <w:tcW w:w="1912" w:type="dxa"/>
            <w:vAlign w:val="center"/>
          </w:tcPr>
          <w:p w:rsidR="00557D08" w:rsidRPr="00AC1DB7" w:rsidRDefault="00557D08" w:rsidP="00ED1E21">
            <w:pPr>
              <w:pStyle w:val="Normal-beforebullets"/>
              <w:rPr>
                <w:b/>
                <w:lang w:eastAsia="en-AU"/>
              </w:rPr>
            </w:pPr>
            <w:r w:rsidRPr="00AC1DB7">
              <w:rPr>
                <w:b/>
                <w:lang w:eastAsia="en-AU"/>
              </w:rPr>
              <w:t>Not for profit</w:t>
            </w:r>
          </w:p>
        </w:tc>
        <w:tc>
          <w:tcPr>
            <w:tcW w:w="779" w:type="dxa"/>
            <w:vAlign w:val="center"/>
          </w:tcPr>
          <w:p w:rsidR="00557D08" w:rsidRPr="00AC1DB7" w:rsidRDefault="00557D08" w:rsidP="00ED1E21">
            <w:pPr>
              <w:pStyle w:val="Normal-beforebullets"/>
              <w:jc w:val="right"/>
              <w:rPr>
                <w:color w:val="000000"/>
              </w:rPr>
            </w:pPr>
            <w:r w:rsidRPr="00AC1DB7">
              <w:rPr>
                <w:color w:val="000000"/>
              </w:rPr>
              <w:t>816</w:t>
            </w:r>
          </w:p>
        </w:tc>
        <w:tc>
          <w:tcPr>
            <w:tcW w:w="973" w:type="dxa"/>
            <w:vAlign w:val="center"/>
          </w:tcPr>
          <w:p w:rsidR="00557D08" w:rsidRPr="00AC1DB7" w:rsidRDefault="00557D08" w:rsidP="00ED1E21">
            <w:pPr>
              <w:pStyle w:val="Normal-beforebullets"/>
              <w:jc w:val="right"/>
              <w:rPr>
                <w:color w:val="000000"/>
              </w:rPr>
            </w:pPr>
            <w:r w:rsidRPr="00AC1DB7">
              <w:rPr>
                <w:color w:val="000000"/>
              </w:rPr>
              <w:t>548</w:t>
            </w:r>
          </w:p>
        </w:tc>
        <w:tc>
          <w:tcPr>
            <w:tcW w:w="973" w:type="dxa"/>
            <w:noWrap/>
            <w:vAlign w:val="center"/>
          </w:tcPr>
          <w:p w:rsidR="00557D08" w:rsidRPr="00AC1DB7" w:rsidRDefault="00557D08" w:rsidP="00ED1E21">
            <w:pPr>
              <w:pStyle w:val="Normal-beforebullets"/>
              <w:jc w:val="right"/>
              <w:rPr>
                <w:color w:val="000000"/>
              </w:rPr>
            </w:pPr>
            <w:r w:rsidRPr="00AC1DB7">
              <w:rPr>
                <w:color w:val="000000"/>
              </w:rPr>
              <w:t>74.4</w:t>
            </w:r>
          </w:p>
        </w:tc>
        <w:tc>
          <w:tcPr>
            <w:tcW w:w="973" w:type="dxa"/>
            <w:vAlign w:val="center"/>
          </w:tcPr>
          <w:p w:rsidR="00557D08" w:rsidRPr="00AC1DB7" w:rsidRDefault="00557D08" w:rsidP="00ED1E21">
            <w:pPr>
              <w:pStyle w:val="Normal-beforebullets"/>
              <w:jc w:val="right"/>
              <w:rPr>
                <w:color w:val="000000"/>
              </w:rPr>
            </w:pPr>
            <w:r w:rsidRPr="00AC1DB7">
              <w:rPr>
                <w:color w:val="000000"/>
              </w:rPr>
              <w:t>82.5</w:t>
            </w:r>
          </w:p>
        </w:tc>
        <w:tc>
          <w:tcPr>
            <w:tcW w:w="1263" w:type="dxa"/>
            <w:noWrap/>
            <w:vAlign w:val="center"/>
          </w:tcPr>
          <w:p w:rsidR="00557D08" w:rsidRPr="00AC1DB7" w:rsidRDefault="00557D08" w:rsidP="00ED1E21">
            <w:pPr>
              <w:pStyle w:val="Normal-beforebullets"/>
              <w:jc w:val="right"/>
              <w:rPr>
                <w:color w:val="000000"/>
              </w:rPr>
            </w:pPr>
            <w:r w:rsidRPr="00AC1DB7">
              <w:rPr>
                <w:color w:val="000000"/>
              </w:rPr>
              <w:t>40.4</w:t>
            </w:r>
          </w:p>
        </w:tc>
        <w:tc>
          <w:tcPr>
            <w:tcW w:w="1134" w:type="dxa"/>
            <w:vAlign w:val="center"/>
          </w:tcPr>
          <w:p w:rsidR="00557D08" w:rsidRPr="00AC1DB7" w:rsidRDefault="00557D08" w:rsidP="00ED1E21">
            <w:pPr>
              <w:pStyle w:val="Normal-beforebullets"/>
              <w:jc w:val="right"/>
              <w:rPr>
                <w:color w:val="000000"/>
              </w:rPr>
            </w:pPr>
            <w:r w:rsidRPr="00AC1DB7">
              <w:rPr>
                <w:color w:val="000000"/>
              </w:rPr>
              <w:t>49.5</w:t>
            </w:r>
          </w:p>
        </w:tc>
      </w:tr>
      <w:tr w:rsidR="00557D08" w:rsidRPr="007C4509" w:rsidTr="00ED1E21">
        <w:trPr>
          <w:trHeight w:val="283"/>
        </w:trPr>
        <w:tc>
          <w:tcPr>
            <w:tcW w:w="1627" w:type="dxa"/>
            <w:vMerge/>
            <w:vAlign w:val="center"/>
            <w:hideMark/>
          </w:tcPr>
          <w:p w:rsidR="00557D08" w:rsidRPr="00AC1DB7" w:rsidRDefault="00557D08" w:rsidP="00ED1E21">
            <w:pPr>
              <w:pStyle w:val="Normal-beforebullets"/>
              <w:rPr>
                <w:b/>
                <w:lang w:eastAsia="en-AU"/>
              </w:rPr>
            </w:pPr>
          </w:p>
        </w:tc>
        <w:tc>
          <w:tcPr>
            <w:tcW w:w="1912" w:type="dxa"/>
            <w:vAlign w:val="center"/>
          </w:tcPr>
          <w:p w:rsidR="00557D08" w:rsidRPr="00AC1DB7" w:rsidRDefault="00557D08" w:rsidP="00ED1E21">
            <w:pPr>
              <w:pStyle w:val="Normal-beforebullets"/>
              <w:rPr>
                <w:b/>
                <w:lang w:eastAsia="en-AU"/>
              </w:rPr>
            </w:pPr>
            <w:r w:rsidRPr="00AC1DB7">
              <w:rPr>
                <w:b/>
                <w:lang w:eastAsia="en-AU"/>
              </w:rPr>
              <w:t>Government</w:t>
            </w:r>
          </w:p>
        </w:tc>
        <w:tc>
          <w:tcPr>
            <w:tcW w:w="779" w:type="dxa"/>
            <w:vAlign w:val="center"/>
          </w:tcPr>
          <w:p w:rsidR="00557D08" w:rsidRPr="00AC1DB7" w:rsidRDefault="00557D08" w:rsidP="00ED1E21">
            <w:pPr>
              <w:pStyle w:val="Normal-beforebullets"/>
              <w:jc w:val="right"/>
              <w:rPr>
                <w:color w:val="000000"/>
              </w:rPr>
            </w:pPr>
            <w:r w:rsidRPr="00AC1DB7">
              <w:rPr>
                <w:color w:val="000000"/>
              </w:rPr>
              <w:t>563</w:t>
            </w:r>
          </w:p>
        </w:tc>
        <w:tc>
          <w:tcPr>
            <w:tcW w:w="973" w:type="dxa"/>
            <w:vAlign w:val="center"/>
          </w:tcPr>
          <w:p w:rsidR="00557D08" w:rsidRPr="00AC1DB7" w:rsidRDefault="00557D08" w:rsidP="00ED1E21">
            <w:pPr>
              <w:pStyle w:val="Normal-beforebullets"/>
              <w:jc w:val="right"/>
              <w:rPr>
                <w:color w:val="000000"/>
              </w:rPr>
            </w:pPr>
            <w:r w:rsidRPr="00AC1DB7">
              <w:rPr>
                <w:color w:val="000000"/>
              </w:rPr>
              <w:t>629</w:t>
            </w:r>
          </w:p>
        </w:tc>
        <w:tc>
          <w:tcPr>
            <w:tcW w:w="973" w:type="dxa"/>
            <w:noWrap/>
            <w:vAlign w:val="center"/>
          </w:tcPr>
          <w:p w:rsidR="00557D08" w:rsidRPr="00AC1DB7" w:rsidRDefault="00557D08" w:rsidP="00ED1E21">
            <w:pPr>
              <w:pStyle w:val="Normal-beforebullets"/>
              <w:jc w:val="right"/>
              <w:rPr>
                <w:color w:val="000000"/>
              </w:rPr>
            </w:pPr>
            <w:r w:rsidRPr="00AC1DB7">
              <w:rPr>
                <w:color w:val="000000"/>
              </w:rPr>
              <w:t>71.0</w:t>
            </w:r>
          </w:p>
        </w:tc>
        <w:tc>
          <w:tcPr>
            <w:tcW w:w="973" w:type="dxa"/>
            <w:vAlign w:val="center"/>
          </w:tcPr>
          <w:p w:rsidR="00557D08" w:rsidRPr="00AC1DB7" w:rsidRDefault="00557D08" w:rsidP="00ED1E21">
            <w:pPr>
              <w:pStyle w:val="Normal-beforebullets"/>
              <w:jc w:val="right"/>
              <w:rPr>
                <w:color w:val="000000"/>
              </w:rPr>
            </w:pPr>
            <w:r w:rsidRPr="00AC1DB7">
              <w:rPr>
                <w:color w:val="000000"/>
              </w:rPr>
              <w:t>70.1</w:t>
            </w:r>
          </w:p>
        </w:tc>
        <w:tc>
          <w:tcPr>
            <w:tcW w:w="1263" w:type="dxa"/>
            <w:noWrap/>
            <w:vAlign w:val="center"/>
          </w:tcPr>
          <w:p w:rsidR="00557D08" w:rsidRPr="00AC1DB7" w:rsidRDefault="00557D08" w:rsidP="00ED1E21">
            <w:pPr>
              <w:pStyle w:val="Normal-beforebullets"/>
              <w:jc w:val="right"/>
              <w:rPr>
                <w:color w:val="000000"/>
              </w:rPr>
            </w:pPr>
            <w:r w:rsidRPr="00AC1DB7">
              <w:rPr>
                <w:color w:val="000000"/>
              </w:rPr>
              <w:t>39.4</w:t>
            </w:r>
          </w:p>
        </w:tc>
        <w:tc>
          <w:tcPr>
            <w:tcW w:w="1134" w:type="dxa"/>
            <w:vAlign w:val="center"/>
          </w:tcPr>
          <w:p w:rsidR="00557D08" w:rsidRPr="00AC1DB7" w:rsidRDefault="00557D08" w:rsidP="00ED1E21">
            <w:pPr>
              <w:pStyle w:val="Normal-beforebullets"/>
              <w:jc w:val="right"/>
              <w:rPr>
                <w:color w:val="000000"/>
              </w:rPr>
            </w:pPr>
            <w:r w:rsidRPr="00AC1DB7">
              <w:rPr>
                <w:color w:val="000000"/>
              </w:rPr>
              <w:t>39.3</w:t>
            </w:r>
          </w:p>
        </w:tc>
      </w:tr>
      <w:tr w:rsidR="00557D08" w:rsidRPr="007C4509" w:rsidTr="00ED1E21">
        <w:trPr>
          <w:trHeight w:val="283"/>
        </w:trPr>
        <w:tc>
          <w:tcPr>
            <w:tcW w:w="1627" w:type="dxa"/>
            <w:vMerge/>
            <w:vAlign w:val="center"/>
            <w:hideMark/>
          </w:tcPr>
          <w:p w:rsidR="00557D08" w:rsidRPr="00AC1DB7" w:rsidRDefault="00557D08" w:rsidP="00ED1E21">
            <w:pPr>
              <w:pStyle w:val="Normal-beforebullets"/>
              <w:rPr>
                <w:b/>
                <w:lang w:eastAsia="en-AU"/>
              </w:rPr>
            </w:pPr>
          </w:p>
        </w:tc>
        <w:tc>
          <w:tcPr>
            <w:tcW w:w="1912" w:type="dxa"/>
            <w:vAlign w:val="center"/>
          </w:tcPr>
          <w:p w:rsidR="00557D08" w:rsidRPr="00AC1DB7" w:rsidRDefault="00557D08" w:rsidP="00ED1E21">
            <w:pPr>
              <w:pStyle w:val="Normal-beforebullets"/>
              <w:rPr>
                <w:b/>
                <w:lang w:eastAsia="en-AU"/>
              </w:rPr>
            </w:pPr>
            <w:r w:rsidRPr="00AC1DB7">
              <w:rPr>
                <w:b/>
                <w:lang w:eastAsia="en-AU"/>
              </w:rPr>
              <w:t>Private</w:t>
            </w:r>
          </w:p>
        </w:tc>
        <w:tc>
          <w:tcPr>
            <w:tcW w:w="779" w:type="dxa"/>
            <w:vAlign w:val="center"/>
          </w:tcPr>
          <w:p w:rsidR="00557D08" w:rsidRPr="00AC1DB7" w:rsidRDefault="00557D08" w:rsidP="00ED1E21">
            <w:pPr>
              <w:pStyle w:val="Normal-beforebullets"/>
              <w:jc w:val="right"/>
              <w:rPr>
                <w:color w:val="000000"/>
              </w:rPr>
            </w:pPr>
            <w:r w:rsidRPr="00AC1DB7">
              <w:rPr>
                <w:color w:val="000000"/>
              </w:rPr>
              <w:t>114</w:t>
            </w:r>
          </w:p>
        </w:tc>
        <w:tc>
          <w:tcPr>
            <w:tcW w:w="973" w:type="dxa"/>
            <w:vAlign w:val="center"/>
          </w:tcPr>
          <w:p w:rsidR="00557D08" w:rsidRPr="00AC1DB7" w:rsidRDefault="00557D08" w:rsidP="00ED1E21">
            <w:pPr>
              <w:pStyle w:val="Normal-beforebullets"/>
              <w:jc w:val="right"/>
              <w:rPr>
                <w:color w:val="000000"/>
              </w:rPr>
            </w:pPr>
            <w:r w:rsidRPr="00AC1DB7">
              <w:rPr>
                <w:color w:val="000000"/>
              </w:rPr>
              <w:t>54</w:t>
            </w:r>
          </w:p>
        </w:tc>
        <w:tc>
          <w:tcPr>
            <w:tcW w:w="973" w:type="dxa"/>
            <w:noWrap/>
            <w:vAlign w:val="center"/>
          </w:tcPr>
          <w:p w:rsidR="00557D08" w:rsidRPr="00AC1DB7" w:rsidRDefault="00557D08" w:rsidP="00ED1E21">
            <w:pPr>
              <w:pStyle w:val="Normal-beforebullets"/>
              <w:jc w:val="right"/>
              <w:rPr>
                <w:color w:val="000000"/>
              </w:rPr>
            </w:pPr>
            <w:r w:rsidRPr="00AC1DB7">
              <w:rPr>
                <w:color w:val="000000"/>
              </w:rPr>
              <w:t>91.2</w:t>
            </w:r>
          </w:p>
        </w:tc>
        <w:tc>
          <w:tcPr>
            <w:tcW w:w="973" w:type="dxa"/>
            <w:vAlign w:val="center"/>
          </w:tcPr>
          <w:p w:rsidR="00557D08" w:rsidRPr="00AC1DB7" w:rsidRDefault="00557D08" w:rsidP="00ED1E21">
            <w:pPr>
              <w:pStyle w:val="Normal-beforebullets"/>
              <w:jc w:val="right"/>
              <w:rPr>
                <w:color w:val="000000"/>
              </w:rPr>
            </w:pPr>
            <w:r w:rsidRPr="00AC1DB7">
              <w:rPr>
                <w:color w:val="000000"/>
              </w:rPr>
              <w:t>85.2</w:t>
            </w:r>
          </w:p>
        </w:tc>
        <w:tc>
          <w:tcPr>
            <w:tcW w:w="1263" w:type="dxa"/>
            <w:noWrap/>
            <w:vAlign w:val="center"/>
          </w:tcPr>
          <w:p w:rsidR="00557D08" w:rsidRPr="00AC1DB7" w:rsidRDefault="00557D08" w:rsidP="00ED1E21">
            <w:pPr>
              <w:pStyle w:val="Normal-beforebullets"/>
              <w:jc w:val="right"/>
              <w:rPr>
                <w:color w:val="000000"/>
              </w:rPr>
            </w:pPr>
            <w:r w:rsidRPr="00AC1DB7">
              <w:rPr>
                <w:color w:val="000000"/>
              </w:rPr>
              <w:t>50.0</w:t>
            </w:r>
          </w:p>
        </w:tc>
        <w:tc>
          <w:tcPr>
            <w:tcW w:w="1134" w:type="dxa"/>
            <w:vAlign w:val="center"/>
          </w:tcPr>
          <w:p w:rsidR="00557D08" w:rsidRPr="00AC1DB7" w:rsidRDefault="00557D08" w:rsidP="00ED1E21">
            <w:pPr>
              <w:pStyle w:val="Normal-beforebullets"/>
              <w:jc w:val="right"/>
              <w:rPr>
                <w:color w:val="000000"/>
              </w:rPr>
            </w:pPr>
            <w:r w:rsidRPr="00AC1DB7">
              <w:rPr>
                <w:color w:val="000000"/>
              </w:rPr>
              <w:t>53.7</w:t>
            </w:r>
          </w:p>
        </w:tc>
      </w:tr>
      <w:tr w:rsidR="00557D08" w:rsidRPr="007C4509" w:rsidTr="00ED1E21">
        <w:trPr>
          <w:trHeight w:val="283"/>
        </w:trPr>
        <w:tc>
          <w:tcPr>
            <w:tcW w:w="3539" w:type="dxa"/>
            <w:gridSpan w:val="2"/>
            <w:vAlign w:val="center"/>
            <w:hideMark/>
          </w:tcPr>
          <w:p w:rsidR="00557D08" w:rsidRPr="00AC1DB7" w:rsidRDefault="006016D9" w:rsidP="00ED1E21">
            <w:pPr>
              <w:pStyle w:val="Normal-beforebullets"/>
              <w:rPr>
                <w:b/>
                <w:bCs/>
                <w:lang w:eastAsia="en-AU"/>
              </w:rPr>
            </w:pPr>
            <w:r>
              <w:rPr>
                <w:b/>
                <w:lang w:eastAsia="en-AU"/>
              </w:rPr>
              <w:t>T</w:t>
            </w:r>
            <w:r w:rsidR="00557D08" w:rsidRPr="00AC1DB7">
              <w:rPr>
                <w:b/>
                <w:lang w:eastAsia="en-AU"/>
              </w:rPr>
              <w:t>otal</w:t>
            </w:r>
          </w:p>
        </w:tc>
        <w:tc>
          <w:tcPr>
            <w:tcW w:w="779" w:type="dxa"/>
            <w:vAlign w:val="center"/>
          </w:tcPr>
          <w:p w:rsidR="00557D08" w:rsidRPr="00AC1DB7" w:rsidRDefault="00557D08" w:rsidP="00ED1E21">
            <w:pPr>
              <w:pStyle w:val="Normal-beforebullets"/>
              <w:jc w:val="right"/>
              <w:rPr>
                <w:b/>
                <w:bCs/>
                <w:lang w:eastAsia="en-AU"/>
              </w:rPr>
            </w:pPr>
            <w:r w:rsidRPr="00AC1DB7">
              <w:rPr>
                <w:b/>
                <w:bCs/>
                <w:lang w:eastAsia="en-AU"/>
              </w:rPr>
              <w:t>1,493</w:t>
            </w:r>
          </w:p>
        </w:tc>
        <w:tc>
          <w:tcPr>
            <w:tcW w:w="973" w:type="dxa"/>
            <w:vAlign w:val="center"/>
          </w:tcPr>
          <w:p w:rsidR="00557D08" w:rsidRPr="00AC1DB7" w:rsidRDefault="00557D08" w:rsidP="00ED1E21">
            <w:pPr>
              <w:pStyle w:val="Normal-beforebullets"/>
              <w:jc w:val="right"/>
              <w:rPr>
                <w:b/>
                <w:bCs/>
                <w:lang w:eastAsia="en-AU"/>
              </w:rPr>
            </w:pPr>
            <w:r w:rsidRPr="00AC1DB7">
              <w:rPr>
                <w:b/>
                <w:bCs/>
                <w:lang w:eastAsia="en-AU"/>
              </w:rPr>
              <w:t>1,231</w:t>
            </w:r>
          </w:p>
        </w:tc>
        <w:tc>
          <w:tcPr>
            <w:tcW w:w="973" w:type="dxa"/>
            <w:vAlign w:val="center"/>
          </w:tcPr>
          <w:p w:rsidR="00557D08" w:rsidRPr="00AC1DB7" w:rsidRDefault="00557D08" w:rsidP="00ED1E21">
            <w:pPr>
              <w:pStyle w:val="Normal-beforebullets"/>
              <w:jc w:val="right"/>
              <w:rPr>
                <w:b/>
                <w:bCs/>
                <w:lang w:eastAsia="en-AU"/>
              </w:rPr>
            </w:pPr>
            <w:r w:rsidRPr="00AC1DB7">
              <w:rPr>
                <w:b/>
                <w:bCs/>
                <w:lang w:eastAsia="en-AU"/>
              </w:rPr>
              <w:t>74.4</w:t>
            </w:r>
          </w:p>
        </w:tc>
        <w:tc>
          <w:tcPr>
            <w:tcW w:w="973" w:type="dxa"/>
            <w:vAlign w:val="center"/>
          </w:tcPr>
          <w:p w:rsidR="00557D08" w:rsidRPr="00AC1DB7" w:rsidRDefault="00557D08" w:rsidP="00ED1E21">
            <w:pPr>
              <w:pStyle w:val="Normal-beforebullets"/>
              <w:jc w:val="right"/>
              <w:rPr>
                <w:b/>
                <w:bCs/>
                <w:lang w:eastAsia="en-AU"/>
              </w:rPr>
            </w:pPr>
            <w:r w:rsidRPr="00AC1DB7">
              <w:rPr>
                <w:b/>
                <w:bCs/>
                <w:lang w:eastAsia="en-AU"/>
              </w:rPr>
              <w:t>76.3</w:t>
            </w:r>
          </w:p>
        </w:tc>
        <w:tc>
          <w:tcPr>
            <w:tcW w:w="1263" w:type="dxa"/>
            <w:vAlign w:val="center"/>
          </w:tcPr>
          <w:p w:rsidR="00557D08" w:rsidRPr="00AC1DB7" w:rsidRDefault="00557D08" w:rsidP="00ED1E21">
            <w:pPr>
              <w:pStyle w:val="Normal-beforebullets"/>
              <w:jc w:val="right"/>
              <w:rPr>
                <w:b/>
                <w:bCs/>
                <w:lang w:eastAsia="en-AU"/>
              </w:rPr>
            </w:pPr>
            <w:r w:rsidRPr="00AC1DB7">
              <w:rPr>
                <w:b/>
                <w:bCs/>
                <w:lang w:eastAsia="en-AU"/>
              </w:rPr>
              <w:t>40.8</w:t>
            </w:r>
          </w:p>
        </w:tc>
        <w:tc>
          <w:tcPr>
            <w:tcW w:w="1134" w:type="dxa"/>
            <w:vAlign w:val="center"/>
          </w:tcPr>
          <w:p w:rsidR="00557D08" w:rsidRPr="00AC1DB7" w:rsidRDefault="00557D08" w:rsidP="00ED1E21">
            <w:pPr>
              <w:pStyle w:val="Normal-beforebullets"/>
              <w:jc w:val="right"/>
              <w:rPr>
                <w:b/>
                <w:bCs/>
                <w:lang w:eastAsia="en-AU"/>
              </w:rPr>
            </w:pPr>
            <w:r w:rsidRPr="00AC1DB7">
              <w:rPr>
                <w:b/>
                <w:bCs/>
                <w:lang w:eastAsia="en-AU"/>
              </w:rPr>
              <w:t>44.4</w:t>
            </w:r>
          </w:p>
        </w:tc>
      </w:tr>
    </w:tbl>
    <w:p w:rsidR="00557D08" w:rsidRDefault="00557D08" w:rsidP="00557D08">
      <w:pPr>
        <w:pStyle w:val="ListParagraph"/>
        <w:spacing w:before="240" w:after="0"/>
        <w:ind w:left="0"/>
        <w:rPr>
          <w:rFonts w:ascii="Arial" w:hAnsi="Arial" w:cs="Arial"/>
        </w:rPr>
      </w:pPr>
    </w:p>
    <w:p w:rsidR="00557D08" w:rsidRPr="00704B41" w:rsidRDefault="00B11658" w:rsidP="00557D08">
      <w:r>
        <w:t>T</w:t>
      </w:r>
      <w:r w:rsidR="00557D08" w:rsidRPr="00B851D5">
        <w:t>he majority (</w:t>
      </w:r>
      <w:r w:rsidR="00557D08" w:rsidRPr="00492FB8">
        <w:rPr>
          <w:i/>
        </w:rPr>
        <w:t>n</w:t>
      </w:r>
      <w:r w:rsidR="00557D08" w:rsidRPr="00B851D5">
        <w:t>= 739, 86.9%) of antimicrobial prescriptions in 2017</w:t>
      </w:r>
      <w:r>
        <w:t>, similarly to 2016,</w:t>
      </w:r>
      <w:r w:rsidR="00557D08" w:rsidRPr="00B851D5">
        <w:t xml:space="preserve"> were </w:t>
      </w:r>
      <w:r w:rsidR="003A3B91">
        <w:t>written by a prescriber (Table 9</w:t>
      </w:r>
      <w:r w:rsidR="00557D08" w:rsidRPr="00B851D5">
        <w:t xml:space="preserve">). Seventy-one (8.4%) prescriptions were given via a telephone or fax order. Of those </w:t>
      </w:r>
      <w:r w:rsidR="00B85462">
        <w:t>teleph</w:t>
      </w:r>
      <w:r w:rsidR="00557D08" w:rsidRPr="00B851D5">
        <w:t>one/fax prescriptions, 60.6% (</w:t>
      </w:r>
      <w:r w:rsidR="00557D08" w:rsidRPr="00492FB8">
        <w:rPr>
          <w:i/>
        </w:rPr>
        <w:t>n</w:t>
      </w:r>
      <w:r w:rsidR="00557D08" w:rsidRPr="00B851D5">
        <w:t>=43) were for residents who were examined by a prescriber within three days of the antimicrobial start date, and 31.0% (</w:t>
      </w:r>
      <w:r w:rsidR="00557D08" w:rsidRPr="00492FB8">
        <w:rPr>
          <w:i/>
        </w:rPr>
        <w:t>n</w:t>
      </w:r>
      <w:r w:rsidR="00557D08" w:rsidRPr="00B851D5">
        <w:t xml:space="preserve">=22) were for residents who were not examined by a prescriber </w:t>
      </w:r>
      <w:r w:rsidR="00557D08">
        <w:t>during t</w:t>
      </w:r>
      <w:r w:rsidR="004E5694">
        <w:t>his</w:t>
      </w:r>
      <w:r w:rsidR="00557D08">
        <w:t xml:space="preserve"> time period</w:t>
      </w:r>
      <w:r w:rsidR="00557D08" w:rsidRPr="00B851D5">
        <w:t>.</w:t>
      </w:r>
    </w:p>
    <w:p w:rsidR="00557D08" w:rsidRPr="00E839D1" w:rsidRDefault="00557D08" w:rsidP="00557D08">
      <w:pPr>
        <w:pStyle w:val="FigureTitle"/>
      </w:pPr>
      <w:bookmarkStart w:id="63" w:name="_Toc471808076"/>
      <w:bookmarkStart w:id="64" w:name="_Toc477183309"/>
      <w:r w:rsidRPr="00E839D1">
        <w:t xml:space="preserve">Table </w:t>
      </w:r>
      <w:r w:rsidR="003A3B91">
        <w:t>9</w:t>
      </w:r>
      <w:r>
        <w:t xml:space="preserve">: </w:t>
      </w:r>
      <w:r w:rsidRPr="00E839D1">
        <w:t>Prescription</w:t>
      </w:r>
      <w:bookmarkEnd w:id="63"/>
      <w:bookmarkEnd w:id="64"/>
      <w:r w:rsidRPr="00E839D1">
        <w:t xml:space="preserve"> mode (2016 and 2017)*</w:t>
      </w:r>
    </w:p>
    <w:tbl>
      <w:tblPr>
        <w:tblStyle w:val="TableGridLight1"/>
        <w:tblW w:w="8500" w:type="dxa"/>
        <w:tblLook w:val="04A0" w:firstRow="1" w:lastRow="0" w:firstColumn="1" w:lastColumn="0" w:noHBand="0" w:noVBand="1"/>
      </w:tblPr>
      <w:tblGrid>
        <w:gridCol w:w="3009"/>
        <w:gridCol w:w="1378"/>
        <w:gridCol w:w="1315"/>
        <w:gridCol w:w="1441"/>
        <w:gridCol w:w="1357"/>
      </w:tblGrid>
      <w:tr w:rsidR="00557D08" w:rsidRPr="00E1549E" w:rsidTr="00ED1E21">
        <w:trPr>
          <w:trHeight w:val="300"/>
        </w:trPr>
        <w:tc>
          <w:tcPr>
            <w:tcW w:w="3009" w:type="dxa"/>
            <w:vMerge w:val="restart"/>
            <w:noWrap/>
            <w:vAlign w:val="center"/>
          </w:tcPr>
          <w:p w:rsidR="00557D08" w:rsidRPr="005D5826" w:rsidRDefault="00557D08" w:rsidP="00ED1E21">
            <w:pPr>
              <w:pStyle w:val="Normal-beforebullets"/>
              <w:rPr>
                <w:b/>
                <w:lang w:eastAsia="en-AU"/>
              </w:rPr>
            </w:pPr>
            <w:r w:rsidRPr="005D5826">
              <w:rPr>
                <w:b/>
                <w:lang w:eastAsia="en-AU"/>
              </w:rPr>
              <w:t xml:space="preserve">Mode of prescription </w:t>
            </w:r>
          </w:p>
        </w:tc>
        <w:tc>
          <w:tcPr>
            <w:tcW w:w="2693" w:type="dxa"/>
            <w:gridSpan w:val="2"/>
            <w:vAlign w:val="center"/>
          </w:tcPr>
          <w:p w:rsidR="00557D08" w:rsidRPr="005D5826" w:rsidRDefault="00557D08" w:rsidP="00ED1E21">
            <w:pPr>
              <w:pStyle w:val="Normal-beforebullets"/>
              <w:jc w:val="center"/>
              <w:rPr>
                <w:b/>
                <w:lang w:eastAsia="en-AU"/>
              </w:rPr>
            </w:pPr>
            <w:r w:rsidRPr="005D5826">
              <w:rPr>
                <w:b/>
                <w:lang w:eastAsia="en-AU"/>
              </w:rPr>
              <w:t>2016</w:t>
            </w:r>
          </w:p>
        </w:tc>
        <w:tc>
          <w:tcPr>
            <w:tcW w:w="2798" w:type="dxa"/>
            <w:gridSpan w:val="2"/>
            <w:vAlign w:val="center"/>
          </w:tcPr>
          <w:p w:rsidR="00557D08" w:rsidRPr="005D5826" w:rsidRDefault="00557D08" w:rsidP="00ED1E21">
            <w:pPr>
              <w:pStyle w:val="Normal-beforebullets"/>
              <w:jc w:val="center"/>
              <w:rPr>
                <w:b/>
                <w:lang w:eastAsia="en-AU"/>
              </w:rPr>
            </w:pPr>
            <w:r w:rsidRPr="005D5826">
              <w:rPr>
                <w:b/>
                <w:lang w:eastAsia="en-AU"/>
              </w:rPr>
              <w:t>2017</w:t>
            </w:r>
          </w:p>
        </w:tc>
      </w:tr>
      <w:tr w:rsidR="00557D08" w:rsidRPr="00E1549E" w:rsidTr="00ED1E21">
        <w:trPr>
          <w:trHeight w:val="300"/>
        </w:trPr>
        <w:tc>
          <w:tcPr>
            <w:tcW w:w="3009" w:type="dxa"/>
            <w:vMerge/>
            <w:noWrap/>
            <w:hideMark/>
          </w:tcPr>
          <w:p w:rsidR="00557D08" w:rsidRPr="005D5826" w:rsidRDefault="00557D08" w:rsidP="00ED1E21">
            <w:pPr>
              <w:pStyle w:val="Normal-beforebullets"/>
              <w:rPr>
                <w:b/>
                <w:lang w:eastAsia="en-AU"/>
              </w:rPr>
            </w:pPr>
          </w:p>
        </w:tc>
        <w:tc>
          <w:tcPr>
            <w:tcW w:w="1378" w:type="dxa"/>
            <w:vAlign w:val="center"/>
          </w:tcPr>
          <w:p w:rsidR="00557D08" w:rsidRPr="005D5826" w:rsidRDefault="00557D08" w:rsidP="00ED1E21">
            <w:pPr>
              <w:pStyle w:val="Normal-beforebullets"/>
              <w:jc w:val="right"/>
              <w:rPr>
                <w:b/>
                <w:lang w:eastAsia="en-AU"/>
              </w:rPr>
            </w:pPr>
            <w:r w:rsidRPr="005D5826">
              <w:rPr>
                <w:b/>
                <w:lang w:eastAsia="en-AU"/>
              </w:rPr>
              <w:t>No.</w:t>
            </w:r>
          </w:p>
        </w:tc>
        <w:tc>
          <w:tcPr>
            <w:tcW w:w="1315" w:type="dxa"/>
            <w:vAlign w:val="center"/>
          </w:tcPr>
          <w:p w:rsidR="00557D08" w:rsidRPr="005D5826" w:rsidRDefault="00557D08" w:rsidP="00ED1E21">
            <w:pPr>
              <w:pStyle w:val="Normal-beforebullets"/>
              <w:jc w:val="right"/>
              <w:rPr>
                <w:b/>
                <w:lang w:eastAsia="en-AU"/>
              </w:rPr>
            </w:pPr>
            <w:r w:rsidRPr="005D5826">
              <w:rPr>
                <w:b/>
                <w:lang w:eastAsia="en-AU"/>
              </w:rPr>
              <w:t>%</w:t>
            </w:r>
          </w:p>
        </w:tc>
        <w:tc>
          <w:tcPr>
            <w:tcW w:w="1441" w:type="dxa"/>
            <w:vAlign w:val="center"/>
          </w:tcPr>
          <w:p w:rsidR="00557D08" w:rsidRPr="005D5826" w:rsidRDefault="00557D08" w:rsidP="00ED1E21">
            <w:pPr>
              <w:pStyle w:val="Normal-beforebullets"/>
              <w:jc w:val="right"/>
              <w:rPr>
                <w:b/>
                <w:lang w:eastAsia="en-AU"/>
              </w:rPr>
            </w:pPr>
            <w:r w:rsidRPr="005D5826">
              <w:rPr>
                <w:b/>
                <w:lang w:eastAsia="en-AU"/>
              </w:rPr>
              <w:t>No.</w:t>
            </w:r>
          </w:p>
        </w:tc>
        <w:tc>
          <w:tcPr>
            <w:tcW w:w="1357" w:type="dxa"/>
            <w:vAlign w:val="center"/>
          </w:tcPr>
          <w:p w:rsidR="00557D08" w:rsidRPr="005D5826" w:rsidRDefault="00557D08" w:rsidP="00ED1E21">
            <w:pPr>
              <w:pStyle w:val="Normal-beforebullets"/>
              <w:jc w:val="right"/>
              <w:rPr>
                <w:b/>
                <w:lang w:eastAsia="en-AU"/>
              </w:rPr>
            </w:pPr>
            <w:r w:rsidRPr="005D5826">
              <w:rPr>
                <w:b/>
                <w:lang w:eastAsia="en-AU"/>
              </w:rPr>
              <w:t>%</w:t>
            </w:r>
          </w:p>
        </w:tc>
      </w:tr>
      <w:tr w:rsidR="00557D08" w:rsidRPr="00E1549E" w:rsidTr="00ED1E21">
        <w:trPr>
          <w:trHeight w:val="300"/>
        </w:trPr>
        <w:tc>
          <w:tcPr>
            <w:tcW w:w="3009" w:type="dxa"/>
            <w:noWrap/>
            <w:vAlign w:val="center"/>
            <w:hideMark/>
          </w:tcPr>
          <w:p w:rsidR="00557D08" w:rsidRPr="005D5826" w:rsidRDefault="00557D08" w:rsidP="00ED1E21">
            <w:pPr>
              <w:pStyle w:val="Normal-beforebullets"/>
              <w:rPr>
                <w:b/>
                <w:bCs/>
                <w:lang w:eastAsia="en-AU"/>
              </w:rPr>
            </w:pPr>
            <w:r w:rsidRPr="005D5826">
              <w:rPr>
                <w:b/>
                <w:lang w:eastAsia="en-AU"/>
              </w:rPr>
              <w:t>Written by prescriber</w:t>
            </w:r>
          </w:p>
        </w:tc>
        <w:tc>
          <w:tcPr>
            <w:tcW w:w="1378" w:type="dxa"/>
            <w:vAlign w:val="center"/>
          </w:tcPr>
          <w:p w:rsidR="00557D08" w:rsidRPr="00AC1DB7" w:rsidRDefault="00557D08" w:rsidP="00ED1E21">
            <w:pPr>
              <w:pStyle w:val="Normal-beforebullets"/>
              <w:jc w:val="right"/>
              <w:rPr>
                <w:bCs/>
                <w:lang w:eastAsia="en-AU"/>
              </w:rPr>
            </w:pPr>
            <w:r w:rsidRPr="00AC1DB7">
              <w:rPr>
                <w:bCs/>
                <w:lang w:eastAsia="en-AU"/>
              </w:rPr>
              <w:t>893</w:t>
            </w:r>
          </w:p>
        </w:tc>
        <w:tc>
          <w:tcPr>
            <w:tcW w:w="1315" w:type="dxa"/>
            <w:vAlign w:val="center"/>
          </w:tcPr>
          <w:p w:rsidR="00557D08" w:rsidRPr="00AC1DB7" w:rsidRDefault="00557D08" w:rsidP="00ED1E21">
            <w:pPr>
              <w:pStyle w:val="Normal-beforebullets"/>
              <w:jc w:val="right"/>
              <w:rPr>
                <w:bCs/>
                <w:lang w:eastAsia="en-AU"/>
              </w:rPr>
            </w:pPr>
            <w:r w:rsidRPr="00AC1DB7">
              <w:rPr>
                <w:bCs/>
                <w:lang w:eastAsia="en-AU"/>
              </w:rPr>
              <w:t>90.</w:t>
            </w:r>
            <w:r w:rsidR="00D25E69">
              <w:rPr>
                <w:bCs/>
                <w:lang w:eastAsia="en-AU"/>
              </w:rPr>
              <w:t>5</w:t>
            </w:r>
          </w:p>
        </w:tc>
        <w:tc>
          <w:tcPr>
            <w:tcW w:w="1441" w:type="dxa"/>
            <w:vAlign w:val="center"/>
          </w:tcPr>
          <w:p w:rsidR="00557D08" w:rsidRPr="00AC1DB7" w:rsidRDefault="00557D08" w:rsidP="00ED1E21">
            <w:pPr>
              <w:pStyle w:val="Normal-beforebullets"/>
              <w:jc w:val="right"/>
              <w:rPr>
                <w:color w:val="000000"/>
              </w:rPr>
            </w:pPr>
            <w:r w:rsidRPr="00AC1DB7">
              <w:rPr>
                <w:color w:val="000000"/>
              </w:rPr>
              <w:t>739</w:t>
            </w:r>
          </w:p>
        </w:tc>
        <w:tc>
          <w:tcPr>
            <w:tcW w:w="1357" w:type="dxa"/>
            <w:vAlign w:val="center"/>
          </w:tcPr>
          <w:p w:rsidR="00557D08" w:rsidRPr="00AC1DB7" w:rsidRDefault="00557D08" w:rsidP="00ED1E21">
            <w:pPr>
              <w:pStyle w:val="Normal-beforebullets"/>
              <w:jc w:val="right"/>
              <w:rPr>
                <w:color w:val="000000"/>
              </w:rPr>
            </w:pPr>
            <w:r w:rsidRPr="00AC1DB7">
              <w:rPr>
                <w:color w:val="000000"/>
              </w:rPr>
              <w:t>86.9</w:t>
            </w:r>
          </w:p>
        </w:tc>
      </w:tr>
      <w:tr w:rsidR="00557D08" w:rsidRPr="00E1549E" w:rsidTr="00ED1E21">
        <w:trPr>
          <w:trHeight w:val="300"/>
        </w:trPr>
        <w:tc>
          <w:tcPr>
            <w:tcW w:w="3009" w:type="dxa"/>
            <w:noWrap/>
            <w:vAlign w:val="center"/>
            <w:hideMark/>
          </w:tcPr>
          <w:p w:rsidR="00557D08" w:rsidRPr="005D5826" w:rsidRDefault="00557D08" w:rsidP="00ED1E21">
            <w:pPr>
              <w:pStyle w:val="Normal-beforebullets"/>
              <w:rPr>
                <w:b/>
                <w:bCs/>
                <w:lang w:eastAsia="en-AU"/>
              </w:rPr>
            </w:pPr>
            <w:r w:rsidRPr="005D5826">
              <w:rPr>
                <w:b/>
                <w:lang w:eastAsia="en-AU"/>
              </w:rPr>
              <w:t>Phone or fax order</w:t>
            </w:r>
          </w:p>
        </w:tc>
        <w:tc>
          <w:tcPr>
            <w:tcW w:w="1378" w:type="dxa"/>
            <w:vAlign w:val="center"/>
          </w:tcPr>
          <w:p w:rsidR="00557D08" w:rsidRPr="00AC1DB7" w:rsidRDefault="00557D08" w:rsidP="00ED1E21">
            <w:pPr>
              <w:pStyle w:val="Normal-beforebullets"/>
              <w:jc w:val="right"/>
              <w:rPr>
                <w:bCs/>
                <w:lang w:eastAsia="en-AU"/>
              </w:rPr>
            </w:pPr>
            <w:r w:rsidRPr="00AC1DB7">
              <w:rPr>
                <w:bCs/>
                <w:lang w:eastAsia="en-AU"/>
              </w:rPr>
              <w:t>73</w:t>
            </w:r>
          </w:p>
        </w:tc>
        <w:tc>
          <w:tcPr>
            <w:tcW w:w="1315" w:type="dxa"/>
            <w:vAlign w:val="center"/>
          </w:tcPr>
          <w:p w:rsidR="00557D08" w:rsidRPr="00AC1DB7" w:rsidRDefault="00557D08" w:rsidP="00ED1E21">
            <w:pPr>
              <w:pStyle w:val="Normal-beforebullets"/>
              <w:jc w:val="right"/>
              <w:rPr>
                <w:bCs/>
                <w:lang w:eastAsia="en-AU"/>
              </w:rPr>
            </w:pPr>
            <w:r w:rsidRPr="00AC1DB7">
              <w:rPr>
                <w:bCs/>
                <w:lang w:eastAsia="en-AU"/>
              </w:rPr>
              <w:t>7.4</w:t>
            </w:r>
          </w:p>
        </w:tc>
        <w:tc>
          <w:tcPr>
            <w:tcW w:w="1441" w:type="dxa"/>
            <w:vAlign w:val="center"/>
          </w:tcPr>
          <w:p w:rsidR="00557D08" w:rsidRPr="00AC1DB7" w:rsidRDefault="00557D08" w:rsidP="00ED1E21">
            <w:pPr>
              <w:pStyle w:val="Normal-beforebullets"/>
              <w:jc w:val="right"/>
              <w:rPr>
                <w:color w:val="000000"/>
              </w:rPr>
            </w:pPr>
            <w:r w:rsidRPr="00AC1DB7">
              <w:rPr>
                <w:color w:val="000000"/>
              </w:rPr>
              <w:t>71</w:t>
            </w:r>
          </w:p>
        </w:tc>
        <w:tc>
          <w:tcPr>
            <w:tcW w:w="1357" w:type="dxa"/>
            <w:vAlign w:val="center"/>
          </w:tcPr>
          <w:p w:rsidR="00557D08" w:rsidRPr="00AC1DB7" w:rsidRDefault="00557D08" w:rsidP="00ED1E21">
            <w:pPr>
              <w:pStyle w:val="Normal-beforebullets"/>
              <w:jc w:val="right"/>
              <w:rPr>
                <w:color w:val="000000"/>
              </w:rPr>
            </w:pPr>
            <w:r w:rsidRPr="00AC1DB7">
              <w:rPr>
                <w:color w:val="000000"/>
              </w:rPr>
              <w:t>8.4</w:t>
            </w:r>
          </w:p>
        </w:tc>
      </w:tr>
      <w:tr w:rsidR="00557D08" w:rsidRPr="00E1549E" w:rsidTr="00ED1E21">
        <w:trPr>
          <w:trHeight w:val="300"/>
        </w:trPr>
        <w:tc>
          <w:tcPr>
            <w:tcW w:w="3009" w:type="dxa"/>
            <w:noWrap/>
            <w:vAlign w:val="center"/>
            <w:hideMark/>
          </w:tcPr>
          <w:p w:rsidR="00557D08" w:rsidRPr="005D5826" w:rsidRDefault="00557D08" w:rsidP="00ED1E21">
            <w:pPr>
              <w:pStyle w:val="Normal-beforebullets"/>
              <w:rPr>
                <w:b/>
                <w:bCs/>
                <w:lang w:eastAsia="en-AU"/>
              </w:rPr>
            </w:pPr>
            <w:r w:rsidRPr="005D5826">
              <w:rPr>
                <w:b/>
                <w:lang w:eastAsia="en-AU"/>
              </w:rPr>
              <w:t>Unknown</w:t>
            </w:r>
          </w:p>
        </w:tc>
        <w:tc>
          <w:tcPr>
            <w:tcW w:w="1378" w:type="dxa"/>
            <w:vAlign w:val="center"/>
          </w:tcPr>
          <w:p w:rsidR="00557D08" w:rsidRPr="00AC1DB7" w:rsidRDefault="00557D08" w:rsidP="00ED1E21">
            <w:pPr>
              <w:pStyle w:val="Normal-beforebullets"/>
              <w:jc w:val="right"/>
              <w:rPr>
                <w:bCs/>
                <w:lang w:eastAsia="en-AU"/>
              </w:rPr>
            </w:pPr>
            <w:r w:rsidRPr="00AC1DB7">
              <w:rPr>
                <w:bCs/>
                <w:lang w:eastAsia="en-AU"/>
              </w:rPr>
              <w:t>21</w:t>
            </w:r>
          </w:p>
        </w:tc>
        <w:tc>
          <w:tcPr>
            <w:tcW w:w="1315" w:type="dxa"/>
            <w:vAlign w:val="center"/>
          </w:tcPr>
          <w:p w:rsidR="00557D08" w:rsidRPr="00AC1DB7" w:rsidRDefault="00557D08" w:rsidP="00ED1E21">
            <w:pPr>
              <w:pStyle w:val="Normal-beforebullets"/>
              <w:jc w:val="right"/>
              <w:rPr>
                <w:bCs/>
                <w:lang w:eastAsia="en-AU"/>
              </w:rPr>
            </w:pPr>
            <w:r w:rsidRPr="00AC1DB7">
              <w:rPr>
                <w:bCs/>
                <w:lang w:eastAsia="en-AU"/>
              </w:rPr>
              <w:t>2.1</w:t>
            </w:r>
          </w:p>
        </w:tc>
        <w:tc>
          <w:tcPr>
            <w:tcW w:w="1441" w:type="dxa"/>
            <w:vAlign w:val="center"/>
          </w:tcPr>
          <w:p w:rsidR="00557D08" w:rsidRPr="00AC1DB7" w:rsidRDefault="00557D08" w:rsidP="00ED1E21">
            <w:pPr>
              <w:pStyle w:val="Normal-beforebullets"/>
              <w:jc w:val="right"/>
              <w:rPr>
                <w:color w:val="000000"/>
              </w:rPr>
            </w:pPr>
            <w:r w:rsidRPr="00AC1DB7">
              <w:rPr>
                <w:color w:val="000000"/>
              </w:rPr>
              <w:t>40</w:t>
            </w:r>
          </w:p>
        </w:tc>
        <w:tc>
          <w:tcPr>
            <w:tcW w:w="1357" w:type="dxa"/>
            <w:vAlign w:val="center"/>
          </w:tcPr>
          <w:p w:rsidR="00557D08" w:rsidRPr="00AC1DB7" w:rsidRDefault="00557D08" w:rsidP="00ED1E21">
            <w:pPr>
              <w:pStyle w:val="Normal-beforebullets"/>
              <w:jc w:val="right"/>
              <w:rPr>
                <w:color w:val="000000"/>
              </w:rPr>
            </w:pPr>
            <w:r w:rsidRPr="00AC1DB7">
              <w:rPr>
                <w:color w:val="000000"/>
              </w:rPr>
              <w:t>4.7</w:t>
            </w:r>
          </w:p>
        </w:tc>
      </w:tr>
      <w:tr w:rsidR="00557D08" w:rsidRPr="00E1549E" w:rsidTr="00ED1E21">
        <w:trPr>
          <w:trHeight w:val="300"/>
        </w:trPr>
        <w:tc>
          <w:tcPr>
            <w:tcW w:w="3009" w:type="dxa"/>
            <w:noWrap/>
            <w:vAlign w:val="center"/>
            <w:hideMark/>
          </w:tcPr>
          <w:p w:rsidR="00557D08" w:rsidRPr="00140F71" w:rsidRDefault="00557D08" w:rsidP="00ED1E21">
            <w:pPr>
              <w:pStyle w:val="Normal-beforebullets"/>
              <w:rPr>
                <w:b/>
                <w:bCs/>
                <w:lang w:eastAsia="en-AU"/>
              </w:rPr>
            </w:pPr>
            <w:r w:rsidRPr="00140F71">
              <w:rPr>
                <w:b/>
                <w:lang w:eastAsia="en-AU"/>
              </w:rPr>
              <w:t>Total</w:t>
            </w:r>
          </w:p>
        </w:tc>
        <w:tc>
          <w:tcPr>
            <w:tcW w:w="1378" w:type="dxa"/>
            <w:vAlign w:val="center"/>
          </w:tcPr>
          <w:p w:rsidR="00557D08" w:rsidRPr="00140F71" w:rsidRDefault="00557D08" w:rsidP="00ED1E21">
            <w:pPr>
              <w:pStyle w:val="Normal-beforebullets"/>
              <w:jc w:val="right"/>
              <w:rPr>
                <w:b/>
                <w:bCs/>
                <w:lang w:eastAsia="en-AU"/>
              </w:rPr>
            </w:pPr>
            <w:r w:rsidRPr="00140F71">
              <w:rPr>
                <w:b/>
                <w:bCs/>
                <w:lang w:eastAsia="en-AU"/>
              </w:rPr>
              <w:t>987</w:t>
            </w:r>
          </w:p>
        </w:tc>
        <w:tc>
          <w:tcPr>
            <w:tcW w:w="1315" w:type="dxa"/>
            <w:vAlign w:val="center"/>
          </w:tcPr>
          <w:p w:rsidR="00557D08" w:rsidRPr="00140F71" w:rsidRDefault="003C0405" w:rsidP="00ED1E21">
            <w:pPr>
              <w:pStyle w:val="Normal-beforebullets"/>
              <w:jc w:val="right"/>
              <w:rPr>
                <w:b/>
                <w:bCs/>
                <w:lang w:eastAsia="en-AU"/>
              </w:rPr>
            </w:pPr>
            <w:r w:rsidRPr="00140F71">
              <w:rPr>
                <w:b/>
                <w:bCs/>
                <w:lang w:eastAsia="en-AU"/>
              </w:rPr>
              <w:t>100</w:t>
            </w:r>
          </w:p>
        </w:tc>
        <w:tc>
          <w:tcPr>
            <w:tcW w:w="1441" w:type="dxa"/>
            <w:vAlign w:val="center"/>
          </w:tcPr>
          <w:p w:rsidR="00557D08" w:rsidRPr="00140F71" w:rsidRDefault="00557D08" w:rsidP="00ED1E21">
            <w:pPr>
              <w:pStyle w:val="Normal-beforebullets"/>
              <w:jc w:val="right"/>
              <w:rPr>
                <w:b/>
                <w:bCs/>
                <w:lang w:eastAsia="en-AU"/>
              </w:rPr>
            </w:pPr>
            <w:r w:rsidRPr="00140F71">
              <w:rPr>
                <w:b/>
                <w:bCs/>
                <w:lang w:eastAsia="en-AU"/>
              </w:rPr>
              <w:t>850</w:t>
            </w:r>
          </w:p>
        </w:tc>
        <w:tc>
          <w:tcPr>
            <w:tcW w:w="1357" w:type="dxa"/>
            <w:vAlign w:val="center"/>
          </w:tcPr>
          <w:p w:rsidR="00557D08" w:rsidRPr="00140F71" w:rsidRDefault="003C0405" w:rsidP="00ED1E21">
            <w:pPr>
              <w:pStyle w:val="Normal-beforebullets"/>
              <w:jc w:val="right"/>
              <w:rPr>
                <w:b/>
                <w:bCs/>
                <w:lang w:eastAsia="en-AU"/>
              </w:rPr>
            </w:pPr>
            <w:r w:rsidRPr="00140F71">
              <w:rPr>
                <w:b/>
                <w:bCs/>
                <w:lang w:eastAsia="en-AU"/>
              </w:rPr>
              <w:t>100</w:t>
            </w:r>
          </w:p>
        </w:tc>
      </w:tr>
    </w:tbl>
    <w:p w:rsidR="00557D08" w:rsidRPr="003776BF" w:rsidRDefault="00557D08" w:rsidP="00557D08">
      <w:r w:rsidRPr="005D5826">
        <w:rPr>
          <w:sz w:val="20"/>
          <w:szCs w:val="20"/>
        </w:rPr>
        <w:t>*</w:t>
      </w:r>
      <w:r w:rsidR="003D62A3" w:rsidRPr="005D5826">
        <w:rPr>
          <w:sz w:val="20"/>
          <w:szCs w:val="20"/>
        </w:rPr>
        <w:t>Only p</w:t>
      </w:r>
      <w:r w:rsidRPr="005D5826">
        <w:rPr>
          <w:sz w:val="20"/>
          <w:szCs w:val="20"/>
        </w:rPr>
        <w:t>rescriptions with a known start date less than six months p</w:t>
      </w:r>
      <w:r w:rsidR="003D62A3" w:rsidRPr="005D5826">
        <w:rPr>
          <w:sz w:val="20"/>
          <w:szCs w:val="20"/>
        </w:rPr>
        <w:t>rior to the survey day were</w:t>
      </w:r>
      <w:r w:rsidRPr="005D5826">
        <w:rPr>
          <w:sz w:val="20"/>
          <w:szCs w:val="20"/>
        </w:rPr>
        <w:t xml:space="preserve"> included</w:t>
      </w:r>
      <w:r w:rsidRPr="003776BF">
        <w:t>.</w:t>
      </w:r>
    </w:p>
    <w:p w:rsidR="00557D08" w:rsidRPr="00384AA7" w:rsidRDefault="00557D08" w:rsidP="001A39EC">
      <w:pPr>
        <w:pStyle w:val="Heading3"/>
      </w:pPr>
      <w:bookmarkStart w:id="65" w:name="_Toc513125591"/>
      <w:r w:rsidRPr="00384AA7">
        <w:t>Most commonly prescribed antimicrobials</w:t>
      </w:r>
      <w:bookmarkEnd w:id="65"/>
    </w:p>
    <w:p w:rsidR="005D5826" w:rsidRDefault="00B11658" w:rsidP="00557D08">
      <w:r>
        <w:t>In 2017, t</w:t>
      </w:r>
      <w:r w:rsidR="001C7A88">
        <w:t xml:space="preserve">he most commonly </w:t>
      </w:r>
      <w:r w:rsidR="001C7A88" w:rsidRPr="00FD1635">
        <w:t xml:space="preserve">prescribed </w:t>
      </w:r>
      <w:r w:rsidR="00557D08" w:rsidRPr="00FD1635">
        <w:t xml:space="preserve">antimicrobials were </w:t>
      </w:r>
      <w:proofErr w:type="spellStart"/>
      <w:r w:rsidR="00557D08" w:rsidRPr="00FD1635">
        <w:t>clotrimazole</w:t>
      </w:r>
      <w:proofErr w:type="spellEnd"/>
      <w:r w:rsidR="00557D08" w:rsidRPr="00FD1635">
        <w:t xml:space="preserve"> (</w:t>
      </w:r>
      <w:r w:rsidR="00557D08" w:rsidRPr="00492FB8">
        <w:rPr>
          <w:i/>
        </w:rPr>
        <w:t>n</w:t>
      </w:r>
      <w:r w:rsidR="00557D08" w:rsidRPr="00FD1635">
        <w:t>=256, 20.8%), cefalexin (</w:t>
      </w:r>
      <w:r w:rsidR="00557D08" w:rsidRPr="00492FB8">
        <w:rPr>
          <w:i/>
        </w:rPr>
        <w:t>n</w:t>
      </w:r>
      <w:r w:rsidR="00557D08" w:rsidRPr="00FD1635">
        <w:t>=239, 19.4%), amoxicillin (</w:t>
      </w:r>
      <w:r w:rsidR="00557D08" w:rsidRPr="00492FB8">
        <w:rPr>
          <w:i/>
        </w:rPr>
        <w:t>n</w:t>
      </w:r>
      <w:r w:rsidR="00557D08" w:rsidRPr="00FD1635">
        <w:t>=75, 6.1%), trimeth</w:t>
      </w:r>
      <w:r w:rsidR="005D5826">
        <w:t>oprim (</w:t>
      </w:r>
      <w:r w:rsidR="005D5826" w:rsidRPr="00492FB8">
        <w:rPr>
          <w:i/>
        </w:rPr>
        <w:t>n</w:t>
      </w:r>
      <w:r w:rsidR="005D5826">
        <w:t>=71, 5.8%), amoxicillin–</w:t>
      </w:r>
      <w:r w:rsidR="00557D08" w:rsidRPr="00FD1635">
        <w:t>clavulanic acid (</w:t>
      </w:r>
      <w:r w:rsidR="00557D08" w:rsidRPr="00492FB8">
        <w:rPr>
          <w:i/>
        </w:rPr>
        <w:t>n</w:t>
      </w:r>
      <w:r w:rsidR="00557D08" w:rsidRPr="00FD1635">
        <w:t>=71, 5.8%) and doxycycline (</w:t>
      </w:r>
      <w:r w:rsidR="00557D08" w:rsidRPr="00492FB8">
        <w:rPr>
          <w:i/>
        </w:rPr>
        <w:t>n</w:t>
      </w:r>
      <w:r w:rsidR="00557D08" w:rsidRPr="00FD1635">
        <w:t xml:space="preserve">=70, 5.7%). </w:t>
      </w:r>
    </w:p>
    <w:p w:rsidR="00557D08" w:rsidRPr="00FD1635" w:rsidRDefault="005D5826" w:rsidP="00557D08">
      <w:r>
        <w:lastRenderedPageBreak/>
        <w:t>By comparison, i</w:t>
      </w:r>
      <w:r w:rsidR="00557D08" w:rsidRPr="00FD1635">
        <w:t>n 201</w:t>
      </w:r>
      <w:r w:rsidR="00E249A8">
        <w:t xml:space="preserve">6, the top five antimicrobials </w:t>
      </w:r>
      <w:r>
        <w:t>were</w:t>
      </w:r>
      <w:r w:rsidR="00557D08" w:rsidRPr="00FD1635">
        <w:t xml:space="preserve"> cefalexin (</w:t>
      </w:r>
      <w:r w:rsidR="00557D08" w:rsidRPr="00492FB8">
        <w:rPr>
          <w:i/>
        </w:rPr>
        <w:t>n</w:t>
      </w:r>
      <w:r w:rsidR="00557D08" w:rsidRPr="00FD1635">
        <w:t>=319, 21.</w:t>
      </w:r>
      <w:r w:rsidR="001C7A88">
        <w:t>4</w:t>
      </w:r>
      <w:r w:rsidR="00557D08" w:rsidRPr="00FD1635">
        <w:t xml:space="preserve">%), </w:t>
      </w:r>
      <w:proofErr w:type="spellStart"/>
      <w:r w:rsidR="00557D08" w:rsidRPr="00FD1635">
        <w:t>clotrimazole</w:t>
      </w:r>
      <w:proofErr w:type="spellEnd"/>
      <w:r w:rsidR="00557D08" w:rsidRPr="00FD1635">
        <w:t xml:space="preserve"> (</w:t>
      </w:r>
      <w:r w:rsidR="00557D08" w:rsidRPr="00492FB8">
        <w:rPr>
          <w:i/>
        </w:rPr>
        <w:t>n</w:t>
      </w:r>
      <w:r w:rsidR="00557D08" w:rsidRPr="00FD1635">
        <w:t>=262, 17.</w:t>
      </w:r>
      <w:r w:rsidR="001C7A88">
        <w:t>5</w:t>
      </w:r>
      <w:r w:rsidR="00557D08" w:rsidRPr="00FD1635">
        <w:t xml:space="preserve">%), </w:t>
      </w:r>
      <w:r w:rsidR="001C7A88" w:rsidRPr="00FD1635">
        <w:t>amoxicillin</w:t>
      </w:r>
      <w:r w:rsidR="001C7A88" w:rsidRPr="005D5826">
        <w:t>–</w:t>
      </w:r>
      <w:r w:rsidR="001C7A88" w:rsidRPr="00FD1635">
        <w:t>clavulanic acid (</w:t>
      </w:r>
      <w:r w:rsidR="001C7A88" w:rsidRPr="00492FB8">
        <w:rPr>
          <w:i/>
        </w:rPr>
        <w:t>n</w:t>
      </w:r>
      <w:r w:rsidR="001C7A88" w:rsidRPr="00FD1635">
        <w:t>=92, 6.</w:t>
      </w:r>
      <w:r w:rsidR="001C7A88">
        <w:t>3</w:t>
      </w:r>
      <w:r w:rsidR="001C7A88" w:rsidRPr="00FD1635">
        <w:t>%)</w:t>
      </w:r>
      <w:r w:rsidR="001C7A88">
        <w:t>,</w:t>
      </w:r>
      <w:r w:rsidR="001C7A88" w:rsidRPr="00FD1635">
        <w:t xml:space="preserve"> </w:t>
      </w:r>
      <w:r w:rsidR="00557D08" w:rsidRPr="00FD1635">
        <w:t>trimethoprim (</w:t>
      </w:r>
      <w:r w:rsidR="00557D08" w:rsidRPr="00492FB8">
        <w:rPr>
          <w:i/>
        </w:rPr>
        <w:t>n</w:t>
      </w:r>
      <w:r w:rsidR="00557D08" w:rsidRPr="00FD1635">
        <w:t xml:space="preserve">=94, 6.2%), </w:t>
      </w:r>
      <w:r w:rsidR="001C7A88">
        <w:t>and chloramphenicol (</w:t>
      </w:r>
      <w:r w:rsidR="001C7A88" w:rsidRPr="00492FB8">
        <w:rPr>
          <w:i/>
        </w:rPr>
        <w:t>n</w:t>
      </w:r>
      <w:r w:rsidR="001C7A88">
        <w:t>=83, 5.6</w:t>
      </w:r>
      <w:r w:rsidR="00557D08" w:rsidRPr="00FD1635">
        <w:t xml:space="preserve">%) </w:t>
      </w:r>
      <w:proofErr w:type="gramStart"/>
      <w:r w:rsidR="00557D08" w:rsidRPr="00FD1635">
        <w:t>(Figure 1).</w:t>
      </w:r>
      <w:proofErr w:type="gramEnd"/>
      <w:r w:rsidR="00557D08" w:rsidRPr="00FD1635">
        <w:t xml:space="preserve"> </w:t>
      </w:r>
    </w:p>
    <w:p w:rsidR="00557D08" w:rsidRDefault="005169B5" w:rsidP="00557D08">
      <w:r>
        <w:t xml:space="preserve">In 2017, most antimicrobial prescriptions </w:t>
      </w:r>
      <w:r w:rsidR="00557D08" w:rsidRPr="00FD1635">
        <w:t xml:space="preserve">were </w:t>
      </w:r>
      <w:r>
        <w:t>for either oral (</w:t>
      </w:r>
      <w:r w:rsidRPr="00492FB8">
        <w:rPr>
          <w:i/>
        </w:rPr>
        <w:t>n</w:t>
      </w:r>
      <w:r>
        <w:t xml:space="preserve">=794, 64.5%) or topical </w:t>
      </w:r>
      <w:r w:rsidR="00557D08" w:rsidRPr="00FD1635">
        <w:t>(</w:t>
      </w:r>
      <w:r w:rsidR="00557D08" w:rsidRPr="00492FB8">
        <w:rPr>
          <w:i/>
        </w:rPr>
        <w:t>n</w:t>
      </w:r>
      <w:r w:rsidR="00557D08" w:rsidRPr="00FD1635">
        <w:t>=407, 33.1%)</w:t>
      </w:r>
      <w:r>
        <w:t xml:space="preserve"> administration</w:t>
      </w:r>
      <w:r w:rsidR="00557D08" w:rsidRPr="00FD1635">
        <w:t>.</w:t>
      </w:r>
      <w:r>
        <w:t xml:space="preserve"> </w:t>
      </w:r>
      <w:r w:rsidR="009715B6">
        <w:t>T</w:t>
      </w:r>
      <w:r w:rsidR="00557D08" w:rsidRPr="00FD1635">
        <w:t xml:space="preserve">he </w:t>
      </w:r>
      <w:r w:rsidR="005D5826">
        <w:t xml:space="preserve">five </w:t>
      </w:r>
      <w:r w:rsidR="00557D08" w:rsidRPr="00FD1635">
        <w:t xml:space="preserve">most commonly prescribed </w:t>
      </w:r>
      <w:r w:rsidR="009715B6">
        <w:t xml:space="preserve">topical antimicrobials in 2017 </w:t>
      </w:r>
      <w:r w:rsidR="00557D08" w:rsidRPr="00FD1635">
        <w:t xml:space="preserve">were </w:t>
      </w:r>
      <w:proofErr w:type="spellStart"/>
      <w:r w:rsidR="00557D08" w:rsidRPr="00FD1635">
        <w:t>clotrimazole</w:t>
      </w:r>
      <w:proofErr w:type="spellEnd"/>
      <w:r w:rsidR="00557D08" w:rsidRPr="00FD1635">
        <w:t xml:space="preserve"> (</w:t>
      </w:r>
      <w:r w:rsidR="00557D08" w:rsidRPr="00492FB8">
        <w:rPr>
          <w:i/>
        </w:rPr>
        <w:t>n</w:t>
      </w:r>
      <w:r w:rsidR="00557D08" w:rsidRPr="00FD1635">
        <w:t>=248, 60.9%), chloramphenicol (</w:t>
      </w:r>
      <w:r w:rsidR="00557D08" w:rsidRPr="00492FB8">
        <w:rPr>
          <w:i/>
        </w:rPr>
        <w:t>n</w:t>
      </w:r>
      <w:r w:rsidR="00557D08" w:rsidRPr="00FD1635">
        <w:t xml:space="preserve">=66, 16.2%), </w:t>
      </w:r>
      <w:r w:rsidR="00557D08" w:rsidRPr="00FD1635">
        <w:rPr>
          <w:color w:val="000000"/>
        </w:rPr>
        <w:t>gramicidin–neomycin–nystatin (</w:t>
      </w:r>
      <w:proofErr w:type="spellStart"/>
      <w:r w:rsidR="00557D08" w:rsidRPr="00FD1635">
        <w:rPr>
          <w:color w:val="000000"/>
        </w:rPr>
        <w:t>Kenacomb</w:t>
      </w:r>
      <w:proofErr w:type="spellEnd"/>
      <w:r w:rsidR="00557D08" w:rsidRPr="00FD1635">
        <w:rPr>
          <w:color w:val="000000"/>
        </w:rPr>
        <w:t xml:space="preserve">®) </w:t>
      </w:r>
      <w:r w:rsidR="00557D08" w:rsidRPr="00FD1635">
        <w:t>(</w:t>
      </w:r>
      <w:r w:rsidR="00557D08" w:rsidRPr="00492FB8">
        <w:rPr>
          <w:i/>
        </w:rPr>
        <w:t>n</w:t>
      </w:r>
      <w:r w:rsidR="00557D08" w:rsidRPr="00FD1635">
        <w:t>=26, 6.4%), miconazole (</w:t>
      </w:r>
      <w:r w:rsidR="00557D08" w:rsidRPr="00492FB8">
        <w:rPr>
          <w:i/>
        </w:rPr>
        <w:t>n</w:t>
      </w:r>
      <w:r w:rsidR="00557D08" w:rsidRPr="00FD1635">
        <w:t>=25, 6.1%) and mupirocin (</w:t>
      </w:r>
      <w:r w:rsidR="00557D08" w:rsidRPr="00492FB8">
        <w:rPr>
          <w:i/>
        </w:rPr>
        <w:t>n</w:t>
      </w:r>
      <w:r w:rsidR="00557D08" w:rsidRPr="00FD1635">
        <w:t>=10, 2.5%).</w:t>
      </w:r>
    </w:p>
    <w:p w:rsidR="008A7915" w:rsidRDefault="00557D08" w:rsidP="005E32BF">
      <w:pPr>
        <w:pStyle w:val="FigureTitle"/>
      </w:pPr>
      <w:bookmarkStart w:id="66" w:name="_Toc477183312"/>
      <w:r w:rsidRPr="00482789">
        <w:t xml:space="preserve">Figure </w:t>
      </w:r>
      <w:fldSimple w:instr=" SEQ Figure \* ARABIC ">
        <w:r w:rsidR="00373260">
          <w:rPr>
            <w:noProof/>
          </w:rPr>
          <w:t>1</w:t>
        </w:r>
      </w:fldSimple>
      <w:r>
        <w:t xml:space="preserve">: </w:t>
      </w:r>
      <w:r w:rsidRPr="00482789">
        <w:t>Most commonly prescribed antimicrobials</w:t>
      </w:r>
      <w:bookmarkEnd w:id="66"/>
      <w:r w:rsidRPr="00482789">
        <w:t xml:space="preserve"> (2016 and 2017)  </w:t>
      </w:r>
      <w:bookmarkStart w:id="67" w:name="_Toc476731086"/>
      <w:bookmarkStart w:id="68" w:name="_Toc476731154"/>
    </w:p>
    <w:p w:rsidR="00557D08" w:rsidRDefault="00C8697D" w:rsidP="005E32BF">
      <w:pPr>
        <w:pStyle w:val="FigureTitle"/>
        <w:rPr>
          <w:rFonts w:ascii="Arial" w:hAnsi="Arial"/>
          <w:sz w:val="32"/>
          <w:szCs w:val="32"/>
        </w:rPr>
      </w:pPr>
      <w:r>
        <w:rPr>
          <w:noProof/>
        </w:rPr>
        <w:drawing>
          <wp:inline distT="0" distB="0" distL="0" distR="0" wp14:anchorId="67F071F4" wp14:editId="0E507E60">
            <wp:extent cx="5221357" cy="7209182"/>
            <wp:effectExtent l="0" t="0" r="17780" b="1079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57D08" w:rsidRPr="009D44F5" w:rsidRDefault="00557D08" w:rsidP="001A39EC">
      <w:pPr>
        <w:pStyle w:val="Heading3"/>
      </w:pPr>
      <w:bookmarkStart w:id="69" w:name="_Toc513125592"/>
      <w:r w:rsidRPr="009D44F5">
        <w:lastRenderedPageBreak/>
        <w:t>Common indications</w:t>
      </w:r>
      <w:bookmarkEnd w:id="67"/>
      <w:bookmarkEnd w:id="68"/>
      <w:r w:rsidRPr="009D44F5">
        <w:t xml:space="preserve"> for prescribing antimicrobials</w:t>
      </w:r>
      <w:bookmarkEnd w:id="69"/>
    </w:p>
    <w:p w:rsidR="00557D08" w:rsidRDefault="00557D08" w:rsidP="009D44F5">
      <w:r w:rsidRPr="00570E98">
        <w:t>In 2017, the top five known indications for prescribing antimicrobials were cystitis (</w:t>
      </w:r>
      <w:r w:rsidRPr="00492FB8">
        <w:rPr>
          <w:i/>
        </w:rPr>
        <w:t>n</w:t>
      </w:r>
      <w:r w:rsidRPr="00570E98">
        <w:t>=211, 17.</w:t>
      </w:r>
      <w:r w:rsidR="004F188B">
        <w:t>1</w:t>
      </w:r>
      <w:r w:rsidRPr="00570E98">
        <w:t>%), chest and lower respirat</w:t>
      </w:r>
      <w:r w:rsidR="005B5610">
        <w:t>ory tract infection (</w:t>
      </w:r>
      <w:r w:rsidR="005B5610" w:rsidRPr="00492FB8">
        <w:rPr>
          <w:i/>
        </w:rPr>
        <w:t>n</w:t>
      </w:r>
      <w:r w:rsidR="005B5610">
        <w:t>=134, 10.9</w:t>
      </w:r>
      <w:r w:rsidRPr="00570E98">
        <w:t>%), non-surgical wound infection (</w:t>
      </w:r>
      <w:r w:rsidRPr="00492FB8">
        <w:rPr>
          <w:i/>
        </w:rPr>
        <w:t>n</w:t>
      </w:r>
      <w:r w:rsidRPr="00570E98">
        <w:t>=63, 5.</w:t>
      </w:r>
      <w:r w:rsidR="005B5610">
        <w:t>1</w:t>
      </w:r>
      <w:r w:rsidRPr="00570E98">
        <w:t>%), tinea (</w:t>
      </w:r>
      <w:r w:rsidRPr="00492FB8">
        <w:rPr>
          <w:i/>
        </w:rPr>
        <w:t>n</w:t>
      </w:r>
      <w:r w:rsidRPr="00570E98">
        <w:t>=58, 4.</w:t>
      </w:r>
      <w:r w:rsidR="005B5610">
        <w:t>7</w:t>
      </w:r>
      <w:r w:rsidRPr="00570E98">
        <w:t>%) and cellulitis (</w:t>
      </w:r>
      <w:r w:rsidRPr="00492FB8">
        <w:rPr>
          <w:i/>
        </w:rPr>
        <w:t>n</w:t>
      </w:r>
      <w:r w:rsidRPr="00570E98">
        <w:t>=51, 4.1%). In 2016, the top five known indications were cystitis (</w:t>
      </w:r>
      <w:r w:rsidRPr="00492FB8">
        <w:rPr>
          <w:i/>
        </w:rPr>
        <w:t>n</w:t>
      </w:r>
      <w:r w:rsidRPr="00570E98">
        <w:t>=263, 17.</w:t>
      </w:r>
      <w:r w:rsidR="005B5610">
        <w:t>6</w:t>
      </w:r>
      <w:r w:rsidRPr="00570E98">
        <w:t>%), chest and lower respiratory tract infection (</w:t>
      </w:r>
      <w:r w:rsidRPr="00492FB8">
        <w:rPr>
          <w:i/>
        </w:rPr>
        <w:t>n</w:t>
      </w:r>
      <w:r w:rsidRPr="00570E98">
        <w:t xml:space="preserve">=164, </w:t>
      </w:r>
      <w:r w:rsidR="005B5610">
        <w:t>11.0</w:t>
      </w:r>
      <w:r w:rsidRPr="00570E98">
        <w:t>%), non-surgical wound infection (</w:t>
      </w:r>
      <w:r w:rsidRPr="00492FB8">
        <w:rPr>
          <w:i/>
        </w:rPr>
        <w:t>n</w:t>
      </w:r>
      <w:r w:rsidRPr="00570E98">
        <w:t>=8</w:t>
      </w:r>
      <w:r w:rsidR="005B5610">
        <w:t>5</w:t>
      </w:r>
      <w:r w:rsidRPr="00570E98">
        <w:t>, 5.</w:t>
      </w:r>
      <w:r w:rsidR="005B5610">
        <w:t>7</w:t>
      </w:r>
      <w:r w:rsidRPr="00570E98">
        <w:t>%), cellulitis (</w:t>
      </w:r>
      <w:r w:rsidRPr="00492FB8">
        <w:rPr>
          <w:i/>
        </w:rPr>
        <w:t>n</w:t>
      </w:r>
      <w:r w:rsidRPr="00570E98">
        <w:t>=71, 4.</w:t>
      </w:r>
      <w:r w:rsidR="005B5610">
        <w:t>8</w:t>
      </w:r>
      <w:r w:rsidRPr="00570E98">
        <w:t>%), and asympto</w:t>
      </w:r>
      <w:r w:rsidR="003C0405">
        <w:t>matic bacteriuria (</w:t>
      </w:r>
      <w:r w:rsidR="003C0405" w:rsidRPr="00492FB8">
        <w:rPr>
          <w:i/>
        </w:rPr>
        <w:t>n</w:t>
      </w:r>
      <w:r w:rsidR="003C0405">
        <w:t>=58, 3.9%)</w:t>
      </w:r>
      <w:r w:rsidR="005B5610">
        <w:t xml:space="preserve"> </w:t>
      </w:r>
      <w:proofErr w:type="gramStart"/>
      <w:r w:rsidR="003C0405">
        <w:t>(</w:t>
      </w:r>
      <w:r w:rsidR="005B5610">
        <w:t>Figure 2</w:t>
      </w:r>
      <w:r w:rsidR="003C0405">
        <w:t>).</w:t>
      </w:r>
      <w:proofErr w:type="gramEnd"/>
      <w:r w:rsidR="00EC1113">
        <w:t xml:space="preserve"> </w:t>
      </w:r>
    </w:p>
    <w:p w:rsidR="00CF5232" w:rsidRDefault="00557D08" w:rsidP="004A45B7">
      <w:pPr>
        <w:pStyle w:val="FigureTitle"/>
      </w:pPr>
      <w:bookmarkStart w:id="70" w:name="_Toc477183313"/>
      <w:r w:rsidRPr="00A8356E">
        <w:lastRenderedPageBreak/>
        <w:t xml:space="preserve">Figure </w:t>
      </w:r>
      <w:fldSimple w:instr=" SEQ Figure \* ARABIC ">
        <w:r w:rsidR="00373260">
          <w:rPr>
            <w:noProof/>
          </w:rPr>
          <w:t>2</w:t>
        </w:r>
      </w:fldSimple>
      <w:r w:rsidR="009D44F5">
        <w:rPr>
          <w:noProof/>
        </w:rPr>
        <w:t xml:space="preserve">: </w:t>
      </w:r>
      <w:r w:rsidRPr="00A8356E">
        <w:t>Most common indications</w:t>
      </w:r>
      <w:r w:rsidR="00406186">
        <w:t xml:space="preserve"> (treatment and prophylaxis)</w:t>
      </w:r>
      <w:r w:rsidRPr="00A8356E">
        <w:t xml:space="preserve"> for antimicrobial prescriptions</w:t>
      </w:r>
      <w:bookmarkEnd w:id="70"/>
      <w:r w:rsidRPr="00A8356E">
        <w:t xml:space="preserve"> (2016 and 2017)</w:t>
      </w:r>
      <w:r w:rsidR="00CF5232">
        <w:t>*</w:t>
      </w:r>
      <w:r w:rsidR="00DF32DE">
        <w:rPr>
          <w:noProof/>
        </w:rPr>
        <w:drawing>
          <wp:inline distT="0" distB="0" distL="0" distR="0" wp14:anchorId="410CEF75" wp14:editId="284B3964">
            <wp:extent cx="5247861" cy="7673008"/>
            <wp:effectExtent l="0" t="0" r="10160" b="2349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F5232" w:rsidRPr="00CF5232" w:rsidRDefault="00CF5232" w:rsidP="004A45B7">
      <w:pPr>
        <w:pStyle w:val="FigureTitle"/>
        <w:rPr>
          <w:b w:val="0"/>
          <w:sz w:val="16"/>
          <w:szCs w:val="16"/>
        </w:rPr>
      </w:pPr>
      <w:r w:rsidRPr="00CF5232">
        <w:rPr>
          <w:b w:val="0"/>
          <w:sz w:val="16"/>
          <w:szCs w:val="16"/>
        </w:rPr>
        <w:t xml:space="preserve">*Indications categorised </w:t>
      </w:r>
      <w:r>
        <w:rPr>
          <w:b w:val="0"/>
          <w:sz w:val="16"/>
          <w:szCs w:val="16"/>
        </w:rPr>
        <w:t xml:space="preserve">by surveyors </w:t>
      </w:r>
      <w:r w:rsidRPr="00CF5232">
        <w:rPr>
          <w:b w:val="0"/>
          <w:sz w:val="16"/>
          <w:szCs w:val="16"/>
        </w:rPr>
        <w:t xml:space="preserve">as </w:t>
      </w:r>
      <w:r>
        <w:rPr>
          <w:b w:val="0"/>
          <w:sz w:val="16"/>
          <w:szCs w:val="16"/>
        </w:rPr>
        <w:t xml:space="preserve">‘Other’ are not included (2017, </w:t>
      </w:r>
      <w:r w:rsidRPr="00492FB8">
        <w:rPr>
          <w:b w:val="0"/>
          <w:i/>
          <w:sz w:val="16"/>
          <w:szCs w:val="16"/>
        </w:rPr>
        <w:t>n</w:t>
      </w:r>
      <w:r>
        <w:rPr>
          <w:b w:val="0"/>
          <w:sz w:val="16"/>
          <w:szCs w:val="16"/>
        </w:rPr>
        <w:t xml:space="preserve">=304 and 2016, </w:t>
      </w:r>
      <w:r w:rsidRPr="00492FB8">
        <w:rPr>
          <w:b w:val="0"/>
          <w:i/>
          <w:sz w:val="16"/>
          <w:szCs w:val="16"/>
        </w:rPr>
        <w:t>n</w:t>
      </w:r>
      <w:r>
        <w:rPr>
          <w:b w:val="0"/>
          <w:sz w:val="16"/>
          <w:szCs w:val="16"/>
        </w:rPr>
        <w:t>= 372)</w:t>
      </w:r>
    </w:p>
    <w:p w:rsidR="00557D08" w:rsidRPr="00CF5232" w:rsidRDefault="00557D08" w:rsidP="004A45B7">
      <w:pPr>
        <w:pStyle w:val="FigureTitle"/>
        <w:rPr>
          <w:sz w:val="16"/>
          <w:szCs w:val="16"/>
        </w:rPr>
      </w:pPr>
      <w:r w:rsidRPr="00CF5232">
        <w:rPr>
          <w:b w:val="0"/>
          <w:sz w:val="16"/>
          <w:szCs w:val="16"/>
        </w:rPr>
        <w:t>Note: LRTI = lower respiratory tract infection; COPD = chronic obstructive pulmonary disease; Ulcers include pressure, venous and arterial ulcers</w:t>
      </w:r>
      <w:r w:rsidR="00406186">
        <w:rPr>
          <w:b w:val="0"/>
          <w:sz w:val="16"/>
          <w:szCs w:val="16"/>
        </w:rPr>
        <w:t>; UTI = urinary tract infection</w:t>
      </w:r>
    </w:p>
    <w:p w:rsidR="008A7915" w:rsidRDefault="008A7915">
      <w:pPr>
        <w:spacing w:after="80"/>
      </w:pPr>
      <w:r>
        <w:br w:type="page"/>
      </w:r>
    </w:p>
    <w:p w:rsidR="00557D08" w:rsidRDefault="006C6338" w:rsidP="009D44F5">
      <w:r>
        <w:lastRenderedPageBreak/>
        <w:t xml:space="preserve">Of all known indications for prescribing antimicrobials, </w:t>
      </w:r>
      <w:r w:rsidR="00557D08" w:rsidRPr="00570E98">
        <w:t xml:space="preserve">almost three-quarters </w:t>
      </w:r>
      <w:r w:rsidR="006447D0">
        <w:t>(</w:t>
      </w:r>
      <w:r w:rsidR="006447D0" w:rsidRPr="00492FB8">
        <w:rPr>
          <w:i/>
        </w:rPr>
        <w:t>n</w:t>
      </w:r>
      <w:r w:rsidR="006447D0" w:rsidRPr="00570E98">
        <w:t>=875</w:t>
      </w:r>
      <w:r w:rsidR="006447D0">
        <w:t xml:space="preserve">, </w:t>
      </w:r>
      <w:r w:rsidR="006447D0" w:rsidRPr="00570E98">
        <w:t xml:space="preserve">71.1%) </w:t>
      </w:r>
      <w:r w:rsidR="006447D0">
        <w:t>i</w:t>
      </w:r>
      <w:r w:rsidR="006447D0" w:rsidRPr="00570E98">
        <w:t>n 2017</w:t>
      </w:r>
      <w:r w:rsidR="006447D0">
        <w:t xml:space="preserve"> </w:t>
      </w:r>
      <w:r w:rsidR="00557D08" w:rsidRPr="00570E98">
        <w:t xml:space="preserve">were for </w:t>
      </w:r>
      <w:r w:rsidR="002C38C0">
        <w:t>treatment</w:t>
      </w:r>
      <w:r w:rsidR="00005299">
        <w:t xml:space="preserve">, compared with </w:t>
      </w:r>
      <w:r w:rsidR="00005299" w:rsidRPr="00005299">
        <w:t>74.8% (</w:t>
      </w:r>
      <w:r w:rsidR="00005299" w:rsidRPr="00492FB8">
        <w:rPr>
          <w:i/>
        </w:rPr>
        <w:t>n</w:t>
      </w:r>
      <w:r w:rsidR="00005299" w:rsidRPr="00005299">
        <w:t>=1,117)</w:t>
      </w:r>
      <w:r w:rsidR="002B622A">
        <w:t xml:space="preserve"> in 2016</w:t>
      </w:r>
      <w:r w:rsidR="00557D08" w:rsidRPr="00570E98">
        <w:t xml:space="preserve">. </w:t>
      </w:r>
      <w:r w:rsidR="002B622A">
        <w:t>Of these treatment</w:t>
      </w:r>
      <w:r>
        <w:t xml:space="preserve"> indications</w:t>
      </w:r>
      <w:r w:rsidR="002B622A">
        <w:t>, c</w:t>
      </w:r>
      <w:r w:rsidR="00557D08" w:rsidRPr="00570E98">
        <w:t>hest and lower respiratory tract infections were most commonly reported: 14.1% (</w:t>
      </w:r>
      <w:r w:rsidR="00557D08" w:rsidRPr="00492FB8">
        <w:rPr>
          <w:i/>
        </w:rPr>
        <w:t>n</w:t>
      </w:r>
      <w:r w:rsidR="00557D08" w:rsidRPr="00570E98">
        <w:t>=158) and 14.</w:t>
      </w:r>
      <w:r w:rsidR="002B622A">
        <w:t>1</w:t>
      </w:r>
      <w:r w:rsidR="00557D08" w:rsidRPr="00570E98">
        <w:t>% (</w:t>
      </w:r>
      <w:r w:rsidR="00557D08" w:rsidRPr="00492FB8">
        <w:rPr>
          <w:i/>
        </w:rPr>
        <w:t>n</w:t>
      </w:r>
      <w:r w:rsidR="00557D08" w:rsidRPr="00570E98">
        <w:t>=123)</w:t>
      </w:r>
      <w:r w:rsidR="002B622A">
        <w:t xml:space="preserve">, </w:t>
      </w:r>
      <w:r w:rsidR="005E7067">
        <w:t xml:space="preserve">in 2016 and 2017 </w:t>
      </w:r>
      <w:r w:rsidR="00557D08" w:rsidRPr="00570E98">
        <w:t>respectively (Figure 3).</w:t>
      </w:r>
      <w:r w:rsidR="00557D08">
        <w:t xml:space="preserve"> </w:t>
      </w:r>
      <w:r w:rsidR="00557D08" w:rsidRPr="00933595">
        <w:t xml:space="preserve"> </w:t>
      </w:r>
    </w:p>
    <w:p w:rsidR="00557D08" w:rsidRDefault="00557D08" w:rsidP="009D44F5">
      <w:pPr>
        <w:pStyle w:val="FigureTitle"/>
      </w:pPr>
      <w:bookmarkStart w:id="71" w:name="_Toc477183315"/>
      <w:r w:rsidRPr="00A8356E">
        <w:t>Figure 3</w:t>
      </w:r>
      <w:r w:rsidR="009D44F5">
        <w:t xml:space="preserve">: </w:t>
      </w:r>
      <w:r w:rsidRPr="00A8356E">
        <w:rPr>
          <w:noProof/>
        </w:rPr>
        <w:t>Most common t</w:t>
      </w:r>
      <w:r w:rsidR="002C38C0">
        <w:rPr>
          <w:noProof/>
        </w:rPr>
        <w:t>reatment</w:t>
      </w:r>
      <w:r w:rsidRPr="00A8356E">
        <w:rPr>
          <w:noProof/>
        </w:rPr>
        <w:t xml:space="preserve"> indications</w:t>
      </w:r>
      <w:bookmarkEnd w:id="71"/>
      <w:r w:rsidRPr="00A8356E">
        <w:rPr>
          <w:noProof/>
        </w:rPr>
        <w:t xml:space="preserve"> </w:t>
      </w:r>
      <w:r w:rsidR="00A978D9">
        <w:rPr>
          <w:noProof/>
        </w:rPr>
        <w:t xml:space="preserve">for antimicrobial prescriptions </w:t>
      </w:r>
      <w:r w:rsidR="00CF5232">
        <w:t>(2016 and 2017)*</w:t>
      </w:r>
      <w:r w:rsidRPr="00A8356E">
        <w:t xml:space="preserve"> </w:t>
      </w:r>
    </w:p>
    <w:p w:rsidR="005E32BF" w:rsidRPr="00A8356E" w:rsidRDefault="002B622A" w:rsidP="009D44F5">
      <w:pPr>
        <w:pStyle w:val="FigureTitle"/>
        <w:rPr>
          <w:noProof/>
        </w:rPr>
      </w:pPr>
      <w:r>
        <w:rPr>
          <w:noProof/>
        </w:rPr>
        <w:drawing>
          <wp:inline distT="0" distB="0" distL="0" distR="0" wp14:anchorId="68E57BA8" wp14:editId="46C5BD10">
            <wp:extent cx="5029201" cy="4638675"/>
            <wp:effectExtent l="0" t="0" r="19050"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F5232" w:rsidRPr="00CF5232" w:rsidRDefault="00CF5232" w:rsidP="00CF5232">
      <w:pPr>
        <w:pStyle w:val="FigureTitle"/>
        <w:rPr>
          <w:b w:val="0"/>
          <w:sz w:val="16"/>
          <w:szCs w:val="16"/>
        </w:rPr>
      </w:pPr>
      <w:bookmarkStart w:id="72" w:name="_Toc477183316"/>
      <w:r w:rsidRPr="00CF5232">
        <w:rPr>
          <w:b w:val="0"/>
          <w:sz w:val="16"/>
          <w:szCs w:val="16"/>
        </w:rPr>
        <w:t xml:space="preserve">*Indications categorised by surveyors as ‘Other’ are not included (2017, </w:t>
      </w:r>
      <w:r w:rsidRPr="00492FB8">
        <w:rPr>
          <w:b w:val="0"/>
          <w:i/>
          <w:sz w:val="16"/>
          <w:szCs w:val="16"/>
        </w:rPr>
        <w:t>n</w:t>
      </w:r>
      <w:r>
        <w:rPr>
          <w:b w:val="0"/>
          <w:sz w:val="16"/>
          <w:szCs w:val="16"/>
        </w:rPr>
        <w:t xml:space="preserve">=205 and 2016, </w:t>
      </w:r>
      <w:r w:rsidRPr="00492FB8">
        <w:rPr>
          <w:b w:val="0"/>
          <w:i/>
          <w:sz w:val="16"/>
          <w:szCs w:val="16"/>
        </w:rPr>
        <w:t>n</w:t>
      </w:r>
      <w:r>
        <w:rPr>
          <w:b w:val="0"/>
          <w:sz w:val="16"/>
          <w:szCs w:val="16"/>
        </w:rPr>
        <w:t>= 271</w:t>
      </w:r>
      <w:r w:rsidRPr="00CF5232">
        <w:rPr>
          <w:b w:val="0"/>
          <w:sz w:val="16"/>
          <w:szCs w:val="16"/>
        </w:rPr>
        <w:t>)</w:t>
      </w:r>
    </w:p>
    <w:p w:rsidR="00557D08" w:rsidRPr="00CF5232" w:rsidRDefault="00557D08" w:rsidP="00CF5232">
      <w:pPr>
        <w:pStyle w:val="FigureTitle"/>
        <w:rPr>
          <w:b w:val="0"/>
          <w:sz w:val="16"/>
          <w:szCs w:val="16"/>
        </w:rPr>
      </w:pPr>
      <w:r w:rsidRPr="00CF5232">
        <w:rPr>
          <w:b w:val="0"/>
          <w:sz w:val="16"/>
          <w:szCs w:val="16"/>
        </w:rPr>
        <w:t>Note: LRTI = lower respiratory tract infection; COPD = chronic obstructive pulmonary disease; Ulcers include pressure, venous and arterial ulcers</w:t>
      </w:r>
      <w:r w:rsidR="00406186">
        <w:rPr>
          <w:b w:val="0"/>
          <w:sz w:val="16"/>
          <w:szCs w:val="16"/>
        </w:rPr>
        <w:t>; UTI = urinary tract infection</w:t>
      </w:r>
    </w:p>
    <w:p w:rsidR="008A7915" w:rsidRDefault="008A7915">
      <w:pPr>
        <w:spacing w:after="80"/>
      </w:pPr>
      <w:r>
        <w:br w:type="page"/>
      </w:r>
    </w:p>
    <w:p w:rsidR="00557D08" w:rsidRPr="003F1FB7" w:rsidRDefault="00557D08" w:rsidP="003F1FB7">
      <w:r w:rsidRPr="00570E98">
        <w:lastRenderedPageBreak/>
        <w:t xml:space="preserve">In 2017, </w:t>
      </w:r>
      <w:r w:rsidR="00151F9D">
        <w:t xml:space="preserve">cystitis </w:t>
      </w:r>
      <w:r w:rsidRPr="00570E98">
        <w:t>w</w:t>
      </w:r>
      <w:r w:rsidR="00151F9D">
        <w:t>as</w:t>
      </w:r>
      <w:r w:rsidRPr="00570E98">
        <w:t xml:space="preserve"> the most common reason for </w:t>
      </w:r>
      <w:r w:rsidR="006C6338">
        <w:t xml:space="preserve">prescribing antimicrobials for </w:t>
      </w:r>
      <w:r w:rsidRPr="00570E98">
        <w:t xml:space="preserve">prophylactic use </w:t>
      </w:r>
      <w:r w:rsidR="0039630F">
        <w:t>(</w:t>
      </w:r>
      <w:r w:rsidR="00A978D9" w:rsidRPr="00492FB8">
        <w:rPr>
          <w:i/>
        </w:rPr>
        <w:t>n</w:t>
      </w:r>
      <w:r w:rsidR="00A978D9" w:rsidRPr="00570E98">
        <w:t>=104</w:t>
      </w:r>
      <w:r w:rsidR="00A978D9">
        <w:t xml:space="preserve">, </w:t>
      </w:r>
      <w:r w:rsidR="006F2E4D">
        <w:t>29.2</w:t>
      </w:r>
      <w:r w:rsidRPr="00570E98">
        <w:t>%)</w:t>
      </w:r>
      <w:r w:rsidR="00174528">
        <w:t xml:space="preserve"> </w:t>
      </w:r>
      <w:proofErr w:type="gramStart"/>
      <w:r w:rsidRPr="00570E98">
        <w:t>(Figure 4).</w:t>
      </w:r>
      <w:proofErr w:type="gramEnd"/>
    </w:p>
    <w:p w:rsidR="00557D08" w:rsidRDefault="00557D08" w:rsidP="00797693">
      <w:pPr>
        <w:pStyle w:val="FigureTitle"/>
      </w:pPr>
      <w:r w:rsidRPr="00797693">
        <w:t>Figure 4</w:t>
      </w:r>
      <w:r w:rsidR="009D44F5" w:rsidRPr="00797693">
        <w:t xml:space="preserve">: </w:t>
      </w:r>
      <w:r w:rsidRPr="00797693">
        <w:t>Most common prophylactic indications</w:t>
      </w:r>
      <w:bookmarkEnd w:id="72"/>
      <w:r w:rsidRPr="00797693">
        <w:t xml:space="preserve"> </w:t>
      </w:r>
      <w:r w:rsidR="00A978D9">
        <w:t>for antimicrobial prescriptions</w:t>
      </w:r>
      <w:r w:rsidR="00834E5E">
        <w:t>,</w:t>
      </w:r>
      <w:r w:rsidR="00A978D9">
        <w:t xml:space="preserve"> </w:t>
      </w:r>
      <w:r w:rsidRPr="00797693">
        <w:t>2016 and 2017</w:t>
      </w:r>
      <w:r w:rsidR="00834E5E">
        <w:t>*</w:t>
      </w:r>
    </w:p>
    <w:p w:rsidR="00927E8E" w:rsidRDefault="00927E8E" w:rsidP="00797693">
      <w:pPr>
        <w:pStyle w:val="FigureTitle"/>
      </w:pPr>
      <w:r>
        <w:rPr>
          <w:noProof/>
        </w:rPr>
        <w:drawing>
          <wp:inline distT="0" distB="0" distL="0" distR="0" wp14:anchorId="2AF2F145" wp14:editId="451EB178">
            <wp:extent cx="4791075" cy="4529137"/>
            <wp:effectExtent l="0" t="0" r="9525" b="2413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F5232" w:rsidRPr="00CF5232" w:rsidRDefault="00CF5232" w:rsidP="00CF5232">
      <w:pPr>
        <w:pStyle w:val="FigureTitle"/>
        <w:rPr>
          <w:b w:val="0"/>
          <w:sz w:val="16"/>
          <w:szCs w:val="16"/>
        </w:rPr>
      </w:pPr>
      <w:r w:rsidRPr="00CF5232">
        <w:rPr>
          <w:b w:val="0"/>
          <w:sz w:val="16"/>
          <w:szCs w:val="16"/>
        </w:rPr>
        <w:t>*Indications categorised by surveyors as ‘Other’ are not include</w:t>
      </w:r>
      <w:r>
        <w:rPr>
          <w:b w:val="0"/>
          <w:sz w:val="16"/>
          <w:szCs w:val="16"/>
        </w:rPr>
        <w:t>d (2017</w:t>
      </w:r>
      <w:r w:rsidRPr="00CF5232">
        <w:rPr>
          <w:b w:val="0"/>
          <w:sz w:val="16"/>
          <w:szCs w:val="16"/>
        </w:rPr>
        <w:t xml:space="preserve">, </w:t>
      </w:r>
      <w:r w:rsidRPr="00492FB8">
        <w:rPr>
          <w:b w:val="0"/>
          <w:i/>
          <w:sz w:val="16"/>
          <w:szCs w:val="16"/>
        </w:rPr>
        <w:t>n</w:t>
      </w:r>
      <w:r w:rsidRPr="00CF5232">
        <w:rPr>
          <w:b w:val="0"/>
          <w:sz w:val="16"/>
          <w:szCs w:val="16"/>
        </w:rPr>
        <w:t>=</w:t>
      </w:r>
      <w:r>
        <w:rPr>
          <w:b w:val="0"/>
          <w:sz w:val="16"/>
          <w:szCs w:val="16"/>
        </w:rPr>
        <w:t>99</w:t>
      </w:r>
      <w:r w:rsidRPr="00CF5232">
        <w:rPr>
          <w:b w:val="0"/>
          <w:sz w:val="16"/>
          <w:szCs w:val="16"/>
        </w:rPr>
        <w:t xml:space="preserve"> and 2016, </w:t>
      </w:r>
      <w:r w:rsidRPr="00492FB8">
        <w:rPr>
          <w:b w:val="0"/>
          <w:i/>
          <w:sz w:val="16"/>
          <w:szCs w:val="16"/>
        </w:rPr>
        <w:t>n</w:t>
      </w:r>
      <w:r w:rsidRPr="00CF5232">
        <w:rPr>
          <w:b w:val="0"/>
          <w:sz w:val="16"/>
          <w:szCs w:val="16"/>
        </w:rPr>
        <w:t xml:space="preserve">= </w:t>
      </w:r>
      <w:r>
        <w:rPr>
          <w:b w:val="0"/>
          <w:sz w:val="16"/>
          <w:szCs w:val="16"/>
        </w:rPr>
        <w:t>10</w:t>
      </w:r>
      <w:r w:rsidRPr="00CF5232">
        <w:rPr>
          <w:b w:val="0"/>
          <w:sz w:val="16"/>
          <w:szCs w:val="16"/>
        </w:rPr>
        <w:t>1)</w:t>
      </w:r>
    </w:p>
    <w:p w:rsidR="001A39EC" w:rsidRPr="00CF5232" w:rsidRDefault="00557D08" w:rsidP="00CF5232">
      <w:pPr>
        <w:pStyle w:val="FigureTitle"/>
        <w:rPr>
          <w:b w:val="0"/>
          <w:sz w:val="16"/>
          <w:szCs w:val="16"/>
        </w:rPr>
      </w:pPr>
      <w:r w:rsidRPr="00CF5232">
        <w:rPr>
          <w:b w:val="0"/>
          <w:sz w:val="16"/>
          <w:szCs w:val="16"/>
        </w:rPr>
        <w:t>Note: LRTI = lower respiratory tract infection; COPD = chronic obstructive pulmonary disease</w:t>
      </w:r>
      <w:bookmarkStart w:id="73" w:name="_Toc513125593"/>
      <w:bookmarkStart w:id="74" w:name="_Toc476731087"/>
      <w:bookmarkStart w:id="75" w:name="_Toc476731155"/>
    </w:p>
    <w:p w:rsidR="00557D08" w:rsidRPr="009D44F5" w:rsidRDefault="00557D08" w:rsidP="001A39EC">
      <w:pPr>
        <w:pStyle w:val="Heading3"/>
      </w:pPr>
      <w:r w:rsidRPr="009D44F5">
        <w:t>Microbiology, urinary investigations and infection signs and/or symptoms</w:t>
      </w:r>
      <w:bookmarkEnd w:id="73"/>
      <w:r w:rsidRPr="009D44F5">
        <w:t xml:space="preserve"> </w:t>
      </w:r>
    </w:p>
    <w:p w:rsidR="003536F1" w:rsidRDefault="00174528" w:rsidP="009D44F5">
      <w:r>
        <w:t>A</w:t>
      </w:r>
      <w:r w:rsidR="007D0DD8" w:rsidRPr="007D0DD8">
        <w:t xml:space="preserve">dditional information was collected about microbiology results, urinary investigations and catheter devices, and the presence of signs and/or symptoms </w:t>
      </w:r>
      <w:r w:rsidR="004C2221">
        <w:t>of a suspected infection</w:t>
      </w:r>
      <w:r w:rsidR="00747255">
        <w:t xml:space="preserve"> for all residents who were prescribed an antimicrobial</w:t>
      </w:r>
      <w:r>
        <w:t xml:space="preserve">. </w:t>
      </w:r>
      <w:r w:rsidR="00747255">
        <w:t>O</w:t>
      </w:r>
      <w:r w:rsidR="00557D08" w:rsidRPr="00536167">
        <w:t>f the total 1,231 antimicrobial prescriptions</w:t>
      </w:r>
      <w:r w:rsidR="00747255">
        <w:t xml:space="preserve"> in 2017, </w:t>
      </w:r>
      <w:r w:rsidR="00747255" w:rsidRPr="00747255">
        <w:t>850 (69.0%)</w:t>
      </w:r>
      <w:r w:rsidR="00747255">
        <w:t xml:space="preserve"> had a start date documented that was less than six months prior to the survey day</w:t>
      </w:r>
      <w:r w:rsidR="00557D08" w:rsidRPr="00536167">
        <w:t xml:space="preserve">. </w:t>
      </w:r>
      <w:bookmarkEnd w:id="74"/>
      <w:bookmarkEnd w:id="75"/>
    </w:p>
    <w:p w:rsidR="00557D08" w:rsidRPr="003237DD" w:rsidRDefault="00557D08" w:rsidP="009D44F5">
      <w:r w:rsidRPr="00536167">
        <w:t xml:space="preserve">A microbiological sample was collected for </w:t>
      </w:r>
      <w:r w:rsidRPr="00570E98">
        <w:t>15.6% (</w:t>
      </w:r>
      <w:r w:rsidRPr="00492FB8">
        <w:rPr>
          <w:i/>
        </w:rPr>
        <w:t>n</w:t>
      </w:r>
      <w:r w:rsidRPr="00570E98">
        <w:t>=133) of</w:t>
      </w:r>
      <w:r w:rsidRPr="00536167">
        <w:t xml:space="preserve"> </w:t>
      </w:r>
      <w:r>
        <w:t xml:space="preserve">the 850 </w:t>
      </w:r>
      <w:r w:rsidRPr="00536167">
        <w:t xml:space="preserve">prescriptions within the week prior to the antimicrobial start date. </w:t>
      </w:r>
      <w:r w:rsidRPr="00B91E60">
        <w:t>Specimens were most frequently collected for systemic (</w:t>
      </w:r>
      <w:r w:rsidRPr="00492FB8">
        <w:rPr>
          <w:i/>
        </w:rPr>
        <w:t>n</w:t>
      </w:r>
      <w:r w:rsidRPr="00B91E60">
        <w:t>=2, 40.0%) and urinary tract infections (</w:t>
      </w:r>
      <w:r w:rsidRPr="00492FB8">
        <w:rPr>
          <w:i/>
        </w:rPr>
        <w:t>n</w:t>
      </w:r>
      <w:r w:rsidRPr="00B91E60">
        <w:t xml:space="preserve">=80, 39.9%) </w:t>
      </w:r>
      <w:proofErr w:type="gramStart"/>
      <w:r w:rsidRPr="00B91E60">
        <w:t>(Figure 5).</w:t>
      </w:r>
      <w:proofErr w:type="gramEnd"/>
      <w:r w:rsidRPr="009957B9">
        <w:t xml:space="preserve">  </w:t>
      </w:r>
    </w:p>
    <w:p w:rsidR="007D0DD8" w:rsidRDefault="007D0DD8">
      <w:pPr>
        <w:spacing w:after="80"/>
        <w:rPr>
          <w:b/>
        </w:rPr>
      </w:pPr>
      <w:bookmarkStart w:id="76" w:name="_Toc476731088"/>
      <w:bookmarkStart w:id="77" w:name="_Toc476731156"/>
      <w:r>
        <w:br w:type="page"/>
      </w:r>
    </w:p>
    <w:p w:rsidR="00557D08" w:rsidRPr="007D0DD8" w:rsidRDefault="00557D08" w:rsidP="00797693">
      <w:pPr>
        <w:pStyle w:val="FigureTitle"/>
        <w:rPr>
          <w:vertAlign w:val="superscript"/>
        </w:rPr>
      </w:pPr>
      <w:r w:rsidRPr="00797693">
        <w:lastRenderedPageBreak/>
        <w:t>Figure 5</w:t>
      </w:r>
      <w:r w:rsidR="009D44F5" w:rsidRPr="00797693">
        <w:t xml:space="preserve">: </w:t>
      </w:r>
      <w:r w:rsidRPr="00797693">
        <w:t>Percentage of antimicrobial prescriptions that had microbiological samples taken, by body system, acNAPS contributors, 2017*</w:t>
      </w:r>
      <w:r w:rsidR="007D0DD8" w:rsidRPr="007D0DD8">
        <w:rPr>
          <w:vertAlign w:val="superscript"/>
        </w:rPr>
        <w:t>†</w:t>
      </w:r>
    </w:p>
    <w:p w:rsidR="00557D08" w:rsidRDefault="00557D08" w:rsidP="00557D08">
      <w:pPr>
        <w:spacing w:after="0"/>
        <w:jc w:val="center"/>
      </w:pPr>
      <w:r w:rsidRPr="008C1801">
        <w:rPr>
          <w:noProof/>
        </w:rPr>
        <w:drawing>
          <wp:inline distT="0" distB="0" distL="0" distR="0" wp14:anchorId="458B146C" wp14:editId="039B462F">
            <wp:extent cx="5048250" cy="5144493"/>
            <wp:effectExtent l="0" t="0" r="19050" b="1841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57D08" w:rsidRPr="007D0DD8" w:rsidRDefault="00557D08" w:rsidP="009D44F5">
      <w:pPr>
        <w:pStyle w:val="Normal-beforebullets"/>
        <w:rPr>
          <w:sz w:val="20"/>
          <w:szCs w:val="20"/>
        </w:rPr>
      </w:pPr>
      <w:r w:rsidRPr="007D0DD8">
        <w:rPr>
          <w:sz w:val="20"/>
          <w:szCs w:val="20"/>
        </w:rPr>
        <w:t>*The number of prescriptions is displayed next to the name of each body system</w:t>
      </w:r>
    </w:p>
    <w:p w:rsidR="00557D08" w:rsidRPr="007D0DD8" w:rsidRDefault="007D0DD8" w:rsidP="009D44F5">
      <w:pPr>
        <w:pStyle w:val="Normal-beforebullets"/>
        <w:rPr>
          <w:sz w:val="20"/>
          <w:szCs w:val="20"/>
        </w:rPr>
      </w:pPr>
      <w:r w:rsidRPr="007D0DD8">
        <w:rPr>
          <w:sz w:val="20"/>
          <w:szCs w:val="20"/>
        </w:rPr>
        <w:t>†</w:t>
      </w:r>
      <w:r w:rsidR="00557D08" w:rsidRPr="007D0DD8">
        <w:rPr>
          <w:sz w:val="20"/>
          <w:szCs w:val="20"/>
        </w:rPr>
        <w:t xml:space="preserve">Body system as per the indication specified for commencing the antimicrobial </w:t>
      </w:r>
    </w:p>
    <w:bookmarkEnd w:id="76"/>
    <w:bookmarkEnd w:id="77"/>
    <w:p w:rsidR="00557D08" w:rsidRPr="00862A09" w:rsidRDefault="00557D08" w:rsidP="00557D08">
      <w:pPr>
        <w:spacing w:after="0"/>
        <w:rPr>
          <w:rFonts w:ascii="Arial" w:hAnsi="Arial" w:cs="Arial"/>
          <w:b/>
          <w:color w:val="1178A2" w:themeColor="accent1"/>
          <w:sz w:val="28"/>
          <w:szCs w:val="28"/>
        </w:rPr>
      </w:pPr>
    </w:p>
    <w:p w:rsidR="00562D29" w:rsidRDefault="00A2448E" w:rsidP="009D44F5">
      <w:r>
        <w:t>In 2017, j</w:t>
      </w:r>
      <w:r w:rsidR="007D413B" w:rsidRPr="00B370EA">
        <w:t>ust under one-half</w:t>
      </w:r>
      <w:r w:rsidR="00557D08" w:rsidRPr="00B370EA">
        <w:t xml:space="preserve"> </w:t>
      </w:r>
      <w:r w:rsidR="00B370EA" w:rsidRPr="00B370EA">
        <w:t>(</w:t>
      </w:r>
      <w:r w:rsidR="00B370EA" w:rsidRPr="00492FB8">
        <w:rPr>
          <w:i/>
        </w:rPr>
        <w:t>n</w:t>
      </w:r>
      <w:r w:rsidR="00B370EA" w:rsidRPr="00B370EA">
        <w:t xml:space="preserve">=513, 44.8%) </w:t>
      </w:r>
      <w:r w:rsidR="00557D08" w:rsidRPr="00B370EA">
        <w:t xml:space="preserve">of </w:t>
      </w:r>
      <w:r w:rsidR="00C23553" w:rsidRPr="00B370EA">
        <w:t xml:space="preserve">antimicrobial </w:t>
      </w:r>
      <w:r w:rsidR="00557D08" w:rsidRPr="00B370EA">
        <w:t xml:space="preserve">prescriptions were for residents who had signs and/or symptoms </w:t>
      </w:r>
      <w:r w:rsidR="007F4FE7" w:rsidRPr="00B370EA">
        <w:t xml:space="preserve">of a suspected infection </w:t>
      </w:r>
      <w:r w:rsidR="00557D08" w:rsidRPr="00B370EA">
        <w:t xml:space="preserve">in the week prior to the antimicrobial start date. Forty percent of these infections were classified as </w:t>
      </w:r>
      <w:r w:rsidR="007D0DD8" w:rsidRPr="00B370EA">
        <w:t>aged care home-</w:t>
      </w:r>
      <w:r w:rsidR="00557D08" w:rsidRPr="00B370EA">
        <w:t>associated</w:t>
      </w:r>
      <w:r w:rsidR="007D0DD8" w:rsidRPr="00B370EA">
        <w:t>,</w:t>
      </w:r>
      <w:r w:rsidR="00557D08" w:rsidRPr="00B370EA">
        <w:t xml:space="preserve"> and</w:t>
      </w:r>
      <w:r>
        <w:t xml:space="preserve"> </w:t>
      </w:r>
      <w:r w:rsidR="00747255">
        <w:t xml:space="preserve">only </w:t>
      </w:r>
      <w:r w:rsidR="00557D08" w:rsidRPr="00B370EA">
        <w:t>18.4%</w:t>
      </w:r>
      <w:r w:rsidR="00557D08" w:rsidRPr="00570E98">
        <w:t xml:space="preserve"> (</w:t>
      </w:r>
      <w:r w:rsidR="00557D08" w:rsidRPr="00492FB8">
        <w:rPr>
          <w:i/>
        </w:rPr>
        <w:t>n</w:t>
      </w:r>
      <w:r w:rsidR="00557D08" w:rsidRPr="00570E98">
        <w:t xml:space="preserve">=211) met the </w:t>
      </w:r>
      <w:proofErr w:type="spellStart"/>
      <w:r w:rsidR="00557D08" w:rsidRPr="00570E98">
        <w:t>McGeer</w:t>
      </w:r>
      <w:proofErr w:type="spellEnd"/>
      <w:r w:rsidR="00557D08" w:rsidRPr="00570E98">
        <w:t xml:space="preserve"> </w:t>
      </w:r>
      <w:r w:rsidR="00557D08" w:rsidRPr="00570E98">
        <w:rPr>
          <w:i/>
        </w:rPr>
        <w:t>et al</w:t>
      </w:r>
      <w:r w:rsidR="00557D08" w:rsidRPr="00570E98">
        <w:t xml:space="preserve"> infection criteria. </w:t>
      </w:r>
      <w:r w:rsidR="00747255">
        <w:t xml:space="preserve">This is </w:t>
      </w:r>
      <w:r w:rsidR="00562D29">
        <w:t xml:space="preserve">a reduction of </w:t>
      </w:r>
      <w:r w:rsidR="00747255">
        <w:t xml:space="preserve">approximately </w:t>
      </w:r>
      <w:r w:rsidR="00562D29">
        <w:t>50% compared with 2016</w:t>
      </w:r>
      <w:r w:rsidR="00423559">
        <w:t>,</w:t>
      </w:r>
      <w:r w:rsidR="00562D29">
        <w:t xml:space="preserve"> when 36.5% of</w:t>
      </w:r>
      <w:r w:rsidR="00747255">
        <w:t xml:space="preserve"> antimicrobial prescriptions </w:t>
      </w:r>
      <w:r w:rsidR="00562D29">
        <w:t xml:space="preserve">were </w:t>
      </w:r>
      <w:r w:rsidR="00747255">
        <w:t xml:space="preserve">for residents </w:t>
      </w:r>
      <w:r w:rsidR="00562D29">
        <w:t xml:space="preserve">who had signs and/or </w:t>
      </w:r>
      <w:r w:rsidR="00562D29" w:rsidRPr="00562D29">
        <w:t xml:space="preserve">symptoms of a suspected infection in the week prior to the antimicrobial start date </w:t>
      </w:r>
      <w:r w:rsidR="00562D29">
        <w:t xml:space="preserve">that met the </w:t>
      </w:r>
      <w:proofErr w:type="spellStart"/>
      <w:r w:rsidR="00562D29" w:rsidRPr="00570E98">
        <w:t>McGeer</w:t>
      </w:r>
      <w:proofErr w:type="spellEnd"/>
      <w:r w:rsidR="00562D29" w:rsidRPr="00570E98">
        <w:t xml:space="preserve"> </w:t>
      </w:r>
      <w:r w:rsidR="00562D29" w:rsidRPr="00570E98">
        <w:rPr>
          <w:i/>
        </w:rPr>
        <w:t>et al</w:t>
      </w:r>
      <w:r w:rsidR="00562D29" w:rsidRPr="00570E98">
        <w:t xml:space="preserve"> infection criteria</w:t>
      </w:r>
      <w:r w:rsidR="00562D29">
        <w:t>.</w:t>
      </w:r>
      <w:r w:rsidR="00834E5E">
        <w:t xml:space="preserve"> </w:t>
      </w:r>
      <w:r w:rsidR="00834E5E" w:rsidRPr="00834E5E">
        <w:t xml:space="preserve">It is </w:t>
      </w:r>
      <w:r w:rsidR="00834E5E">
        <w:t xml:space="preserve">not known why </w:t>
      </w:r>
      <w:r w:rsidR="00834E5E" w:rsidRPr="00834E5E">
        <w:t xml:space="preserve">there was </w:t>
      </w:r>
      <w:r w:rsidR="00834E5E">
        <w:t>such a large</w:t>
      </w:r>
      <w:r w:rsidR="00834E5E" w:rsidRPr="00834E5E">
        <w:t xml:space="preserve"> decrease between 2016 and 2017</w:t>
      </w:r>
      <w:r w:rsidR="00AF18A8">
        <w:t xml:space="preserve"> in classification of infections; there was no change in the criteria</w:t>
      </w:r>
      <w:r w:rsidR="00834E5E" w:rsidRPr="00834E5E">
        <w:t>.</w:t>
      </w:r>
    </w:p>
    <w:p w:rsidR="00557D08" w:rsidRDefault="00562D29" w:rsidP="009D44F5">
      <w:r>
        <w:t>In 2017,</w:t>
      </w:r>
      <w:r w:rsidRPr="00570E98">
        <w:t xml:space="preserve"> </w:t>
      </w:r>
      <w:r>
        <w:t>c</w:t>
      </w:r>
      <w:r w:rsidR="00557D08" w:rsidRPr="00570E98">
        <w:t xml:space="preserve">ompliance with the </w:t>
      </w:r>
      <w:proofErr w:type="spellStart"/>
      <w:r w:rsidR="00557D08" w:rsidRPr="00570E98">
        <w:t>McGeer</w:t>
      </w:r>
      <w:proofErr w:type="spellEnd"/>
      <w:r w:rsidR="00557D08" w:rsidRPr="00570E98">
        <w:t xml:space="preserve"> </w:t>
      </w:r>
      <w:r w:rsidR="00557D08" w:rsidRPr="00570E98">
        <w:rPr>
          <w:i/>
        </w:rPr>
        <w:t>et al</w:t>
      </w:r>
      <w:r w:rsidR="00557D08" w:rsidRPr="00570E98">
        <w:t xml:space="preserve"> infection criteria was highest for eye (</w:t>
      </w:r>
      <w:r w:rsidR="00557D08" w:rsidRPr="00492FB8">
        <w:rPr>
          <w:i/>
        </w:rPr>
        <w:t>n</w:t>
      </w:r>
      <w:r w:rsidR="00557D08" w:rsidRPr="00570E98">
        <w:t>=34, 46.6%) and respiratory i</w:t>
      </w:r>
      <w:r w:rsidR="003A3B91">
        <w:t>nfections (</w:t>
      </w:r>
      <w:r w:rsidR="003A3B91" w:rsidRPr="00492FB8">
        <w:rPr>
          <w:i/>
        </w:rPr>
        <w:t>n</w:t>
      </w:r>
      <w:r w:rsidR="003A3B91">
        <w:t xml:space="preserve">=62, 29.1%) </w:t>
      </w:r>
      <w:proofErr w:type="gramStart"/>
      <w:r w:rsidR="003A3B91">
        <w:t>(Table 10</w:t>
      </w:r>
      <w:r w:rsidR="00557D08" w:rsidRPr="00570E98">
        <w:t>).</w:t>
      </w:r>
      <w:proofErr w:type="gramEnd"/>
    </w:p>
    <w:p w:rsidR="00557D08" w:rsidRDefault="00557D08" w:rsidP="00557D08">
      <w:pPr>
        <w:rPr>
          <w:rFonts w:ascii="Arial" w:hAnsi="Arial" w:cs="Arial"/>
          <w:b/>
          <w:bCs/>
          <w:sz w:val="24"/>
          <w:szCs w:val="24"/>
        </w:rPr>
      </w:pPr>
      <w:bookmarkStart w:id="78" w:name="_Toc471808077"/>
      <w:bookmarkStart w:id="79" w:name="_Toc477183310"/>
      <w:r>
        <w:rPr>
          <w:rFonts w:ascii="Arial" w:hAnsi="Arial" w:cs="Arial"/>
          <w:sz w:val="24"/>
          <w:szCs w:val="24"/>
        </w:rPr>
        <w:br w:type="page"/>
      </w:r>
    </w:p>
    <w:p w:rsidR="00557D08" w:rsidRPr="00797693" w:rsidRDefault="003A3B91" w:rsidP="00797693">
      <w:pPr>
        <w:pStyle w:val="FigureTitle"/>
      </w:pPr>
      <w:r>
        <w:lastRenderedPageBreak/>
        <w:t>Table 10</w:t>
      </w:r>
      <w:r w:rsidR="009D44F5" w:rsidRPr="00797693">
        <w:t xml:space="preserve">: </w:t>
      </w:r>
      <w:r w:rsidR="00557D08" w:rsidRPr="00797693">
        <w:t xml:space="preserve">Number and percentage of antimicrobial prescriptions where infection signs and/or symptoms were recorded and </w:t>
      </w:r>
      <w:proofErr w:type="spellStart"/>
      <w:r w:rsidR="00557D08" w:rsidRPr="00797693">
        <w:t>McGeer</w:t>
      </w:r>
      <w:proofErr w:type="spellEnd"/>
      <w:r w:rsidR="00557D08" w:rsidRPr="00797693">
        <w:t xml:space="preserve"> et al criteria were met, by body system</w:t>
      </w:r>
      <w:bookmarkEnd w:id="78"/>
      <w:bookmarkEnd w:id="79"/>
      <w:r w:rsidR="00557D08" w:rsidRPr="00797693">
        <w:t xml:space="preserve"> (2017)*</w:t>
      </w:r>
      <w:r w:rsidR="00557D08" w:rsidRPr="007D0DD8">
        <w:rPr>
          <w:vertAlign w:val="superscript"/>
        </w:rPr>
        <w:t>†</w:t>
      </w:r>
      <w:r w:rsidR="00557D08" w:rsidRPr="00797693">
        <w:t xml:space="preserve">  </w:t>
      </w:r>
    </w:p>
    <w:tbl>
      <w:tblPr>
        <w:tblStyle w:val="TableGridLight1"/>
        <w:tblW w:w="9606" w:type="dxa"/>
        <w:tblLayout w:type="fixed"/>
        <w:tblLook w:val="04A0" w:firstRow="1" w:lastRow="0" w:firstColumn="1" w:lastColumn="0" w:noHBand="0" w:noVBand="1"/>
      </w:tblPr>
      <w:tblGrid>
        <w:gridCol w:w="2405"/>
        <w:gridCol w:w="1672"/>
        <w:gridCol w:w="921"/>
        <w:gridCol w:w="922"/>
        <w:gridCol w:w="921"/>
        <w:gridCol w:w="922"/>
        <w:gridCol w:w="921"/>
        <w:gridCol w:w="922"/>
      </w:tblGrid>
      <w:tr w:rsidR="00557D08" w:rsidRPr="00AC1DB7" w:rsidTr="00E32B78">
        <w:trPr>
          <w:trHeight w:val="283"/>
        </w:trPr>
        <w:tc>
          <w:tcPr>
            <w:tcW w:w="2405" w:type="dxa"/>
            <w:vMerge w:val="restart"/>
            <w:vAlign w:val="center"/>
            <w:hideMark/>
          </w:tcPr>
          <w:p w:rsidR="00557D08" w:rsidRPr="007D0DD8" w:rsidRDefault="00557D08" w:rsidP="00ED1E21">
            <w:pPr>
              <w:pStyle w:val="Normal-beforebullets"/>
              <w:rPr>
                <w:b/>
                <w:lang w:eastAsia="en-AU"/>
              </w:rPr>
            </w:pPr>
            <w:r w:rsidRPr="007D0DD8">
              <w:rPr>
                <w:b/>
                <w:lang w:eastAsia="en-AU"/>
              </w:rPr>
              <w:t>Body system</w:t>
            </w:r>
          </w:p>
        </w:tc>
        <w:tc>
          <w:tcPr>
            <w:tcW w:w="1672" w:type="dxa"/>
            <w:vMerge w:val="restart"/>
            <w:vAlign w:val="center"/>
          </w:tcPr>
          <w:p w:rsidR="00557D08" w:rsidRPr="007D0DD8" w:rsidRDefault="00557D08" w:rsidP="00ED1E21">
            <w:pPr>
              <w:pStyle w:val="Normal-beforebullets"/>
              <w:jc w:val="center"/>
              <w:rPr>
                <w:b/>
                <w:lang w:eastAsia="en-AU"/>
              </w:rPr>
            </w:pPr>
            <w:r w:rsidRPr="007D0DD8">
              <w:rPr>
                <w:b/>
                <w:lang w:eastAsia="en-AU"/>
              </w:rPr>
              <w:t>No. of prescriptions</w:t>
            </w:r>
          </w:p>
        </w:tc>
        <w:tc>
          <w:tcPr>
            <w:tcW w:w="1843" w:type="dxa"/>
            <w:gridSpan w:val="2"/>
            <w:vAlign w:val="center"/>
            <w:hideMark/>
          </w:tcPr>
          <w:p w:rsidR="00557D08" w:rsidRPr="007D0DD8" w:rsidRDefault="00557D08" w:rsidP="00ED1E21">
            <w:pPr>
              <w:pStyle w:val="Normal-beforebullets"/>
              <w:jc w:val="center"/>
              <w:rPr>
                <w:b/>
                <w:lang w:eastAsia="en-AU"/>
              </w:rPr>
            </w:pPr>
            <w:r w:rsidRPr="007D0DD8">
              <w:rPr>
                <w:b/>
                <w:lang w:eastAsia="en-AU"/>
              </w:rPr>
              <w:t>With signs and symptoms of infection</w:t>
            </w:r>
          </w:p>
        </w:tc>
        <w:tc>
          <w:tcPr>
            <w:tcW w:w="1843" w:type="dxa"/>
            <w:gridSpan w:val="2"/>
            <w:vAlign w:val="center"/>
            <w:hideMark/>
          </w:tcPr>
          <w:p w:rsidR="00557D08" w:rsidRPr="007D0DD8" w:rsidRDefault="00557D08" w:rsidP="00ED1E21">
            <w:pPr>
              <w:pStyle w:val="Normal-beforebullets"/>
              <w:jc w:val="center"/>
              <w:rPr>
                <w:b/>
                <w:lang w:eastAsia="en-AU"/>
              </w:rPr>
            </w:pPr>
            <w:r w:rsidRPr="007D0DD8">
              <w:rPr>
                <w:b/>
                <w:lang w:eastAsia="en-AU"/>
              </w:rPr>
              <w:t>ACH-associated suspected infections</w:t>
            </w:r>
            <w:r w:rsidR="008229F3" w:rsidRPr="008229F3">
              <w:rPr>
                <w:b/>
                <w:vertAlign w:val="superscript"/>
                <w:lang w:eastAsia="en-AU"/>
              </w:rPr>
              <w:t>§</w:t>
            </w:r>
          </w:p>
        </w:tc>
        <w:tc>
          <w:tcPr>
            <w:tcW w:w="1843" w:type="dxa"/>
            <w:gridSpan w:val="2"/>
            <w:vAlign w:val="center"/>
            <w:hideMark/>
          </w:tcPr>
          <w:p w:rsidR="00557D08" w:rsidRPr="007D0DD8" w:rsidRDefault="00557D08" w:rsidP="00ED1E21">
            <w:pPr>
              <w:pStyle w:val="Normal-beforebullets"/>
              <w:jc w:val="center"/>
              <w:rPr>
                <w:b/>
                <w:lang w:eastAsia="en-AU"/>
              </w:rPr>
            </w:pPr>
            <w:r w:rsidRPr="007D0DD8">
              <w:rPr>
                <w:b/>
                <w:lang w:eastAsia="en-AU"/>
              </w:rPr>
              <w:t xml:space="preserve">Infections that met </w:t>
            </w:r>
            <w:proofErr w:type="spellStart"/>
            <w:r w:rsidRPr="007D0DD8">
              <w:rPr>
                <w:b/>
                <w:lang w:eastAsia="en-AU"/>
              </w:rPr>
              <w:t>McGeer</w:t>
            </w:r>
            <w:proofErr w:type="spellEnd"/>
            <w:r w:rsidRPr="007D0DD8">
              <w:rPr>
                <w:b/>
                <w:lang w:eastAsia="en-AU"/>
              </w:rPr>
              <w:t xml:space="preserve"> </w:t>
            </w:r>
            <w:r w:rsidRPr="007D0DD8">
              <w:rPr>
                <w:b/>
                <w:i/>
                <w:lang w:eastAsia="en-AU"/>
              </w:rPr>
              <w:t>et al</w:t>
            </w:r>
            <w:r w:rsidRPr="007D0DD8">
              <w:rPr>
                <w:b/>
                <w:lang w:eastAsia="en-AU"/>
              </w:rPr>
              <w:t xml:space="preserve"> criteria</w:t>
            </w:r>
          </w:p>
        </w:tc>
      </w:tr>
      <w:tr w:rsidR="00557D08" w:rsidRPr="00AC1DB7" w:rsidTr="00E32B78">
        <w:trPr>
          <w:trHeight w:val="283"/>
        </w:trPr>
        <w:tc>
          <w:tcPr>
            <w:tcW w:w="2405" w:type="dxa"/>
            <w:vMerge/>
            <w:vAlign w:val="center"/>
          </w:tcPr>
          <w:p w:rsidR="00557D08" w:rsidRPr="007D0DD8" w:rsidRDefault="00557D08" w:rsidP="00ED1E21">
            <w:pPr>
              <w:pStyle w:val="Normal-beforebullets"/>
              <w:rPr>
                <w:b/>
                <w:color w:val="000000"/>
                <w:lang w:eastAsia="en-AU"/>
              </w:rPr>
            </w:pPr>
          </w:p>
        </w:tc>
        <w:tc>
          <w:tcPr>
            <w:tcW w:w="1672" w:type="dxa"/>
            <w:vMerge/>
            <w:vAlign w:val="center"/>
          </w:tcPr>
          <w:p w:rsidR="00557D08" w:rsidRPr="007D0DD8" w:rsidRDefault="00557D08" w:rsidP="00ED1E21">
            <w:pPr>
              <w:pStyle w:val="Normal-beforebullets"/>
              <w:rPr>
                <w:b/>
                <w:color w:val="000000"/>
                <w:lang w:eastAsia="en-AU"/>
              </w:rPr>
            </w:pPr>
          </w:p>
        </w:tc>
        <w:tc>
          <w:tcPr>
            <w:tcW w:w="921" w:type="dxa"/>
            <w:vAlign w:val="center"/>
          </w:tcPr>
          <w:p w:rsidR="00557D08" w:rsidRPr="007D0DD8" w:rsidRDefault="00557D08" w:rsidP="00ED1E21">
            <w:pPr>
              <w:pStyle w:val="Normal-beforebullets"/>
              <w:jc w:val="right"/>
              <w:rPr>
                <w:b/>
                <w:color w:val="000000"/>
                <w:lang w:eastAsia="en-AU"/>
              </w:rPr>
            </w:pPr>
            <w:r w:rsidRPr="007D0DD8">
              <w:rPr>
                <w:b/>
                <w:color w:val="000000"/>
                <w:lang w:eastAsia="en-AU"/>
              </w:rPr>
              <w:t>No.</w:t>
            </w:r>
          </w:p>
        </w:tc>
        <w:tc>
          <w:tcPr>
            <w:tcW w:w="922" w:type="dxa"/>
            <w:vAlign w:val="center"/>
          </w:tcPr>
          <w:p w:rsidR="00557D08" w:rsidRPr="007D0DD8" w:rsidRDefault="00557D08" w:rsidP="00ED1E21">
            <w:pPr>
              <w:pStyle w:val="Normal-beforebullets"/>
              <w:jc w:val="right"/>
              <w:rPr>
                <w:b/>
                <w:color w:val="000000"/>
                <w:lang w:eastAsia="en-AU"/>
              </w:rPr>
            </w:pPr>
            <w:r w:rsidRPr="007D0DD8">
              <w:rPr>
                <w:b/>
                <w:color w:val="000000"/>
                <w:lang w:eastAsia="en-AU"/>
              </w:rPr>
              <w:t>%</w:t>
            </w:r>
          </w:p>
        </w:tc>
        <w:tc>
          <w:tcPr>
            <w:tcW w:w="921" w:type="dxa"/>
            <w:noWrap/>
            <w:vAlign w:val="center"/>
          </w:tcPr>
          <w:p w:rsidR="00557D08" w:rsidRPr="007D0DD8" w:rsidRDefault="00557D08" w:rsidP="00ED1E21">
            <w:pPr>
              <w:pStyle w:val="Normal-beforebullets"/>
              <w:jc w:val="right"/>
              <w:rPr>
                <w:b/>
                <w:color w:val="000000"/>
                <w:lang w:eastAsia="en-AU"/>
              </w:rPr>
            </w:pPr>
            <w:r w:rsidRPr="007D0DD8">
              <w:rPr>
                <w:b/>
                <w:color w:val="000000"/>
                <w:lang w:eastAsia="en-AU"/>
              </w:rPr>
              <w:t>No.</w:t>
            </w:r>
          </w:p>
        </w:tc>
        <w:tc>
          <w:tcPr>
            <w:tcW w:w="922" w:type="dxa"/>
            <w:vAlign w:val="center"/>
          </w:tcPr>
          <w:p w:rsidR="00557D08" w:rsidRPr="007D0DD8" w:rsidRDefault="00557D08" w:rsidP="00ED1E21">
            <w:pPr>
              <w:pStyle w:val="Normal-beforebullets"/>
              <w:jc w:val="right"/>
              <w:rPr>
                <w:b/>
                <w:color w:val="000000"/>
                <w:lang w:eastAsia="en-AU"/>
              </w:rPr>
            </w:pPr>
            <w:r w:rsidRPr="007D0DD8">
              <w:rPr>
                <w:b/>
                <w:color w:val="000000"/>
                <w:lang w:eastAsia="en-AU"/>
              </w:rPr>
              <w:t>%</w:t>
            </w:r>
          </w:p>
        </w:tc>
        <w:tc>
          <w:tcPr>
            <w:tcW w:w="921" w:type="dxa"/>
            <w:noWrap/>
            <w:vAlign w:val="center"/>
          </w:tcPr>
          <w:p w:rsidR="00557D08" w:rsidRPr="007D0DD8" w:rsidRDefault="00557D08" w:rsidP="00ED1E21">
            <w:pPr>
              <w:pStyle w:val="Normal-beforebullets"/>
              <w:jc w:val="right"/>
              <w:rPr>
                <w:b/>
                <w:color w:val="000000"/>
                <w:lang w:eastAsia="en-AU"/>
              </w:rPr>
            </w:pPr>
            <w:r w:rsidRPr="007D0DD8">
              <w:rPr>
                <w:b/>
                <w:color w:val="000000"/>
                <w:lang w:eastAsia="en-AU"/>
              </w:rPr>
              <w:t>No.</w:t>
            </w:r>
          </w:p>
        </w:tc>
        <w:tc>
          <w:tcPr>
            <w:tcW w:w="922" w:type="dxa"/>
            <w:vAlign w:val="center"/>
          </w:tcPr>
          <w:p w:rsidR="00557D08" w:rsidRPr="007D0DD8" w:rsidRDefault="00557D08" w:rsidP="00ED1E21">
            <w:pPr>
              <w:pStyle w:val="Normal-beforebullets"/>
              <w:jc w:val="right"/>
              <w:rPr>
                <w:b/>
                <w:color w:val="000000"/>
                <w:lang w:eastAsia="en-AU"/>
              </w:rPr>
            </w:pPr>
            <w:r w:rsidRPr="007D0DD8">
              <w:rPr>
                <w:b/>
                <w:color w:val="000000"/>
                <w:lang w:eastAsia="en-AU"/>
              </w:rPr>
              <w:t>%</w:t>
            </w:r>
          </w:p>
        </w:tc>
      </w:tr>
      <w:tr w:rsidR="00557D08" w:rsidRPr="00AC1DB7" w:rsidTr="00E32B78">
        <w:trPr>
          <w:trHeight w:val="283"/>
        </w:trPr>
        <w:tc>
          <w:tcPr>
            <w:tcW w:w="2405" w:type="dxa"/>
            <w:vAlign w:val="center"/>
            <w:hideMark/>
          </w:tcPr>
          <w:p w:rsidR="00557D08" w:rsidRPr="007D0DD8" w:rsidRDefault="00557D08" w:rsidP="00ED1E21">
            <w:pPr>
              <w:pStyle w:val="Normal-beforebullets"/>
              <w:rPr>
                <w:b/>
                <w:color w:val="000000"/>
                <w:lang w:eastAsia="en-AU"/>
              </w:rPr>
            </w:pPr>
            <w:r w:rsidRPr="007D0DD8">
              <w:rPr>
                <w:b/>
                <w:color w:val="000000"/>
                <w:lang w:eastAsia="en-AU"/>
              </w:rPr>
              <w:t>Skin, soft tissue</w:t>
            </w:r>
          </w:p>
        </w:tc>
        <w:tc>
          <w:tcPr>
            <w:tcW w:w="1672" w:type="dxa"/>
            <w:vAlign w:val="center"/>
          </w:tcPr>
          <w:p w:rsidR="00557D08" w:rsidRPr="00AC1DB7" w:rsidRDefault="00557D08" w:rsidP="00ED1E21">
            <w:pPr>
              <w:pStyle w:val="Normal-beforebullets"/>
              <w:jc w:val="right"/>
              <w:rPr>
                <w:color w:val="000000"/>
              </w:rPr>
            </w:pPr>
            <w:r w:rsidRPr="00AC1DB7">
              <w:rPr>
                <w:color w:val="000000"/>
              </w:rPr>
              <w:t>424</w:t>
            </w:r>
          </w:p>
        </w:tc>
        <w:tc>
          <w:tcPr>
            <w:tcW w:w="921" w:type="dxa"/>
            <w:vAlign w:val="center"/>
          </w:tcPr>
          <w:p w:rsidR="00557D08" w:rsidRPr="00AC1DB7" w:rsidRDefault="00557D08" w:rsidP="00ED1E21">
            <w:pPr>
              <w:pStyle w:val="Normal-beforebullets"/>
              <w:jc w:val="right"/>
              <w:rPr>
                <w:color w:val="000000"/>
              </w:rPr>
            </w:pPr>
            <w:r w:rsidRPr="00AC1DB7">
              <w:rPr>
                <w:color w:val="000000"/>
              </w:rPr>
              <w:t>170</w:t>
            </w:r>
          </w:p>
        </w:tc>
        <w:tc>
          <w:tcPr>
            <w:tcW w:w="922" w:type="dxa"/>
            <w:vAlign w:val="center"/>
          </w:tcPr>
          <w:p w:rsidR="00557D08" w:rsidRPr="00AC1DB7" w:rsidRDefault="00557D08" w:rsidP="00ED1E21">
            <w:pPr>
              <w:pStyle w:val="Normal-beforebullets"/>
              <w:jc w:val="right"/>
              <w:rPr>
                <w:color w:val="000000"/>
              </w:rPr>
            </w:pPr>
            <w:r w:rsidRPr="00AC1DB7">
              <w:rPr>
                <w:color w:val="000000"/>
              </w:rPr>
              <w:t>40.1</w:t>
            </w:r>
          </w:p>
        </w:tc>
        <w:tc>
          <w:tcPr>
            <w:tcW w:w="921" w:type="dxa"/>
            <w:noWrap/>
            <w:vAlign w:val="center"/>
          </w:tcPr>
          <w:p w:rsidR="00557D08" w:rsidRPr="00AC1DB7" w:rsidRDefault="00557D08" w:rsidP="00ED1E21">
            <w:pPr>
              <w:pStyle w:val="Normal-beforebullets"/>
              <w:jc w:val="right"/>
              <w:rPr>
                <w:color w:val="000000"/>
              </w:rPr>
            </w:pPr>
            <w:r w:rsidRPr="00AC1DB7">
              <w:rPr>
                <w:color w:val="000000"/>
              </w:rPr>
              <w:t>155</w:t>
            </w:r>
          </w:p>
        </w:tc>
        <w:tc>
          <w:tcPr>
            <w:tcW w:w="922" w:type="dxa"/>
            <w:vAlign w:val="center"/>
          </w:tcPr>
          <w:p w:rsidR="00557D08" w:rsidRPr="00AC1DB7" w:rsidRDefault="00557D08" w:rsidP="00ED1E21">
            <w:pPr>
              <w:pStyle w:val="Normal-beforebullets"/>
              <w:jc w:val="right"/>
              <w:rPr>
                <w:color w:val="000000"/>
              </w:rPr>
            </w:pPr>
            <w:r w:rsidRPr="00AC1DB7">
              <w:rPr>
                <w:color w:val="000000"/>
              </w:rPr>
              <w:t>36.6</w:t>
            </w:r>
          </w:p>
        </w:tc>
        <w:tc>
          <w:tcPr>
            <w:tcW w:w="921" w:type="dxa"/>
            <w:noWrap/>
            <w:vAlign w:val="center"/>
          </w:tcPr>
          <w:p w:rsidR="00557D08" w:rsidRPr="00AC1DB7" w:rsidRDefault="00557D08" w:rsidP="00ED1E21">
            <w:pPr>
              <w:pStyle w:val="Normal-beforebullets"/>
              <w:jc w:val="right"/>
              <w:rPr>
                <w:color w:val="000000"/>
              </w:rPr>
            </w:pPr>
            <w:r w:rsidRPr="00AC1DB7">
              <w:rPr>
                <w:color w:val="000000"/>
              </w:rPr>
              <w:t>82</w:t>
            </w:r>
          </w:p>
        </w:tc>
        <w:tc>
          <w:tcPr>
            <w:tcW w:w="922" w:type="dxa"/>
            <w:vAlign w:val="center"/>
          </w:tcPr>
          <w:p w:rsidR="00557D08" w:rsidRPr="00AC1DB7" w:rsidRDefault="00557D08" w:rsidP="00ED1E21">
            <w:pPr>
              <w:pStyle w:val="Normal-beforebullets"/>
              <w:jc w:val="right"/>
              <w:rPr>
                <w:color w:val="000000"/>
              </w:rPr>
            </w:pPr>
            <w:r w:rsidRPr="00AC1DB7">
              <w:rPr>
                <w:color w:val="000000"/>
              </w:rPr>
              <w:t>19.3</w:t>
            </w:r>
          </w:p>
        </w:tc>
      </w:tr>
      <w:tr w:rsidR="00557D08" w:rsidRPr="00AC1DB7" w:rsidTr="00E32B78">
        <w:trPr>
          <w:trHeight w:val="283"/>
        </w:trPr>
        <w:tc>
          <w:tcPr>
            <w:tcW w:w="2405" w:type="dxa"/>
            <w:vAlign w:val="center"/>
          </w:tcPr>
          <w:p w:rsidR="00557D08" w:rsidRPr="007D0DD8" w:rsidRDefault="00557D08" w:rsidP="00ED1E21">
            <w:pPr>
              <w:pStyle w:val="Normal-beforebullets"/>
              <w:rPr>
                <w:b/>
                <w:color w:val="000000"/>
                <w:lang w:eastAsia="en-AU"/>
              </w:rPr>
            </w:pPr>
            <w:r w:rsidRPr="007D0DD8">
              <w:rPr>
                <w:b/>
                <w:color w:val="000000"/>
                <w:lang w:eastAsia="en-AU"/>
              </w:rPr>
              <w:t>Urinary tract</w:t>
            </w:r>
          </w:p>
        </w:tc>
        <w:tc>
          <w:tcPr>
            <w:tcW w:w="1672" w:type="dxa"/>
            <w:vAlign w:val="center"/>
          </w:tcPr>
          <w:p w:rsidR="00557D08" w:rsidRPr="00AC1DB7" w:rsidRDefault="00557D08" w:rsidP="00ED1E21">
            <w:pPr>
              <w:pStyle w:val="Normal-beforebullets"/>
              <w:jc w:val="right"/>
              <w:rPr>
                <w:color w:val="000000"/>
              </w:rPr>
            </w:pPr>
            <w:r w:rsidRPr="00AC1DB7">
              <w:rPr>
                <w:color w:val="000000"/>
              </w:rPr>
              <w:t>323</w:t>
            </w:r>
          </w:p>
        </w:tc>
        <w:tc>
          <w:tcPr>
            <w:tcW w:w="921" w:type="dxa"/>
            <w:vAlign w:val="center"/>
          </w:tcPr>
          <w:p w:rsidR="00557D08" w:rsidRPr="00AC1DB7" w:rsidRDefault="00557D08" w:rsidP="00ED1E21">
            <w:pPr>
              <w:pStyle w:val="Normal-beforebullets"/>
              <w:jc w:val="right"/>
              <w:rPr>
                <w:color w:val="000000"/>
              </w:rPr>
            </w:pPr>
            <w:r w:rsidRPr="00AC1DB7">
              <w:rPr>
                <w:color w:val="000000"/>
              </w:rPr>
              <w:t>114</w:t>
            </w:r>
          </w:p>
        </w:tc>
        <w:tc>
          <w:tcPr>
            <w:tcW w:w="922" w:type="dxa"/>
            <w:vAlign w:val="center"/>
          </w:tcPr>
          <w:p w:rsidR="00557D08" w:rsidRPr="00AC1DB7" w:rsidRDefault="00557D08" w:rsidP="00ED1E21">
            <w:pPr>
              <w:pStyle w:val="Normal-beforebullets"/>
              <w:jc w:val="right"/>
              <w:rPr>
                <w:color w:val="000000"/>
              </w:rPr>
            </w:pPr>
            <w:r w:rsidRPr="00AC1DB7">
              <w:rPr>
                <w:color w:val="000000"/>
              </w:rPr>
              <w:t>35.3</w:t>
            </w:r>
          </w:p>
        </w:tc>
        <w:tc>
          <w:tcPr>
            <w:tcW w:w="921" w:type="dxa"/>
            <w:noWrap/>
            <w:vAlign w:val="center"/>
          </w:tcPr>
          <w:p w:rsidR="00557D08" w:rsidRPr="00AC1DB7" w:rsidRDefault="00557D08" w:rsidP="00ED1E21">
            <w:pPr>
              <w:pStyle w:val="Normal-beforebullets"/>
              <w:jc w:val="right"/>
              <w:rPr>
                <w:color w:val="000000"/>
              </w:rPr>
            </w:pPr>
            <w:r w:rsidRPr="00AC1DB7">
              <w:rPr>
                <w:color w:val="000000"/>
              </w:rPr>
              <w:t>99</w:t>
            </w:r>
          </w:p>
        </w:tc>
        <w:tc>
          <w:tcPr>
            <w:tcW w:w="922" w:type="dxa"/>
            <w:vAlign w:val="center"/>
          </w:tcPr>
          <w:p w:rsidR="00557D08" w:rsidRPr="00AC1DB7" w:rsidRDefault="00557D08" w:rsidP="00ED1E21">
            <w:pPr>
              <w:pStyle w:val="Normal-beforebullets"/>
              <w:jc w:val="right"/>
              <w:rPr>
                <w:color w:val="000000"/>
              </w:rPr>
            </w:pPr>
            <w:r w:rsidRPr="00AC1DB7">
              <w:rPr>
                <w:color w:val="000000"/>
              </w:rPr>
              <w:t>30.7</w:t>
            </w:r>
          </w:p>
        </w:tc>
        <w:tc>
          <w:tcPr>
            <w:tcW w:w="921" w:type="dxa"/>
            <w:noWrap/>
            <w:vAlign w:val="center"/>
          </w:tcPr>
          <w:p w:rsidR="00557D08" w:rsidRPr="00AC1DB7" w:rsidRDefault="00557D08" w:rsidP="00ED1E21">
            <w:pPr>
              <w:pStyle w:val="Normal-beforebullets"/>
              <w:jc w:val="right"/>
              <w:rPr>
                <w:color w:val="000000"/>
              </w:rPr>
            </w:pPr>
            <w:r w:rsidRPr="00AC1DB7">
              <w:rPr>
                <w:color w:val="000000"/>
              </w:rPr>
              <w:t>17</w:t>
            </w:r>
          </w:p>
        </w:tc>
        <w:tc>
          <w:tcPr>
            <w:tcW w:w="922" w:type="dxa"/>
            <w:vAlign w:val="center"/>
          </w:tcPr>
          <w:p w:rsidR="00557D08" w:rsidRPr="00AC1DB7" w:rsidRDefault="00557D08" w:rsidP="00ED1E21">
            <w:pPr>
              <w:pStyle w:val="Normal-beforebullets"/>
              <w:jc w:val="right"/>
              <w:rPr>
                <w:color w:val="000000"/>
              </w:rPr>
            </w:pPr>
            <w:r w:rsidRPr="00AC1DB7">
              <w:rPr>
                <w:color w:val="000000"/>
              </w:rPr>
              <w:t>5.3</w:t>
            </w:r>
          </w:p>
        </w:tc>
      </w:tr>
      <w:tr w:rsidR="00557D08" w:rsidRPr="00AC1DB7" w:rsidTr="00E32B78">
        <w:trPr>
          <w:trHeight w:val="283"/>
        </w:trPr>
        <w:tc>
          <w:tcPr>
            <w:tcW w:w="2405" w:type="dxa"/>
            <w:vAlign w:val="center"/>
          </w:tcPr>
          <w:p w:rsidR="00557D08" w:rsidRPr="007D0DD8" w:rsidRDefault="00557D08" w:rsidP="00ED1E21">
            <w:pPr>
              <w:pStyle w:val="Normal-beforebullets"/>
              <w:rPr>
                <w:b/>
                <w:color w:val="000000"/>
                <w:lang w:eastAsia="en-AU"/>
              </w:rPr>
            </w:pPr>
            <w:r w:rsidRPr="007D0DD8">
              <w:rPr>
                <w:b/>
                <w:color w:val="000000"/>
                <w:lang w:eastAsia="en-AU"/>
              </w:rPr>
              <w:t>Respiratory tract</w:t>
            </w:r>
          </w:p>
        </w:tc>
        <w:tc>
          <w:tcPr>
            <w:tcW w:w="1672" w:type="dxa"/>
            <w:vAlign w:val="center"/>
          </w:tcPr>
          <w:p w:rsidR="00557D08" w:rsidRPr="00AC1DB7" w:rsidRDefault="00557D08" w:rsidP="00ED1E21">
            <w:pPr>
              <w:pStyle w:val="Normal-beforebullets"/>
              <w:jc w:val="right"/>
              <w:rPr>
                <w:color w:val="000000"/>
              </w:rPr>
            </w:pPr>
            <w:r w:rsidRPr="00AC1DB7">
              <w:rPr>
                <w:color w:val="000000"/>
              </w:rPr>
              <w:t>213</w:t>
            </w:r>
          </w:p>
        </w:tc>
        <w:tc>
          <w:tcPr>
            <w:tcW w:w="921" w:type="dxa"/>
            <w:vAlign w:val="center"/>
          </w:tcPr>
          <w:p w:rsidR="00557D08" w:rsidRPr="00AC1DB7" w:rsidRDefault="00557D08" w:rsidP="00ED1E21">
            <w:pPr>
              <w:pStyle w:val="Normal-beforebullets"/>
              <w:jc w:val="right"/>
              <w:rPr>
                <w:color w:val="000000"/>
              </w:rPr>
            </w:pPr>
            <w:r w:rsidRPr="00AC1DB7">
              <w:rPr>
                <w:color w:val="000000"/>
              </w:rPr>
              <w:t>150</w:t>
            </w:r>
          </w:p>
        </w:tc>
        <w:tc>
          <w:tcPr>
            <w:tcW w:w="922" w:type="dxa"/>
            <w:vAlign w:val="center"/>
          </w:tcPr>
          <w:p w:rsidR="00557D08" w:rsidRPr="00AC1DB7" w:rsidRDefault="00557D08" w:rsidP="00ED1E21">
            <w:pPr>
              <w:pStyle w:val="Normal-beforebullets"/>
              <w:jc w:val="right"/>
              <w:rPr>
                <w:color w:val="000000"/>
              </w:rPr>
            </w:pPr>
            <w:r w:rsidRPr="00AC1DB7">
              <w:rPr>
                <w:color w:val="000000"/>
              </w:rPr>
              <w:t>70.4</w:t>
            </w:r>
          </w:p>
        </w:tc>
        <w:tc>
          <w:tcPr>
            <w:tcW w:w="921" w:type="dxa"/>
            <w:noWrap/>
            <w:vAlign w:val="center"/>
          </w:tcPr>
          <w:p w:rsidR="00557D08" w:rsidRPr="00AC1DB7" w:rsidRDefault="00557D08" w:rsidP="00ED1E21">
            <w:pPr>
              <w:pStyle w:val="Normal-beforebullets"/>
              <w:jc w:val="right"/>
              <w:rPr>
                <w:color w:val="000000"/>
              </w:rPr>
            </w:pPr>
            <w:r w:rsidRPr="00AC1DB7">
              <w:rPr>
                <w:color w:val="000000"/>
              </w:rPr>
              <w:t>129</w:t>
            </w:r>
          </w:p>
        </w:tc>
        <w:tc>
          <w:tcPr>
            <w:tcW w:w="922" w:type="dxa"/>
            <w:vAlign w:val="center"/>
          </w:tcPr>
          <w:p w:rsidR="00557D08" w:rsidRPr="00AC1DB7" w:rsidRDefault="00557D08" w:rsidP="00ED1E21">
            <w:pPr>
              <w:pStyle w:val="Normal-beforebullets"/>
              <w:jc w:val="right"/>
              <w:rPr>
                <w:color w:val="000000"/>
              </w:rPr>
            </w:pPr>
            <w:r w:rsidRPr="00AC1DB7">
              <w:rPr>
                <w:color w:val="000000"/>
              </w:rPr>
              <w:t>60.6</w:t>
            </w:r>
          </w:p>
        </w:tc>
        <w:tc>
          <w:tcPr>
            <w:tcW w:w="921" w:type="dxa"/>
            <w:noWrap/>
            <w:vAlign w:val="center"/>
          </w:tcPr>
          <w:p w:rsidR="00557D08" w:rsidRPr="00AC1DB7" w:rsidRDefault="00557D08" w:rsidP="00ED1E21">
            <w:pPr>
              <w:pStyle w:val="Normal-beforebullets"/>
              <w:jc w:val="right"/>
              <w:rPr>
                <w:color w:val="000000"/>
              </w:rPr>
            </w:pPr>
            <w:r w:rsidRPr="00AC1DB7">
              <w:rPr>
                <w:color w:val="000000"/>
              </w:rPr>
              <w:t>62</w:t>
            </w:r>
          </w:p>
        </w:tc>
        <w:tc>
          <w:tcPr>
            <w:tcW w:w="922" w:type="dxa"/>
            <w:vAlign w:val="center"/>
          </w:tcPr>
          <w:p w:rsidR="00557D08" w:rsidRPr="00AC1DB7" w:rsidRDefault="00557D08" w:rsidP="00ED1E21">
            <w:pPr>
              <w:pStyle w:val="Normal-beforebullets"/>
              <w:jc w:val="right"/>
              <w:rPr>
                <w:color w:val="000000"/>
              </w:rPr>
            </w:pPr>
            <w:r w:rsidRPr="00AC1DB7">
              <w:rPr>
                <w:color w:val="000000"/>
              </w:rPr>
              <w:t>29.1</w:t>
            </w:r>
          </w:p>
        </w:tc>
      </w:tr>
      <w:tr w:rsidR="00557D08" w:rsidRPr="00AC1DB7" w:rsidTr="00E32B78">
        <w:trPr>
          <w:trHeight w:val="283"/>
        </w:trPr>
        <w:tc>
          <w:tcPr>
            <w:tcW w:w="2405" w:type="dxa"/>
            <w:vAlign w:val="center"/>
          </w:tcPr>
          <w:p w:rsidR="00557D08" w:rsidRPr="007D0DD8" w:rsidRDefault="00557D08" w:rsidP="00ED1E21">
            <w:pPr>
              <w:pStyle w:val="Normal-beforebullets"/>
              <w:rPr>
                <w:b/>
                <w:color w:val="000000"/>
                <w:lang w:eastAsia="en-AU"/>
              </w:rPr>
            </w:pPr>
            <w:r w:rsidRPr="007D0DD8">
              <w:rPr>
                <w:b/>
                <w:color w:val="000000"/>
                <w:lang w:eastAsia="en-AU"/>
              </w:rPr>
              <w:t>Other body system</w:t>
            </w:r>
          </w:p>
        </w:tc>
        <w:tc>
          <w:tcPr>
            <w:tcW w:w="1672" w:type="dxa"/>
            <w:vAlign w:val="center"/>
          </w:tcPr>
          <w:p w:rsidR="00557D08" w:rsidRPr="00AC1DB7" w:rsidRDefault="00557D08" w:rsidP="00ED1E21">
            <w:pPr>
              <w:pStyle w:val="Normal-beforebullets"/>
              <w:jc w:val="right"/>
              <w:rPr>
                <w:color w:val="000000"/>
              </w:rPr>
            </w:pPr>
            <w:r w:rsidRPr="00AC1DB7">
              <w:rPr>
                <w:color w:val="000000"/>
              </w:rPr>
              <w:t>86</w:t>
            </w:r>
          </w:p>
        </w:tc>
        <w:tc>
          <w:tcPr>
            <w:tcW w:w="921" w:type="dxa"/>
            <w:vAlign w:val="center"/>
          </w:tcPr>
          <w:p w:rsidR="00557D08" w:rsidRPr="00AC1DB7" w:rsidRDefault="00557D08" w:rsidP="00ED1E21">
            <w:pPr>
              <w:pStyle w:val="Normal-beforebullets"/>
              <w:jc w:val="right"/>
              <w:rPr>
                <w:color w:val="000000"/>
              </w:rPr>
            </w:pPr>
            <w:r w:rsidRPr="00AC1DB7">
              <w:rPr>
                <w:color w:val="000000"/>
              </w:rPr>
              <w:t>29</w:t>
            </w:r>
          </w:p>
        </w:tc>
        <w:tc>
          <w:tcPr>
            <w:tcW w:w="922" w:type="dxa"/>
            <w:vAlign w:val="center"/>
          </w:tcPr>
          <w:p w:rsidR="00557D08" w:rsidRPr="00AC1DB7" w:rsidRDefault="00557D08" w:rsidP="00ED1E21">
            <w:pPr>
              <w:pStyle w:val="Normal-beforebullets"/>
              <w:jc w:val="right"/>
              <w:rPr>
                <w:color w:val="000000"/>
              </w:rPr>
            </w:pPr>
            <w:r w:rsidRPr="00AC1DB7">
              <w:rPr>
                <w:color w:val="000000"/>
              </w:rPr>
              <w:t>33.7</w:t>
            </w:r>
          </w:p>
        </w:tc>
        <w:tc>
          <w:tcPr>
            <w:tcW w:w="921" w:type="dxa"/>
            <w:noWrap/>
            <w:vAlign w:val="center"/>
          </w:tcPr>
          <w:p w:rsidR="00557D08" w:rsidRPr="00AC1DB7" w:rsidRDefault="00557D08" w:rsidP="00ED1E21">
            <w:pPr>
              <w:pStyle w:val="Normal-beforebullets"/>
              <w:jc w:val="right"/>
              <w:rPr>
                <w:color w:val="000000"/>
              </w:rPr>
            </w:pPr>
            <w:r w:rsidRPr="00AC1DB7">
              <w:rPr>
                <w:color w:val="000000"/>
              </w:rPr>
              <w:t>27</w:t>
            </w:r>
          </w:p>
        </w:tc>
        <w:tc>
          <w:tcPr>
            <w:tcW w:w="922" w:type="dxa"/>
            <w:vAlign w:val="center"/>
          </w:tcPr>
          <w:p w:rsidR="00557D08" w:rsidRPr="00AC1DB7" w:rsidRDefault="00557D08" w:rsidP="00ED1E21">
            <w:pPr>
              <w:pStyle w:val="Normal-beforebullets"/>
              <w:jc w:val="right"/>
              <w:rPr>
                <w:color w:val="000000"/>
              </w:rPr>
            </w:pPr>
            <w:r w:rsidRPr="00AC1DB7">
              <w:rPr>
                <w:color w:val="000000"/>
              </w:rPr>
              <w:t>31.4</w:t>
            </w:r>
          </w:p>
        </w:tc>
        <w:tc>
          <w:tcPr>
            <w:tcW w:w="921" w:type="dxa"/>
            <w:noWrap/>
            <w:vAlign w:val="center"/>
          </w:tcPr>
          <w:p w:rsidR="00557D08" w:rsidRPr="00AC1DB7" w:rsidRDefault="00557D08" w:rsidP="00ED1E21">
            <w:pPr>
              <w:pStyle w:val="Normal-beforebullets"/>
              <w:jc w:val="right"/>
              <w:rPr>
                <w:color w:val="000000"/>
              </w:rPr>
            </w:pPr>
            <w:r w:rsidRPr="00AC1DB7">
              <w:rPr>
                <w:color w:val="000000"/>
              </w:rPr>
              <w:t>11</w:t>
            </w:r>
          </w:p>
        </w:tc>
        <w:tc>
          <w:tcPr>
            <w:tcW w:w="922" w:type="dxa"/>
            <w:vAlign w:val="center"/>
          </w:tcPr>
          <w:p w:rsidR="00557D08" w:rsidRPr="00AC1DB7" w:rsidRDefault="00557D08" w:rsidP="00ED1E21">
            <w:pPr>
              <w:pStyle w:val="Normal-beforebullets"/>
              <w:jc w:val="right"/>
              <w:rPr>
                <w:color w:val="000000"/>
              </w:rPr>
            </w:pPr>
            <w:r w:rsidRPr="00AC1DB7">
              <w:rPr>
                <w:color w:val="000000"/>
              </w:rPr>
              <w:t>12.8</w:t>
            </w:r>
          </w:p>
        </w:tc>
      </w:tr>
      <w:tr w:rsidR="00557D08" w:rsidRPr="00AC1DB7" w:rsidTr="00E32B78">
        <w:trPr>
          <w:trHeight w:val="283"/>
        </w:trPr>
        <w:tc>
          <w:tcPr>
            <w:tcW w:w="2405" w:type="dxa"/>
            <w:vAlign w:val="center"/>
          </w:tcPr>
          <w:p w:rsidR="00557D08" w:rsidRPr="007D0DD8" w:rsidRDefault="00557D08" w:rsidP="00ED1E21">
            <w:pPr>
              <w:pStyle w:val="Normal-beforebullets"/>
              <w:rPr>
                <w:b/>
                <w:color w:val="000000"/>
                <w:lang w:eastAsia="en-AU"/>
              </w:rPr>
            </w:pPr>
            <w:r w:rsidRPr="007D0DD8">
              <w:rPr>
                <w:b/>
                <w:color w:val="000000"/>
                <w:lang w:eastAsia="en-AU"/>
              </w:rPr>
              <w:t>Eye</w:t>
            </w:r>
          </w:p>
        </w:tc>
        <w:tc>
          <w:tcPr>
            <w:tcW w:w="1672" w:type="dxa"/>
            <w:vAlign w:val="center"/>
          </w:tcPr>
          <w:p w:rsidR="00557D08" w:rsidRPr="00AC1DB7" w:rsidRDefault="00557D08" w:rsidP="00ED1E21">
            <w:pPr>
              <w:pStyle w:val="Normal-beforebullets"/>
              <w:jc w:val="right"/>
              <w:rPr>
                <w:color w:val="000000"/>
              </w:rPr>
            </w:pPr>
            <w:r w:rsidRPr="00AC1DB7">
              <w:rPr>
                <w:color w:val="000000"/>
              </w:rPr>
              <w:t>73</w:t>
            </w:r>
          </w:p>
        </w:tc>
        <w:tc>
          <w:tcPr>
            <w:tcW w:w="921" w:type="dxa"/>
            <w:vAlign w:val="center"/>
          </w:tcPr>
          <w:p w:rsidR="00557D08" w:rsidRPr="00AC1DB7" w:rsidRDefault="00557D08" w:rsidP="00ED1E21">
            <w:pPr>
              <w:pStyle w:val="Normal-beforebullets"/>
              <w:jc w:val="right"/>
              <w:rPr>
                <w:color w:val="000000"/>
              </w:rPr>
            </w:pPr>
            <w:r w:rsidRPr="00AC1DB7">
              <w:rPr>
                <w:color w:val="000000"/>
              </w:rPr>
              <w:t>38</w:t>
            </w:r>
          </w:p>
        </w:tc>
        <w:tc>
          <w:tcPr>
            <w:tcW w:w="922" w:type="dxa"/>
            <w:vAlign w:val="center"/>
          </w:tcPr>
          <w:p w:rsidR="00557D08" w:rsidRPr="00AC1DB7" w:rsidRDefault="00557D08" w:rsidP="00ED1E21">
            <w:pPr>
              <w:pStyle w:val="Normal-beforebullets"/>
              <w:jc w:val="right"/>
              <w:rPr>
                <w:color w:val="000000"/>
              </w:rPr>
            </w:pPr>
            <w:r w:rsidRPr="00AC1DB7">
              <w:rPr>
                <w:color w:val="000000"/>
              </w:rPr>
              <w:t>52.1</w:t>
            </w:r>
          </w:p>
        </w:tc>
        <w:tc>
          <w:tcPr>
            <w:tcW w:w="921" w:type="dxa"/>
            <w:noWrap/>
            <w:vAlign w:val="center"/>
          </w:tcPr>
          <w:p w:rsidR="00557D08" w:rsidRPr="00AC1DB7" w:rsidRDefault="00557D08" w:rsidP="00ED1E21">
            <w:pPr>
              <w:pStyle w:val="Normal-beforebullets"/>
              <w:jc w:val="right"/>
              <w:rPr>
                <w:color w:val="000000"/>
              </w:rPr>
            </w:pPr>
            <w:r w:rsidRPr="00AC1DB7">
              <w:rPr>
                <w:color w:val="000000"/>
              </w:rPr>
              <w:t>36</w:t>
            </w:r>
          </w:p>
        </w:tc>
        <w:tc>
          <w:tcPr>
            <w:tcW w:w="922" w:type="dxa"/>
            <w:vAlign w:val="center"/>
          </w:tcPr>
          <w:p w:rsidR="00557D08" w:rsidRPr="00AC1DB7" w:rsidRDefault="00557D08" w:rsidP="00ED1E21">
            <w:pPr>
              <w:pStyle w:val="Normal-beforebullets"/>
              <w:jc w:val="right"/>
              <w:rPr>
                <w:color w:val="000000"/>
              </w:rPr>
            </w:pPr>
            <w:r w:rsidRPr="00AC1DB7">
              <w:rPr>
                <w:color w:val="000000"/>
              </w:rPr>
              <w:t>49.3</w:t>
            </w:r>
          </w:p>
        </w:tc>
        <w:tc>
          <w:tcPr>
            <w:tcW w:w="921" w:type="dxa"/>
            <w:noWrap/>
            <w:vAlign w:val="center"/>
          </w:tcPr>
          <w:p w:rsidR="00557D08" w:rsidRPr="00AC1DB7" w:rsidRDefault="00557D08" w:rsidP="00ED1E21">
            <w:pPr>
              <w:pStyle w:val="Normal-beforebullets"/>
              <w:jc w:val="right"/>
              <w:rPr>
                <w:color w:val="000000"/>
              </w:rPr>
            </w:pPr>
            <w:r w:rsidRPr="00AC1DB7">
              <w:rPr>
                <w:color w:val="000000"/>
              </w:rPr>
              <w:t>34</w:t>
            </w:r>
          </w:p>
        </w:tc>
        <w:tc>
          <w:tcPr>
            <w:tcW w:w="922" w:type="dxa"/>
            <w:vAlign w:val="center"/>
          </w:tcPr>
          <w:p w:rsidR="00557D08" w:rsidRPr="00AC1DB7" w:rsidRDefault="00557D08" w:rsidP="00ED1E21">
            <w:pPr>
              <w:pStyle w:val="Normal-beforebullets"/>
              <w:jc w:val="right"/>
              <w:rPr>
                <w:color w:val="000000"/>
              </w:rPr>
            </w:pPr>
            <w:r w:rsidRPr="00AC1DB7">
              <w:rPr>
                <w:color w:val="000000"/>
              </w:rPr>
              <w:t>46.6</w:t>
            </w:r>
          </w:p>
        </w:tc>
      </w:tr>
      <w:tr w:rsidR="00557D08" w:rsidRPr="00AC1DB7" w:rsidTr="00E32B78">
        <w:trPr>
          <w:trHeight w:val="283"/>
        </w:trPr>
        <w:tc>
          <w:tcPr>
            <w:tcW w:w="2405" w:type="dxa"/>
            <w:vAlign w:val="center"/>
            <w:hideMark/>
          </w:tcPr>
          <w:p w:rsidR="00557D08" w:rsidRPr="007D0DD8" w:rsidRDefault="00557D08" w:rsidP="00ED1E21">
            <w:pPr>
              <w:pStyle w:val="Normal-beforebullets"/>
              <w:rPr>
                <w:b/>
                <w:color w:val="000000"/>
                <w:lang w:eastAsia="en-AU"/>
              </w:rPr>
            </w:pPr>
            <w:r w:rsidRPr="007D0DD8">
              <w:rPr>
                <w:b/>
                <w:color w:val="000000"/>
                <w:lang w:eastAsia="en-AU"/>
              </w:rPr>
              <w:t>Oral</w:t>
            </w:r>
          </w:p>
        </w:tc>
        <w:tc>
          <w:tcPr>
            <w:tcW w:w="1672" w:type="dxa"/>
            <w:vAlign w:val="center"/>
          </w:tcPr>
          <w:p w:rsidR="00557D08" w:rsidRPr="00AC1DB7" w:rsidRDefault="00557D08" w:rsidP="00ED1E21">
            <w:pPr>
              <w:pStyle w:val="Normal-beforebullets"/>
              <w:jc w:val="right"/>
              <w:rPr>
                <w:color w:val="000000"/>
              </w:rPr>
            </w:pPr>
            <w:r w:rsidRPr="00AC1DB7">
              <w:rPr>
                <w:color w:val="000000"/>
              </w:rPr>
              <w:t>17</w:t>
            </w:r>
          </w:p>
        </w:tc>
        <w:tc>
          <w:tcPr>
            <w:tcW w:w="921" w:type="dxa"/>
            <w:vAlign w:val="center"/>
          </w:tcPr>
          <w:p w:rsidR="00557D08" w:rsidRPr="00AC1DB7" w:rsidRDefault="00557D08" w:rsidP="00ED1E21">
            <w:pPr>
              <w:pStyle w:val="Normal-beforebullets"/>
              <w:jc w:val="right"/>
              <w:rPr>
                <w:color w:val="000000"/>
              </w:rPr>
            </w:pPr>
            <w:r w:rsidRPr="00AC1DB7">
              <w:rPr>
                <w:color w:val="000000"/>
              </w:rPr>
              <w:t>9</w:t>
            </w:r>
          </w:p>
        </w:tc>
        <w:tc>
          <w:tcPr>
            <w:tcW w:w="922" w:type="dxa"/>
            <w:vAlign w:val="center"/>
          </w:tcPr>
          <w:p w:rsidR="00557D08" w:rsidRPr="00AC1DB7" w:rsidRDefault="00557D08" w:rsidP="00ED1E21">
            <w:pPr>
              <w:pStyle w:val="Normal-beforebullets"/>
              <w:jc w:val="right"/>
              <w:rPr>
                <w:color w:val="000000"/>
              </w:rPr>
            </w:pPr>
            <w:r w:rsidRPr="00AC1DB7">
              <w:rPr>
                <w:color w:val="000000"/>
              </w:rPr>
              <w:t>52.9</w:t>
            </w:r>
          </w:p>
        </w:tc>
        <w:tc>
          <w:tcPr>
            <w:tcW w:w="921" w:type="dxa"/>
            <w:noWrap/>
            <w:vAlign w:val="center"/>
          </w:tcPr>
          <w:p w:rsidR="00557D08" w:rsidRPr="00AC1DB7" w:rsidRDefault="00557D08" w:rsidP="00ED1E21">
            <w:pPr>
              <w:pStyle w:val="Normal-beforebullets"/>
              <w:jc w:val="right"/>
              <w:rPr>
                <w:color w:val="000000"/>
              </w:rPr>
            </w:pPr>
            <w:r w:rsidRPr="00AC1DB7">
              <w:rPr>
                <w:color w:val="000000"/>
              </w:rPr>
              <w:t>10</w:t>
            </w:r>
          </w:p>
        </w:tc>
        <w:tc>
          <w:tcPr>
            <w:tcW w:w="922" w:type="dxa"/>
            <w:vAlign w:val="center"/>
          </w:tcPr>
          <w:p w:rsidR="00557D08" w:rsidRPr="00AC1DB7" w:rsidRDefault="00557D08" w:rsidP="00ED1E21">
            <w:pPr>
              <w:pStyle w:val="Normal-beforebullets"/>
              <w:jc w:val="right"/>
              <w:rPr>
                <w:color w:val="000000"/>
              </w:rPr>
            </w:pPr>
            <w:r w:rsidRPr="00AC1DB7">
              <w:rPr>
                <w:color w:val="000000"/>
              </w:rPr>
              <w:t>58.8</w:t>
            </w:r>
          </w:p>
        </w:tc>
        <w:tc>
          <w:tcPr>
            <w:tcW w:w="921" w:type="dxa"/>
            <w:noWrap/>
            <w:vAlign w:val="center"/>
          </w:tcPr>
          <w:p w:rsidR="00557D08" w:rsidRPr="00AC1DB7" w:rsidRDefault="00557D08" w:rsidP="00ED1E21">
            <w:pPr>
              <w:pStyle w:val="Normal-beforebullets"/>
              <w:jc w:val="right"/>
              <w:rPr>
                <w:color w:val="000000"/>
              </w:rPr>
            </w:pPr>
            <w:r w:rsidRPr="00AC1DB7">
              <w:rPr>
                <w:color w:val="000000"/>
              </w:rPr>
              <w:t>3</w:t>
            </w:r>
          </w:p>
        </w:tc>
        <w:tc>
          <w:tcPr>
            <w:tcW w:w="922" w:type="dxa"/>
            <w:vAlign w:val="center"/>
          </w:tcPr>
          <w:p w:rsidR="00557D08" w:rsidRPr="00AC1DB7" w:rsidRDefault="00557D08" w:rsidP="00ED1E21">
            <w:pPr>
              <w:pStyle w:val="Normal-beforebullets"/>
              <w:jc w:val="right"/>
              <w:rPr>
                <w:color w:val="000000"/>
              </w:rPr>
            </w:pPr>
            <w:r w:rsidRPr="00AC1DB7">
              <w:rPr>
                <w:color w:val="000000"/>
              </w:rPr>
              <w:t>17.6</w:t>
            </w:r>
          </w:p>
        </w:tc>
      </w:tr>
      <w:tr w:rsidR="00557D08" w:rsidRPr="00AC1DB7" w:rsidTr="00E32B78">
        <w:trPr>
          <w:trHeight w:val="283"/>
        </w:trPr>
        <w:tc>
          <w:tcPr>
            <w:tcW w:w="2405" w:type="dxa"/>
            <w:vAlign w:val="center"/>
          </w:tcPr>
          <w:p w:rsidR="00557D08" w:rsidRPr="007D0DD8" w:rsidRDefault="00557D08" w:rsidP="00ED1E21">
            <w:pPr>
              <w:pStyle w:val="Normal-beforebullets"/>
              <w:rPr>
                <w:b/>
                <w:color w:val="000000"/>
                <w:lang w:eastAsia="en-AU"/>
              </w:rPr>
            </w:pPr>
            <w:r w:rsidRPr="007D0DD8">
              <w:rPr>
                <w:b/>
                <w:color w:val="000000"/>
                <w:lang w:eastAsia="en-AU"/>
              </w:rPr>
              <w:t>Gastrointestinal tract</w:t>
            </w:r>
          </w:p>
        </w:tc>
        <w:tc>
          <w:tcPr>
            <w:tcW w:w="1672" w:type="dxa"/>
            <w:vAlign w:val="center"/>
          </w:tcPr>
          <w:p w:rsidR="00557D08" w:rsidRPr="00AC1DB7" w:rsidRDefault="00557D08" w:rsidP="00ED1E21">
            <w:pPr>
              <w:pStyle w:val="Normal-beforebullets"/>
              <w:jc w:val="right"/>
              <w:rPr>
                <w:color w:val="000000"/>
              </w:rPr>
            </w:pPr>
            <w:r w:rsidRPr="00AC1DB7">
              <w:rPr>
                <w:color w:val="000000"/>
              </w:rPr>
              <w:t>10</w:t>
            </w:r>
          </w:p>
        </w:tc>
        <w:tc>
          <w:tcPr>
            <w:tcW w:w="921" w:type="dxa"/>
            <w:vAlign w:val="center"/>
          </w:tcPr>
          <w:p w:rsidR="00557D08" w:rsidRPr="00AC1DB7" w:rsidRDefault="00557D08" w:rsidP="00ED1E21">
            <w:pPr>
              <w:pStyle w:val="Normal-beforebullets"/>
              <w:jc w:val="right"/>
              <w:rPr>
                <w:color w:val="000000"/>
              </w:rPr>
            </w:pPr>
            <w:r w:rsidRPr="00AC1DB7">
              <w:rPr>
                <w:color w:val="000000"/>
              </w:rPr>
              <w:t>3</w:t>
            </w:r>
          </w:p>
        </w:tc>
        <w:tc>
          <w:tcPr>
            <w:tcW w:w="922" w:type="dxa"/>
            <w:vAlign w:val="center"/>
          </w:tcPr>
          <w:p w:rsidR="00557D08" w:rsidRPr="00AC1DB7" w:rsidRDefault="00557D08" w:rsidP="00ED1E21">
            <w:pPr>
              <w:pStyle w:val="Normal-beforebullets"/>
              <w:jc w:val="right"/>
              <w:rPr>
                <w:color w:val="000000"/>
              </w:rPr>
            </w:pPr>
            <w:r w:rsidRPr="00AC1DB7">
              <w:rPr>
                <w:color w:val="000000"/>
              </w:rPr>
              <w:t>30.0</w:t>
            </w:r>
          </w:p>
        </w:tc>
        <w:tc>
          <w:tcPr>
            <w:tcW w:w="921" w:type="dxa"/>
            <w:noWrap/>
            <w:vAlign w:val="center"/>
          </w:tcPr>
          <w:p w:rsidR="00557D08" w:rsidRPr="00AC1DB7" w:rsidRDefault="00557D08" w:rsidP="00ED1E21">
            <w:pPr>
              <w:pStyle w:val="Normal-beforebullets"/>
              <w:jc w:val="right"/>
              <w:rPr>
                <w:color w:val="000000"/>
              </w:rPr>
            </w:pPr>
            <w:r w:rsidRPr="00AC1DB7">
              <w:rPr>
                <w:color w:val="000000"/>
              </w:rPr>
              <w:t>2</w:t>
            </w:r>
          </w:p>
        </w:tc>
        <w:tc>
          <w:tcPr>
            <w:tcW w:w="922" w:type="dxa"/>
            <w:vAlign w:val="center"/>
          </w:tcPr>
          <w:p w:rsidR="00557D08" w:rsidRPr="00AC1DB7" w:rsidRDefault="00557D08" w:rsidP="00ED1E21">
            <w:pPr>
              <w:pStyle w:val="Normal-beforebullets"/>
              <w:jc w:val="right"/>
              <w:rPr>
                <w:color w:val="000000"/>
              </w:rPr>
            </w:pPr>
            <w:r w:rsidRPr="00AC1DB7">
              <w:rPr>
                <w:color w:val="000000"/>
              </w:rPr>
              <w:t>20.0</w:t>
            </w:r>
          </w:p>
        </w:tc>
        <w:tc>
          <w:tcPr>
            <w:tcW w:w="921" w:type="dxa"/>
            <w:noWrap/>
            <w:vAlign w:val="center"/>
          </w:tcPr>
          <w:p w:rsidR="00557D08" w:rsidRPr="00AC1DB7" w:rsidRDefault="00557D08" w:rsidP="00ED1E21">
            <w:pPr>
              <w:pStyle w:val="Normal-beforebullets"/>
              <w:jc w:val="right"/>
              <w:rPr>
                <w:color w:val="000000"/>
              </w:rPr>
            </w:pPr>
            <w:r w:rsidRPr="00AC1DB7">
              <w:rPr>
                <w:color w:val="000000"/>
              </w:rPr>
              <w:t>2</w:t>
            </w:r>
          </w:p>
        </w:tc>
        <w:tc>
          <w:tcPr>
            <w:tcW w:w="922" w:type="dxa"/>
            <w:vAlign w:val="center"/>
          </w:tcPr>
          <w:p w:rsidR="00557D08" w:rsidRPr="00AC1DB7" w:rsidRDefault="00557D08" w:rsidP="00ED1E21">
            <w:pPr>
              <w:pStyle w:val="Normal-beforebullets"/>
              <w:jc w:val="right"/>
              <w:rPr>
                <w:color w:val="000000"/>
              </w:rPr>
            </w:pPr>
            <w:r w:rsidRPr="00AC1DB7">
              <w:rPr>
                <w:color w:val="000000"/>
              </w:rPr>
              <w:t>20.0</w:t>
            </w:r>
          </w:p>
        </w:tc>
      </w:tr>
      <w:tr w:rsidR="00557D08" w:rsidRPr="00AC1DB7" w:rsidTr="00E32B78">
        <w:trPr>
          <w:trHeight w:val="283"/>
        </w:trPr>
        <w:tc>
          <w:tcPr>
            <w:tcW w:w="2405" w:type="dxa"/>
            <w:vAlign w:val="center"/>
          </w:tcPr>
          <w:p w:rsidR="00557D08" w:rsidRPr="00140F71" w:rsidRDefault="00557D08" w:rsidP="00ED1E21">
            <w:pPr>
              <w:pStyle w:val="Normal-beforebullets"/>
              <w:rPr>
                <w:b/>
                <w:color w:val="000000"/>
                <w:lang w:eastAsia="en-AU"/>
              </w:rPr>
            </w:pPr>
            <w:r w:rsidRPr="00140F71">
              <w:rPr>
                <w:b/>
                <w:color w:val="000000"/>
                <w:lang w:eastAsia="en-AU"/>
              </w:rPr>
              <w:t>Total</w:t>
            </w:r>
          </w:p>
        </w:tc>
        <w:tc>
          <w:tcPr>
            <w:tcW w:w="1672" w:type="dxa"/>
            <w:vAlign w:val="center"/>
          </w:tcPr>
          <w:p w:rsidR="00557D08" w:rsidRPr="00140F71" w:rsidRDefault="00557D08" w:rsidP="00ED1E21">
            <w:pPr>
              <w:pStyle w:val="Normal-beforebullets"/>
              <w:jc w:val="right"/>
              <w:rPr>
                <w:b/>
                <w:color w:val="000000"/>
                <w:lang w:eastAsia="en-AU"/>
              </w:rPr>
            </w:pPr>
            <w:r w:rsidRPr="00140F71">
              <w:rPr>
                <w:b/>
                <w:color w:val="000000"/>
                <w:lang w:eastAsia="en-AU"/>
              </w:rPr>
              <w:t>1146*</w:t>
            </w:r>
          </w:p>
        </w:tc>
        <w:tc>
          <w:tcPr>
            <w:tcW w:w="921" w:type="dxa"/>
            <w:vAlign w:val="center"/>
          </w:tcPr>
          <w:p w:rsidR="00557D08" w:rsidRPr="00140F71" w:rsidRDefault="00557D08" w:rsidP="00ED1E21">
            <w:pPr>
              <w:pStyle w:val="Normal-beforebullets"/>
              <w:jc w:val="right"/>
              <w:rPr>
                <w:b/>
                <w:color w:val="000000"/>
                <w:lang w:eastAsia="en-AU"/>
              </w:rPr>
            </w:pPr>
            <w:r w:rsidRPr="00140F71">
              <w:rPr>
                <w:b/>
                <w:color w:val="000000"/>
                <w:lang w:eastAsia="en-AU"/>
              </w:rPr>
              <w:t>513</w:t>
            </w:r>
          </w:p>
        </w:tc>
        <w:tc>
          <w:tcPr>
            <w:tcW w:w="922" w:type="dxa"/>
            <w:vAlign w:val="center"/>
          </w:tcPr>
          <w:p w:rsidR="00557D08" w:rsidRPr="00140F71" w:rsidRDefault="00557D08" w:rsidP="00ED1E21">
            <w:pPr>
              <w:pStyle w:val="Normal-beforebullets"/>
              <w:jc w:val="right"/>
              <w:rPr>
                <w:b/>
                <w:color w:val="000000"/>
                <w:lang w:eastAsia="en-AU"/>
              </w:rPr>
            </w:pPr>
            <w:r w:rsidRPr="00140F71">
              <w:rPr>
                <w:b/>
                <w:color w:val="000000"/>
                <w:lang w:eastAsia="en-AU"/>
              </w:rPr>
              <w:t>44.8</w:t>
            </w:r>
          </w:p>
        </w:tc>
        <w:tc>
          <w:tcPr>
            <w:tcW w:w="921" w:type="dxa"/>
            <w:noWrap/>
            <w:vAlign w:val="center"/>
          </w:tcPr>
          <w:p w:rsidR="00557D08" w:rsidRPr="00140F71" w:rsidRDefault="00557D08" w:rsidP="00ED1E21">
            <w:pPr>
              <w:pStyle w:val="Normal-beforebullets"/>
              <w:jc w:val="right"/>
              <w:rPr>
                <w:b/>
                <w:color w:val="000000"/>
                <w:lang w:eastAsia="en-AU"/>
              </w:rPr>
            </w:pPr>
            <w:r w:rsidRPr="00140F71">
              <w:rPr>
                <w:b/>
                <w:color w:val="000000"/>
                <w:lang w:eastAsia="en-AU"/>
              </w:rPr>
              <w:t>458</w:t>
            </w:r>
          </w:p>
        </w:tc>
        <w:tc>
          <w:tcPr>
            <w:tcW w:w="922" w:type="dxa"/>
            <w:vAlign w:val="center"/>
          </w:tcPr>
          <w:p w:rsidR="00557D08" w:rsidRPr="00140F71" w:rsidRDefault="00557D08" w:rsidP="00ED1E21">
            <w:pPr>
              <w:pStyle w:val="Normal-beforebullets"/>
              <w:jc w:val="right"/>
              <w:rPr>
                <w:b/>
                <w:color w:val="000000"/>
                <w:lang w:eastAsia="en-AU"/>
              </w:rPr>
            </w:pPr>
            <w:r w:rsidRPr="00140F71">
              <w:rPr>
                <w:b/>
                <w:color w:val="000000"/>
                <w:lang w:eastAsia="en-AU"/>
              </w:rPr>
              <w:t>40.0</w:t>
            </w:r>
          </w:p>
        </w:tc>
        <w:tc>
          <w:tcPr>
            <w:tcW w:w="921" w:type="dxa"/>
            <w:noWrap/>
            <w:vAlign w:val="center"/>
          </w:tcPr>
          <w:p w:rsidR="00557D08" w:rsidRPr="00140F71" w:rsidRDefault="00557D08" w:rsidP="00ED1E21">
            <w:pPr>
              <w:pStyle w:val="Normal-beforebullets"/>
              <w:jc w:val="right"/>
              <w:rPr>
                <w:b/>
                <w:color w:val="000000"/>
                <w:lang w:eastAsia="en-AU"/>
              </w:rPr>
            </w:pPr>
            <w:r w:rsidRPr="00140F71">
              <w:rPr>
                <w:b/>
                <w:color w:val="000000"/>
                <w:lang w:eastAsia="en-AU"/>
              </w:rPr>
              <w:t>211</w:t>
            </w:r>
          </w:p>
        </w:tc>
        <w:tc>
          <w:tcPr>
            <w:tcW w:w="922" w:type="dxa"/>
            <w:vAlign w:val="center"/>
          </w:tcPr>
          <w:p w:rsidR="00557D08" w:rsidRPr="00140F71" w:rsidRDefault="00557D08" w:rsidP="00ED1E21">
            <w:pPr>
              <w:pStyle w:val="Normal-beforebullets"/>
              <w:jc w:val="right"/>
              <w:rPr>
                <w:b/>
                <w:color w:val="000000"/>
                <w:lang w:eastAsia="en-AU"/>
              </w:rPr>
            </w:pPr>
            <w:r w:rsidRPr="00140F71">
              <w:rPr>
                <w:b/>
                <w:color w:val="000000"/>
                <w:lang w:eastAsia="en-AU"/>
              </w:rPr>
              <w:t>18.4</w:t>
            </w:r>
          </w:p>
        </w:tc>
      </w:tr>
    </w:tbl>
    <w:p w:rsidR="00557D08" w:rsidRPr="007D0DD8" w:rsidRDefault="00557D08" w:rsidP="009D44F5">
      <w:pPr>
        <w:pStyle w:val="Normal-beforebullets"/>
        <w:rPr>
          <w:sz w:val="20"/>
          <w:szCs w:val="20"/>
        </w:rPr>
      </w:pPr>
      <w:r w:rsidRPr="007D0DD8">
        <w:rPr>
          <w:sz w:val="20"/>
          <w:szCs w:val="20"/>
        </w:rPr>
        <w:t>*Prescriptions for medical prophylaxis and unknown indications were excluded from this table</w:t>
      </w:r>
    </w:p>
    <w:p w:rsidR="00557D08" w:rsidRDefault="00557D08" w:rsidP="009D44F5">
      <w:pPr>
        <w:pStyle w:val="Normal-beforebullets"/>
        <w:rPr>
          <w:sz w:val="20"/>
          <w:szCs w:val="20"/>
        </w:rPr>
      </w:pPr>
      <w:r w:rsidRPr="007D0DD8">
        <w:rPr>
          <w:sz w:val="20"/>
          <w:szCs w:val="20"/>
        </w:rPr>
        <w:t>†Some prescriptions may have had infection signs and/or symptoms from more than one body system</w:t>
      </w:r>
    </w:p>
    <w:p w:rsidR="008229F3" w:rsidRPr="007D0DD8" w:rsidRDefault="008229F3" w:rsidP="009D44F5">
      <w:pPr>
        <w:pStyle w:val="Normal-beforebullets"/>
        <w:rPr>
          <w:sz w:val="20"/>
          <w:szCs w:val="20"/>
        </w:rPr>
      </w:pPr>
      <w:r w:rsidRPr="008229F3">
        <w:rPr>
          <w:sz w:val="20"/>
          <w:szCs w:val="20"/>
        </w:rPr>
        <w:t>§</w:t>
      </w:r>
      <w:r>
        <w:rPr>
          <w:sz w:val="20"/>
          <w:szCs w:val="20"/>
        </w:rPr>
        <w:t>ACH=aged care home</w:t>
      </w:r>
    </w:p>
    <w:p w:rsidR="00557D08" w:rsidRPr="009D44F5" w:rsidRDefault="00EE75B2" w:rsidP="009D44F5">
      <w:pPr>
        <w:pStyle w:val="Heading1"/>
      </w:pPr>
      <w:bookmarkStart w:id="80" w:name="_Toc520373126"/>
      <w:r>
        <w:t>Discussion</w:t>
      </w:r>
      <w:bookmarkEnd w:id="80"/>
    </w:p>
    <w:p w:rsidR="0067683E" w:rsidRDefault="00423559" w:rsidP="00C332A2">
      <w:r>
        <w:t>In 2017, t</w:t>
      </w:r>
      <w:r w:rsidR="00557D08" w:rsidRPr="000C0393">
        <w:t xml:space="preserve">he </w:t>
      </w:r>
      <w:r w:rsidR="00EE75B2">
        <w:t xml:space="preserve">prevalence of </w:t>
      </w:r>
      <w:r w:rsidR="00AA15C3">
        <w:t xml:space="preserve">both </w:t>
      </w:r>
      <w:r w:rsidR="00EE75B2">
        <w:t xml:space="preserve">infections </w:t>
      </w:r>
      <w:r w:rsidR="00EE75B2" w:rsidRPr="00EE75B2">
        <w:t xml:space="preserve">and antimicrobial use reported </w:t>
      </w:r>
      <w:r w:rsidR="0067683E">
        <w:t xml:space="preserve">to the acNAPS </w:t>
      </w:r>
      <w:r w:rsidR="00EE75B2">
        <w:t>decreased</w:t>
      </w:r>
      <w:r w:rsidR="0067683E">
        <w:t>,</w:t>
      </w:r>
      <w:r w:rsidR="00EE75B2">
        <w:t xml:space="preserve"> compared with 2016</w:t>
      </w:r>
      <w:r w:rsidR="00CF33E4">
        <w:t>.</w:t>
      </w:r>
      <w:r w:rsidR="007C37F5" w:rsidRPr="007C37F5">
        <w:rPr>
          <w:rStyle w:val="EndnoteReference"/>
        </w:rPr>
        <w:t xml:space="preserve"> </w:t>
      </w:r>
      <w:r w:rsidR="007C37F5">
        <w:rPr>
          <w:rStyle w:val="EndnoteReference"/>
        </w:rPr>
        <w:endnoteReference w:id="17"/>
      </w:r>
      <w:r w:rsidR="007C37F5">
        <w:t xml:space="preserve"> </w:t>
      </w:r>
      <w:r w:rsidR="00C332A2">
        <w:t xml:space="preserve"> </w:t>
      </w:r>
    </w:p>
    <w:p w:rsidR="00557D08" w:rsidRPr="00974C26" w:rsidRDefault="00CF33E4" w:rsidP="00C332A2">
      <w:r>
        <w:t>O</w:t>
      </w:r>
      <w:r w:rsidR="00557D08" w:rsidRPr="00974C26">
        <w:t xml:space="preserve">ngoing </w:t>
      </w:r>
      <w:r w:rsidR="0067683E">
        <w:t xml:space="preserve">inappropriate </w:t>
      </w:r>
      <w:r>
        <w:t xml:space="preserve">antimicrobial use in </w:t>
      </w:r>
      <w:r w:rsidR="0067683E">
        <w:t>aged care homes</w:t>
      </w:r>
      <w:r w:rsidR="007C37F5">
        <w:t xml:space="preserve"> </w:t>
      </w:r>
      <w:r w:rsidR="007C37F5" w:rsidRPr="007C37F5">
        <w:t>in 2017</w:t>
      </w:r>
      <w:r w:rsidR="003A1CA2">
        <w:t>, which potentially places the safety of residents at risk,</w:t>
      </w:r>
      <w:r w:rsidR="0067683E">
        <w:t xml:space="preserve"> </w:t>
      </w:r>
      <w:r w:rsidR="00557D08" w:rsidRPr="00974C26">
        <w:t>includ</w:t>
      </w:r>
      <w:r>
        <w:t>ed</w:t>
      </w:r>
      <w:r w:rsidR="00557D08" w:rsidRPr="00974C26">
        <w:t xml:space="preserve"> the prescription of antimicrobials for unconfirmed infections, prolonged duration of antimicrobial prescriptions and the widespread use of topical antimicrobials. </w:t>
      </w:r>
      <w:r w:rsidR="003071A2">
        <w:t xml:space="preserve">The following results were of </w:t>
      </w:r>
      <w:r w:rsidR="005F207D">
        <w:t xml:space="preserve">particular </w:t>
      </w:r>
      <w:r w:rsidR="003071A2">
        <w:t>concern</w:t>
      </w:r>
      <w:r w:rsidR="00557D08" w:rsidRPr="00974C26">
        <w:t xml:space="preserve">: </w:t>
      </w:r>
    </w:p>
    <w:p w:rsidR="00557D08" w:rsidRDefault="00557D08" w:rsidP="00E32B78">
      <w:pPr>
        <w:pStyle w:val="Bulletlist"/>
        <w:ind w:hanging="568"/>
      </w:pPr>
      <w:r w:rsidRPr="00974C26">
        <w:t xml:space="preserve">Over </w:t>
      </w:r>
      <w:r w:rsidR="003071A2">
        <w:t>one-</w:t>
      </w:r>
      <w:r w:rsidRPr="00974C26">
        <w:t>half of the antimicrobial prescriptions (55.</w:t>
      </w:r>
      <w:r w:rsidR="009C26CD">
        <w:t xml:space="preserve">2%) were for residents with no </w:t>
      </w:r>
      <w:r w:rsidRPr="00974C26">
        <w:t xml:space="preserve">signs and/or symptoms </w:t>
      </w:r>
      <w:r w:rsidR="009C26CD">
        <w:t xml:space="preserve">of a suspected infection </w:t>
      </w:r>
      <w:r w:rsidRPr="00974C26">
        <w:t>in t</w:t>
      </w:r>
      <w:r w:rsidR="003071A2">
        <w:t>he week prior to the start date</w:t>
      </w:r>
    </w:p>
    <w:p w:rsidR="00CD0369" w:rsidRPr="00974C26" w:rsidRDefault="00CD0369" w:rsidP="00E32B78">
      <w:pPr>
        <w:pStyle w:val="Bulletlist"/>
        <w:ind w:hanging="568"/>
      </w:pPr>
      <w:r>
        <w:t xml:space="preserve">Only </w:t>
      </w:r>
      <w:r w:rsidR="008D7F33">
        <w:t>18.4%</w:t>
      </w:r>
      <w:r>
        <w:t xml:space="preserve"> of prescriptions were</w:t>
      </w:r>
      <w:r w:rsidR="008D7F33">
        <w:t xml:space="preserve"> for residents with infection signs and</w:t>
      </w:r>
      <w:r w:rsidR="009C26CD">
        <w:t>/or</w:t>
      </w:r>
      <w:r w:rsidR="008D7F33">
        <w:t xml:space="preserve"> symptoms that met internationally accepted </w:t>
      </w:r>
      <w:r w:rsidR="006D4A57">
        <w:t xml:space="preserve">surveillance </w:t>
      </w:r>
      <w:r w:rsidR="008D7F33">
        <w:t>criteria</w:t>
      </w:r>
      <w:r w:rsidR="00423559">
        <w:t>, which is half</w:t>
      </w:r>
      <w:r w:rsidR="00AB3E4B">
        <w:t xml:space="preserve"> the number that m</w:t>
      </w:r>
      <w:r w:rsidR="00423559">
        <w:t>et the criteria in 2016</w:t>
      </w:r>
      <w:r w:rsidR="008D7F33">
        <w:t xml:space="preserve"> </w:t>
      </w:r>
    </w:p>
    <w:p w:rsidR="00557D08" w:rsidRDefault="00557D08" w:rsidP="00E32B78">
      <w:pPr>
        <w:pStyle w:val="Bulletlist"/>
        <w:ind w:hanging="568"/>
      </w:pPr>
      <w:r w:rsidRPr="00974C26">
        <w:t>The start date was greater than six months pr</w:t>
      </w:r>
      <w:r w:rsidR="009C26CD">
        <w:t>ior to the survey day for 26.9%</w:t>
      </w:r>
      <w:r w:rsidR="003071A2">
        <w:t xml:space="preserve"> </w:t>
      </w:r>
      <w:r w:rsidR="00B85462">
        <w:t xml:space="preserve">of </w:t>
      </w:r>
      <w:r w:rsidR="003071A2">
        <w:t>antimicrobial prescriptions</w:t>
      </w:r>
    </w:p>
    <w:p w:rsidR="009C26CD" w:rsidRDefault="009C26CD" w:rsidP="00E32B78">
      <w:pPr>
        <w:pStyle w:val="Bulletlist"/>
        <w:ind w:hanging="568"/>
      </w:pPr>
      <w:r>
        <w:t xml:space="preserve">The indication for commencing an antimicrobial was not documented for 23.7% </w:t>
      </w:r>
      <w:r w:rsidR="00B85462">
        <w:t xml:space="preserve">of </w:t>
      </w:r>
      <w:r>
        <w:t>prescriptions</w:t>
      </w:r>
    </w:p>
    <w:p w:rsidR="009C26CD" w:rsidRPr="00974C26" w:rsidRDefault="009C26CD" w:rsidP="00E32B78">
      <w:pPr>
        <w:pStyle w:val="Bulletlist"/>
        <w:ind w:hanging="568"/>
      </w:pPr>
      <w:r>
        <w:t xml:space="preserve">The antimicrobial review or stop date was not documented for 55.6% </w:t>
      </w:r>
      <w:r w:rsidR="00B85462">
        <w:t xml:space="preserve">of </w:t>
      </w:r>
      <w:r w:rsidR="00BB7508">
        <w:t>prescriptions</w:t>
      </w:r>
    </w:p>
    <w:p w:rsidR="00557D08" w:rsidRPr="00974C26" w:rsidRDefault="003071A2" w:rsidP="00E32B78">
      <w:pPr>
        <w:pStyle w:val="Bulletlist"/>
        <w:ind w:hanging="568"/>
      </w:pPr>
      <w:r>
        <w:t>One-</w:t>
      </w:r>
      <w:r w:rsidR="00557D08" w:rsidRPr="00974C26">
        <w:t xml:space="preserve">third (33.1%) of antimicrobial prescriptions </w:t>
      </w:r>
      <w:r>
        <w:t>were for topical use</w:t>
      </w:r>
      <w:r w:rsidR="009C26CD">
        <w:t>.</w:t>
      </w:r>
    </w:p>
    <w:p w:rsidR="007C37F5" w:rsidRDefault="007C37F5" w:rsidP="009D44F5">
      <w:r>
        <w:t>D</w:t>
      </w:r>
      <w:r w:rsidRPr="007C37F5">
        <w:t>ata on the prevalence of antimicrobial resistance in Australian aged care home residents</w:t>
      </w:r>
      <w:r>
        <w:t xml:space="preserve">, in combination with the inappropriate antimicrobial use identified by </w:t>
      </w:r>
      <w:r w:rsidR="002275A3">
        <w:t>successive acNAPS,</w:t>
      </w:r>
      <w:r w:rsidRPr="007C37F5">
        <w:t xml:space="preserve"> </w:t>
      </w:r>
      <w:r w:rsidR="002275A3">
        <w:t xml:space="preserve">suggest that </w:t>
      </w:r>
      <w:r w:rsidRPr="007C37F5">
        <w:t xml:space="preserve">aged care homes </w:t>
      </w:r>
      <w:r w:rsidR="002275A3">
        <w:t xml:space="preserve">have the </w:t>
      </w:r>
      <w:r w:rsidR="002275A3" w:rsidRPr="002275A3">
        <w:t>potential</w:t>
      </w:r>
      <w:r w:rsidR="002275A3">
        <w:t xml:space="preserve"> to</w:t>
      </w:r>
      <w:r w:rsidRPr="007C37F5">
        <w:t xml:space="preserve"> enhance amplification of antimicrobial resistance in </w:t>
      </w:r>
      <w:r w:rsidRPr="002275A3">
        <w:t>Australia</w:t>
      </w:r>
      <w:r w:rsidR="00A33F2E">
        <w:t>.</w:t>
      </w:r>
    </w:p>
    <w:p w:rsidR="00557D08" w:rsidRDefault="00557D08" w:rsidP="009D44F5">
      <w:r w:rsidRPr="00974C26">
        <w:t xml:space="preserve">The </w:t>
      </w:r>
      <w:r>
        <w:t xml:space="preserve">2017 acNAPS </w:t>
      </w:r>
      <w:r w:rsidRPr="00974C26">
        <w:t xml:space="preserve">results reinforce the need for effective </w:t>
      </w:r>
      <w:r w:rsidR="00CF33E4">
        <w:t xml:space="preserve">infection prevention and control programs </w:t>
      </w:r>
      <w:r w:rsidRPr="00974C26">
        <w:t xml:space="preserve">and </w:t>
      </w:r>
      <w:r w:rsidR="00CF33E4">
        <w:t xml:space="preserve">the development </w:t>
      </w:r>
      <w:r w:rsidR="00D915AD">
        <w:t xml:space="preserve">and implementation </w:t>
      </w:r>
      <w:r w:rsidR="00CF33E4">
        <w:t xml:space="preserve">of </w:t>
      </w:r>
      <w:r w:rsidRPr="00974C26">
        <w:t xml:space="preserve">AMS programs in Australian </w:t>
      </w:r>
      <w:r w:rsidR="00CF33E4">
        <w:t>aged care homes</w:t>
      </w:r>
      <w:r w:rsidRPr="00974C26">
        <w:t>.</w:t>
      </w:r>
      <w:r w:rsidR="00C332A2">
        <w:t xml:space="preserve"> </w:t>
      </w:r>
      <w:r w:rsidR="00140F71">
        <w:t xml:space="preserve">These programs are important if </w:t>
      </w:r>
      <w:r w:rsidR="00AB03DB">
        <w:t xml:space="preserve">infections and inappropriate antimicrobial use are to be significantly reduced. </w:t>
      </w:r>
    </w:p>
    <w:p w:rsidR="00557D08" w:rsidRPr="00D96645" w:rsidRDefault="00CF33E4" w:rsidP="009D44F5">
      <w:pPr>
        <w:rPr>
          <w:rStyle w:val="Heading1Char"/>
          <w:rFonts w:ascii="Arial" w:eastAsiaTheme="minorHAnsi" w:hAnsi="Arial"/>
          <w:b w:val="0"/>
          <w:bCs w:val="0"/>
        </w:rPr>
      </w:pPr>
      <w:r>
        <w:lastRenderedPageBreak/>
        <w:t>The Commission</w:t>
      </w:r>
      <w:r w:rsidR="00423559">
        <w:t xml:space="preserve"> and</w:t>
      </w:r>
      <w:r w:rsidR="0024639D">
        <w:t xml:space="preserve"> </w:t>
      </w:r>
      <w:r>
        <w:t xml:space="preserve">NCAS will </w:t>
      </w:r>
      <w:r w:rsidR="00FC15BF">
        <w:t xml:space="preserve">widely disseminate the results of the 2017 </w:t>
      </w:r>
      <w:r>
        <w:t xml:space="preserve">acNAPS and examine strategies to enhance the </w:t>
      </w:r>
      <w:r w:rsidR="00FC15BF">
        <w:t xml:space="preserve">number and </w:t>
      </w:r>
      <w:r>
        <w:t>representativeness of the aged care homes that participate in acNAPS in 2018.</w:t>
      </w:r>
    </w:p>
    <w:p w:rsidR="00557D08" w:rsidRDefault="00557D08" w:rsidP="009D44F5">
      <w:pPr>
        <w:rPr>
          <w:sz w:val="32"/>
          <w:szCs w:val="32"/>
        </w:rPr>
      </w:pPr>
    </w:p>
    <w:bookmarkEnd w:id="31"/>
    <w:bookmarkEnd w:id="32"/>
    <w:bookmarkEnd w:id="33"/>
    <w:bookmarkEnd w:id="34"/>
    <w:p w:rsidR="00265E2A" w:rsidRDefault="00265E2A">
      <w:pPr>
        <w:spacing w:after="80"/>
        <w:rPr>
          <w:b/>
        </w:rPr>
      </w:pPr>
      <w:r>
        <w:br w:type="page"/>
      </w:r>
    </w:p>
    <w:p w:rsidR="00F560D5" w:rsidRDefault="00D20212" w:rsidP="00265E2A">
      <w:pPr>
        <w:pStyle w:val="FigureTitle"/>
      </w:pPr>
      <w:r>
        <w:lastRenderedPageBreak/>
        <w:t>Appendix 1: Aged Care Home (ACH) form</w:t>
      </w:r>
    </w:p>
    <w:p w:rsidR="00265E2A" w:rsidRDefault="00265E2A" w:rsidP="00265E2A">
      <w:pPr>
        <w:pStyle w:val="FigureTitle"/>
      </w:pPr>
    </w:p>
    <w:p w:rsidR="00265E2A" w:rsidRDefault="00265E2A" w:rsidP="00265E2A">
      <w:pPr>
        <w:pStyle w:val="FigureTitle"/>
      </w:pPr>
      <w:r>
        <w:rPr>
          <w:noProof/>
        </w:rPr>
        <w:drawing>
          <wp:inline distT="0" distB="0" distL="0" distR="0" wp14:anchorId="511F280E" wp14:editId="3350808C">
            <wp:extent cx="5731510" cy="7934325"/>
            <wp:effectExtent l="0" t="0" r="254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31510" cy="7934325"/>
                    </a:xfrm>
                    <a:prstGeom prst="rect">
                      <a:avLst/>
                    </a:prstGeom>
                  </pic:spPr>
                </pic:pic>
              </a:graphicData>
            </a:graphic>
          </wp:inline>
        </w:drawing>
      </w:r>
    </w:p>
    <w:p w:rsidR="00265E2A" w:rsidRDefault="00265E2A" w:rsidP="00265E2A">
      <w:pPr>
        <w:pStyle w:val="FigureTitle"/>
      </w:pPr>
    </w:p>
    <w:p w:rsidR="00265E2A" w:rsidRDefault="00265E2A" w:rsidP="00265E2A">
      <w:pPr>
        <w:pStyle w:val="FigureTitle"/>
        <w:sectPr w:rsidR="00265E2A" w:rsidSect="008A7915">
          <w:footerReference w:type="default" r:id="rId27"/>
          <w:footerReference w:type="first" r:id="rId28"/>
          <w:endnotePr>
            <w:numFmt w:val="decimal"/>
          </w:endnotePr>
          <w:pgSz w:w="11906" w:h="16838"/>
          <w:pgMar w:top="1134" w:right="1134" w:bottom="1134" w:left="1134" w:header="567" w:footer="567" w:gutter="0"/>
          <w:cols w:space="708"/>
          <w:docGrid w:linePitch="360"/>
        </w:sectPr>
      </w:pPr>
    </w:p>
    <w:p w:rsidR="00265E2A" w:rsidRDefault="00265E2A" w:rsidP="00265E2A">
      <w:pPr>
        <w:pStyle w:val="FigureTitle"/>
      </w:pPr>
      <w:r>
        <w:lastRenderedPageBreak/>
        <w:t>Appendix 2: Antimicrobials form</w:t>
      </w:r>
    </w:p>
    <w:p w:rsidR="00265E2A" w:rsidRDefault="00265E2A" w:rsidP="00265E2A">
      <w:pPr>
        <w:pStyle w:val="FigureTitle"/>
      </w:pPr>
    </w:p>
    <w:p w:rsidR="00265E2A" w:rsidRDefault="00265E2A" w:rsidP="00265E2A">
      <w:pPr>
        <w:pStyle w:val="FigureTitle"/>
      </w:pPr>
      <w:r>
        <w:rPr>
          <w:noProof/>
        </w:rPr>
        <w:drawing>
          <wp:inline distT="0" distB="0" distL="0" distR="0" wp14:anchorId="32603E12" wp14:editId="313A0FC2">
            <wp:extent cx="7182562" cy="507649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7184216" cy="5077666"/>
                    </a:xfrm>
                    <a:prstGeom prst="rect">
                      <a:avLst/>
                    </a:prstGeom>
                  </pic:spPr>
                </pic:pic>
              </a:graphicData>
            </a:graphic>
          </wp:inline>
        </w:drawing>
      </w:r>
    </w:p>
    <w:p w:rsidR="007C37F5" w:rsidRDefault="007C37F5">
      <w:pPr>
        <w:spacing w:after="80"/>
        <w:rPr>
          <w:b/>
        </w:rPr>
      </w:pPr>
    </w:p>
    <w:p w:rsidR="00265E2A" w:rsidRDefault="00265E2A" w:rsidP="00265E2A">
      <w:pPr>
        <w:pStyle w:val="FigureTitle"/>
      </w:pPr>
      <w:r>
        <w:lastRenderedPageBreak/>
        <w:t>Appendix 3: Infections form</w:t>
      </w:r>
    </w:p>
    <w:p w:rsidR="00265E2A" w:rsidRDefault="00265E2A" w:rsidP="00265E2A">
      <w:pPr>
        <w:pStyle w:val="FigureTitle"/>
      </w:pPr>
    </w:p>
    <w:p w:rsidR="00265E2A" w:rsidRDefault="00265E2A" w:rsidP="00265E2A">
      <w:pPr>
        <w:pStyle w:val="FigureTitle"/>
      </w:pPr>
      <w:r>
        <w:rPr>
          <w:noProof/>
        </w:rPr>
        <w:drawing>
          <wp:inline distT="0" distB="0" distL="0" distR="0" wp14:anchorId="1B7B4970" wp14:editId="63BD1DDC">
            <wp:extent cx="7118131" cy="4987642"/>
            <wp:effectExtent l="19050" t="19050" r="26035" b="2286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PNG"/>
                    <pic:cNvPicPr/>
                  </pic:nvPicPr>
                  <pic:blipFill>
                    <a:blip r:embed="rId30">
                      <a:extLst>
                        <a:ext uri="{28A0092B-C50C-407E-A947-70E740481C1C}">
                          <a14:useLocalDpi xmlns:a14="http://schemas.microsoft.com/office/drawing/2010/main" val="0"/>
                        </a:ext>
                      </a:extLst>
                    </a:blip>
                    <a:stretch>
                      <a:fillRect/>
                    </a:stretch>
                  </pic:blipFill>
                  <pic:spPr>
                    <a:xfrm>
                      <a:off x="0" y="0"/>
                      <a:ext cx="7113525" cy="4984415"/>
                    </a:xfrm>
                    <a:prstGeom prst="rect">
                      <a:avLst/>
                    </a:prstGeom>
                    <a:ln>
                      <a:solidFill>
                        <a:schemeClr val="tx1"/>
                      </a:solidFill>
                    </a:ln>
                  </pic:spPr>
                </pic:pic>
              </a:graphicData>
            </a:graphic>
          </wp:inline>
        </w:drawing>
      </w:r>
    </w:p>
    <w:p w:rsidR="00FC5725" w:rsidRDefault="00FC5725" w:rsidP="00FC5725">
      <w:pPr>
        <w:spacing w:after="80"/>
        <w:sectPr w:rsidR="00FC5725" w:rsidSect="00265E2A">
          <w:endnotePr>
            <w:numFmt w:val="decimal"/>
          </w:endnotePr>
          <w:pgSz w:w="16838" w:h="11906" w:orient="landscape" w:code="9"/>
          <w:pgMar w:top="1440" w:right="1440" w:bottom="1440" w:left="1440" w:header="709" w:footer="709" w:gutter="0"/>
          <w:cols w:space="708"/>
          <w:docGrid w:linePitch="360"/>
        </w:sectPr>
      </w:pPr>
    </w:p>
    <w:p w:rsidR="00265E2A" w:rsidRDefault="00265E2A" w:rsidP="00FC5725">
      <w:pPr>
        <w:pStyle w:val="Heading1"/>
      </w:pPr>
      <w:bookmarkStart w:id="81" w:name="_Toc513125596"/>
      <w:bookmarkStart w:id="82" w:name="_Toc520373127"/>
      <w:r>
        <w:lastRenderedPageBreak/>
        <w:t>References</w:t>
      </w:r>
      <w:bookmarkEnd w:id="81"/>
      <w:bookmarkEnd w:id="82"/>
    </w:p>
    <w:sectPr w:rsidR="00265E2A" w:rsidSect="00FC5725">
      <w:endnotePr>
        <w:numFmt w:val="decimal"/>
      </w:end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FB8" w:rsidRDefault="00492FB8" w:rsidP="000B0274">
      <w:r>
        <w:separator/>
      </w:r>
    </w:p>
  </w:endnote>
  <w:endnote w:type="continuationSeparator" w:id="0">
    <w:p w:rsidR="00492FB8" w:rsidRDefault="00492FB8" w:rsidP="000B0274">
      <w:r>
        <w:continuationSeparator/>
      </w:r>
    </w:p>
  </w:endnote>
  <w:endnote w:id="1">
    <w:p w:rsidR="00492FB8" w:rsidRDefault="00492FB8">
      <w:pPr>
        <w:pStyle w:val="EndnoteText"/>
      </w:pPr>
      <w:r>
        <w:rPr>
          <w:rStyle w:val="EndnoteReference"/>
        </w:rPr>
        <w:endnoteRef/>
      </w:r>
      <w:r>
        <w:t xml:space="preserve"> </w:t>
      </w:r>
      <w:proofErr w:type="gramStart"/>
      <w:r w:rsidRPr="00E46517">
        <w:t>Commonwealth of Australia.</w:t>
      </w:r>
      <w:proofErr w:type="gramEnd"/>
      <w:r w:rsidRPr="00E46517">
        <w:t xml:space="preserve"> 2016-17 Report on the Operation of the Aged Care Act 1997. </w:t>
      </w:r>
      <w:proofErr w:type="gramStart"/>
      <w:r w:rsidRPr="00E46517">
        <w:t>Department of Health.</w:t>
      </w:r>
      <w:proofErr w:type="gramEnd"/>
      <w:r w:rsidRPr="00E46517">
        <w:t xml:space="preserve"> </w:t>
      </w:r>
      <w:proofErr w:type="gramStart"/>
      <w:r w:rsidRPr="00E46517">
        <w:t>Canberra Commonwealth of Australia 2017.</w:t>
      </w:r>
      <w:proofErr w:type="gramEnd"/>
    </w:p>
  </w:endnote>
  <w:endnote w:id="2">
    <w:p w:rsidR="00492FB8" w:rsidRDefault="00492FB8" w:rsidP="006C09A9">
      <w:pPr>
        <w:pStyle w:val="EndnoteText"/>
      </w:pPr>
      <w:r>
        <w:rPr>
          <w:rStyle w:val="EndnoteReference"/>
        </w:rPr>
        <w:endnoteRef/>
      </w:r>
      <w:r>
        <w:t xml:space="preserve"> </w:t>
      </w:r>
      <w:r w:rsidRPr="006C09A9">
        <w:t xml:space="preserve">Victorian Healthcare </w:t>
      </w:r>
      <w:proofErr w:type="gramStart"/>
      <w:r w:rsidRPr="006C09A9">
        <w:t>Associated  Infection</w:t>
      </w:r>
      <w:proofErr w:type="gramEnd"/>
      <w:r w:rsidRPr="006C09A9">
        <w:t xml:space="preserve"> Surveillance Coordinating Centre. </w:t>
      </w:r>
      <w:proofErr w:type="gramStart"/>
      <w:r w:rsidRPr="006C09A9">
        <w:t>E bulletin June 2017.</w:t>
      </w:r>
      <w:proofErr w:type="gramEnd"/>
      <w:r w:rsidRPr="006C09A9">
        <w:t xml:space="preserve"> Available from: </w:t>
      </w:r>
      <w:hyperlink r:id="rId1" w:history="1">
        <w:r w:rsidRPr="00E4659B">
          <w:rPr>
            <w:rStyle w:val="Hyperlink"/>
          </w:rPr>
          <w:t>www.vicniss.org.au/publications/e-bulletin/</w:t>
        </w:r>
      </w:hyperlink>
    </w:p>
  </w:endnote>
  <w:endnote w:id="3">
    <w:p w:rsidR="00492FB8" w:rsidRDefault="00492FB8">
      <w:pPr>
        <w:pStyle w:val="EndnoteText"/>
      </w:pPr>
      <w:r>
        <w:rPr>
          <w:rStyle w:val="EndnoteReference"/>
        </w:rPr>
        <w:endnoteRef/>
      </w:r>
      <w:r>
        <w:t xml:space="preserve"> </w:t>
      </w:r>
      <w:proofErr w:type="gramStart"/>
      <w:r w:rsidRPr="00F2366A">
        <w:t>European Centre for Disease Prevention and Control.</w:t>
      </w:r>
      <w:proofErr w:type="gramEnd"/>
      <w:r w:rsidRPr="00F2366A">
        <w:t xml:space="preserve"> Healthcare associated infections in long term care facilities in Europe: The HALT project</w:t>
      </w:r>
      <w:r>
        <w:t>.</w:t>
      </w:r>
      <w:r w:rsidRPr="00F2366A">
        <w:t xml:space="preserve"> </w:t>
      </w:r>
      <w:hyperlink r:id="rId2" w:history="1">
        <w:r w:rsidRPr="00C65052">
          <w:rPr>
            <w:rStyle w:val="Hyperlink"/>
          </w:rPr>
          <w:t>https://ecdc.europa.eu/en/healthcare-associated-infections-long-term-care-facilities</w:t>
        </w:r>
      </w:hyperlink>
      <w:r>
        <w:t xml:space="preserve"> (accessed May 2018).</w:t>
      </w:r>
    </w:p>
  </w:endnote>
  <w:endnote w:id="4">
    <w:p w:rsidR="00492FB8" w:rsidRDefault="00492FB8">
      <w:pPr>
        <w:pStyle w:val="EndnoteText"/>
      </w:pPr>
      <w:r>
        <w:rPr>
          <w:rStyle w:val="EndnoteReference"/>
        </w:rPr>
        <w:endnoteRef/>
      </w:r>
      <w:r>
        <w:t xml:space="preserve"> </w:t>
      </w:r>
      <w:r w:rsidRPr="00F2366A">
        <w:t xml:space="preserve">Smith M, Atkins S, Worth L, Richards M, Bennett N. Infections and antimicrobial use in Australian residential aged care facilities: a comparison between local and international prevalence and practices. </w:t>
      </w:r>
      <w:proofErr w:type="spellStart"/>
      <w:r w:rsidRPr="00F2366A">
        <w:t>Aust</w:t>
      </w:r>
      <w:proofErr w:type="spellEnd"/>
      <w:r w:rsidRPr="00F2366A">
        <w:t xml:space="preserve"> Health Rev. 2013;</w:t>
      </w:r>
      <w:r>
        <w:t xml:space="preserve"> </w:t>
      </w:r>
      <w:r w:rsidRPr="00F2366A">
        <w:t>37(4):529-34.</w:t>
      </w:r>
    </w:p>
  </w:endnote>
  <w:endnote w:id="5">
    <w:p w:rsidR="00492FB8" w:rsidRDefault="00492FB8">
      <w:pPr>
        <w:pStyle w:val="EndnoteText"/>
      </w:pPr>
      <w:r>
        <w:rPr>
          <w:rStyle w:val="EndnoteReference"/>
        </w:rPr>
        <w:endnoteRef/>
      </w:r>
      <w:r>
        <w:t xml:space="preserve"> </w:t>
      </w:r>
      <w:r w:rsidRPr="00AB743D">
        <w:t xml:space="preserve">Garibaldi RA. Residential care and the elderly: the burden of infection. J </w:t>
      </w:r>
      <w:proofErr w:type="spellStart"/>
      <w:r w:rsidRPr="00AB743D">
        <w:t>Hosp</w:t>
      </w:r>
      <w:proofErr w:type="spellEnd"/>
      <w:r w:rsidRPr="00AB743D">
        <w:t xml:space="preserve"> Infect. 1999</w:t>
      </w:r>
      <w:proofErr w:type="gramStart"/>
      <w:r w:rsidRPr="00AB743D">
        <w:t>;43</w:t>
      </w:r>
      <w:proofErr w:type="gramEnd"/>
      <w:r w:rsidRPr="00AB743D">
        <w:t xml:space="preserve"> Suppl:S9-18.</w:t>
      </w:r>
    </w:p>
  </w:endnote>
  <w:endnote w:id="6">
    <w:p w:rsidR="00492FB8" w:rsidRDefault="00492FB8">
      <w:pPr>
        <w:pStyle w:val="EndnoteText"/>
      </w:pPr>
      <w:r>
        <w:rPr>
          <w:rStyle w:val="EndnoteReference"/>
        </w:rPr>
        <w:endnoteRef/>
      </w:r>
      <w:r>
        <w:t xml:space="preserve"> </w:t>
      </w:r>
      <w:proofErr w:type="spellStart"/>
      <w:r w:rsidRPr="00AB743D">
        <w:t>Ingarfield</w:t>
      </w:r>
      <w:proofErr w:type="spellEnd"/>
      <w:r w:rsidRPr="00AB743D">
        <w:t xml:space="preserve"> SL FJ, Jacobs IG, Gibson NP, Holman CDJ, </w:t>
      </w:r>
      <w:proofErr w:type="spellStart"/>
      <w:proofErr w:type="gramStart"/>
      <w:r w:rsidRPr="00AB743D">
        <w:t>Jelinek</w:t>
      </w:r>
      <w:proofErr w:type="spellEnd"/>
      <w:proofErr w:type="gramEnd"/>
      <w:r w:rsidRPr="00AB743D">
        <w:t xml:space="preserve"> GA. Use of emergency departments by older people from residential care: a population based study. </w:t>
      </w:r>
      <w:proofErr w:type="gramStart"/>
      <w:r w:rsidRPr="00AB743D">
        <w:t>Age Ageing.</w:t>
      </w:r>
      <w:proofErr w:type="gramEnd"/>
      <w:r w:rsidRPr="00AB743D">
        <w:t xml:space="preserve"> 2009</w:t>
      </w:r>
      <w:proofErr w:type="gramStart"/>
      <w:r w:rsidRPr="00AB743D">
        <w:t>;38:314</w:t>
      </w:r>
      <w:proofErr w:type="gramEnd"/>
      <w:r w:rsidRPr="00AB743D">
        <w:t>-18.</w:t>
      </w:r>
    </w:p>
  </w:endnote>
  <w:endnote w:id="7">
    <w:p w:rsidR="00492FB8" w:rsidRDefault="00492FB8">
      <w:pPr>
        <w:pStyle w:val="EndnoteText"/>
      </w:pPr>
      <w:r>
        <w:rPr>
          <w:rStyle w:val="EndnoteReference"/>
        </w:rPr>
        <w:endnoteRef/>
      </w:r>
      <w:r>
        <w:t xml:space="preserve"> </w:t>
      </w:r>
      <w:r w:rsidRPr="00E05F2B">
        <w:t>Richards CL, Jr. Infection control in long-term care facilities. J Am Med Dir Assoc. 2007</w:t>
      </w:r>
      <w:proofErr w:type="gramStart"/>
      <w:r w:rsidRPr="00E05F2B">
        <w:t>;8</w:t>
      </w:r>
      <w:proofErr w:type="gramEnd"/>
      <w:r w:rsidRPr="00E05F2B">
        <w:t xml:space="preserve">(3 </w:t>
      </w:r>
      <w:proofErr w:type="spellStart"/>
      <w:r w:rsidRPr="00E05F2B">
        <w:t>Suppl</w:t>
      </w:r>
      <w:proofErr w:type="spellEnd"/>
      <w:r w:rsidRPr="00E05F2B">
        <w:t>):S18-25.</w:t>
      </w:r>
    </w:p>
  </w:endnote>
  <w:endnote w:id="8">
    <w:p w:rsidR="00492FB8" w:rsidRDefault="00492FB8" w:rsidP="00A33F2E">
      <w:pPr>
        <w:pStyle w:val="EndnoteText"/>
      </w:pPr>
      <w:r>
        <w:rPr>
          <w:rStyle w:val="EndnoteReference"/>
        </w:rPr>
        <w:endnoteRef/>
      </w:r>
      <w:r>
        <w:t xml:space="preserve"> </w:t>
      </w:r>
      <w:r w:rsidRPr="002C741D">
        <w:t xml:space="preserve">Coombs G, Bell JM, Daley D, </w:t>
      </w:r>
      <w:proofErr w:type="spellStart"/>
      <w:r w:rsidRPr="002C741D">
        <w:t>Collignon</w:t>
      </w:r>
      <w:proofErr w:type="spellEnd"/>
      <w:r w:rsidRPr="002C741D">
        <w:t xml:space="preserve"> P, Cooley L, Gottlieb T, </w:t>
      </w:r>
      <w:proofErr w:type="spellStart"/>
      <w:r w:rsidRPr="002C741D">
        <w:t>Iredell</w:t>
      </w:r>
      <w:proofErr w:type="spellEnd"/>
      <w:r w:rsidRPr="002C741D">
        <w:t xml:space="preserve"> J, </w:t>
      </w:r>
      <w:proofErr w:type="spellStart"/>
      <w:r w:rsidRPr="002C741D">
        <w:t>Kotsanas</w:t>
      </w:r>
      <w:proofErr w:type="spellEnd"/>
      <w:r w:rsidRPr="002C741D">
        <w:t xml:space="preserve"> D, </w:t>
      </w:r>
      <w:proofErr w:type="spellStart"/>
      <w:r w:rsidRPr="002C741D">
        <w:t>Nimmo</w:t>
      </w:r>
      <w:proofErr w:type="spellEnd"/>
      <w:r w:rsidRPr="002C741D">
        <w:t xml:space="preserve"> G and Robson J on behalf of the Australian Group on Antimicrobial Resistance, Turnidge JD. </w:t>
      </w:r>
      <w:proofErr w:type="gramStart"/>
      <w:r w:rsidRPr="002C741D">
        <w:t>Australian Group on Antimicrobial Resistance.</w:t>
      </w:r>
      <w:proofErr w:type="gramEnd"/>
      <w:r w:rsidRPr="002C741D">
        <w:t xml:space="preserve"> Sepsis Outcome Programs 2016 Report. Sydney: ACSQHC; 2018</w:t>
      </w:r>
    </w:p>
  </w:endnote>
  <w:endnote w:id="9">
    <w:p w:rsidR="00492FB8" w:rsidRDefault="00492FB8" w:rsidP="00A33F2E">
      <w:pPr>
        <w:pStyle w:val="EndnoteText"/>
      </w:pPr>
      <w:r>
        <w:rPr>
          <w:rStyle w:val="EndnoteReference"/>
        </w:rPr>
        <w:endnoteRef/>
      </w:r>
      <w:r>
        <w:t xml:space="preserve"> </w:t>
      </w:r>
      <w:proofErr w:type="gramStart"/>
      <w:r>
        <w:t>Australian Commission on Safety and Quality in Health Care (ACSQHC).</w:t>
      </w:r>
      <w:proofErr w:type="gramEnd"/>
      <w:r>
        <w:t xml:space="preserve"> AURA 2017: second Australian report on antimicrobial use and resistance in human health. Sydney: ACSQHC; 2017.</w:t>
      </w:r>
    </w:p>
  </w:endnote>
  <w:endnote w:id="10">
    <w:p w:rsidR="00492FB8" w:rsidRDefault="00492FB8">
      <w:pPr>
        <w:pStyle w:val="EndnoteText"/>
      </w:pPr>
      <w:r>
        <w:rPr>
          <w:rStyle w:val="EndnoteReference"/>
        </w:rPr>
        <w:endnoteRef/>
      </w:r>
      <w:r>
        <w:t xml:space="preserve"> </w:t>
      </w:r>
      <w:proofErr w:type="gramStart"/>
      <w:r w:rsidRPr="00AB743D">
        <w:t>Australian Commission on Safety and Quality in Healthcare (ACSQHC).</w:t>
      </w:r>
      <w:proofErr w:type="gramEnd"/>
      <w:r w:rsidRPr="00AB743D">
        <w:t xml:space="preserve"> </w:t>
      </w:r>
      <w:proofErr w:type="gramStart"/>
      <w:r w:rsidRPr="00AB743D">
        <w:t>National Safety and Quality Health Service Standards.</w:t>
      </w:r>
      <w:proofErr w:type="gramEnd"/>
      <w:r w:rsidRPr="00AB743D">
        <w:t xml:space="preserve"> ACSQHC Sydney 2011</w:t>
      </w:r>
    </w:p>
  </w:endnote>
  <w:endnote w:id="11">
    <w:p w:rsidR="00492FB8" w:rsidRDefault="00492FB8">
      <w:pPr>
        <w:pStyle w:val="EndnoteText"/>
      </w:pPr>
      <w:r>
        <w:rPr>
          <w:rStyle w:val="EndnoteReference"/>
        </w:rPr>
        <w:endnoteRef/>
      </w:r>
      <w:r>
        <w:t xml:space="preserve"> </w:t>
      </w:r>
      <w:proofErr w:type="gramStart"/>
      <w:r w:rsidRPr="00AB743D">
        <w:t>Australian Commission on Safety and Quality in Health Care.</w:t>
      </w:r>
      <w:proofErr w:type="gramEnd"/>
      <w:r w:rsidRPr="00AB743D">
        <w:t xml:space="preserve"> </w:t>
      </w:r>
      <w:proofErr w:type="gramStart"/>
      <w:r w:rsidRPr="00AB743D">
        <w:t>National Safety and Quality Health Service Standards.</w:t>
      </w:r>
      <w:proofErr w:type="gramEnd"/>
      <w:r w:rsidRPr="00AB743D">
        <w:t xml:space="preserve"> 2nd ed. Sydney: ACSQHC; 2017</w:t>
      </w:r>
    </w:p>
  </w:endnote>
  <w:endnote w:id="12">
    <w:p w:rsidR="00492FB8" w:rsidRDefault="00492FB8">
      <w:pPr>
        <w:pStyle w:val="EndnoteText"/>
      </w:pPr>
      <w:r>
        <w:rPr>
          <w:rStyle w:val="EndnoteReference"/>
        </w:rPr>
        <w:endnoteRef/>
      </w:r>
      <w:r>
        <w:t xml:space="preserve"> </w:t>
      </w:r>
      <w:proofErr w:type="gramStart"/>
      <w:r w:rsidRPr="005119F5">
        <w:t>Aged Care Standards and Accreditation Agency.</w:t>
      </w:r>
      <w:proofErr w:type="gramEnd"/>
      <w:r w:rsidRPr="005119F5">
        <w:t xml:space="preserve"> </w:t>
      </w:r>
      <w:proofErr w:type="gramStart"/>
      <w:r w:rsidRPr="005119F5">
        <w:t>Guidance on the draft Aged Care Quality Standards 2017.</w:t>
      </w:r>
      <w:proofErr w:type="gramEnd"/>
      <w:r w:rsidRPr="005119F5">
        <w:t xml:space="preserve"> </w:t>
      </w:r>
      <w:hyperlink r:id="rId3" w:history="1">
        <w:r w:rsidRPr="00C65052">
          <w:rPr>
            <w:rStyle w:val="Hyperlink"/>
          </w:rPr>
          <w:t>https://agedcare.health.gov.au/quality/single-set-of-aged-care-quality-standards/draft-aged-care-quality-standards-and-draft-application-of-draft-aged-care-quality-standards-by-service-type</w:t>
        </w:r>
      </w:hyperlink>
      <w:r w:rsidRPr="005119F5">
        <w:t xml:space="preserve"> (accessed May 2018)</w:t>
      </w:r>
      <w:r>
        <w:t>.</w:t>
      </w:r>
    </w:p>
  </w:endnote>
  <w:endnote w:id="13">
    <w:p w:rsidR="00492FB8" w:rsidRDefault="00492FB8">
      <w:pPr>
        <w:pStyle w:val="EndnoteText"/>
      </w:pPr>
      <w:r>
        <w:rPr>
          <w:rStyle w:val="EndnoteReference"/>
        </w:rPr>
        <w:endnoteRef/>
      </w:r>
      <w:r>
        <w:t xml:space="preserve"> </w:t>
      </w:r>
      <w:proofErr w:type="gramStart"/>
      <w:r w:rsidRPr="00926D4E">
        <w:t>Australia</w:t>
      </w:r>
      <w:r>
        <w:t>n Government Department of Health, Australian Government Department of Agriculture.</w:t>
      </w:r>
      <w:proofErr w:type="gramEnd"/>
      <w:r>
        <w:t xml:space="preserve"> </w:t>
      </w:r>
      <w:proofErr w:type="gramStart"/>
      <w:r>
        <w:t xml:space="preserve">Responding to the threat of antimicrobial resistance: Australia’s first </w:t>
      </w:r>
      <w:r w:rsidRPr="00926D4E">
        <w:t>antimicrobial resistance strategy 2015</w:t>
      </w:r>
      <w:r>
        <w:t>–</w:t>
      </w:r>
      <w:r w:rsidRPr="00926D4E">
        <w:t>2019.</w:t>
      </w:r>
      <w:proofErr w:type="gramEnd"/>
      <w:r w:rsidRPr="00926D4E">
        <w:t xml:space="preserve"> Canberra</w:t>
      </w:r>
      <w:r>
        <w:t>: Australian Government;</w:t>
      </w:r>
      <w:r w:rsidRPr="00926D4E">
        <w:t xml:space="preserve"> 2015</w:t>
      </w:r>
    </w:p>
  </w:endnote>
  <w:endnote w:id="14">
    <w:p w:rsidR="00492FB8" w:rsidRDefault="00492FB8">
      <w:pPr>
        <w:pStyle w:val="EndnoteText"/>
      </w:pPr>
      <w:r>
        <w:rPr>
          <w:rStyle w:val="EndnoteReference"/>
        </w:rPr>
        <w:endnoteRef/>
      </w:r>
      <w:r>
        <w:t xml:space="preserve"> </w:t>
      </w:r>
      <w:proofErr w:type="gramStart"/>
      <w:r w:rsidRPr="00DF4B3F">
        <w:t>Australian Bureau of Statistics.</w:t>
      </w:r>
      <w:proofErr w:type="gramEnd"/>
      <w:r w:rsidRPr="00DF4B3F">
        <w:t xml:space="preserve"> 1270.0.55.005 Australian Statistical Geography Standard (ASGS): Volume 5 - Remoteness Structure, July 2016. Canberra: ABS; July 2016</w:t>
      </w:r>
    </w:p>
  </w:endnote>
  <w:endnote w:id="15">
    <w:p w:rsidR="00492FB8" w:rsidRDefault="00492FB8">
      <w:pPr>
        <w:pStyle w:val="EndnoteText"/>
      </w:pPr>
      <w:r>
        <w:rPr>
          <w:rStyle w:val="EndnoteReference"/>
        </w:rPr>
        <w:endnoteRef/>
      </w:r>
      <w:r>
        <w:t xml:space="preserve"> </w:t>
      </w:r>
      <w:proofErr w:type="gramStart"/>
      <w:r w:rsidRPr="008C444F">
        <w:t>Australian Commission on Safety and Quality in Healthcare.</w:t>
      </w:r>
      <w:proofErr w:type="gramEnd"/>
      <w:r w:rsidRPr="008C444F">
        <w:t xml:space="preserve"> </w:t>
      </w:r>
      <w:proofErr w:type="gramStart"/>
      <w:r w:rsidRPr="008C444F">
        <w:t>National Residential Medication Chart 2014.</w:t>
      </w:r>
      <w:proofErr w:type="gramEnd"/>
      <w:r w:rsidRPr="008C444F">
        <w:t xml:space="preserve"> </w:t>
      </w:r>
      <w:hyperlink r:id="rId4" w:history="1">
        <w:r w:rsidRPr="00C65052">
          <w:rPr>
            <w:rStyle w:val="Hyperlink"/>
          </w:rPr>
          <w:t>https://www.safetyandquality.gov.au/our-work/medication-safety/nrmc/</w:t>
        </w:r>
      </w:hyperlink>
      <w:r>
        <w:t xml:space="preserve"> </w:t>
      </w:r>
      <w:r w:rsidRPr="008C444F">
        <w:t>(accessed May 2018).</w:t>
      </w:r>
    </w:p>
  </w:endnote>
  <w:endnote w:id="16">
    <w:p w:rsidR="00492FB8" w:rsidRDefault="00492FB8" w:rsidP="005F6296">
      <w:pPr>
        <w:pStyle w:val="EndnoteText"/>
      </w:pPr>
      <w:r>
        <w:rPr>
          <w:rStyle w:val="EndnoteReference"/>
        </w:rPr>
        <w:endnoteRef/>
      </w:r>
      <w:r>
        <w:t xml:space="preserve"> </w:t>
      </w:r>
      <w:proofErr w:type="gramStart"/>
      <w:r w:rsidRPr="008D0AAB">
        <w:t>Antibiotic Expert Groups.</w:t>
      </w:r>
      <w:proofErr w:type="gramEnd"/>
      <w:r w:rsidRPr="008D0AAB">
        <w:t xml:space="preserve"> Therapeutic Guidelines: Antibiotic. </w:t>
      </w:r>
      <w:proofErr w:type="gramStart"/>
      <w:r w:rsidRPr="008D0AAB">
        <w:t>Version 15.</w:t>
      </w:r>
      <w:proofErr w:type="gramEnd"/>
      <w:r w:rsidRPr="008D0AAB">
        <w:t xml:space="preserve"> </w:t>
      </w:r>
      <w:proofErr w:type="gramStart"/>
      <w:r w:rsidRPr="008D0AAB">
        <w:t>Melbourne Therapeutic Guidelines Limited 2014</w:t>
      </w:r>
      <w:r>
        <w:t>.</w:t>
      </w:r>
      <w:proofErr w:type="gramEnd"/>
    </w:p>
  </w:endnote>
  <w:endnote w:id="17">
    <w:p w:rsidR="00492FB8" w:rsidRDefault="00492FB8" w:rsidP="007C37F5">
      <w:pPr>
        <w:pStyle w:val="EndnoteText"/>
      </w:pPr>
      <w:r>
        <w:rPr>
          <w:rStyle w:val="EndnoteReference"/>
        </w:rPr>
        <w:endnoteRef/>
      </w:r>
      <w:r>
        <w:t xml:space="preserve"> </w:t>
      </w:r>
      <w:proofErr w:type="gramStart"/>
      <w:r>
        <w:t>National Centre for Antimicrobial Stewardship and Australian Commission on Safety and Quality in Health Care.</w:t>
      </w:r>
      <w:proofErr w:type="gramEnd"/>
      <w:r>
        <w:t xml:space="preserve"> </w:t>
      </w:r>
      <w:proofErr w:type="gramStart"/>
      <w:r>
        <w:t>Aged Care National Antimicrobial Prescribing Survey 2016.</w:t>
      </w:r>
      <w:proofErr w:type="gramEnd"/>
      <w:r>
        <w:t xml:space="preserve"> Sydney: ACSQHC;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B8" w:rsidRDefault="00492FB8" w:rsidP="00492FB8">
    <w:pPr>
      <w:pStyle w:val="Footer"/>
      <w:jc w:val="right"/>
    </w:pPr>
    <w:r>
      <w:tab/>
    </w:r>
    <w:r w:rsidRPr="00F57148">
      <w:fldChar w:fldCharType="begin"/>
    </w:r>
    <w:r w:rsidRPr="00F57148">
      <w:instrText xml:space="preserve"> PAGE   \* MERGEFORMAT </w:instrText>
    </w:r>
    <w:r w:rsidRPr="00F57148">
      <w:fldChar w:fldCharType="separate"/>
    </w:r>
    <w:r w:rsidR="00E32B78">
      <w:rPr>
        <w:noProof/>
      </w:rPr>
      <w:t>3</w:t>
    </w:r>
    <w:r w:rsidRPr="00F5714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B8" w:rsidRPr="006803BA" w:rsidRDefault="00492FB8" w:rsidP="000B0274">
    <w:r w:rsidRPr="006803BA">
      <w:t>Insert title</w:t>
    </w:r>
    <w:r>
      <w:tab/>
    </w:r>
    <w:r>
      <w:tab/>
    </w:r>
    <w:r w:rsidRPr="006803BA">
      <w:fldChar w:fldCharType="begin"/>
    </w:r>
    <w:r w:rsidRPr="006803BA">
      <w:instrText xml:space="preserve"> PAGE   \* MERGEFORMAT </w:instrText>
    </w:r>
    <w:r w:rsidRPr="006803BA">
      <w:fldChar w:fldCharType="separate"/>
    </w:r>
    <w:r>
      <w:rPr>
        <w:noProof/>
      </w:rPr>
      <w:t>0</w:t>
    </w:r>
    <w:r w:rsidRPr="006803BA">
      <w:rPr>
        <w:noProof/>
      </w:rPr>
      <w:fldChar w:fldCharType="end"/>
    </w:r>
  </w:p>
  <w:p w:rsidR="00492FB8" w:rsidRDefault="00492FB8" w:rsidP="000B02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FB8" w:rsidRDefault="00492FB8" w:rsidP="000B0274">
      <w:r>
        <w:separator/>
      </w:r>
    </w:p>
  </w:footnote>
  <w:footnote w:type="continuationSeparator" w:id="0">
    <w:p w:rsidR="00492FB8" w:rsidRDefault="00492FB8" w:rsidP="000B0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66FD5A"/>
    <w:lvl w:ilvl="0">
      <w:start w:val="1"/>
      <w:numFmt w:val="decimal"/>
      <w:lvlText w:val="%1."/>
      <w:lvlJc w:val="left"/>
      <w:pPr>
        <w:tabs>
          <w:tab w:val="num" w:pos="1492"/>
        </w:tabs>
        <w:ind w:left="1492" w:hanging="360"/>
      </w:pPr>
    </w:lvl>
  </w:abstractNum>
  <w:abstractNum w:abstractNumId="1">
    <w:nsid w:val="FFFFFF7D"/>
    <w:multiLevelType w:val="singleLevel"/>
    <w:tmpl w:val="58F89A46"/>
    <w:lvl w:ilvl="0">
      <w:start w:val="1"/>
      <w:numFmt w:val="decimal"/>
      <w:lvlText w:val="%1."/>
      <w:lvlJc w:val="left"/>
      <w:pPr>
        <w:tabs>
          <w:tab w:val="num" w:pos="1209"/>
        </w:tabs>
        <w:ind w:left="1209" w:hanging="360"/>
      </w:pPr>
    </w:lvl>
  </w:abstractNum>
  <w:abstractNum w:abstractNumId="2">
    <w:nsid w:val="FFFFFF7E"/>
    <w:multiLevelType w:val="singleLevel"/>
    <w:tmpl w:val="FF4EFD70"/>
    <w:lvl w:ilvl="0">
      <w:start w:val="1"/>
      <w:numFmt w:val="decimal"/>
      <w:lvlText w:val="%1."/>
      <w:lvlJc w:val="left"/>
      <w:pPr>
        <w:tabs>
          <w:tab w:val="num" w:pos="926"/>
        </w:tabs>
        <w:ind w:left="926" w:hanging="360"/>
      </w:pPr>
    </w:lvl>
  </w:abstractNum>
  <w:abstractNum w:abstractNumId="3">
    <w:nsid w:val="FFFFFF7F"/>
    <w:multiLevelType w:val="singleLevel"/>
    <w:tmpl w:val="8578B1C6"/>
    <w:lvl w:ilvl="0">
      <w:start w:val="1"/>
      <w:numFmt w:val="decimal"/>
      <w:lvlText w:val="%1."/>
      <w:lvlJc w:val="left"/>
      <w:pPr>
        <w:tabs>
          <w:tab w:val="num" w:pos="643"/>
        </w:tabs>
        <w:ind w:left="643" w:hanging="360"/>
      </w:pPr>
    </w:lvl>
  </w:abstractNum>
  <w:abstractNum w:abstractNumId="4">
    <w:nsid w:val="FFFFFF80"/>
    <w:multiLevelType w:val="singleLevel"/>
    <w:tmpl w:val="3104CD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A88D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087C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6E33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0EF306"/>
    <w:lvl w:ilvl="0">
      <w:start w:val="1"/>
      <w:numFmt w:val="decimal"/>
      <w:lvlText w:val="%1."/>
      <w:lvlJc w:val="left"/>
      <w:pPr>
        <w:tabs>
          <w:tab w:val="num" w:pos="360"/>
        </w:tabs>
        <w:ind w:left="360" w:hanging="360"/>
      </w:pPr>
    </w:lvl>
  </w:abstractNum>
  <w:abstractNum w:abstractNumId="9">
    <w:nsid w:val="FFFFFF89"/>
    <w:multiLevelType w:val="singleLevel"/>
    <w:tmpl w:val="36EA2B9A"/>
    <w:lvl w:ilvl="0">
      <w:start w:val="1"/>
      <w:numFmt w:val="bullet"/>
      <w:lvlText w:val=""/>
      <w:lvlJc w:val="left"/>
      <w:pPr>
        <w:tabs>
          <w:tab w:val="num" w:pos="360"/>
        </w:tabs>
        <w:ind w:left="360" w:hanging="360"/>
      </w:pPr>
      <w:rPr>
        <w:rFonts w:ascii="Symbol" w:hAnsi="Symbol" w:hint="default"/>
      </w:rPr>
    </w:lvl>
  </w:abstractNum>
  <w:abstractNum w:abstractNumId="1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973807"/>
    <w:multiLevelType w:val="hybridMultilevel"/>
    <w:tmpl w:val="BC4E7C18"/>
    <w:lvl w:ilvl="0" w:tplc="E17E2FB0">
      <w:start w:val="3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0744F2"/>
    <w:multiLevelType w:val="hybridMultilevel"/>
    <w:tmpl w:val="B2C4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6106A7"/>
    <w:multiLevelType w:val="hybridMultilevel"/>
    <w:tmpl w:val="A39E8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nsid w:val="11760320"/>
    <w:multiLevelType w:val="hybridMultilevel"/>
    <w:tmpl w:val="07C2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6D56DC"/>
    <w:multiLevelType w:val="hybridMultilevel"/>
    <w:tmpl w:val="1752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4B80DAF"/>
    <w:multiLevelType w:val="multilevel"/>
    <w:tmpl w:val="79D2EACE"/>
    <w:lvl w:ilvl="0">
      <w:start w:val="1"/>
      <w:numFmt w:val="decimal"/>
      <w:lvlText w:val="%1"/>
      <w:lvlJc w:val="left"/>
      <w:pPr>
        <w:ind w:left="360" w:hanging="360"/>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7C0546D"/>
    <w:multiLevelType w:val="multilevel"/>
    <w:tmpl w:val="47585D02"/>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F757167"/>
    <w:multiLevelType w:val="hybridMultilevel"/>
    <w:tmpl w:val="58901166"/>
    <w:lvl w:ilvl="0" w:tplc="0C090001">
      <w:start w:val="1"/>
      <w:numFmt w:val="bullet"/>
      <w:pStyle w:val="ListNumber3"/>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34C484F"/>
    <w:multiLevelType w:val="multilevel"/>
    <w:tmpl w:val="EABE25FA"/>
    <w:numStyleLink w:val="Listbullets"/>
  </w:abstractNum>
  <w:abstractNum w:abstractNumId="23">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nsid w:val="2BA76291"/>
    <w:multiLevelType w:val="hybridMultilevel"/>
    <w:tmpl w:val="52146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2C707510"/>
    <w:multiLevelType w:val="hybridMultilevel"/>
    <w:tmpl w:val="69207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A847B64"/>
    <w:multiLevelType w:val="hybridMultilevel"/>
    <w:tmpl w:val="1D049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B794773"/>
    <w:multiLevelType w:val="multilevel"/>
    <w:tmpl w:val="0C09001D"/>
    <w:numStyleLink w:val="Bullet"/>
  </w:abstractNum>
  <w:abstractNum w:abstractNumId="31">
    <w:nsid w:val="6DD25D2F"/>
    <w:multiLevelType w:val="hybridMultilevel"/>
    <w:tmpl w:val="238C0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0356B54"/>
    <w:multiLevelType w:val="multilevel"/>
    <w:tmpl w:val="A0B4CBEC"/>
    <w:lvl w:ilvl="0">
      <w:start w:val="1"/>
      <w:numFmt w:val="bullet"/>
      <w:lvlText w:val=""/>
      <w:lvlJc w:val="left"/>
      <w:pPr>
        <w:ind w:left="227" w:firstLine="0"/>
      </w:pPr>
      <w:rPr>
        <w:rFonts w:ascii="Symbol" w:hAnsi="Symbol" w:hint="default"/>
      </w:rPr>
    </w:lvl>
    <w:lvl w:ilvl="1">
      <w:start w:val="1"/>
      <w:numFmt w:val="bullet"/>
      <w:lvlText w:val="-"/>
      <w:lvlJc w:val="left"/>
      <w:pPr>
        <w:ind w:left="567" w:hanging="57"/>
      </w:pPr>
      <w:rPr>
        <w:rFonts w:ascii="Courier New" w:hAnsi="Courier New" w:hint="default"/>
      </w:rPr>
    </w:lvl>
    <w:lvl w:ilvl="2">
      <w:start w:val="1"/>
      <w:numFmt w:val="bullet"/>
      <w:lvlText w:val="-"/>
      <w:lvlJc w:val="left"/>
      <w:pPr>
        <w:ind w:left="624" w:firstLine="0"/>
      </w:pPr>
      <w:rPr>
        <w:rFonts w:ascii="Arial" w:hAnsi="Arial" w:hint="default"/>
      </w:rPr>
    </w:lvl>
    <w:lvl w:ilvl="3">
      <w:start w:val="1"/>
      <w:numFmt w:val="decimal"/>
      <w:lvlText w:val="(%4)"/>
      <w:lvlJc w:val="left"/>
      <w:pPr>
        <w:ind w:left="851" w:firstLine="0"/>
      </w:pPr>
      <w:rPr>
        <w:rFonts w:hint="default"/>
      </w:rPr>
    </w:lvl>
    <w:lvl w:ilvl="4">
      <w:start w:val="1"/>
      <w:numFmt w:val="lowerLetter"/>
      <w:lvlText w:val="(%5)"/>
      <w:lvlJc w:val="left"/>
      <w:pPr>
        <w:ind w:left="1078" w:firstLine="0"/>
      </w:pPr>
      <w:rPr>
        <w:rFonts w:hint="default"/>
      </w:rPr>
    </w:lvl>
    <w:lvl w:ilvl="5">
      <w:start w:val="1"/>
      <w:numFmt w:val="lowerRoman"/>
      <w:lvlText w:val="(%6)"/>
      <w:lvlJc w:val="left"/>
      <w:pPr>
        <w:ind w:left="1305" w:firstLine="0"/>
      </w:pPr>
      <w:rPr>
        <w:rFonts w:hint="default"/>
      </w:rPr>
    </w:lvl>
    <w:lvl w:ilvl="6">
      <w:start w:val="1"/>
      <w:numFmt w:val="decimal"/>
      <w:lvlText w:val="%7."/>
      <w:lvlJc w:val="left"/>
      <w:pPr>
        <w:ind w:left="1532" w:firstLine="0"/>
      </w:pPr>
      <w:rPr>
        <w:rFonts w:hint="default"/>
      </w:rPr>
    </w:lvl>
    <w:lvl w:ilvl="7">
      <w:start w:val="1"/>
      <w:numFmt w:val="lowerLetter"/>
      <w:lvlText w:val="%8."/>
      <w:lvlJc w:val="left"/>
      <w:pPr>
        <w:ind w:left="1759" w:firstLine="0"/>
      </w:pPr>
      <w:rPr>
        <w:rFonts w:hint="default"/>
      </w:rPr>
    </w:lvl>
    <w:lvl w:ilvl="8">
      <w:start w:val="1"/>
      <w:numFmt w:val="lowerRoman"/>
      <w:lvlText w:val="%9."/>
      <w:lvlJc w:val="left"/>
      <w:pPr>
        <w:ind w:left="1986" w:firstLine="0"/>
      </w:pPr>
      <w:rPr>
        <w:rFonts w:hint="default"/>
      </w:rPr>
    </w:lvl>
  </w:abstractNum>
  <w:num w:numId="1">
    <w:abstractNumId w:val="20"/>
  </w:num>
  <w:num w:numId="2">
    <w:abstractNumId w:val="29"/>
  </w:num>
  <w:num w:numId="3">
    <w:abstractNumId w:val="12"/>
  </w:num>
  <w:num w:numId="4">
    <w:abstractNumId w:val="10"/>
  </w:num>
  <w:num w:numId="5">
    <w:abstractNumId w:val="22"/>
  </w:num>
  <w:num w:numId="6">
    <w:abstractNumId w:val="18"/>
  </w:num>
  <w:num w:numId="7">
    <w:abstractNumId w:val="14"/>
  </w:num>
  <w:num w:numId="8">
    <w:abstractNumId w:val="23"/>
  </w:num>
  <w:num w:numId="9">
    <w:abstractNumId w:val="28"/>
  </w:num>
  <w:num w:numId="10">
    <w:abstractNumId w:val="10"/>
  </w:num>
  <w:num w:numId="11">
    <w:abstractNumId w:val="32"/>
  </w:num>
  <w:num w:numId="12">
    <w:abstractNumId w:val="26"/>
  </w:num>
  <w:num w:numId="13">
    <w:abstractNumId w:val="30"/>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5"/>
  </w:num>
  <w:num w:numId="27">
    <w:abstractNumId w:val="21"/>
  </w:num>
  <w:num w:numId="28">
    <w:abstractNumId w:val="24"/>
  </w:num>
  <w:num w:numId="29">
    <w:abstractNumId w:val="13"/>
  </w:num>
  <w:num w:numId="30">
    <w:abstractNumId w:val="27"/>
  </w:num>
  <w:num w:numId="31">
    <w:abstractNumId w:val="16"/>
  </w:num>
  <w:num w:numId="32">
    <w:abstractNumId w:val="17"/>
  </w:num>
  <w:num w:numId="33">
    <w:abstractNumId w:val="1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exsw0zatpdzf7e2wsb5rs9epxswxt50apaf&quot;&gt;AgedCare&lt;record-ids&gt;&lt;item&gt;2094&lt;/item&gt;&lt;item&gt;2100&lt;/item&gt;&lt;/record-ids&gt;&lt;/item&gt;&lt;/Libraries&gt;"/>
  </w:docVars>
  <w:rsids>
    <w:rsidRoot w:val="00C31839"/>
    <w:rsid w:val="000007F8"/>
    <w:rsid w:val="00000DE0"/>
    <w:rsid w:val="00003743"/>
    <w:rsid w:val="00005299"/>
    <w:rsid w:val="00017E84"/>
    <w:rsid w:val="00020DBD"/>
    <w:rsid w:val="00026DEE"/>
    <w:rsid w:val="000363B1"/>
    <w:rsid w:val="000406F8"/>
    <w:rsid w:val="00040D4D"/>
    <w:rsid w:val="00043671"/>
    <w:rsid w:val="000630C6"/>
    <w:rsid w:val="00067456"/>
    <w:rsid w:val="00070D15"/>
    <w:rsid w:val="0007565D"/>
    <w:rsid w:val="00097A8A"/>
    <w:rsid w:val="000A3F0D"/>
    <w:rsid w:val="000B0274"/>
    <w:rsid w:val="000B0667"/>
    <w:rsid w:val="000C1DD4"/>
    <w:rsid w:val="000D017D"/>
    <w:rsid w:val="000E0DD4"/>
    <w:rsid w:val="000E2F2E"/>
    <w:rsid w:val="000F4DEC"/>
    <w:rsid w:val="001026F3"/>
    <w:rsid w:val="00112BA7"/>
    <w:rsid w:val="0012129A"/>
    <w:rsid w:val="00124351"/>
    <w:rsid w:val="00125943"/>
    <w:rsid w:val="00131013"/>
    <w:rsid w:val="00140F71"/>
    <w:rsid w:val="00151F9D"/>
    <w:rsid w:val="001552F8"/>
    <w:rsid w:val="00163513"/>
    <w:rsid w:val="00164502"/>
    <w:rsid w:val="00165756"/>
    <w:rsid w:val="001673D6"/>
    <w:rsid w:val="00174528"/>
    <w:rsid w:val="00177B6D"/>
    <w:rsid w:val="00185323"/>
    <w:rsid w:val="0018575F"/>
    <w:rsid w:val="001921ED"/>
    <w:rsid w:val="00196AC8"/>
    <w:rsid w:val="001A39EC"/>
    <w:rsid w:val="001A41A4"/>
    <w:rsid w:val="001A6171"/>
    <w:rsid w:val="001B3443"/>
    <w:rsid w:val="001B70AD"/>
    <w:rsid w:val="001C512B"/>
    <w:rsid w:val="001C7A88"/>
    <w:rsid w:val="001D326D"/>
    <w:rsid w:val="001E1042"/>
    <w:rsid w:val="001E77C4"/>
    <w:rsid w:val="001F5EFC"/>
    <w:rsid w:val="00202B12"/>
    <w:rsid w:val="002037A8"/>
    <w:rsid w:val="00205D1D"/>
    <w:rsid w:val="00216E5B"/>
    <w:rsid w:val="002275A3"/>
    <w:rsid w:val="002306DB"/>
    <w:rsid w:val="00231580"/>
    <w:rsid w:val="00237ADF"/>
    <w:rsid w:val="002439FE"/>
    <w:rsid w:val="00245D81"/>
    <w:rsid w:val="0024639D"/>
    <w:rsid w:val="00251AFC"/>
    <w:rsid w:val="0025232D"/>
    <w:rsid w:val="002534B7"/>
    <w:rsid w:val="00255596"/>
    <w:rsid w:val="00261F43"/>
    <w:rsid w:val="00262298"/>
    <w:rsid w:val="00265E2A"/>
    <w:rsid w:val="002662B4"/>
    <w:rsid w:val="00267635"/>
    <w:rsid w:val="00275392"/>
    <w:rsid w:val="00277D58"/>
    <w:rsid w:val="00280EB3"/>
    <w:rsid w:val="00281FD4"/>
    <w:rsid w:val="00282CD6"/>
    <w:rsid w:val="0028534D"/>
    <w:rsid w:val="00292FAF"/>
    <w:rsid w:val="002B622A"/>
    <w:rsid w:val="002B719E"/>
    <w:rsid w:val="002C2B7E"/>
    <w:rsid w:val="002C38C0"/>
    <w:rsid w:val="002C6AF0"/>
    <w:rsid w:val="002C741D"/>
    <w:rsid w:val="002D4D47"/>
    <w:rsid w:val="002E6A48"/>
    <w:rsid w:val="002E7460"/>
    <w:rsid w:val="002F2D70"/>
    <w:rsid w:val="002F3AE3"/>
    <w:rsid w:val="002F7896"/>
    <w:rsid w:val="002F7E6F"/>
    <w:rsid w:val="00306A0D"/>
    <w:rsid w:val="003071A2"/>
    <w:rsid w:val="0030786C"/>
    <w:rsid w:val="0031074B"/>
    <w:rsid w:val="003128C8"/>
    <w:rsid w:val="00312A62"/>
    <w:rsid w:val="00316683"/>
    <w:rsid w:val="003215E9"/>
    <w:rsid w:val="00325C04"/>
    <w:rsid w:val="00330717"/>
    <w:rsid w:val="003312F1"/>
    <w:rsid w:val="00331622"/>
    <w:rsid w:val="003536F1"/>
    <w:rsid w:val="003605FD"/>
    <w:rsid w:val="00372D3F"/>
    <w:rsid w:val="00373260"/>
    <w:rsid w:val="00384AA7"/>
    <w:rsid w:val="00386772"/>
    <w:rsid w:val="003873C6"/>
    <w:rsid w:val="003960F2"/>
    <w:rsid w:val="0039630F"/>
    <w:rsid w:val="003A1A72"/>
    <w:rsid w:val="003A1CA2"/>
    <w:rsid w:val="003A2499"/>
    <w:rsid w:val="003A3B91"/>
    <w:rsid w:val="003C0405"/>
    <w:rsid w:val="003C297A"/>
    <w:rsid w:val="003D0F1C"/>
    <w:rsid w:val="003D17F9"/>
    <w:rsid w:val="003D18EF"/>
    <w:rsid w:val="003D437B"/>
    <w:rsid w:val="003D62A3"/>
    <w:rsid w:val="003E085D"/>
    <w:rsid w:val="003E54E5"/>
    <w:rsid w:val="003E76C8"/>
    <w:rsid w:val="003F160B"/>
    <w:rsid w:val="003F1FB7"/>
    <w:rsid w:val="003F219D"/>
    <w:rsid w:val="00406186"/>
    <w:rsid w:val="00412E9D"/>
    <w:rsid w:val="004159E4"/>
    <w:rsid w:val="00423559"/>
    <w:rsid w:val="00447D31"/>
    <w:rsid w:val="004573E1"/>
    <w:rsid w:val="00466D06"/>
    <w:rsid w:val="00470AB8"/>
    <w:rsid w:val="0047280D"/>
    <w:rsid w:val="004867E2"/>
    <w:rsid w:val="00486826"/>
    <w:rsid w:val="00492FB8"/>
    <w:rsid w:val="004A0670"/>
    <w:rsid w:val="004A3A35"/>
    <w:rsid w:val="004A45B7"/>
    <w:rsid w:val="004B2999"/>
    <w:rsid w:val="004B58D1"/>
    <w:rsid w:val="004C2221"/>
    <w:rsid w:val="004C4B18"/>
    <w:rsid w:val="004C6755"/>
    <w:rsid w:val="004D5360"/>
    <w:rsid w:val="004D7B33"/>
    <w:rsid w:val="004E5694"/>
    <w:rsid w:val="004E58C1"/>
    <w:rsid w:val="004F188B"/>
    <w:rsid w:val="00503A23"/>
    <w:rsid w:val="005119F5"/>
    <w:rsid w:val="005169B5"/>
    <w:rsid w:val="0052107C"/>
    <w:rsid w:val="005217E0"/>
    <w:rsid w:val="005221B7"/>
    <w:rsid w:val="00522EDF"/>
    <w:rsid w:val="005238D9"/>
    <w:rsid w:val="00524159"/>
    <w:rsid w:val="00525699"/>
    <w:rsid w:val="0052708F"/>
    <w:rsid w:val="0053385E"/>
    <w:rsid w:val="005436E6"/>
    <w:rsid w:val="00544742"/>
    <w:rsid w:val="00544A4E"/>
    <w:rsid w:val="00553E33"/>
    <w:rsid w:val="00557D08"/>
    <w:rsid w:val="0056084D"/>
    <w:rsid w:val="00562D29"/>
    <w:rsid w:val="00566B97"/>
    <w:rsid w:val="0057119E"/>
    <w:rsid w:val="0059261E"/>
    <w:rsid w:val="00593C73"/>
    <w:rsid w:val="0059724C"/>
    <w:rsid w:val="005A0AAF"/>
    <w:rsid w:val="005A50DB"/>
    <w:rsid w:val="005B3A9D"/>
    <w:rsid w:val="005B5610"/>
    <w:rsid w:val="005C0090"/>
    <w:rsid w:val="005C13A0"/>
    <w:rsid w:val="005C1496"/>
    <w:rsid w:val="005C2D36"/>
    <w:rsid w:val="005C6AAE"/>
    <w:rsid w:val="005D3FD7"/>
    <w:rsid w:val="005D51AD"/>
    <w:rsid w:val="005D5826"/>
    <w:rsid w:val="005E2614"/>
    <w:rsid w:val="005E32BF"/>
    <w:rsid w:val="005E405D"/>
    <w:rsid w:val="005E7067"/>
    <w:rsid w:val="005E7087"/>
    <w:rsid w:val="005F207D"/>
    <w:rsid w:val="005F6296"/>
    <w:rsid w:val="006016D9"/>
    <w:rsid w:val="006059C3"/>
    <w:rsid w:val="00605C13"/>
    <w:rsid w:val="006064B8"/>
    <w:rsid w:val="00607B0B"/>
    <w:rsid w:val="00624423"/>
    <w:rsid w:val="006301D6"/>
    <w:rsid w:val="00631144"/>
    <w:rsid w:val="006317C9"/>
    <w:rsid w:val="0063529E"/>
    <w:rsid w:val="006447D0"/>
    <w:rsid w:val="00656A7C"/>
    <w:rsid w:val="00660AF0"/>
    <w:rsid w:val="00674A55"/>
    <w:rsid w:val="00675703"/>
    <w:rsid w:val="0067671E"/>
    <w:rsid w:val="0067683E"/>
    <w:rsid w:val="006803BA"/>
    <w:rsid w:val="006A14FE"/>
    <w:rsid w:val="006A5F0E"/>
    <w:rsid w:val="006A639F"/>
    <w:rsid w:val="006B3325"/>
    <w:rsid w:val="006B7D14"/>
    <w:rsid w:val="006C09A9"/>
    <w:rsid w:val="006C5532"/>
    <w:rsid w:val="006C6338"/>
    <w:rsid w:val="006D1696"/>
    <w:rsid w:val="006D4A57"/>
    <w:rsid w:val="006D4ECB"/>
    <w:rsid w:val="006D732F"/>
    <w:rsid w:val="006E2B18"/>
    <w:rsid w:val="006E688D"/>
    <w:rsid w:val="006E6EF8"/>
    <w:rsid w:val="006F0499"/>
    <w:rsid w:val="006F2E4D"/>
    <w:rsid w:val="006F5031"/>
    <w:rsid w:val="007028EC"/>
    <w:rsid w:val="00706450"/>
    <w:rsid w:val="0070703E"/>
    <w:rsid w:val="0071637F"/>
    <w:rsid w:val="007168B6"/>
    <w:rsid w:val="00730CD6"/>
    <w:rsid w:val="007341D3"/>
    <w:rsid w:val="007360BF"/>
    <w:rsid w:val="007446D1"/>
    <w:rsid w:val="00747255"/>
    <w:rsid w:val="007539E2"/>
    <w:rsid w:val="007545C7"/>
    <w:rsid w:val="00755E99"/>
    <w:rsid w:val="0076005C"/>
    <w:rsid w:val="007635C1"/>
    <w:rsid w:val="0076595D"/>
    <w:rsid w:val="00766B42"/>
    <w:rsid w:val="007700CE"/>
    <w:rsid w:val="00775589"/>
    <w:rsid w:val="00775658"/>
    <w:rsid w:val="0078070C"/>
    <w:rsid w:val="00784541"/>
    <w:rsid w:val="00785939"/>
    <w:rsid w:val="007968CC"/>
    <w:rsid w:val="00796FB7"/>
    <w:rsid w:val="00797693"/>
    <w:rsid w:val="007A6D73"/>
    <w:rsid w:val="007B04A9"/>
    <w:rsid w:val="007B16AC"/>
    <w:rsid w:val="007B4FB0"/>
    <w:rsid w:val="007C37F5"/>
    <w:rsid w:val="007C6E1F"/>
    <w:rsid w:val="007D0DD8"/>
    <w:rsid w:val="007D413B"/>
    <w:rsid w:val="007D59EF"/>
    <w:rsid w:val="007E000D"/>
    <w:rsid w:val="007E3423"/>
    <w:rsid w:val="007E7001"/>
    <w:rsid w:val="007F1D4B"/>
    <w:rsid w:val="007F4FE7"/>
    <w:rsid w:val="008035CE"/>
    <w:rsid w:val="00804701"/>
    <w:rsid w:val="00814734"/>
    <w:rsid w:val="00815F6C"/>
    <w:rsid w:val="008229F3"/>
    <w:rsid w:val="00825C7E"/>
    <w:rsid w:val="008264EB"/>
    <w:rsid w:val="00827924"/>
    <w:rsid w:val="00830756"/>
    <w:rsid w:val="00834E5E"/>
    <w:rsid w:val="008351E1"/>
    <w:rsid w:val="00846466"/>
    <w:rsid w:val="008568D0"/>
    <w:rsid w:val="008632AE"/>
    <w:rsid w:val="008740E0"/>
    <w:rsid w:val="00881A87"/>
    <w:rsid w:val="00882C3A"/>
    <w:rsid w:val="00887909"/>
    <w:rsid w:val="008A58F9"/>
    <w:rsid w:val="008A7915"/>
    <w:rsid w:val="008C1801"/>
    <w:rsid w:val="008C3EFB"/>
    <w:rsid w:val="008C444F"/>
    <w:rsid w:val="008C73D0"/>
    <w:rsid w:val="008D0AAB"/>
    <w:rsid w:val="008D0E82"/>
    <w:rsid w:val="008D1885"/>
    <w:rsid w:val="008D7F33"/>
    <w:rsid w:val="008E5D6A"/>
    <w:rsid w:val="008E7A46"/>
    <w:rsid w:val="009003C1"/>
    <w:rsid w:val="0091137C"/>
    <w:rsid w:val="00914DFC"/>
    <w:rsid w:val="009176A0"/>
    <w:rsid w:val="00926D4E"/>
    <w:rsid w:val="00927E8E"/>
    <w:rsid w:val="009424A5"/>
    <w:rsid w:val="00961199"/>
    <w:rsid w:val="0096198D"/>
    <w:rsid w:val="00964277"/>
    <w:rsid w:val="009715B6"/>
    <w:rsid w:val="0097181D"/>
    <w:rsid w:val="00977D26"/>
    <w:rsid w:val="00981180"/>
    <w:rsid w:val="009A007B"/>
    <w:rsid w:val="009A263C"/>
    <w:rsid w:val="009B053D"/>
    <w:rsid w:val="009B2939"/>
    <w:rsid w:val="009B64E3"/>
    <w:rsid w:val="009C26CD"/>
    <w:rsid w:val="009C3007"/>
    <w:rsid w:val="009C5538"/>
    <w:rsid w:val="009D44F5"/>
    <w:rsid w:val="009E1F38"/>
    <w:rsid w:val="009E3CDB"/>
    <w:rsid w:val="009E6B78"/>
    <w:rsid w:val="009F5557"/>
    <w:rsid w:val="00A0243F"/>
    <w:rsid w:val="00A0554C"/>
    <w:rsid w:val="00A15082"/>
    <w:rsid w:val="00A2448E"/>
    <w:rsid w:val="00A273B8"/>
    <w:rsid w:val="00A33F2E"/>
    <w:rsid w:val="00A34B91"/>
    <w:rsid w:val="00A4199A"/>
    <w:rsid w:val="00A4512D"/>
    <w:rsid w:val="00A50D58"/>
    <w:rsid w:val="00A677D6"/>
    <w:rsid w:val="00A705AF"/>
    <w:rsid w:val="00A7060F"/>
    <w:rsid w:val="00A7548E"/>
    <w:rsid w:val="00A75B58"/>
    <w:rsid w:val="00A77349"/>
    <w:rsid w:val="00A8778E"/>
    <w:rsid w:val="00A931E2"/>
    <w:rsid w:val="00A93A18"/>
    <w:rsid w:val="00A964DB"/>
    <w:rsid w:val="00A978D9"/>
    <w:rsid w:val="00AA15C3"/>
    <w:rsid w:val="00AA4E4F"/>
    <w:rsid w:val="00AA6DC2"/>
    <w:rsid w:val="00AA7B58"/>
    <w:rsid w:val="00AB03DB"/>
    <w:rsid w:val="00AB3E4B"/>
    <w:rsid w:val="00AB40AB"/>
    <w:rsid w:val="00AB6ED9"/>
    <w:rsid w:val="00AB743D"/>
    <w:rsid w:val="00AC0A30"/>
    <w:rsid w:val="00AC5872"/>
    <w:rsid w:val="00AD52A0"/>
    <w:rsid w:val="00AE704F"/>
    <w:rsid w:val="00AF18A8"/>
    <w:rsid w:val="00AF6154"/>
    <w:rsid w:val="00B027A6"/>
    <w:rsid w:val="00B02CFE"/>
    <w:rsid w:val="00B03B00"/>
    <w:rsid w:val="00B06586"/>
    <w:rsid w:val="00B11658"/>
    <w:rsid w:val="00B171D5"/>
    <w:rsid w:val="00B1745C"/>
    <w:rsid w:val="00B24DF4"/>
    <w:rsid w:val="00B2665E"/>
    <w:rsid w:val="00B270D7"/>
    <w:rsid w:val="00B328AF"/>
    <w:rsid w:val="00B32DD1"/>
    <w:rsid w:val="00B370EA"/>
    <w:rsid w:val="00B3720C"/>
    <w:rsid w:val="00B37AAF"/>
    <w:rsid w:val="00B41409"/>
    <w:rsid w:val="00B42851"/>
    <w:rsid w:val="00B45077"/>
    <w:rsid w:val="00B47076"/>
    <w:rsid w:val="00B542EB"/>
    <w:rsid w:val="00B56B37"/>
    <w:rsid w:val="00B574EF"/>
    <w:rsid w:val="00B64438"/>
    <w:rsid w:val="00B7368F"/>
    <w:rsid w:val="00B85462"/>
    <w:rsid w:val="00B94BC8"/>
    <w:rsid w:val="00B95A67"/>
    <w:rsid w:val="00BA4AEE"/>
    <w:rsid w:val="00BA4E01"/>
    <w:rsid w:val="00BA70AE"/>
    <w:rsid w:val="00BB7508"/>
    <w:rsid w:val="00BC07E4"/>
    <w:rsid w:val="00BC0D01"/>
    <w:rsid w:val="00BC517C"/>
    <w:rsid w:val="00BD39D6"/>
    <w:rsid w:val="00BD4FB3"/>
    <w:rsid w:val="00BF10C5"/>
    <w:rsid w:val="00BF425D"/>
    <w:rsid w:val="00C0418C"/>
    <w:rsid w:val="00C06314"/>
    <w:rsid w:val="00C11885"/>
    <w:rsid w:val="00C11887"/>
    <w:rsid w:val="00C23553"/>
    <w:rsid w:val="00C23604"/>
    <w:rsid w:val="00C248C7"/>
    <w:rsid w:val="00C31839"/>
    <w:rsid w:val="00C332A2"/>
    <w:rsid w:val="00C343C6"/>
    <w:rsid w:val="00C41301"/>
    <w:rsid w:val="00C42831"/>
    <w:rsid w:val="00C436EE"/>
    <w:rsid w:val="00C51BE7"/>
    <w:rsid w:val="00C550C3"/>
    <w:rsid w:val="00C62F17"/>
    <w:rsid w:val="00C63BF6"/>
    <w:rsid w:val="00C77B5D"/>
    <w:rsid w:val="00C8697D"/>
    <w:rsid w:val="00C90096"/>
    <w:rsid w:val="00C911AD"/>
    <w:rsid w:val="00CA3479"/>
    <w:rsid w:val="00CA4C42"/>
    <w:rsid w:val="00CB043F"/>
    <w:rsid w:val="00CB0684"/>
    <w:rsid w:val="00CB5999"/>
    <w:rsid w:val="00CB5B1A"/>
    <w:rsid w:val="00CB733F"/>
    <w:rsid w:val="00CC697B"/>
    <w:rsid w:val="00CD0369"/>
    <w:rsid w:val="00CD6A6D"/>
    <w:rsid w:val="00CE01F2"/>
    <w:rsid w:val="00CF0E2A"/>
    <w:rsid w:val="00CF33E4"/>
    <w:rsid w:val="00CF5232"/>
    <w:rsid w:val="00D050CF"/>
    <w:rsid w:val="00D20212"/>
    <w:rsid w:val="00D21974"/>
    <w:rsid w:val="00D24922"/>
    <w:rsid w:val="00D25E69"/>
    <w:rsid w:val="00D34965"/>
    <w:rsid w:val="00D417B6"/>
    <w:rsid w:val="00D42B9A"/>
    <w:rsid w:val="00D469E4"/>
    <w:rsid w:val="00D6047D"/>
    <w:rsid w:val="00D642C7"/>
    <w:rsid w:val="00D65090"/>
    <w:rsid w:val="00D65C50"/>
    <w:rsid w:val="00D72EC3"/>
    <w:rsid w:val="00D73FE2"/>
    <w:rsid w:val="00D7465B"/>
    <w:rsid w:val="00D80C41"/>
    <w:rsid w:val="00D906BC"/>
    <w:rsid w:val="00D915AD"/>
    <w:rsid w:val="00D955B4"/>
    <w:rsid w:val="00D96327"/>
    <w:rsid w:val="00DA4C61"/>
    <w:rsid w:val="00DB5911"/>
    <w:rsid w:val="00DC0D24"/>
    <w:rsid w:val="00DC3F02"/>
    <w:rsid w:val="00DC43BB"/>
    <w:rsid w:val="00DD3611"/>
    <w:rsid w:val="00DE1742"/>
    <w:rsid w:val="00DE5B54"/>
    <w:rsid w:val="00DE5D09"/>
    <w:rsid w:val="00DF32DE"/>
    <w:rsid w:val="00DF4B3F"/>
    <w:rsid w:val="00E01628"/>
    <w:rsid w:val="00E050F9"/>
    <w:rsid w:val="00E05F2B"/>
    <w:rsid w:val="00E12296"/>
    <w:rsid w:val="00E13C11"/>
    <w:rsid w:val="00E13C5C"/>
    <w:rsid w:val="00E14C12"/>
    <w:rsid w:val="00E16121"/>
    <w:rsid w:val="00E236C6"/>
    <w:rsid w:val="00E249A8"/>
    <w:rsid w:val="00E255FD"/>
    <w:rsid w:val="00E26C5F"/>
    <w:rsid w:val="00E27F5D"/>
    <w:rsid w:val="00E32B78"/>
    <w:rsid w:val="00E33DDF"/>
    <w:rsid w:val="00E40F95"/>
    <w:rsid w:val="00E41316"/>
    <w:rsid w:val="00E420B8"/>
    <w:rsid w:val="00E4312B"/>
    <w:rsid w:val="00E44EFE"/>
    <w:rsid w:val="00E46517"/>
    <w:rsid w:val="00E52848"/>
    <w:rsid w:val="00E60EE1"/>
    <w:rsid w:val="00E61E1B"/>
    <w:rsid w:val="00E6675A"/>
    <w:rsid w:val="00E67CB4"/>
    <w:rsid w:val="00E708F6"/>
    <w:rsid w:val="00E716B4"/>
    <w:rsid w:val="00E77371"/>
    <w:rsid w:val="00E86B67"/>
    <w:rsid w:val="00E932E9"/>
    <w:rsid w:val="00E97FBE"/>
    <w:rsid w:val="00EA0B9B"/>
    <w:rsid w:val="00EA2855"/>
    <w:rsid w:val="00EA5E02"/>
    <w:rsid w:val="00EA5FD0"/>
    <w:rsid w:val="00EC1113"/>
    <w:rsid w:val="00EC79DF"/>
    <w:rsid w:val="00ED1E21"/>
    <w:rsid w:val="00ED724B"/>
    <w:rsid w:val="00EE1B90"/>
    <w:rsid w:val="00EE356F"/>
    <w:rsid w:val="00EE397E"/>
    <w:rsid w:val="00EE75B2"/>
    <w:rsid w:val="00EF1C95"/>
    <w:rsid w:val="00F078B7"/>
    <w:rsid w:val="00F2366A"/>
    <w:rsid w:val="00F238F2"/>
    <w:rsid w:val="00F279C9"/>
    <w:rsid w:val="00F332B3"/>
    <w:rsid w:val="00F34D63"/>
    <w:rsid w:val="00F41C35"/>
    <w:rsid w:val="00F42E8F"/>
    <w:rsid w:val="00F4785A"/>
    <w:rsid w:val="00F4789B"/>
    <w:rsid w:val="00F549D7"/>
    <w:rsid w:val="00F556DB"/>
    <w:rsid w:val="00F55E70"/>
    <w:rsid w:val="00F560D5"/>
    <w:rsid w:val="00F6166D"/>
    <w:rsid w:val="00F70BC4"/>
    <w:rsid w:val="00F73D95"/>
    <w:rsid w:val="00F762FA"/>
    <w:rsid w:val="00F84F2B"/>
    <w:rsid w:val="00F93872"/>
    <w:rsid w:val="00F95769"/>
    <w:rsid w:val="00FC15BF"/>
    <w:rsid w:val="00FC5725"/>
    <w:rsid w:val="00FC7C80"/>
    <w:rsid w:val="00FC7F5D"/>
    <w:rsid w:val="00FE39AF"/>
    <w:rsid w:val="00FE5CA3"/>
    <w:rsid w:val="00FF4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semiHidden="0" w:uiPriority="0" w:unhideWhenUsed="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toc 7" w:uiPriority="39"/>
    <w:lsdException w:name="footnote text" w:locked="0" w:uiPriority="0"/>
    <w:lsdException w:name="header" w:uiPriority="0"/>
    <w:lsdException w:name="footer" w:locked="0" w:uiPriority="99"/>
    <w:lsdException w:name="caption" w:uiPriority="99" w:qFormat="1"/>
    <w:lsdException w:name="footnote reference" w:locked="0" w:uiPriority="0"/>
    <w:lsdException w:name="List Number" w:semiHidden="0" w:unhideWhenUsed="0"/>
    <w:lsdException w:name="List 4" w:semiHidden="0" w:unhideWhenUsed="0"/>
    <w:lsdException w:name="List 5" w:semiHidden="0" w:unhideWhenUsed="0"/>
    <w:lsdException w:name="List Number 3" w:uiPriority="99"/>
    <w:lsdException w:name="Title" w:locked="0" w:semiHidden="0" w:uiPriority="0" w:unhideWhenUsed="0" w:qFormat="1"/>
    <w:lsdException w:name="Default Paragraph Font" w:locked="0" w:uiPriority="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locked="0" w:uiPriority="99"/>
    <w:lsdException w:name="FollowedHyperlink" w:locked="0" w:uiPriority="0"/>
    <w:lsdException w:name="Strong" w:locked="0" w:semiHidden="0" w:uiPriority="0" w:unhideWhenUsed="0" w:qFormat="1"/>
    <w:lsdException w:name="Emphasis" w:locked="0" w:semiHidden="0" w:uiPriority="0" w:unhideWhenUsed="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B328AF"/>
    <w:pPr>
      <w:spacing w:after="200"/>
    </w:pPr>
  </w:style>
  <w:style w:type="paragraph" w:styleId="Heading1">
    <w:name w:val="heading 1"/>
    <w:basedOn w:val="Normal"/>
    <w:next w:val="Normal"/>
    <w:link w:val="Heading1Char"/>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2E6A48"/>
    <w:pPr>
      <w:tabs>
        <w:tab w:val="left" w:pos="890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customStyle="1" w:styleId="Default">
    <w:name w:val="Default"/>
    <w:rsid w:val="00B171D5"/>
    <w:pPr>
      <w:autoSpaceDE w:val="0"/>
      <w:autoSpaceDN w:val="0"/>
      <w:adjustRightInd w:val="0"/>
      <w:spacing w:after="0"/>
    </w:pPr>
    <w:rPr>
      <w:rFonts w:ascii="Arial" w:hAnsi="Arial" w:cs="Arial"/>
      <w:color w:val="000000"/>
      <w:sz w:val="24"/>
      <w:szCs w:val="24"/>
    </w:rPr>
  </w:style>
  <w:style w:type="paragraph" w:styleId="ListParagraph">
    <w:name w:val="List Paragraph"/>
    <w:basedOn w:val="Normal"/>
    <w:uiPriority w:val="34"/>
    <w:qFormat/>
    <w:locked/>
    <w:rsid w:val="003A1A72"/>
    <w:pPr>
      <w:spacing w:line="276" w:lineRule="auto"/>
      <w:ind w:left="720"/>
      <w:contextualSpacing/>
    </w:pPr>
    <w:rPr>
      <w:rFonts w:eastAsiaTheme="minorHAnsi" w:cstheme="minorBidi"/>
      <w:lang w:eastAsia="en-US"/>
    </w:rPr>
  </w:style>
  <w:style w:type="paragraph" w:styleId="ListNumber3">
    <w:name w:val="List Number 3"/>
    <w:basedOn w:val="Normal"/>
    <w:uiPriority w:val="99"/>
    <w:locked/>
    <w:rsid w:val="005C2D36"/>
    <w:pPr>
      <w:numPr>
        <w:numId w:val="27"/>
      </w:numPr>
      <w:tabs>
        <w:tab w:val="num" w:pos="926"/>
      </w:tabs>
      <w:spacing w:line="276" w:lineRule="auto"/>
      <w:ind w:left="926"/>
      <w:contextualSpacing/>
    </w:pPr>
    <w:rPr>
      <w:rFonts w:ascii="Calibri" w:eastAsia="MS Mincho" w:hAnsi="Calibri"/>
    </w:rPr>
  </w:style>
  <w:style w:type="paragraph" w:styleId="Caption">
    <w:name w:val="caption"/>
    <w:basedOn w:val="Normal"/>
    <w:next w:val="Normal"/>
    <w:uiPriority w:val="99"/>
    <w:qFormat/>
    <w:locked/>
    <w:rsid w:val="00277D58"/>
    <w:pPr>
      <w:spacing w:line="276" w:lineRule="auto"/>
    </w:pPr>
    <w:rPr>
      <w:rFonts w:ascii="Calibri" w:hAnsi="Calibri"/>
      <w:b/>
      <w:bCs/>
      <w:sz w:val="20"/>
      <w:szCs w:val="20"/>
      <w:lang w:eastAsia="en-US"/>
    </w:rPr>
  </w:style>
  <w:style w:type="paragraph" w:customStyle="1" w:styleId="Heading10">
    <w:name w:val="Heading1"/>
    <w:basedOn w:val="Heading1"/>
    <w:link w:val="Heading1Char0"/>
    <w:rsid w:val="00277D58"/>
    <w:pPr>
      <w:keepLines/>
      <w:spacing w:before="480" w:after="0" w:line="276" w:lineRule="auto"/>
    </w:pPr>
    <w:rPr>
      <w:rFonts w:ascii="Arial" w:eastAsiaTheme="majorEastAsia" w:hAnsi="Arial" w:cstheme="minorHAnsi"/>
      <w:color w:val="0C5979" w:themeColor="accent1" w:themeShade="BF"/>
      <w:kern w:val="0"/>
      <w:szCs w:val="28"/>
      <w:lang w:eastAsia="en-US"/>
    </w:rPr>
  </w:style>
  <w:style w:type="character" w:customStyle="1" w:styleId="Heading1Char0">
    <w:name w:val="Heading1 Char"/>
    <w:basedOn w:val="DefaultParagraphFont"/>
    <w:link w:val="Heading10"/>
    <w:rsid w:val="00277D58"/>
    <w:rPr>
      <w:rFonts w:ascii="Arial" w:eastAsiaTheme="majorEastAsia" w:hAnsi="Arial" w:cstheme="minorHAnsi"/>
      <w:b/>
      <w:bCs/>
      <w:color w:val="0C5979" w:themeColor="accent1" w:themeShade="BF"/>
      <w:sz w:val="40"/>
      <w:szCs w:val="28"/>
      <w:lang w:eastAsia="en-US"/>
    </w:rPr>
  </w:style>
  <w:style w:type="table" w:customStyle="1" w:styleId="TableGridLight1">
    <w:name w:val="Table Grid Light1"/>
    <w:basedOn w:val="TableNormal"/>
    <w:uiPriority w:val="40"/>
    <w:rsid w:val="00277D58"/>
    <w:pPr>
      <w:spacing w:after="0"/>
    </w:pPr>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557D08"/>
    <w:rPr>
      <w:rFonts w:cs="Arial"/>
      <w:b/>
      <w:bCs/>
      <w:color w:val="1178A2"/>
      <w:kern w:val="28"/>
      <w:sz w:val="40"/>
      <w:szCs w:val="32"/>
    </w:rPr>
  </w:style>
  <w:style w:type="paragraph" w:styleId="TOC7">
    <w:name w:val="toc 7"/>
    <w:basedOn w:val="Normal"/>
    <w:next w:val="Normal"/>
    <w:autoRedefine/>
    <w:uiPriority w:val="39"/>
    <w:unhideWhenUsed/>
    <w:locked/>
    <w:rsid w:val="006D1696"/>
    <w:pPr>
      <w:spacing w:after="100" w:line="276" w:lineRule="auto"/>
      <w:ind w:left="1320"/>
    </w:pPr>
    <w:rPr>
      <w:rFonts w:eastAsiaTheme="minorEastAsia" w:cstheme="minorBidi"/>
    </w:rPr>
  </w:style>
  <w:style w:type="character" w:styleId="CommentReference">
    <w:name w:val="annotation reference"/>
    <w:basedOn w:val="DefaultParagraphFont"/>
    <w:uiPriority w:val="98"/>
    <w:locked/>
    <w:rsid w:val="007C6E1F"/>
    <w:rPr>
      <w:sz w:val="16"/>
      <w:szCs w:val="16"/>
    </w:rPr>
  </w:style>
  <w:style w:type="paragraph" w:styleId="CommentText">
    <w:name w:val="annotation text"/>
    <w:basedOn w:val="Normal"/>
    <w:link w:val="CommentTextChar"/>
    <w:uiPriority w:val="98"/>
    <w:locked/>
    <w:rsid w:val="007C6E1F"/>
    <w:rPr>
      <w:sz w:val="20"/>
      <w:szCs w:val="20"/>
    </w:rPr>
  </w:style>
  <w:style w:type="character" w:customStyle="1" w:styleId="CommentTextChar">
    <w:name w:val="Comment Text Char"/>
    <w:basedOn w:val="DefaultParagraphFont"/>
    <w:link w:val="CommentText"/>
    <w:uiPriority w:val="98"/>
    <w:rsid w:val="007C6E1F"/>
    <w:rPr>
      <w:sz w:val="20"/>
      <w:szCs w:val="20"/>
    </w:rPr>
  </w:style>
  <w:style w:type="paragraph" w:styleId="CommentSubject">
    <w:name w:val="annotation subject"/>
    <w:basedOn w:val="CommentText"/>
    <w:next w:val="CommentText"/>
    <w:link w:val="CommentSubjectChar"/>
    <w:uiPriority w:val="98"/>
    <w:locked/>
    <w:rsid w:val="007C6E1F"/>
    <w:rPr>
      <w:b/>
      <w:bCs/>
    </w:rPr>
  </w:style>
  <w:style w:type="character" w:customStyle="1" w:styleId="CommentSubjectChar">
    <w:name w:val="Comment Subject Char"/>
    <w:basedOn w:val="CommentTextChar"/>
    <w:link w:val="CommentSubject"/>
    <w:uiPriority w:val="98"/>
    <w:rsid w:val="007C6E1F"/>
    <w:rPr>
      <w:b/>
      <w:bCs/>
      <w:sz w:val="20"/>
      <w:szCs w:val="20"/>
    </w:rPr>
  </w:style>
  <w:style w:type="paragraph" w:styleId="EndnoteText">
    <w:name w:val="endnote text"/>
    <w:basedOn w:val="Normal"/>
    <w:link w:val="EndnoteTextChar"/>
    <w:uiPriority w:val="98"/>
    <w:locked/>
    <w:rsid w:val="00D417B6"/>
    <w:pPr>
      <w:spacing w:after="0"/>
    </w:pPr>
    <w:rPr>
      <w:sz w:val="20"/>
      <w:szCs w:val="20"/>
    </w:rPr>
  </w:style>
  <w:style w:type="character" w:customStyle="1" w:styleId="EndnoteTextChar">
    <w:name w:val="Endnote Text Char"/>
    <w:basedOn w:val="DefaultParagraphFont"/>
    <w:link w:val="EndnoteText"/>
    <w:uiPriority w:val="98"/>
    <w:rsid w:val="00D417B6"/>
    <w:rPr>
      <w:sz w:val="20"/>
      <w:szCs w:val="20"/>
    </w:rPr>
  </w:style>
  <w:style w:type="character" w:styleId="EndnoteReference">
    <w:name w:val="endnote reference"/>
    <w:basedOn w:val="DefaultParagraphFont"/>
    <w:uiPriority w:val="98"/>
    <w:locked/>
    <w:rsid w:val="00D417B6"/>
    <w:rPr>
      <w:vertAlign w:val="superscript"/>
    </w:rPr>
  </w:style>
  <w:style w:type="character" w:styleId="LineNumber">
    <w:name w:val="line number"/>
    <w:basedOn w:val="DefaultParagraphFont"/>
    <w:uiPriority w:val="98"/>
    <w:locked/>
    <w:rsid w:val="00466D06"/>
  </w:style>
  <w:style w:type="table" w:customStyle="1" w:styleId="TableGridLight11">
    <w:name w:val="Table Grid Light11"/>
    <w:basedOn w:val="TableNormal"/>
    <w:uiPriority w:val="40"/>
    <w:rsid w:val="00660AF0"/>
    <w:pPr>
      <w:spacing w:after="0"/>
    </w:pPr>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semiHidden="0" w:uiPriority="0" w:unhideWhenUsed="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toc 7" w:uiPriority="39"/>
    <w:lsdException w:name="footnote text" w:locked="0" w:uiPriority="0"/>
    <w:lsdException w:name="header" w:uiPriority="0"/>
    <w:lsdException w:name="footer" w:locked="0" w:uiPriority="99"/>
    <w:lsdException w:name="caption" w:uiPriority="99" w:qFormat="1"/>
    <w:lsdException w:name="footnote reference" w:locked="0" w:uiPriority="0"/>
    <w:lsdException w:name="List Number" w:semiHidden="0" w:unhideWhenUsed="0"/>
    <w:lsdException w:name="List 4" w:semiHidden="0" w:unhideWhenUsed="0"/>
    <w:lsdException w:name="List 5" w:semiHidden="0" w:unhideWhenUsed="0"/>
    <w:lsdException w:name="List Number 3" w:uiPriority="99"/>
    <w:lsdException w:name="Title" w:locked="0" w:semiHidden="0" w:uiPriority="0" w:unhideWhenUsed="0" w:qFormat="1"/>
    <w:lsdException w:name="Default Paragraph Font" w:locked="0" w:uiPriority="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locked="0" w:uiPriority="99"/>
    <w:lsdException w:name="FollowedHyperlink" w:locked="0" w:uiPriority="0"/>
    <w:lsdException w:name="Strong" w:locked="0" w:semiHidden="0" w:uiPriority="0" w:unhideWhenUsed="0" w:qFormat="1"/>
    <w:lsdException w:name="Emphasis" w:locked="0" w:semiHidden="0" w:uiPriority="0" w:unhideWhenUsed="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B328AF"/>
    <w:pPr>
      <w:spacing w:after="200"/>
    </w:pPr>
  </w:style>
  <w:style w:type="paragraph" w:styleId="Heading1">
    <w:name w:val="heading 1"/>
    <w:basedOn w:val="Normal"/>
    <w:next w:val="Normal"/>
    <w:link w:val="Heading1Char"/>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2E6A48"/>
    <w:pPr>
      <w:tabs>
        <w:tab w:val="left" w:pos="890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customStyle="1" w:styleId="Default">
    <w:name w:val="Default"/>
    <w:rsid w:val="00B171D5"/>
    <w:pPr>
      <w:autoSpaceDE w:val="0"/>
      <w:autoSpaceDN w:val="0"/>
      <w:adjustRightInd w:val="0"/>
      <w:spacing w:after="0"/>
    </w:pPr>
    <w:rPr>
      <w:rFonts w:ascii="Arial" w:hAnsi="Arial" w:cs="Arial"/>
      <w:color w:val="000000"/>
      <w:sz w:val="24"/>
      <w:szCs w:val="24"/>
    </w:rPr>
  </w:style>
  <w:style w:type="paragraph" w:styleId="ListParagraph">
    <w:name w:val="List Paragraph"/>
    <w:basedOn w:val="Normal"/>
    <w:uiPriority w:val="34"/>
    <w:qFormat/>
    <w:locked/>
    <w:rsid w:val="003A1A72"/>
    <w:pPr>
      <w:spacing w:line="276" w:lineRule="auto"/>
      <w:ind w:left="720"/>
      <w:contextualSpacing/>
    </w:pPr>
    <w:rPr>
      <w:rFonts w:eastAsiaTheme="minorHAnsi" w:cstheme="minorBidi"/>
      <w:lang w:eastAsia="en-US"/>
    </w:rPr>
  </w:style>
  <w:style w:type="paragraph" w:styleId="ListNumber3">
    <w:name w:val="List Number 3"/>
    <w:basedOn w:val="Normal"/>
    <w:uiPriority w:val="99"/>
    <w:locked/>
    <w:rsid w:val="005C2D36"/>
    <w:pPr>
      <w:numPr>
        <w:numId w:val="27"/>
      </w:numPr>
      <w:tabs>
        <w:tab w:val="num" w:pos="926"/>
      </w:tabs>
      <w:spacing w:line="276" w:lineRule="auto"/>
      <w:ind w:left="926"/>
      <w:contextualSpacing/>
    </w:pPr>
    <w:rPr>
      <w:rFonts w:ascii="Calibri" w:eastAsia="MS Mincho" w:hAnsi="Calibri"/>
    </w:rPr>
  </w:style>
  <w:style w:type="paragraph" w:styleId="Caption">
    <w:name w:val="caption"/>
    <w:basedOn w:val="Normal"/>
    <w:next w:val="Normal"/>
    <w:uiPriority w:val="99"/>
    <w:qFormat/>
    <w:locked/>
    <w:rsid w:val="00277D58"/>
    <w:pPr>
      <w:spacing w:line="276" w:lineRule="auto"/>
    </w:pPr>
    <w:rPr>
      <w:rFonts w:ascii="Calibri" w:hAnsi="Calibri"/>
      <w:b/>
      <w:bCs/>
      <w:sz w:val="20"/>
      <w:szCs w:val="20"/>
      <w:lang w:eastAsia="en-US"/>
    </w:rPr>
  </w:style>
  <w:style w:type="paragraph" w:customStyle="1" w:styleId="Heading10">
    <w:name w:val="Heading1"/>
    <w:basedOn w:val="Heading1"/>
    <w:link w:val="Heading1Char0"/>
    <w:rsid w:val="00277D58"/>
    <w:pPr>
      <w:keepLines/>
      <w:spacing w:before="480" w:after="0" w:line="276" w:lineRule="auto"/>
    </w:pPr>
    <w:rPr>
      <w:rFonts w:ascii="Arial" w:eastAsiaTheme="majorEastAsia" w:hAnsi="Arial" w:cstheme="minorHAnsi"/>
      <w:color w:val="0C5979" w:themeColor="accent1" w:themeShade="BF"/>
      <w:kern w:val="0"/>
      <w:szCs w:val="28"/>
      <w:lang w:eastAsia="en-US"/>
    </w:rPr>
  </w:style>
  <w:style w:type="character" w:customStyle="1" w:styleId="Heading1Char0">
    <w:name w:val="Heading1 Char"/>
    <w:basedOn w:val="DefaultParagraphFont"/>
    <w:link w:val="Heading10"/>
    <w:rsid w:val="00277D58"/>
    <w:rPr>
      <w:rFonts w:ascii="Arial" w:eastAsiaTheme="majorEastAsia" w:hAnsi="Arial" w:cstheme="minorHAnsi"/>
      <w:b/>
      <w:bCs/>
      <w:color w:val="0C5979" w:themeColor="accent1" w:themeShade="BF"/>
      <w:sz w:val="40"/>
      <w:szCs w:val="28"/>
      <w:lang w:eastAsia="en-US"/>
    </w:rPr>
  </w:style>
  <w:style w:type="table" w:customStyle="1" w:styleId="TableGridLight1">
    <w:name w:val="Table Grid Light1"/>
    <w:basedOn w:val="TableNormal"/>
    <w:uiPriority w:val="40"/>
    <w:rsid w:val="00277D58"/>
    <w:pPr>
      <w:spacing w:after="0"/>
    </w:pPr>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557D08"/>
    <w:rPr>
      <w:rFonts w:cs="Arial"/>
      <w:b/>
      <w:bCs/>
      <w:color w:val="1178A2"/>
      <w:kern w:val="28"/>
      <w:sz w:val="40"/>
      <w:szCs w:val="32"/>
    </w:rPr>
  </w:style>
  <w:style w:type="paragraph" w:styleId="TOC7">
    <w:name w:val="toc 7"/>
    <w:basedOn w:val="Normal"/>
    <w:next w:val="Normal"/>
    <w:autoRedefine/>
    <w:uiPriority w:val="39"/>
    <w:unhideWhenUsed/>
    <w:locked/>
    <w:rsid w:val="006D1696"/>
    <w:pPr>
      <w:spacing w:after="100" w:line="276" w:lineRule="auto"/>
      <w:ind w:left="1320"/>
    </w:pPr>
    <w:rPr>
      <w:rFonts w:eastAsiaTheme="minorEastAsia" w:cstheme="minorBidi"/>
    </w:rPr>
  </w:style>
  <w:style w:type="character" w:styleId="CommentReference">
    <w:name w:val="annotation reference"/>
    <w:basedOn w:val="DefaultParagraphFont"/>
    <w:uiPriority w:val="98"/>
    <w:locked/>
    <w:rsid w:val="007C6E1F"/>
    <w:rPr>
      <w:sz w:val="16"/>
      <w:szCs w:val="16"/>
    </w:rPr>
  </w:style>
  <w:style w:type="paragraph" w:styleId="CommentText">
    <w:name w:val="annotation text"/>
    <w:basedOn w:val="Normal"/>
    <w:link w:val="CommentTextChar"/>
    <w:uiPriority w:val="98"/>
    <w:locked/>
    <w:rsid w:val="007C6E1F"/>
    <w:rPr>
      <w:sz w:val="20"/>
      <w:szCs w:val="20"/>
    </w:rPr>
  </w:style>
  <w:style w:type="character" w:customStyle="1" w:styleId="CommentTextChar">
    <w:name w:val="Comment Text Char"/>
    <w:basedOn w:val="DefaultParagraphFont"/>
    <w:link w:val="CommentText"/>
    <w:uiPriority w:val="98"/>
    <w:rsid w:val="007C6E1F"/>
    <w:rPr>
      <w:sz w:val="20"/>
      <w:szCs w:val="20"/>
    </w:rPr>
  </w:style>
  <w:style w:type="paragraph" w:styleId="CommentSubject">
    <w:name w:val="annotation subject"/>
    <w:basedOn w:val="CommentText"/>
    <w:next w:val="CommentText"/>
    <w:link w:val="CommentSubjectChar"/>
    <w:uiPriority w:val="98"/>
    <w:locked/>
    <w:rsid w:val="007C6E1F"/>
    <w:rPr>
      <w:b/>
      <w:bCs/>
    </w:rPr>
  </w:style>
  <w:style w:type="character" w:customStyle="1" w:styleId="CommentSubjectChar">
    <w:name w:val="Comment Subject Char"/>
    <w:basedOn w:val="CommentTextChar"/>
    <w:link w:val="CommentSubject"/>
    <w:uiPriority w:val="98"/>
    <w:rsid w:val="007C6E1F"/>
    <w:rPr>
      <w:b/>
      <w:bCs/>
      <w:sz w:val="20"/>
      <w:szCs w:val="20"/>
    </w:rPr>
  </w:style>
  <w:style w:type="paragraph" w:styleId="EndnoteText">
    <w:name w:val="endnote text"/>
    <w:basedOn w:val="Normal"/>
    <w:link w:val="EndnoteTextChar"/>
    <w:uiPriority w:val="98"/>
    <w:locked/>
    <w:rsid w:val="00D417B6"/>
    <w:pPr>
      <w:spacing w:after="0"/>
    </w:pPr>
    <w:rPr>
      <w:sz w:val="20"/>
      <w:szCs w:val="20"/>
    </w:rPr>
  </w:style>
  <w:style w:type="character" w:customStyle="1" w:styleId="EndnoteTextChar">
    <w:name w:val="Endnote Text Char"/>
    <w:basedOn w:val="DefaultParagraphFont"/>
    <w:link w:val="EndnoteText"/>
    <w:uiPriority w:val="98"/>
    <w:rsid w:val="00D417B6"/>
    <w:rPr>
      <w:sz w:val="20"/>
      <w:szCs w:val="20"/>
    </w:rPr>
  </w:style>
  <w:style w:type="character" w:styleId="EndnoteReference">
    <w:name w:val="endnote reference"/>
    <w:basedOn w:val="DefaultParagraphFont"/>
    <w:uiPriority w:val="98"/>
    <w:locked/>
    <w:rsid w:val="00D417B6"/>
    <w:rPr>
      <w:vertAlign w:val="superscript"/>
    </w:rPr>
  </w:style>
  <w:style w:type="character" w:styleId="LineNumber">
    <w:name w:val="line number"/>
    <w:basedOn w:val="DefaultParagraphFont"/>
    <w:uiPriority w:val="98"/>
    <w:locked/>
    <w:rsid w:val="00466D06"/>
  </w:style>
  <w:style w:type="table" w:customStyle="1" w:styleId="TableGridLight11">
    <w:name w:val="Table Grid Light11"/>
    <w:basedOn w:val="TableNormal"/>
    <w:uiPriority w:val="40"/>
    <w:rsid w:val="00660AF0"/>
    <w:pPr>
      <w:spacing w:after="0"/>
    </w:pPr>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81012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creativecommons.org/licenses/by-nc-nd/4.0/"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mailto:communications@safetyandquality.gov.a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hart" Target="charts/chart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0.jpeg"/><Relationship Id="rId23" Type="http://schemas.openxmlformats.org/officeDocument/2006/relationships/chart" Target="charts/chart3.xm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chart" Target="charts/chart2.xml"/><Relationship Id="rId27" Type="http://schemas.openxmlformats.org/officeDocument/2006/relationships/footer" Target="footer1.xml"/><Relationship Id="rId30" Type="http://schemas.openxmlformats.org/officeDocument/2006/relationships/image" Target="media/image10.PNG"/></Relationships>
</file>

<file path=word/_rels/endnotes.xml.rels><?xml version="1.0" encoding="UTF-8" standalone="yes"?>
<Relationships xmlns="http://schemas.openxmlformats.org/package/2006/relationships"><Relationship Id="rId3" Type="http://schemas.openxmlformats.org/officeDocument/2006/relationships/hyperlink" Target="https://agedcare.health.gov.au/quality/single-set-of-aged-care-quality-standards/draft-aged-care-quality-standards-and-draft-application-of-draft-aged-care-quality-standards-by-service-type" TargetMode="External"/><Relationship Id="rId2" Type="http://schemas.openxmlformats.org/officeDocument/2006/relationships/hyperlink" Target="https://ecdc.europa.eu/en/healthcare-associated-infections-long-term-care-facilities" TargetMode="External"/><Relationship Id="rId1" Type="http://schemas.openxmlformats.org/officeDocument/2006/relationships/hyperlink" Target="http://www.vicniss.org.au/publications/e-bulletin/" TargetMode="External"/><Relationship Id="rId4" Type="http://schemas.openxmlformats.org/officeDocument/2006/relationships/hyperlink" Target="https://www.safetyandquality.gov.au/our-work/medication-safety/nrm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vidrloffice\Shared\VICNISS\Vicniss%20Files\Projects\acNAPS\Reports\RWD\figure%202.csv"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vidrloffice\Shared\VICNISS\Vicniss%20Files\Projects\acNAPS\Reports\RWD\figure%203.csv"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vidrloffice\Shared\VICNISS\Vicniss%20Files\Projects\acNAPS\Reports\RWD\figure%20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vidrloffice\Shared\VICNISS\Vicniss%20Files\Projects\acNAPS\Reports\RWD\figure%205.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bar"/>
        <c:grouping val="clustered"/>
        <c:varyColors val="0"/>
        <c:ser>
          <c:idx val="0"/>
          <c:order val="0"/>
          <c:tx>
            <c:v>2016</c:v>
          </c:tx>
          <c:spPr>
            <a:effectLst/>
          </c:spPr>
          <c:invertIfNegative val="0"/>
          <c:dLbls>
            <c:spPr>
              <a:effectLst/>
            </c:spPr>
            <c:txPr>
              <a:bodyPr rot="0" vert="horz"/>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Metronidazole</c:v>
                </c:pt>
                <c:pt idx="1">
                  <c:v>Mupirocin</c:v>
                </c:pt>
                <c:pt idx="2">
                  <c:v>Ceftriaxone</c:v>
                </c:pt>
                <c:pt idx="3">
                  <c:v>Nystatin</c:v>
                </c:pt>
                <c:pt idx="4">
                  <c:v>Clindamycin</c:v>
                </c:pt>
                <c:pt idx="5">
                  <c:v>Trimethoprim–sulfamethoxazole</c:v>
                </c:pt>
                <c:pt idx="6">
                  <c:v>Roxithromycin</c:v>
                </c:pt>
                <c:pt idx="7">
                  <c:v>Ciprofloxacin</c:v>
                </c:pt>
                <c:pt idx="8">
                  <c:v>Miconazole</c:v>
                </c:pt>
                <c:pt idx="9">
                  <c:v>Kenacomb®</c:v>
                </c:pt>
                <c:pt idx="10">
                  <c:v>Flucloxacillin</c:v>
                </c:pt>
                <c:pt idx="11">
                  <c:v>Hexamine hippurate</c:v>
                </c:pt>
                <c:pt idx="12">
                  <c:v>Nitrofurantoin</c:v>
                </c:pt>
                <c:pt idx="13">
                  <c:v>Chloramphenicol</c:v>
                </c:pt>
                <c:pt idx="14">
                  <c:v>Doxycycline</c:v>
                </c:pt>
                <c:pt idx="15">
                  <c:v>Trimethoprim</c:v>
                </c:pt>
                <c:pt idx="16">
                  <c:v>Amoxicillin–clavulanic acid</c:v>
                </c:pt>
                <c:pt idx="17">
                  <c:v>Amoxicillin</c:v>
                </c:pt>
                <c:pt idx="18">
                  <c:v>Cefalexin</c:v>
                </c:pt>
                <c:pt idx="19">
                  <c:v>Clotrimazole</c:v>
                </c:pt>
              </c:strCache>
            </c:strRef>
          </c:cat>
          <c:val>
            <c:numRef>
              <c:f>Sheet1!$B$2:$B$21</c:f>
              <c:numCache>
                <c:formatCode>0.0%</c:formatCode>
                <c:ptCount val="20"/>
                <c:pt idx="0">
                  <c:v>1.6744809109176199E-2</c:v>
                </c:pt>
                <c:pt idx="1">
                  <c:v>1.00468854655057E-2</c:v>
                </c:pt>
                <c:pt idx="2">
                  <c:v>6.6979236436704604E-3</c:v>
                </c:pt>
                <c:pt idx="3">
                  <c:v>1.1386470194239801E-2</c:v>
                </c:pt>
                <c:pt idx="4">
                  <c:v>1.4065639651708E-2</c:v>
                </c:pt>
                <c:pt idx="5">
                  <c:v>2.00937709310114E-2</c:v>
                </c:pt>
                <c:pt idx="6">
                  <c:v>2.6121902210314799E-2</c:v>
                </c:pt>
                <c:pt idx="7">
                  <c:v>1.9423978566644299E-2</c:v>
                </c:pt>
                <c:pt idx="8">
                  <c:v>2.3442732752846598E-2</c:v>
                </c:pt>
                <c:pt idx="9">
                  <c:v>2.4782317481580701E-2</c:v>
                </c:pt>
                <c:pt idx="10">
                  <c:v>1.80843938379102E-2</c:v>
                </c:pt>
                <c:pt idx="11">
                  <c:v>3.4159410582719402E-2</c:v>
                </c:pt>
                <c:pt idx="12">
                  <c:v>3.0140656396517099E-2</c:v>
                </c:pt>
                <c:pt idx="13">
                  <c:v>5.55927662424648E-2</c:v>
                </c:pt>
                <c:pt idx="14">
                  <c:v>5.3583389149363697E-2</c:v>
                </c:pt>
                <c:pt idx="15">
                  <c:v>6.1620897521768303E-2</c:v>
                </c:pt>
                <c:pt idx="16">
                  <c:v>6.2960482250502298E-2</c:v>
                </c:pt>
                <c:pt idx="17">
                  <c:v>4.62156731413262E-2</c:v>
                </c:pt>
                <c:pt idx="18">
                  <c:v>0.213663764233088</c:v>
                </c:pt>
                <c:pt idx="19">
                  <c:v>0.175485599464166</c:v>
                </c:pt>
              </c:numCache>
            </c:numRef>
          </c:val>
        </c:ser>
        <c:ser>
          <c:idx val="1"/>
          <c:order val="1"/>
          <c:tx>
            <c:v>2017</c:v>
          </c:tx>
          <c:spPr>
            <a:effectLst/>
          </c:spPr>
          <c:invertIfNegative val="0"/>
          <c:dLbls>
            <c:txPr>
              <a:bodyPr rot="0" vert="horz"/>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Metronidazole</c:v>
                </c:pt>
                <c:pt idx="1">
                  <c:v>Mupirocin</c:v>
                </c:pt>
                <c:pt idx="2">
                  <c:v>Ceftriaxone</c:v>
                </c:pt>
                <c:pt idx="3">
                  <c:v>Nystatin</c:v>
                </c:pt>
                <c:pt idx="4">
                  <c:v>Clindamycin</c:v>
                </c:pt>
                <c:pt idx="5">
                  <c:v>Trimethoprim–sulfamethoxazole</c:v>
                </c:pt>
                <c:pt idx="6">
                  <c:v>Roxithromycin</c:v>
                </c:pt>
                <c:pt idx="7">
                  <c:v>Ciprofloxacin</c:v>
                </c:pt>
                <c:pt idx="8">
                  <c:v>Miconazole</c:v>
                </c:pt>
                <c:pt idx="9">
                  <c:v>Kenacomb®</c:v>
                </c:pt>
                <c:pt idx="10">
                  <c:v>Flucloxacillin</c:v>
                </c:pt>
                <c:pt idx="11">
                  <c:v>Hexamine hippurate</c:v>
                </c:pt>
                <c:pt idx="12">
                  <c:v>Nitrofurantoin</c:v>
                </c:pt>
                <c:pt idx="13">
                  <c:v>Chloramphenicol</c:v>
                </c:pt>
                <c:pt idx="14">
                  <c:v>Doxycycline</c:v>
                </c:pt>
                <c:pt idx="15">
                  <c:v>Trimethoprim</c:v>
                </c:pt>
                <c:pt idx="16">
                  <c:v>Amoxicillin–clavulanic acid</c:v>
                </c:pt>
                <c:pt idx="17">
                  <c:v>Amoxicillin</c:v>
                </c:pt>
                <c:pt idx="18">
                  <c:v>Cefalexin</c:v>
                </c:pt>
                <c:pt idx="19">
                  <c:v>Clotrimazole</c:v>
                </c:pt>
              </c:strCache>
            </c:strRef>
          </c:cat>
          <c:val>
            <c:numRef>
              <c:f>Sheet1!$C$2:$C$21</c:f>
              <c:numCache>
                <c:formatCode>0.0%</c:formatCode>
                <c:ptCount val="20"/>
                <c:pt idx="0">
                  <c:v>7.3111291632818797E-3</c:v>
                </c:pt>
                <c:pt idx="1">
                  <c:v>8.1234768480909804E-3</c:v>
                </c:pt>
                <c:pt idx="2">
                  <c:v>8.9358245329000802E-3</c:v>
                </c:pt>
                <c:pt idx="3">
                  <c:v>1.21852152721365E-2</c:v>
                </c:pt>
                <c:pt idx="4">
                  <c:v>1.4622258326563799E-2</c:v>
                </c:pt>
                <c:pt idx="5">
                  <c:v>1.6246953696181999E-2</c:v>
                </c:pt>
                <c:pt idx="6">
                  <c:v>1.6246953696181999E-2</c:v>
                </c:pt>
                <c:pt idx="7">
                  <c:v>1.7059301380991099E-2</c:v>
                </c:pt>
                <c:pt idx="8">
                  <c:v>2.0308692120227501E-2</c:v>
                </c:pt>
                <c:pt idx="9">
                  <c:v>2.1121039805036601E-2</c:v>
                </c:pt>
                <c:pt idx="10">
                  <c:v>2.1121039805036601E-2</c:v>
                </c:pt>
                <c:pt idx="11">
                  <c:v>3.2493907392363901E-2</c:v>
                </c:pt>
                <c:pt idx="12">
                  <c:v>3.3306255077172997E-2</c:v>
                </c:pt>
                <c:pt idx="13">
                  <c:v>5.4427294882209598E-2</c:v>
                </c:pt>
                <c:pt idx="14">
                  <c:v>5.6864337936636901E-2</c:v>
                </c:pt>
                <c:pt idx="15">
                  <c:v>5.7676685621445997E-2</c:v>
                </c:pt>
                <c:pt idx="16">
                  <c:v>5.7676685621445997E-2</c:v>
                </c:pt>
                <c:pt idx="17">
                  <c:v>6.0926076360682403E-2</c:v>
                </c:pt>
                <c:pt idx="18">
                  <c:v>0.194151096669374</c:v>
                </c:pt>
                <c:pt idx="19">
                  <c:v>0.20796100731112899</c:v>
                </c:pt>
              </c:numCache>
            </c:numRef>
          </c:val>
        </c:ser>
        <c:dLbls>
          <c:showLegendKey val="0"/>
          <c:showVal val="0"/>
          <c:showCatName val="0"/>
          <c:showSerName val="0"/>
          <c:showPercent val="0"/>
          <c:showBubbleSize val="0"/>
        </c:dLbls>
        <c:gapWidth val="182"/>
        <c:axId val="83997824"/>
        <c:axId val="83999360"/>
      </c:barChart>
      <c:catAx>
        <c:axId val="83997824"/>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83999360"/>
        <c:crosses val="autoZero"/>
        <c:auto val="1"/>
        <c:lblAlgn val="ctr"/>
        <c:lblOffset val="100"/>
        <c:noMultiLvlLbl val="0"/>
      </c:catAx>
      <c:valAx>
        <c:axId val="83999360"/>
        <c:scaling>
          <c:orientation val="minMax"/>
        </c:scaling>
        <c:delete val="1"/>
        <c:axPos val="b"/>
        <c:numFmt formatCode="0.0%" sourceLinked="1"/>
        <c:majorTickMark val="none"/>
        <c:minorTickMark val="none"/>
        <c:tickLblPos val="nextTo"/>
        <c:crossAx val="83997824"/>
        <c:crosses val="autoZero"/>
        <c:crossBetween val="between"/>
      </c:valAx>
    </c:plotArea>
    <c:legend>
      <c:legendPos val="b"/>
      <c:layout/>
      <c:overlay val="0"/>
      <c:txPr>
        <a:bodyPr rot="0" vert="horz"/>
        <a:lstStyle/>
        <a:p>
          <a:pPr>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37065328334069031"/>
          <c:y val="1.7261671243624949E-2"/>
          <c:w val="0.6073064896030721"/>
          <c:h val="0.92930135328582064"/>
        </c:manualLayout>
      </c:layout>
      <c:barChart>
        <c:barDir val="bar"/>
        <c:grouping val="clustered"/>
        <c:varyColors val="0"/>
        <c:ser>
          <c:idx val="0"/>
          <c:order val="0"/>
          <c:tx>
            <c:v>2016</c:v>
          </c:tx>
          <c:spPr>
            <a:ln>
              <a:solidFill>
                <a:schemeClr val="bg1"/>
              </a:solidFill>
            </a:ln>
          </c:spPr>
          <c:invertIfNegative val="0"/>
          <c:dLbls>
            <c:txPr>
              <a:bodyPr rot="0" vert="horz"/>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Pyelonephritis (kidney infection)</c:v>
                </c:pt>
                <c:pt idx="1">
                  <c:v>Otitis externa</c:v>
                </c:pt>
                <c:pt idx="2">
                  <c:v>Vulvovaginitis</c:v>
                </c:pt>
                <c:pt idx="3">
                  <c:v>Wound infection: surgical</c:v>
                </c:pt>
                <c:pt idx="4">
                  <c:v>Abscess/Boils/Folliculitis</c:v>
                </c:pt>
                <c:pt idx="5">
                  <c:v>Common cold</c:v>
                </c:pt>
                <c:pt idx="6">
                  <c:v>Osteomyelitis</c:v>
                </c:pt>
                <c:pt idx="7">
                  <c:v>Oral candidiasis</c:v>
                </c:pt>
                <c:pt idx="8">
                  <c:v>Genital candidiasis</c:v>
                </c:pt>
                <c:pt idx="9">
                  <c:v>Ulcers</c:v>
                </c:pt>
                <c:pt idx="10">
                  <c:v>Bronchitis</c:v>
                </c:pt>
                <c:pt idx="11">
                  <c:v>Catheter-associated UTI</c:v>
                </c:pt>
                <c:pt idx="12">
                  <c:v>Infective exacerbation of COPD</c:v>
                </c:pt>
                <c:pt idx="13">
                  <c:v>Asymptomatic bacteriuria</c:v>
                </c:pt>
                <c:pt idx="14">
                  <c:v>Conjunctivitis</c:v>
                </c:pt>
                <c:pt idx="15">
                  <c:v>Cellulitis</c:v>
                </c:pt>
                <c:pt idx="16">
                  <c:v>Tinea</c:v>
                </c:pt>
                <c:pt idx="17">
                  <c:v>Wound infection: non-surgical</c:v>
                </c:pt>
                <c:pt idx="18">
                  <c:v>Pneumonia (chest infection, LRTI)</c:v>
                </c:pt>
                <c:pt idx="19">
                  <c:v>Cystitis (bladder infection)</c:v>
                </c:pt>
              </c:strCache>
            </c:strRef>
          </c:cat>
          <c:val>
            <c:numRef>
              <c:f>Sheet1!$B$2:$B$21</c:f>
              <c:numCache>
                <c:formatCode>0.0%</c:formatCode>
                <c:ptCount val="20"/>
                <c:pt idx="0">
                  <c:v>4.6885465505693202E-3</c:v>
                </c:pt>
                <c:pt idx="1">
                  <c:v>3.3489618218352302E-3</c:v>
                </c:pt>
                <c:pt idx="2">
                  <c:v>5.3583389149363704E-3</c:v>
                </c:pt>
                <c:pt idx="3">
                  <c:v>5.3583389149363704E-3</c:v>
                </c:pt>
                <c:pt idx="4">
                  <c:v>4.6885465505693202E-3</c:v>
                </c:pt>
                <c:pt idx="5">
                  <c:v>1.00468854655057E-2</c:v>
                </c:pt>
                <c:pt idx="6">
                  <c:v>7.3677160080375097E-3</c:v>
                </c:pt>
                <c:pt idx="7">
                  <c:v>6.0281312793034197E-3</c:v>
                </c:pt>
                <c:pt idx="8">
                  <c:v>1.2726054922973899E-2</c:v>
                </c:pt>
                <c:pt idx="9">
                  <c:v>1.2726054922973899E-2</c:v>
                </c:pt>
                <c:pt idx="10">
                  <c:v>1.6744809109176199E-2</c:v>
                </c:pt>
                <c:pt idx="11">
                  <c:v>1.80843938379102E-2</c:v>
                </c:pt>
                <c:pt idx="12">
                  <c:v>1.2726054922973899E-2</c:v>
                </c:pt>
                <c:pt idx="13">
                  <c:v>3.8847957133288702E-2</c:v>
                </c:pt>
                <c:pt idx="14">
                  <c:v>3.4829202947086399E-2</c:v>
                </c:pt>
                <c:pt idx="15">
                  <c:v>4.7555257870060298E-2</c:v>
                </c:pt>
                <c:pt idx="16">
                  <c:v>2.8801071667783E-2</c:v>
                </c:pt>
                <c:pt idx="17">
                  <c:v>5.6932350971198899E-2</c:v>
                </c:pt>
                <c:pt idx="18">
                  <c:v>0.10984594775619599</c:v>
                </c:pt>
                <c:pt idx="19">
                  <c:v>0.17615539182853299</c:v>
                </c:pt>
              </c:numCache>
            </c:numRef>
          </c:val>
        </c:ser>
        <c:ser>
          <c:idx val="1"/>
          <c:order val="1"/>
          <c:tx>
            <c:v>2017</c:v>
          </c:tx>
          <c:spPr>
            <a:ln>
              <a:solidFill>
                <a:schemeClr val="bg1"/>
              </a:solidFill>
            </a:ln>
          </c:spPr>
          <c:invertIfNegative val="0"/>
          <c:dLbls>
            <c:txPr>
              <a:bodyPr rot="0" vert="horz"/>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Pyelonephritis (kidney infection)</c:v>
                </c:pt>
                <c:pt idx="1">
                  <c:v>Otitis externa</c:v>
                </c:pt>
                <c:pt idx="2">
                  <c:v>Vulvovaginitis</c:v>
                </c:pt>
                <c:pt idx="3">
                  <c:v>Wound infection: surgical</c:v>
                </c:pt>
                <c:pt idx="4">
                  <c:v>Abscess/Boils/Folliculitis</c:v>
                </c:pt>
                <c:pt idx="5">
                  <c:v>Common cold</c:v>
                </c:pt>
                <c:pt idx="6">
                  <c:v>Osteomyelitis</c:v>
                </c:pt>
                <c:pt idx="7">
                  <c:v>Oral candidiasis</c:v>
                </c:pt>
                <c:pt idx="8">
                  <c:v>Genital candidiasis</c:v>
                </c:pt>
                <c:pt idx="9">
                  <c:v>Ulcers</c:v>
                </c:pt>
                <c:pt idx="10">
                  <c:v>Bronchitis</c:v>
                </c:pt>
                <c:pt idx="11">
                  <c:v>Catheter-associated UTI</c:v>
                </c:pt>
                <c:pt idx="12">
                  <c:v>Infective exacerbation of COPD</c:v>
                </c:pt>
                <c:pt idx="13">
                  <c:v>Asymptomatic bacteriuria</c:v>
                </c:pt>
                <c:pt idx="14">
                  <c:v>Conjunctivitis</c:v>
                </c:pt>
                <c:pt idx="15">
                  <c:v>Cellulitis</c:v>
                </c:pt>
                <c:pt idx="16">
                  <c:v>Tinea</c:v>
                </c:pt>
                <c:pt idx="17">
                  <c:v>Wound infection: non-surgical</c:v>
                </c:pt>
                <c:pt idx="18">
                  <c:v>Pneumonia (chest infection, LRTI)</c:v>
                </c:pt>
                <c:pt idx="19">
                  <c:v>Cystitis (bladder infection)</c:v>
                </c:pt>
              </c:strCache>
            </c:strRef>
          </c:cat>
          <c:val>
            <c:numRef>
              <c:f>Sheet1!$C$2:$C$21</c:f>
              <c:numCache>
                <c:formatCode>0.0%</c:formatCode>
                <c:ptCount val="20"/>
                <c:pt idx="0">
                  <c:v>6.4987814784727904E-3</c:v>
                </c:pt>
                <c:pt idx="1">
                  <c:v>6.4987814784727904E-3</c:v>
                </c:pt>
                <c:pt idx="2">
                  <c:v>7.3111291632818797E-3</c:v>
                </c:pt>
                <c:pt idx="3">
                  <c:v>8.1234768480909804E-3</c:v>
                </c:pt>
                <c:pt idx="4">
                  <c:v>8.1234768480909804E-3</c:v>
                </c:pt>
                <c:pt idx="5">
                  <c:v>8.9358245329000802E-3</c:v>
                </c:pt>
                <c:pt idx="6">
                  <c:v>1.13728675873274E-2</c:v>
                </c:pt>
                <c:pt idx="7">
                  <c:v>1.13728675873274E-2</c:v>
                </c:pt>
                <c:pt idx="8">
                  <c:v>1.21852152721365E-2</c:v>
                </c:pt>
                <c:pt idx="9">
                  <c:v>1.4622258326563799E-2</c:v>
                </c:pt>
                <c:pt idx="10">
                  <c:v>1.5434606011372899E-2</c:v>
                </c:pt>
                <c:pt idx="11">
                  <c:v>1.8683996750609298E-2</c:v>
                </c:pt>
                <c:pt idx="12">
                  <c:v>1.9496344435418402E-2</c:v>
                </c:pt>
                <c:pt idx="13">
                  <c:v>3.1681559707554798E-2</c:v>
                </c:pt>
                <c:pt idx="14">
                  <c:v>4.0617384240454898E-2</c:v>
                </c:pt>
                <c:pt idx="15">
                  <c:v>4.1429731925264002E-2</c:v>
                </c:pt>
                <c:pt idx="16">
                  <c:v>4.7116165718927697E-2</c:v>
                </c:pt>
                <c:pt idx="17">
                  <c:v>5.1177904142973199E-2</c:v>
                </c:pt>
                <c:pt idx="18">
                  <c:v>0.108854589764419</c:v>
                </c:pt>
                <c:pt idx="19">
                  <c:v>0.17140536149471999</c:v>
                </c:pt>
              </c:numCache>
            </c:numRef>
          </c:val>
        </c:ser>
        <c:dLbls>
          <c:showLegendKey val="0"/>
          <c:showVal val="0"/>
          <c:showCatName val="0"/>
          <c:showSerName val="0"/>
          <c:showPercent val="0"/>
          <c:showBubbleSize val="0"/>
        </c:dLbls>
        <c:gapWidth val="182"/>
        <c:axId val="334503936"/>
        <c:axId val="334505472"/>
      </c:barChart>
      <c:catAx>
        <c:axId val="334503936"/>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334505472"/>
        <c:crosses val="autoZero"/>
        <c:auto val="1"/>
        <c:lblAlgn val="ctr"/>
        <c:lblOffset val="100"/>
        <c:noMultiLvlLbl val="0"/>
      </c:catAx>
      <c:valAx>
        <c:axId val="334505472"/>
        <c:scaling>
          <c:orientation val="minMax"/>
        </c:scaling>
        <c:delete val="1"/>
        <c:axPos val="b"/>
        <c:numFmt formatCode="0.0%" sourceLinked="1"/>
        <c:majorTickMark val="none"/>
        <c:minorTickMark val="none"/>
        <c:tickLblPos val="nextTo"/>
        <c:crossAx val="334503936"/>
        <c:crosses val="autoZero"/>
        <c:crossBetween val="between"/>
      </c:valAx>
    </c:plotArea>
    <c:legend>
      <c:legendPos val="b"/>
      <c:layout/>
      <c:overlay val="0"/>
      <c:txPr>
        <a:bodyPr rot="0" vert="horz"/>
        <a:lstStyle/>
        <a:p>
          <a:pPr>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Sheet1!$B$1</c:f>
              <c:strCache>
                <c:ptCount val="1"/>
                <c:pt idx="0">
                  <c:v>2016</c:v>
                </c:pt>
              </c:strCache>
            </c:strRef>
          </c:tx>
          <c:invertIfNegative val="0"/>
          <c:dLbls>
            <c:txPr>
              <a:bodyPr rot="0" vert="horz"/>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Catheter-associated UTI</c:v>
                </c:pt>
                <c:pt idx="1">
                  <c:v>Genital candidiasis</c:v>
                </c:pt>
                <c:pt idx="2">
                  <c:v>Infective exacerbation of COPD</c:v>
                </c:pt>
                <c:pt idx="3">
                  <c:v>Ulcers</c:v>
                </c:pt>
                <c:pt idx="4">
                  <c:v>Conjunctivitis</c:v>
                </c:pt>
                <c:pt idx="5">
                  <c:v>Cellulitis</c:v>
                </c:pt>
                <c:pt idx="6">
                  <c:v>Tinea</c:v>
                </c:pt>
                <c:pt idx="7">
                  <c:v>Wound infection: non-surgical</c:v>
                </c:pt>
                <c:pt idx="8">
                  <c:v>Cystitis (bladder infection)</c:v>
                </c:pt>
                <c:pt idx="9">
                  <c:v>Pneumonia (chest infection, LRTI)</c:v>
                </c:pt>
              </c:strCache>
            </c:strRef>
          </c:cat>
          <c:val>
            <c:numRef>
              <c:f>Sheet1!$B$2:$B$11</c:f>
              <c:numCache>
                <c:formatCode>0.0%</c:formatCode>
                <c:ptCount val="10"/>
                <c:pt idx="0">
                  <c:v>1.70098478066249E-2</c:v>
                </c:pt>
                <c:pt idx="1">
                  <c:v>1.07430617726052E-2</c:v>
                </c:pt>
                <c:pt idx="2">
                  <c:v>1.16383169203223E-2</c:v>
                </c:pt>
                <c:pt idx="3">
                  <c:v>1.52193375111907E-2</c:v>
                </c:pt>
                <c:pt idx="4">
                  <c:v>3.7600716204118201E-2</c:v>
                </c:pt>
                <c:pt idx="5">
                  <c:v>5.9086839749328601E-2</c:v>
                </c:pt>
                <c:pt idx="6">
                  <c:v>3.7600716204118201E-2</c:v>
                </c:pt>
                <c:pt idx="7">
                  <c:v>7.0725156669650804E-2</c:v>
                </c:pt>
                <c:pt idx="8">
                  <c:v>0.128021486123545</c:v>
                </c:pt>
                <c:pt idx="9">
                  <c:v>0.141450313339302</c:v>
                </c:pt>
              </c:numCache>
            </c:numRef>
          </c:val>
        </c:ser>
        <c:ser>
          <c:idx val="1"/>
          <c:order val="1"/>
          <c:tx>
            <c:strRef>
              <c:f>Sheet1!$C$1</c:f>
              <c:strCache>
                <c:ptCount val="1"/>
                <c:pt idx="0">
                  <c:v>2017</c:v>
                </c:pt>
              </c:strCache>
            </c:strRef>
          </c:tx>
          <c:spPr>
            <a:ln>
              <a:solidFill>
                <a:schemeClr val="bg1"/>
              </a:solidFill>
            </a:ln>
          </c:spPr>
          <c:invertIfNegative val="0"/>
          <c:dLbls>
            <c:txPr>
              <a:bodyPr rot="0" vert="horz"/>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Catheter-associated UTI</c:v>
                </c:pt>
                <c:pt idx="1">
                  <c:v>Genital candidiasis</c:v>
                </c:pt>
                <c:pt idx="2">
                  <c:v>Infective exacerbation of COPD</c:v>
                </c:pt>
                <c:pt idx="3">
                  <c:v>Ulcers</c:v>
                </c:pt>
                <c:pt idx="4">
                  <c:v>Conjunctivitis</c:v>
                </c:pt>
                <c:pt idx="5">
                  <c:v>Cellulitis</c:v>
                </c:pt>
                <c:pt idx="6">
                  <c:v>Tinea</c:v>
                </c:pt>
                <c:pt idx="7">
                  <c:v>Wound infection: non-surgical</c:v>
                </c:pt>
                <c:pt idx="8">
                  <c:v>Cystitis (bladder infection)</c:v>
                </c:pt>
                <c:pt idx="9">
                  <c:v>Pneumonia (chest infection, LRTI)</c:v>
                </c:pt>
              </c:strCache>
            </c:strRef>
          </c:cat>
          <c:val>
            <c:numRef>
              <c:f>Sheet1!$C$2:$C$11</c:f>
              <c:numCache>
                <c:formatCode>0.0%</c:formatCode>
                <c:ptCount val="10"/>
                <c:pt idx="0">
                  <c:v>1.6E-2</c:v>
                </c:pt>
                <c:pt idx="1">
                  <c:v>1.6E-2</c:v>
                </c:pt>
                <c:pt idx="2">
                  <c:v>1.7142857142857099E-2</c:v>
                </c:pt>
                <c:pt idx="3">
                  <c:v>1.8285714285714301E-2</c:v>
                </c:pt>
                <c:pt idx="4">
                  <c:v>5.0285714285714302E-2</c:v>
                </c:pt>
                <c:pt idx="5">
                  <c:v>5.3714285714285701E-2</c:v>
                </c:pt>
                <c:pt idx="6">
                  <c:v>5.8285714285714302E-2</c:v>
                </c:pt>
                <c:pt idx="7">
                  <c:v>6.4000000000000001E-2</c:v>
                </c:pt>
                <c:pt idx="8">
                  <c:v>0.122285714285714</c:v>
                </c:pt>
                <c:pt idx="9">
                  <c:v>0.14057142857142901</c:v>
                </c:pt>
              </c:numCache>
            </c:numRef>
          </c:val>
        </c:ser>
        <c:dLbls>
          <c:showLegendKey val="0"/>
          <c:showVal val="0"/>
          <c:showCatName val="0"/>
          <c:showSerName val="0"/>
          <c:showPercent val="0"/>
          <c:showBubbleSize val="0"/>
        </c:dLbls>
        <c:gapWidth val="182"/>
        <c:axId val="334539392"/>
        <c:axId val="334557568"/>
      </c:barChart>
      <c:catAx>
        <c:axId val="334539392"/>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334557568"/>
        <c:crosses val="autoZero"/>
        <c:auto val="1"/>
        <c:lblAlgn val="ctr"/>
        <c:lblOffset val="100"/>
        <c:noMultiLvlLbl val="0"/>
      </c:catAx>
      <c:valAx>
        <c:axId val="334557568"/>
        <c:scaling>
          <c:orientation val="minMax"/>
        </c:scaling>
        <c:delete val="1"/>
        <c:axPos val="b"/>
        <c:numFmt formatCode="0.0%" sourceLinked="1"/>
        <c:majorTickMark val="none"/>
        <c:minorTickMark val="none"/>
        <c:tickLblPos val="nextTo"/>
        <c:crossAx val="334539392"/>
        <c:crosses val="autoZero"/>
        <c:crossBetween val="between"/>
      </c:valAx>
    </c:plotArea>
    <c:legend>
      <c:legendPos val="b"/>
      <c:layout/>
      <c:overlay val="0"/>
      <c:txPr>
        <a:bodyPr rot="0" vert="horz"/>
        <a:lstStyle/>
        <a:p>
          <a:pPr>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Sheet1!$B$1</c:f>
              <c:strCache>
                <c:ptCount val="1"/>
                <c:pt idx="0">
                  <c:v>2016</c:v>
                </c:pt>
              </c:strCache>
            </c:strRef>
          </c:tx>
          <c:spPr>
            <a:ln>
              <a:solidFill>
                <a:schemeClr val="bg1"/>
              </a:solidFill>
            </a:ln>
          </c:spPr>
          <c:invertIfNegative val="0"/>
          <c:dLbls>
            <c:txPr>
              <a:bodyPr rot="0" vert="horz"/>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Conjunctivitis</c:v>
                </c:pt>
                <c:pt idx="1">
                  <c:v>Wound infection: non-surgical</c:v>
                </c:pt>
                <c:pt idx="2">
                  <c:v>Osteomyelitis</c:v>
                </c:pt>
                <c:pt idx="3">
                  <c:v>Tinea</c:v>
                </c:pt>
                <c:pt idx="4">
                  <c:v>Immunocompromisation</c:v>
                </c:pt>
                <c:pt idx="5">
                  <c:v>Catheter-associated UTI</c:v>
                </c:pt>
                <c:pt idx="6">
                  <c:v>Infective exacerbation of COPD</c:v>
                </c:pt>
                <c:pt idx="7">
                  <c:v>Pneumonia (chest infection, LRTI)</c:v>
                </c:pt>
                <c:pt idx="8">
                  <c:v>Asymptomatic bacteriuria</c:v>
                </c:pt>
                <c:pt idx="9">
                  <c:v>Cystitis (bladder infection)</c:v>
                </c:pt>
              </c:strCache>
            </c:strRef>
          </c:cat>
          <c:val>
            <c:numRef>
              <c:f>Sheet1!$B$2:$B$11</c:f>
              <c:numCache>
                <c:formatCode>0.0%</c:formatCode>
                <c:ptCount val="10"/>
                <c:pt idx="0">
                  <c:v>2.6595744680851099E-2</c:v>
                </c:pt>
                <c:pt idx="1">
                  <c:v>1.5957446808510599E-2</c:v>
                </c:pt>
                <c:pt idx="2">
                  <c:v>1.0638297872340399E-2</c:v>
                </c:pt>
                <c:pt idx="3">
                  <c:v>2.6595744680851098E-3</c:v>
                </c:pt>
                <c:pt idx="4">
                  <c:v>2.6595744680851099E-2</c:v>
                </c:pt>
                <c:pt idx="5">
                  <c:v>2.1276595744680899E-2</c:v>
                </c:pt>
                <c:pt idx="6">
                  <c:v>1.5957446808510599E-2</c:v>
                </c:pt>
                <c:pt idx="7">
                  <c:v>1.5957446808510599E-2</c:v>
                </c:pt>
                <c:pt idx="8">
                  <c:v>0.10372340425531899</c:v>
                </c:pt>
                <c:pt idx="9">
                  <c:v>0.319148936170213</c:v>
                </c:pt>
              </c:numCache>
            </c:numRef>
          </c:val>
        </c:ser>
        <c:ser>
          <c:idx val="1"/>
          <c:order val="1"/>
          <c:tx>
            <c:strRef>
              <c:f>Sheet1!$C$1</c:f>
              <c:strCache>
                <c:ptCount val="1"/>
                <c:pt idx="0">
                  <c:v>2017</c:v>
                </c:pt>
              </c:strCache>
            </c:strRef>
          </c:tx>
          <c:spPr>
            <a:ln>
              <a:solidFill>
                <a:schemeClr val="bg1"/>
              </a:solidFill>
            </a:ln>
          </c:spPr>
          <c:invertIfNegative val="0"/>
          <c:dLbls>
            <c:txPr>
              <a:bodyPr rot="0" vert="horz"/>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Conjunctivitis</c:v>
                </c:pt>
                <c:pt idx="1">
                  <c:v>Wound infection: non-surgical</c:v>
                </c:pt>
                <c:pt idx="2">
                  <c:v>Osteomyelitis</c:v>
                </c:pt>
                <c:pt idx="3">
                  <c:v>Tinea</c:v>
                </c:pt>
                <c:pt idx="4">
                  <c:v>Immunocompromisation</c:v>
                </c:pt>
                <c:pt idx="5">
                  <c:v>Catheter-associated UTI</c:v>
                </c:pt>
                <c:pt idx="6">
                  <c:v>Infective exacerbation of COPD</c:v>
                </c:pt>
                <c:pt idx="7">
                  <c:v>Pneumonia (chest infection, LRTI)</c:v>
                </c:pt>
                <c:pt idx="8">
                  <c:v>Asymptomatic bacteriuria</c:v>
                </c:pt>
                <c:pt idx="9">
                  <c:v>Cystitis (bladder infection)</c:v>
                </c:pt>
              </c:strCache>
            </c:strRef>
          </c:cat>
          <c:val>
            <c:numRef>
              <c:f>Sheet1!$C$2:$C$11</c:f>
              <c:numCache>
                <c:formatCode>0.0%</c:formatCode>
                <c:ptCount val="10"/>
                <c:pt idx="0">
                  <c:v>1.6853932584269701E-2</c:v>
                </c:pt>
                <c:pt idx="1">
                  <c:v>1.9662921348314599E-2</c:v>
                </c:pt>
                <c:pt idx="2">
                  <c:v>1.9662921348314599E-2</c:v>
                </c:pt>
                <c:pt idx="3">
                  <c:v>1.9662921348314599E-2</c:v>
                </c:pt>
                <c:pt idx="4">
                  <c:v>2.2471910112359501E-2</c:v>
                </c:pt>
                <c:pt idx="5">
                  <c:v>2.5280898876404501E-2</c:v>
                </c:pt>
                <c:pt idx="6">
                  <c:v>2.5280898876404501E-2</c:v>
                </c:pt>
                <c:pt idx="7">
                  <c:v>3.0898876404494399E-2</c:v>
                </c:pt>
                <c:pt idx="8">
                  <c:v>7.5842696629213502E-2</c:v>
                </c:pt>
                <c:pt idx="9">
                  <c:v>0.29213483146067398</c:v>
                </c:pt>
              </c:numCache>
            </c:numRef>
          </c:val>
        </c:ser>
        <c:dLbls>
          <c:showLegendKey val="0"/>
          <c:showVal val="0"/>
          <c:showCatName val="0"/>
          <c:showSerName val="0"/>
          <c:showPercent val="0"/>
          <c:showBubbleSize val="0"/>
        </c:dLbls>
        <c:gapWidth val="182"/>
        <c:axId val="335229312"/>
        <c:axId val="335230848"/>
      </c:barChart>
      <c:catAx>
        <c:axId val="335229312"/>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335230848"/>
        <c:crosses val="autoZero"/>
        <c:auto val="1"/>
        <c:lblAlgn val="ctr"/>
        <c:lblOffset val="100"/>
        <c:noMultiLvlLbl val="0"/>
      </c:catAx>
      <c:valAx>
        <c:axId val="335230848"/>
        <c:scaling>
          <c:orientation val="minMax"/>
        </c:scaling>
        <c:delete val="1"/>
        <c:axPos val="b"/>
        <c:numFmt formatCode="0.0%" sourceLinked="1"/>
        <c:majorTickMark val="none"/>
        <c:minorTickMark val="none"/>
        <c:tickLblPos val="nextTo"/>
        <c:crossAx val="335229312"/>
        <c:crosses val="autoZero"/>
        <c:crossBetween val="between"/>
      </c:valAx>
    </c:plotArea>
    <c:legend>
      <c:legendPos val="b"/>
      <c:layout/>
      <c:overlay val="0"/>
      <c:txPr>
        <a:bodyPr rot="0" vert="horz"/>
        <a:lstStyle/>
        <a:p>
          <a:pPr>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percentStacked"/>
        <c:varyColors val="0"/>
        <c:ser>
          <c:idx val="0"/>
          <c:order val="0"/>
          <c:tx>
            <c:strRef>
              <c:f>'figure 5'!$C$1</c:f>
              <c:strCache>
                <c:ptCount val="1"/>
                <c:pt idx="0">
                  <c:v>Collected</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1.7608025932324176E-2"/>
                  <c:y val="0"/>
                </c:manualLayout>
              </c:layout>
              <c:showLegendKey val="0"/>
              <c:showVal val="1"/>
              <c:showCatName val="0"/>
              <c:showSerName val="0"/>
              <c:showPercent val="0"/>
              <c:showBubbleSize val="0"/>
            </c:dLbl>
            <c:dLbl>
              <c:idx val="5"/>
              <c:layout>
                <c:manualLayout>
                  <c:x val="1.2577161380231554E-2"/>
                  <c:y val="0"/>
                </c:manualLayout>
              </c:layout>
              <c:showLegendKey val="0"/>
              <c:showVal val="1"/>
              <c:showCatName val="0"/>
              <c:showSerName val="0"/>
              <c:showPercent val="0"/>
              <c:showBubbleSize val="0"/>
            </c:dLbl>
            <c:dLbl>
              <c:idx val="6"/>
              <c:layout>
                <c:manualLayout>
                  <c:x val="7.5462968281389785E-3"/>
                  <c:y val="0"/>
                </c:manualLayout>
              </c:layout>
              <c:showLegendKey val="0"/>
              <c:showVal val="1"/>
              <c:showCatName val="0"/>
              <c:showSerName val="0"/>
              <c:showPercent val="0"/>
              <c:showBubbleSize val="0"/>
            </c:dLbl>
            <c:dLbl>
              <c:idx val="8"/>
              <c:layout>
                <c:manualLayout>
                  <c:x val="-2.515432276046311E-3"/>
                  <c:y val="0"/>
                </c:manualLayout>
              </c:layout>
              <c:showLegendKey val="0"/>
              <c:showVal val="1"/>
              <c:showCatName val="0"/>
              <c:showSerName val="0"/>
              <c:showPercent val="0"/>
              <c:showBubbleSize val="0"/>
            </c:dLbl>
            <c:txPr>
              <a:bodyPr rot="0" vert="horz"/>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5'!$B$2:$B$13</c:f>
              <c:strCache>
                <c:ptCount val="12"/>
                <c:pt idx="0">
                  <c:v>Bone and Joint</c:v>
                </c:pt>
                <c:pt idx="1">
                  <c:v>Genital</c:v>
                </c:pt>
                <c:pt idx="2">
                  <c:v>Medical Prophylaxis</c:v>
                </c:pt>
                <c:pt idx="3">
                  <c:v>Oral/Dental</c:v>
                </c:pt>
                <c:pt idx="4">
                  <c:v>Indication Unknown</c:v>
                </c:pt>
                <c:pt idx="5">
                  <c:v>Eye</c:v>
                </c:pt>
                <c:pt idx="6">
                  <c:v>Ear, Nose and Throat</c:v>
                </c:pt>
                <c:pt idx="7">
                  <c:v>Respiratory Tract</c:v>
                </c:pt>
                <c:pt idx="8">
                  <c:v>Skin, Soft Tissue or Mucosal</c:v>
                </c:pt>
                <c:pt idx="9">
                  <c:v>Gastrointestinal/Abdominal</c:v>
                </c:pt>
                <c:pt idx="10">
                  <c:v>Urinary Tract</c:v>
                </c:pt>
                <c:pt idx="11">
                  <c:v>Systemic</c:v>
                </c:pt>
              </c:strCache>
            </c:strRef>
          </c:cat>
          <c:val>
            <c:numRef>
              <c:f>'figure 5'!$C$2:$C$13</c:f>
              <c:numCache>
                <c:formatCode>0.0%</c:formatCode>
                <c:ptCount val="12"/>
                <c:pt idx="0">
                  <c:v>0</c:v>
                </c:pt>
                <c:pt idx="1">
                  <c:v>0</c:v>
                </c:pt>
                <c:pt idx="2">
                  <c:v>0</c:v>
                </c:pt>
                <c:pt idx="3">
                  <c:v>0</c:v>
                </c:pt>
                <c:pt idx="4">
                  <c:v>2.5641025641025599E-2</c:v>
                </c:pt>
                <c:pt idx="5">
                  <c:v>3.7037037037037E-2</c:v>
                </c:pt>
                <c:pt idx="6">
                  <c:v>6.6666666666666693E-2</c:v>
                </c:pt>
                <c:pt idx="7">
                  <c:v>8.1218274111675107E-2</c:v>
                </c:pt>
                <c:pt idx="8">
                  <c:v>0.107806691449814</c:v>
                </c:pt>
                <c:pt idx="9">
                  <c:v>0.25</c:v>
                </c:pt>
                <c:pt idx="10">
                  <c:v>0.399014778325123</c:v>
                </c:pt>
                <c:pt idx="11">
                  <c:v>0.4</c:v>
                </c:pt>
              </c:numCache>
            </c:numRef>
          </c:val>
        </c:ser>
        <c:ser>
          <c:idx val="1"/>
          <c:order val="1"/>
          <c:tx>
            <c:strRef>
              <c:f>'figure 5'!$D$1</c:f>
              <c:strCache>
                <c:ptCount val="1"/>
                <c:pt idx="0">
                  <c:v>Not collected</c:v>
                </c:pt>
              </c:strCache>
            </c:strRef>
          </c:tx>
          <c:invertIfNegative val="0"/>
          <c:dLbls>
            <c:txPr>
              <a:bodyPr rot="0" vert="horz"/>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5'!$B$2:$B$13</c:f>
              <c:strCache>
                <c:ptCount val="12"/>
                <c:pt idx="0">
                  <c:v>Bone and Joint</c:v>
                </c:pt>
                <c:pt idx="1">
                  <c:v>Genital</c:v>
                </c:pt>
                <c:pt idx="2">
                  <c:v>Medical Prophylaxis</c:v>
                </c:pt>
                <c:pt idx="3">
                  <c:v>Oral/Dental</c:v>
                </c:pt>
                <c:pt idx="4">
                  <c:v>Indication Unknown</c:v>
                </c:pt>
                <c:pt idx="5">
                  <c:v>Eye</c:v>
                </c:pt>
                <c:pt idx="6">
                  <c:v>Ear, Nose and Throat</c:v>
                </c:pt>
                <c:pt idx="7">
                  <c:v>Respiratory Tract</c:v>
                </c:pt>
                <c:pt idx="8">
                  <c:v>Skin, Soft Tissue or Mucosal</c:v>
                </c:pt>
                <c:pt idx="9">
                  <c:v>Gastrointestinal/Abdominal</c:v>
                </c:pt>
                <c:pt idx="10">
                  <c:v>Urinary Tract</c:v>
                </c:pt>
                <c:pt idx="11">
                  <c:v>Systemic</c:v>
                </c:pt>
              </c:strCache>
            </c:strRef>
          </c:cat>
          <c:val>
            <c:numRef>
              <c:f>'figure 5'!$D$2:$D$13</c:f>
              <c:numCache>
                <c:formatCode>0.0%</c:formatCode>
                <c:ptCount val="12"/>
                <c:pt idx="0">
                  <c:v>1</c:v>
                </c:pt>
                <c:pt idx="1">
                  <c:v>1</c:v>
                </c:pt>
                <c:pt idx="2">
                  <c:v>1</c:v>
                </c:pt>
                <c:pt idx="3">
                  <c:v>1</c:v>
                </c:pt>
                <c:pt idx="4">
                  <c:v>0.97435897435897401</c:v>
                </c:pt>
                <c:pt idx="5">
                  <c:v>0.96296296296296302</c:v>
                </c:pt>
                <c:pt idx="6">
                  <c:v>0.93333333333333302</c:v>
                </c:pt>
                <c:pt idx="7">
                  <c:v>0.91878172588832496</c:v>
                </c:pt>
                <c:pt idx="8">
                  <c:v>0.89219330855018597</c:v>
                </c:pt>
                <c:pt idx="9">
                  <c:v>0.75</c:v>
                </c:pt>
                <c:pt idx="10">
                  <c:v>0.600985221674877</c:v>
                </c:pt>
                <c:pt idx="11">
                  <c:v>0.6</c:v>
                </c:pt>
              </c:numCache>
            </c:numRef>
          </c:val>
        </c:ser>
        <c:dLbls>
          <c:showLegendKey val="0"/>
          <c:showVal val="0"/>
          <c:showCatName val="0"/>
          <c:showSerName val="0"/>
          <c:showPercent val="0"/>
          <c:showBubbleSize val="0"/>
        </c:dLbls>
        <c:gapWidth val="150"/>
        <c:overlap val="100"/>
        <c:axId val="335256576"/>
        <c:axId val="335618816"/>
      </c:barChart>
      <c:catAx>
        <c:axId val="335256576"/>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335618816"/>
        <c:crosses val="autoZero"/>
        <c:auto val="1"/>
        <c:lblAlgn val="ctr"/>
        <c:lblOffset val="100"/>
        <c:noMultiLvlLbl val="0"/>
      </c:catAx>
      <c:valAx>
        <c:axId val="335618816"/>
        <c:scaling>
          <c:orientation val="minMax"/>
        </c:scaling>
        <c:delete val="1"/>
        <c:axPos val="b"/>
        <c:numFmt formatCode="0%" sourceLinked="1"/>
        <c:majorTickMark val="none"/>
        <c:minorTickMark val="none"/>
        <c:tickLblPos val="nextTo"/>
        <c:crossAx val="335256576"/>
        <c:crosses val="autoZero"/>
        <c:crossBetween val="between"/>
      </c:valAx>
    </c:plotArea>
    <c:legend>
      <c:legendPos val="b"/>
      <c:layout/>
      <c:overlay val="0"/>
      <c:txPr>
        <a:bodyPr rot="0" vert="horz"/>
        <a:lstStyle/>
        <a:p>
          <a:pPr>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1FD5-3FC9-43B0-AE3F-A36725DA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1524</TotalTime>
  <Pages>26</Pages>
  <Words>5858</Words>
  <Characters>33551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Komoder Andrew</dc:creator>
  <cp:lastModifiedBy>DANIELS, Ruth</cp:lastModifiedBy>
  <cp:revision>153</cp:revision>
  <cp:lastPrinted>2018-06-04T00:00:00Z</cp:lastPrinted>
  <dcterms:created xsi:type="dcterms:W3CDTF">2018-05-30T00:43:00Z</dcterms:created>
  <dcterms:modified xsi:type="dcterms:W3CDTF">2018-07-26T02:56:00Z</dcterms:modified>
</cp:coreProperties>
</file>