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167E7" w14:textId="36DA9D51" w:rsidR="00595909" w:rsidRPr="00504399" w:rsidRDefault="002D3335" w:rsidP="00504399">
      <w:pPr>
        <w:spacing w:after="0"/>
      </w:pPr>
      <w:bookmarkStart w:id="0" w:name="_GoBack"/>
      <w:bookmarkEnd w:id="0"/>
      <w:r>
        <w:rPr>
          <w:noProof/>
          <w:lang w:eastAsia="en-AU"/>
        </w:rPr>
        <w:drawing>
          <wp:anchor distT="0" distB="0" distL="114300" distR="114300" simplePos="0" relativeHeight="251658240" behindDoc="1" locked="0" layoutInCell="1" allowOverlap="1" wp14:anchorId="1EDE5E56" wp14:editId="323AE1AC">
            <wp:simplePos x="0" y="0"/>
            <wp:positionH relativeFrom="column">
              <wp:posOffset>161925</wp:posOffset>
            </wp:positionH>
            <wp:positionV relativeFrom="paragraph">
              <wp:posOffset>-434340</wp:posOffset>
            </wp:positionV>
            <wp:extent cx="4845685" cy="683895"/>
            <wp:effectExtent l="0" t="0" r="0" b="1905"/>
            <wp:wrapTight wrapText="bothSides">
              <wp:wrapPolygon edited="0">
                <wp:start x="0" y="0"/>
                <wp:lineTo x="0" y="21058"/>
                <wp:lineTo x="21484" y="21058"/>
                <wp:lineTo x="2148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5685" cy="683895"/>
                    </a:xfrm>
                    <a:prstGeom prst="rect">
                      <a:avLst/>
                    </a:prstGeom>
                  </pic:spPr>
                </pic:pic>
              </a:graphicData>
            </a:graphic>
            <wp14:sizeRelH relativeFrom="page">
              <wp14:pctWidth>0</wp14:pctWidth>
            </wp14:sizeRelH>
            <wp14:sizeRelV relativeFrom="page">
              <wp14:pctHeight>0</wp14:pctHeight>
            </wp14:sizeRelV>
          </wp:anchor>
        </w:drawing>
      </w:r>
    </w:p>
    <w:p w14:paraId="3B75A275" w14:textId="77777777" w:rsidR="00FB12DB" w:rsidRDefault="00FB12DB" w:rsidP="002D3335">
      <w:pPr>
        <w:spacing w:before="840" w:after="280" w:line="240" w:lineRule="auto"/>
        <w:ind w:left="397" w:right="936"/>
        <w:rPr>
          <w:rFonts w:ascii="Century Gothic" w:eastAsia="Times New Roman" w:hAnsi="Century Gothic" w:cs="Times New Roman"/>
          <w:bCs/>
          <w:iCs/>
          <w:color w:val="0A4A63"/>
          <w:sz w:val="52"/>
          <w:szCs w:val="20"/>
          <w:lang w:eastAsia="en-AU"/>
        </w:rPr>
      </w:pPr>
    </w:p>
    <w:p w14:paraId="117AEF72" w14:textId="2AE639A6" w:rsidR="002D3335" w:rsidRPr="002D3335" w:rsidRDefault="00FB12DB" w:rsidP="002D3335">
      <w:pPr>
        <w:spacing w:before="840" w:after="280" w:line="240" w:lineRule="auto"/>
        <w:ind w:left="397" w:right="936"/>
        <w:rPr>
          <w:rFonts w:ascii="Century Gothic" w:eastAsia="Times New Roman" w:hAnsi="Century Gothic" w:cs="Times New Roman"/>
          <w:bCs/>
          <w:iCs/>
          <w:color w:val="0A4A63"/>
          <w:sz w:val="52"/>
          <w:szCs w:val="20"/>
          <w:lang w:eastAsia="en-AU"/>
        </w:rPr>
      </w:pPr>
      <w:r>
        <w:rPr>
          <w:rFonts w:ascii="Century Gothic" w:eastAsia="Times New Roman" w:hAnsi="Century Gothic" w:cs="Times New Roman"/>
          <w:bCs/>
          <w:iCs/>
          <w:color w:val="0A4A63"/>
          <w:sz w:val="52"/>
          <w:szCs w:val="20"/>
          <w:lang w:eastAsia="en-AU"/>
        </w:rPr>
        <w:t>March</w:t>
      </w:r>
      <w:r w:rsidR="002D3335">
        <w:rPr>
          <w:rFonts w:ascii="Century Gothic" w:eastAsia="Times New Roman" w:hAnsi="Century Gothic" w:cs="Times New Roman"/>
          <w:bCs/>
          <w:iCs/>
          <w:color w:val="0A4A63"/>
          <w:sz w:val="52"/>
          <w:szCs w:val="20"/>
          <w:lang w:eastAsia="en-AU"/>
        </w:rPr>
        <w:t xml:space="preserve"> 2017</w:t>
      </w:r>
    </w:p>
    <w:p w14:paraId="61CB7CEF" w14:textId="77777777" w:rsidR="002D3335" w:rsidRDefault="002D3335" w:rsidP="002D3335">
      <w:pPr>
        <w:spacing w:before="1680" w:after="300" w:line="240" w:lineRule="auto"/>
        <w:ind w:left="397"/>
        <w:contextualSpacing/>
        <w:rPr>
          <w:rFonts w:ascii="Franklin Gothic Heavy" w:eastAsia="Times New Roman" w:hAnsi="Franklin Gothic Heavy" w:cs="Times New Roman"/>
          <w:b/>
          <w:color w:val="0A4A63"/>
          <w:kern w:val="28"/>
          <w:sz w:val="72"/>
          <w:szCs w:val="52"/>
          <w:lang w:eastAsia="en-AU"/>
        </w:rPr>
      </w:pPr>
    </w:p>
    <w:p w14:paraId="5684B58A" w14:textId="77777777" w:rsidR="002D3335" w:rsidRDefault="002D3335" w:rsidP="002D3335">
      <w:pPr>
        <w:spacing w:before="1680" w:after="300" w:line="240" w:lineRule="auto"/>
        <w:ind w:left="397"/>
        <w:contextualSpacing/>
        <w:rPr>
          <w:rFonts w:ascii="Franklin Gothic Heavy" w:eastAsia="Times New Roman" w:hAnsi="Franklin Gothic Heavy" w:cs="Times New Roman"/>
          <w:b/>
          <w:color w:val="0A4A63"/>
          <w:kern w:val="28"/>
          <w:sz w:val="72"/>
          <w:szCs w:val="52"/>
          <w:lang w:eastAsia="en-AU"/>
        </w:rPr>
      </w:pPr>
    </w:p>
    <w:p w14:paraId="02351543" w14:textId="46346145" w:rsidR="008933A8" w:rsidRDefault="002D3335" w:rsidP="00054153">
      <w:pPr>
        <w:spacing w:before="1680" w:after="300" w:line="240" w:lineRule="auto"/>
        <w:ind w:left="397"/>
        <w:contextualSpacing/>
        <w:rPr>
          <w:rFonts w:ascii="Franklin Gothic Heavy" w:eastAsia="Times New Roman" w:hAnsi="Franklin Gothic Heavy" w:cs="Times New Roman"/>
          <w:color w:val="0A4A63"/>
          <w:kern w:val="28"/>
          <w:sz w:val="72"/>
          <w:szCs w:val="52"/>
          <w:lang w:eastAsia="en-AU"/>
        </w:rPr>
      </w:pPr>
      <w:r w:rsidRPr="002D3335">
        <w:rPr>
          <w:rFonts w:ascii="Franklin Gothic Heavy" w:eastAsia="Times New Roman" w:hAnsi="Franklin Gothic Heavy" w:cs="Times New Roman"/>
          <w:color w:val="0A4A63"/>
          <w:kern w:val="28"/>
          <w:sz w:val="72"/>
          <w:szCs w:val="52"/>
          <w:lang w:eastAsia="en-AU"/>
        </w:rPr>
        <w:t>A guide to the potentially avoidabl</w:t>
      </w:r>
      <w:r w:rsidR="00054153">
        <w:rPr>
          <w:rFonts w:ascii="Franklin Gothic Heavy" w:eastAsia="Times New Roman" w:hAnsi="Franklin Gothic Heavy" w:cs="Times New Roman"/>
          <w:color w:val="0A4A63"/>
          <w:kern w:val="28"/>
          <w:sz w:val="72"/>
          <w:szCs w:val="52"/>
          <w:lang w:eastAsia="en-AU"/>
        </w:rPr>
        <w:t>e deaths indicator in Australia</w:t>
      </w:r>
    </w:p>
    <w:p w14:paraId="4BFADFD4" w14:textId="77777777" w:rsidR="008933A8" w:rsidRDefault="008933A8">
      <w:pPr>
        <w:spacing w:after="200"/>
        <w:rPr>
          <w:rFonts w:ascii="Franklin Gothic Heavy" w:eastAsia="Times New Roman" w:hAnsi="Franklin Gothic Heavy" w:cs="Times New Roman"/>
          <w:sz w:val="72"/>
          <w:szCs w:val="52"/>
          <w:lang w:eastAsia="en-AU"/>
        </w:rPr>
      </w:pPr>
      <w:r>
        <w:rPr>
          <w:rFonts w:ascii="Franklin Gothic Heavy" w:eastAsia="Times New Roman" w:hAnsi="Franklin Gothic Heavy" w:cs="Times New Roman"/>
          <w:sz w:val="72"/>
          <w:szCs w:val="52"/>
          <w:lang w:eastAsia="en-AU"/>
        </w:rPr>
        <w:br w:type="page"/>
      </w:r>
    </w:p>
    <w:p w14:paraId="7269A60C" w14:textId="77777777" w:rsidR="008933A8" w:rsidRDefault="008933A8" w:rsidP="002D3335">
      <w:pPr>
        <w:spacing w:before="600" w:after="0" w:line="240" w:lineRule="auto"/>
        <w:contextualSpacing/>
        <w:rPr>
          <w:rFonts w:eastAsia="Times New Roman"/>
          <w:szCs w:val="20"/>
          <w:lang w:eastAsia="en-AU"/>
        </w:rPr>
      </w:pPr>
    </w:p>
    <w:p w14:paraId="5A1418FD" w14:textId="77777777" w:rsidR="008933A8" w:rsidRDefault="008933A8" w:rsidP="002D3335">
      <w:pPr>
        <w:spacing w:before="600" w:after="0" w:line="240" w:lineRule="auto"/>
        <w:contextualSpacing/>
        <w:rPr>
          <w:rFonts w:eastAsia="Times New Roman"/>
          <w:szCs w:val="20"/>
          <w:lang w:eastAsia="en-AU"/>
        </w:rPr>
      </w:pPr>
    </w:p>
    <w:p w14:paraId="500F7AD9" w14:textId="77777777" w:rsidR="008933A8" w:rsidRDefault="008933A8" w:rsidP="002D3335">
      <w:pPr>
        <w:spacing w:before="600" w:after="0" w:line="240" w:lineRule="auto"/>
        <w:contextualSpacing/>
        <w:rPr>
          <w:rFonts w:eastAsia="Times New Roman"/>
          <w:szCs w:val="20"/>
          <w:lang w:eastAsia="en-AU"/>
        </w:rPr>
      </w:pPr>
    </w:p>
    <w:p w14:paraId="7CE8C7F8" w14:textId="77777777" w:rsidR="008933A8" w:rsidRDefault="008933A8" w:rsidP="002D3335">
      <w:pPr>
        <w:spacing w:before="600" w:after="0" w:line="240" w:lineRule="auto"/>
        <w:contextualSpacing/>
        <w:rPr>
          <w:rFonts w:eastAsia="Times New Roman"/>
          <w:szCs w:val="20"/>
          <w:lang w:eastAsia="en-AU"/>
        </w:rPr>
      </w:pPr>
    </w:p>
    <w:p w14:paraId="094C7FF1" w14:textId="77777777" w:rsidR="008933A8" w:rsidRDefault="008933A8" w:rsidP="002D3335">
      <w:pPr>
        <w:spacing w:before="600" w:after="0" w:line="240" w:lineRule="auto"/>
        <w:contextualSpacing/>
        <w:rPr>
          <w:rFonts w:eastAsia="Times New Roman"/>
          <w:szCs w:val="20"/>
          <w:lang w:eastAsia="en-AU"/>
        </w:rPr>
      </w:pPr>
    </w:p>
    <w:p w14:paraId="56D4E3FE" w14:textId="77777777" w:rsidR="008933A8" w:rsidRDefault="008933A8" w:rsidP="002D3335">
      <w:pPr>
        <w:spacing w:before="600" w:after="0" w:line="240" w:lineRule="auto"/>
        <w:contextualSpacing/>
        <w:rPr>
          <w:rFonts w:eastAsia="Times New Roman"/>
          <w:szCs w:val="20"/>
          <w:lang w:eastAsia="en-AU"/>
        </w:rPr>
      </w:pPr>
    </w:p>
    <w:p w14:paraId="403B5DE4" w14:textId="77777777" w:rsidR="008933A8" w:rsidRDefault="008933A8" w:rsidP="002D3335">
      <w:pPr>
        <w:spacing w:before="600" w:after="0" w:line="240" w:lineRule="auto"/>
        <w:contextualSpacing/>
        <w:rPr>
          <w:rFonts w:eastAsia="Times New Roman"/>
          <w:szCs w:val="20"/>
          <w:lang w:eastAsia="en-AU"/>
        </w:rPr>
      </w:pPr>
    </w:p>
    <w:p w14:paraId="408DCCC5" w14:textId="77777777" w:rsidR="008933A8" w:rsidRDefault="008933A8" w:rsidP="002D3335">
      <w:pPr>
        <w:spacing w:before="600" w:after="0" w:line="240" w:lineRule="auto"/>
        <w:contextualSpacing/>
        <w:rPr>
          <w:rFonts w:eastAsia="Times New Roman"/>
          <w:szCs w:val="20"/>
          <w:lang w:eastAsia="en-AU"/>
        </w:rPr>
      </w:pPr>
    </w:p>
    <w:p w14:paraId="1AF56C59" w14:textId="77777777" w:rsidR="008933A8" w:rsidRDefault="008933A8" w:rsidP="002D3335">
      <w:pPr>
        <w:spacing w:before="600" w:after="0" w:line="240" w:lineRule="auto"/>
        <w:contextualSpacing/>
        <w:rPr>
          <w:rFonts w:eastAsia="Times New Roman"/>
          <w:szCs w:val="20"/>
          <w:lang w:eastAsia="en-AU"/>
        </w:rPr>
      </w:pPr>
    </w:p>
    <w:p w14:paraId="544A5072" w14:textId="77777777" w:rsidR="008933A8" w:rsidRDefault="008933A8" w:rsidP="002D3335">
      <w:pPr>
        <w:spacing w:before="600" w:after="0" w:line="240" w:lineRule="auto"/>
        <w:contextualSpacing/>
        <w:rPr>
          <w:rFonts w:eastAsia="Times New Roman"/>
          <w:szCs w:val="20"/>
          <w:lang w:eastAsia="en-AU"/>
        </w:rPr>
      </w:pPr>
    </w:p>
    <w:p w14:paraId="41FD1582" w14:textId="77777777" w:rsidR="008933A8" w:rsidRDefault="008933A8" w:rsidP="002D3335">
      <w:pPr>
        <w:spacing w:before="600" w:after="0" w:line="240" w:lineRule="auto"/>
        <w:contextualSpacing/>
        <w:rPr>
          <w:rFonts w:eastAsia="Times New Roman"/>
          <w:szCs w:val="20"/>
          <w:lang w:eastAsia="en-AU"/>
        </w:rPr>
      </w:pPr>
    </w:p>
    <w:p w14:paraId="252EEBE1" w14:textId="77777777" w:rsidR="008933A8" w:rsidRDefault="008933A8" w:rsidP="002D3335">
      <w:pPr>
        <w:spacing w:before="600" w:after="0" w:line="240" w:lineRule="auto"/>
        <w:contextualSpacing/>
        <w:rPr>
          <w:rFonts w:eastAsia="Times New Roman"/>
          <w:szCs w:val="20"/>
          <w:lang w:eastAsia="en-AU"/>
        </w:rPr>
      </w:pPr>
    </w:p>
    <w:p w14:paraId="141BCD70" w14:textId="77777777" w:rsidR="008933A8" w:rsidRDefault="008933A8" w:rsidP="002D3335">
      <w:pPr>
        <w:spacing w:before="600" w:after="0" w:line="240" w:lineRule="auto"/>
        <w:contextualSpacing/>
        <w:rPr>
          <w:rFonts w:eastAsia="Times New Roman"/>
          <w:szCs w:val="20"/>
          <w:lang w:eastAsia="en-AU"/>
        </w:rPr>
      </w:pPr>
    </w:p>
    <w:p w14:paraId="09A50C18" w14:textId="77777777" w:rsidR="008933A8" w:rsidRDefault="008933A8" w:rsidP="002D3335">
      <w:pPr>
        <w:spacing w:before="600" w:after="0" w:line="240" w:lineRule="auto"/>
        <w:contextualSpacing/>
        <w:rPr>
          <w:rFonts w:eastAsia="Times New Roman"/>
          <w:szCs w:val="20"/>
          <w:lang w:eastAsia="en-AU"/>
        </w:rPr>
      </w:pPr>
    </w:p>
    <w:p w14:paraId="1BCDB65C" w14:textId="77777777" w:rsidR="008933A8" w:rsidRDefault="008933A8" w:rsidP="002D3335">
      <w:pPr>
        <w:spacing w:before="600" w:after="0" w:line="240" w:lineRule="auto"/>
        <w:contextualSpacing/>
        <w:rPr>
          <w:rFonts w:eastAsia="Times New Roman"/>
          <w:szCs w:val="20"/>
          <w:lang w:eastAsia="en-AU"/>
        </w:rPr>
      </w:pPr>
    </w:p>
    <w:p w14:paraId="3DD99F65" w14:textId="77777777" w:rsidR="008933A8" w:rsidRDefault="008933A8" w:rsidP="002D3335">
      <w:pPr>
        <w:spacing w:before="600" w:after="0" w:line="240" w:lineRule="auto"/>
        <w:contextualSpacing/>
        <w:rPr>
          <w:rFonts w:eastAsia="Times New Roman"/>
          <w:szCs w:val="20"/>
          <w:lang w:eastAsia="en-AU"/>
        </w:rPr>
      </w:pPr>
    </w:p>
    <w:p w14:paraId="60C4B377" w14:textId="77777777" w:rsidR="008933A8" w:rsidRDefault="008933A8" w:rsidP="002D3335">
      <w:pPr>
        <w:spacing w:before="600" w:after="0" w:line="240" w:lineRule="auto"/>
        <w:contextualSpacing/>
        <w:rPr>
          <w:rFonts w:eastAsia="Times New Roman"/>
          <w:szCs w:val="20"/>
          <w:lang w:eastAsia="en-AU"/>
        </w:rPr>
      </w:pPr>
    </w:p>
    <w:p w14:paraId="7525CAE6" w14:textId="77777777" w:rsidR="008933A8" w:rsidRDefault="008933A8" w:rsidP="002D3335">
      <w:pPr>
        <w:spacing w:before="600" w:after="0" w:line="240" w:lineRule="auto"/>
        <w:contextualSpacing/>
        <w:rPr>
          <w:rFonts w:eastAsia="Times New Roman"/>
          <w:szCs w:val="20"/>
          <w:lang w:eastAsia="en-AU"/>
        </w:rPr>
      </w:pPr>
    </w:p>
    <w:p w14:paraId="45E5BE42" w14:textId="77777777" w:rsidR="008933A8" w:rsidRDefault="008933A8" w:rsidP="002D3335">
      <w:pPr>
        <w:spacing w:before="600" w:after="0" w:line="240" w:lineRule="auto"/>
        <w:contextualSpacing/>
        <w:rPr>
          <w:rFonts w:eastAsia="Times New Roman"/>
          <w:szCs w:val="20"/>
          <w:lang w:eastAsia="en-AU"/>
        </w:rPr>
      </w:pPr>
    </w:p>
    <w:p w14:paraId="19C0C89D" w14:textId="77777777" w:rsidR="008933A8" w:rsidRDefault="008933A8" w:rsidP="002D3335">
      <w:pPr>
        <w:spacing w:before="600" w:after="0" w:line="240" w:lineRule="auto"/>
        <w:contextualSpacing/>
        <w:rPr>
          <w:rFonts w:eastAsia="Times New Roman"/>
          <w:szCs w:val="20"/>
          <w:lang w:eastAsia="en-AU"/>
        </w:rPr>
      </w:pPr>
    </w:p>
    <w:p w14:paraId="13DCF253" w14:textId="77777777" w:rsidR="008933A8" w:rsidRDefault="008933A8" w:rsidP="002D3335">
      <w:pPr>
        <w:spacing w:before="600" w:after="0" w:line="240" w:lineRule="auto"/>
        <w:contextualSpacing/>
        <w:rPr>
          <w:rFonts w:eastAsia="Times New Roman"/>
          <w:szCs w:val="20"/>
          <w:lang w:eastAsia="en-AU"/>
        </w:rPr>
      </w:pPr>
    </w:p>
    <w:p w14:paraId="1E4911FA" w14:textId="77777777" w:rsidR="008933A8" w:rsidRDefault="008933A8" w:rsidP="002D3335">
      <w:pPr>
        <w:spacing w:before="600" w:after="0" w:line="240" w:lineRule="auto"/>
        <w:contextualSpacing/>
        <w:rPr>
          <w:rFonts w:eastAsia="Times New Roman"/>
          <w:szCs w:val="20"/>
          <w:lang w:eastAsia="en-AU"/>
        </w:rPr>
      </w:pPr>
    </w:p>
    <w:p w14:paraId="744363A8" w14:textId="77777777" w:rsidR="008933A8" w:rsidRDefault="008933A8" w:rsidP="002D3335">
      <w:pPr>
        <w:spacing w:before="600" w:after="0" w:line="240" w:lineRule="auto"/>
        <w:contextualSpacing/>
        <w:rPr>
          <w:rFonts w:eastAsia="Times New Roman"/>
          <w:szCs w:val="20"/>
          <w:lang w:eastAsia="en-AU"/>
        </w:rPr>
      </w:pPr>
    </w:p>
    <w:p w14:paraId="58531AF1" w14:textId="77777777" w:rsidR="008933A8" w:rsidRDefault="008933A8" w:rsidP="002D3335">
      <w:pPr>
        <w:spacing w:before="600" w:after="0" w:line="240" w:lineRule="auto"/>
        <w:contextualSpacing/>
        <w:rPr>
          <w:rFonts w:eastAsia="Times New Roman"/>
          <w:szCs w:val="20"/>
          <w:lang w:eastAsia="en-AU"/>
        </w:rPr>
      </w:pPr>
    </w:p>
    <w:p w14:paraId="073D7395" w14:textId="77777777" w:rsidR="008933A8" w:rsidRDefault="008933A8" w:rsidP="002D3335">
      <w:pPr>
        <w:spacing w:before="600" w:after="0" w:line="240" w:lineRule="auto"/>
        <w:contextualSpacing/>
        <w:rPr>
          <w:rFonts w:eastAsia="Times New Roman"/>
          <w:szCs w:val="20"/>
          <w:lang w:eastAsia="en-AU"/>
        </w:rPr>
      </w:pPr>
    </w:p>
    <w:p w14:paraId="33AC62DB" w14:textId="7D088C4A" w:rsidR="002D3335" w:rsidRPr="007A0E18" w:rsidRDefault="008933A8" w:rsidP="002D3335">
      <w:pPr>
        <w:spacing w:before="600" w:after="0" w:line="240" w:lineRule="auto"/>
        <w:contextualSpacing/>
        <w:rPr>
          <w:rFonts w:eastAsia="Times New Roman"/>
          <w:szCs w:val="20"/>
          <w:lang w:eastAsia="en-AU"/>
        </w:rPr>
      </w:pPr>
      <w:r>
        <w:rPr>
          <w:rFonts w:eastAsia="Times New Roman"/>
          <w:szCs w:val="20"/>
          <w:lang w:eastAsia="en-AU"/>
        </w:rPr>
        <w:t>Com</w:t>
      </w:r>
      <w:r w:rsidR="002D3335" w:rsidRPr="007A0E18">
        <w:rPr>
          <w:rFonts w:eastAsia="Times New Roman"/>
          <w:szCs w:val="20"/>
          <w:lang w:eastAsia="en-AU"/>
        </w:rPr>
        <w:t>mission on Safety and Quality in Health Care</w:t>
      </w:r>
    </w:p>
    <w:p w14:paraId="77592B8B" w14:textId="77777777" w:rsidR="002D3335" w:rsidRPr="007A0E18" w:rsidRDefault="002D3335" w:rsidP="002D3335">
      <w:pPr>
        <w:spacing w:before="720" w:after="0" w:line="240" w:lineRule="auto"/>
        <w:contextualSpacing/>
        <w:rPr>
          <w:rFonts w:eastAsia="Times New Roman"/>
          <w:szCs w:val="20"/>
          <w:lang w:eastAsia="en-AU"/>
        </w:rPr>
      </w:pPr>
      <w:r w:rsidRPr="007A0E18">
        <w:rPr>
          <w:rFonts w:eastAsia="Times New Roman"/>
          <w:szCs w:val="20"/>
          <w:lang w:eastAsia="en-AU"/>
        </w:rPr>
        <w:t>Level 5, 255 Elizabeth Street, Sydney NSW 2001</w:t>
      </w:r>
    </w:p>
    <w:p w14:paraId="32E87858" w14:textId="77777777" w:rsidR="002D3335" w:rsidRPr="007A0E18" w:rsidRDefault="002D3335" w:rsidP="002D3335">
      <w:pPr>
        <w:spacing w:after="0" w:line="240" w:lineRule="auto"/>
        <w:contextualSpacing/>
        <w:rPr>
          <w:rFonts w:eastAsia="Times New Roman"/>
          <w:szCs w:val="20"/>
          <w:lang w:eastAsia="en-AU"/>
        </w:rPr>
      </w:pPr>
    </w:p>
    <w:p w14:paraId="1B5DA3C2" w14:textId="77777777" w:rsidR="002D3335" w:rsidRPr="007A0E18" w:rsidRDefault="002D3335" w:rsidP="002D3335">
      <w:pPr>
        <w:spacing w:after="0" w:line="240" w:lineRule="auto"/>
        <w:contextualSpacing/>
        <w:rPr>
          <w:rFonts w:eastAsia="Times New Roman"/>
          <w:szCs w:val="20"/>
          <w:lang w:eastAsia="en-AU"/>
        </w:rPr>
      </w:pPr>
      <w:r w:rsidRPr="007A0E18">
        <w:rPr>
          <w:rFonts w:eastAsia="Times New Roman"/>
          <w:szCs w:val="20"/>
          <w:lang w:eastAsia="en-AU"/>
        </w:rPr>
        <w:t xml:space="preserve">Phone: (02) 9126 3600 </w:t>
      </w:r>
    </w:p>
    <w:p w14:paraId="72601081" w14:textId="77777777" w:rsidR="002D3335" w:rsidRPr="007A0E18" w:rsidRDefault="002D3335" w:rsidP="002D3335">
      <w:pPr>
        <w:spacing w:after="0" w:line="240" w:lineRule="auto"/>
        <w:contextualSpacing/>
        <w:rPr>
          <w:rFonts w:eastAsia="Times New Roman"/>
          <w:szCs w:val="20"/>
          <w:lang w:eastAsia="en-AU"/>
        </w:rPr>
      </w:pPr>
      <w:r w:rsidRPr="007A0E18">
        <w:rPr>
          <w:rFonts w:eastAsia="Times New Roman"/>
          <w:szCs w:val="20"/>
          <w:lang w:eastAsia="en-AU"/>
        </w:rPr>
        <w:t>Fax: (02) 9126 3613</w:t>
      </w:r>
    </w:p>
    <w:p w14:paraId="6A662C8E" w14:textId="77777777" w:rsidR="002D3335" w:rsidRPr="007A0E18" w:rsidRDefault="002D3335" w:rsidP="002D3335">
      <w:pPr>
        <w:spacing w:after="0" w:line="240" w:lineRule="auto"/>
        <w:contextualSpacing/>
        <w:rPr>
          <w:rFonts w:eastAsia="Times New Roman"/>
          <w:szCs w:val="20"/>
          <w:lang w:eastAsia="en-AU"/>
        </w:rPr>
      </w:pPr>
    </w:p>
    <w:p w14:paraId="6CC841FD" w14:textId="77777777" w:rsidR="002D3335" w:rsidRPr="007A0E18" w:rsidRDefault="002D3335" w:rsidP="002D3335">
      <w:pPr>
        <w:spacing w:after="0" w:line="240" w:lineRule="auto"/>
        <w:contextualSpacing/>
        <w:rPr>
          <w:rFonts w:eastAsia="Times New Roman"/>
          <w:szCs w:val="20"/>
          <w:lang w:eastAsia="en-AU"/>
        </w:rPr>
      </w:pPr>
      <w:r w:rsidRPr="007A0E18">
        <w:rPr>
          <w:rFonts w:eastAsia="Times New Roman"/>
          <w:szCs w:val="20"/>
          <w:lang w:eastAsia="en-AU"/>
        </w:rPr>
        <w:t xml:space="preserve">Email: mail@safetyandquality.gov.au </w:t>
      </w:r>
    </w:p>
    <w:p w14:paraId="59987128" w14:textId="77777777" w:rsidR="002D3335" w:rsidRPr="007A0E18" w:rsidRDefault="002D3335" w:rsidP="002D3335">
      <w:pPr>
        <w:spacing w:after="0" w:line="240" w:lineRule="auto"/>
        <w:contextualSpacing/>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sidRPr="007A0E18">
        <w:rPr>
          <w:rFonts w:eastAsia="Times New Roman"/>
          <w:szCs w:val="20"/>
          <w:lang w:eastAsia="en-AU"/>
        </w:rPr>
        <w:t xml:space="preserve">Website: </w:t>
      </w:r>
      <w:hyperlink r:id="rId13" w:history="1">
        <w:r w:rsidRPr="007A0E18">
          <w:rPr>
            <w:rFonts w:eastAsia="Times New Roman"/>
            <w:color w:val="0000FF"/>
            <w:szCs w:val="20"/>
            <w:u w:val="single"/>
            <w:lang w:eastAsia="en-AU"/>
          </w:rPr>
          <w:t>www.safetyandquality.gov.au</w:t>
        </w:r>
      </w:hyperlink>
      <w:r w:rsidRPr="007A0E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839FB40" w14:textId="77777777" w:rsidR="002D3335" w:rsidRDefault="002D3335" w:rsidP="002D3335">
      <w:pPr>
        <w:spacing w:after="0" w:line="240" w:lineRule="auto"/>
        <w:rPr>
          <w:rFonts w:eastAsia="Times New Roman"/>
          <w:szCs w:val="20"/>
          <w:lang w:eastAsia="en-AU"/>
        </w:rPr>
      </w:pPr>
    </w:p>
    <w:p w14:paraId="7368996B" w14:textId="77777777" w:rsidR="002D3335" w:rsidRDefault="002D3335" w:rsidP="002D3335">
      <w:pPr>
        <w:spacing w:after="0" w:line="240" w:lineRule="auto"/>
        <w:rPr>
          <w:rFonts w:eastAsia="Times New Roman"/>
          <w:szCs w:val="20"/>
          <w:lang w:eastAsia="en-AU"/>
        </w:rPr>
      </w:pPr>
    </w:p>
    <w:p w14:paraId="0ED28F8A" w14:textId="0B6323F8" w:rsidR="002D3335" w:rsidRPr="007A0E18" w:rsidRDefault="002D3335" w:rsidP="002D3335">
      <w:pPr>
        <w:spacing w:after="0" w:line="240" w:lineRule="auto"/>
        <w:rPr>
          <w:rFonts w:eastAsia="Times New Roman"/>
          <w:szCs w:val="20"/>
          <w:lang w:eastAsia="en-AU"/>
        </w:rPr>
      </w:pPr>
      <w:r w:rsidRPr="007A0E18">
        <w:rPr>
          <w:rFonts w:eastAsia="Times New Roman"/>
          <w:szCs w:val="20"/>
          <w:lang w:eastAsia="en-AU"/>
        </w:rPr>
        <w:t xml:space="preserve">ISBN: </w:t>
      </w:r>
      <w:r w:rsidR="00946711" w:rsidRPr="00946711">
        <w:rPr>
          <w:rFonts w:eastAsia="Times New Roman"/>
          <w:szCs w:val="20"/>
          <w:lang w:eastAsia="en-AU"/>
        </w:rPr>
        <w:t>978-1-925224-77-1</w:t>
      </w:r>
    </w:p>
    <w:p w14:paraId="47E3CC86" w14:textId="77777777" w:rsidR="002D3335" w:rsidRPr="007A0E18" w:rsidRDefault="002D3335" w:rsidP="002D3335">
      <w:pPr>
        <w:spacing w:after="0" w:line="240" w:lineRule="auto"/>
        <w:rPr>
          <w:rFonts w:eastAsia="Times New Roman"/>
          <w:szCs w:val="20"/>
          <w:lang w:eastAsia="en-AU"/>
        </w:rPr>
      </w:pPr>
    </w:p>
    <w:p w14:paraId="092A1BD5" w14:textId="77777777" w:rsidR="002D3335" w:rsidRPr="007A0E18" w:rsidRDefault="002D3335" w:rsidP="002D3335">
      <w:pPr>
        <w:spacing w:after="0" w:line="240" w:lineRule="auto"/>
        <w:rPr>
          <w:rFonts w:eastAsia="Times New Roman"/>
          <w:szCs w:val="20"/>
          <w:lang w:eastAsia="en-AU"/>
        </w:rPr>
      </w:pPr>
    </w:p>
    <w:p w14:paraId="2F7A641E" w14:textId="77777777" w:rsidR="002D3335" w:rsidRPr="007A0E18" w:rsidRDefault="002D3335" w:rsidP="002D3335">
      <w:pPr>
        <w:spacing w:after="0" w:line="240" w:lineRule="auto"/>
        <w:rPr>
          <w:rFonts w:eastAsia="Times New Roman"/>
          <w:szCs w:val="20"/>
          <w:lang w:eastAsia="en-AU"/>
        </w:rPr>
      </w:pPr>
      <w:r w:rsidRPr="007A0E18">
        <w:rPr>
          <w:rFonts w:eastAsia="Times New Roman"/>
          <w:szCs w:val="20"/>
          <w:lang w:eastAsia="en-AU"/>
        </w:rPr>
        <w:t>© Commonwealth of Australia 2017</w:t>
      </w:r>
    </w:p>
    <w:p w14:paraId="055F8D0C" w14:textId="77777777" w:rsidR="002D3335" w:rsidRPr="007A0E18" w:rsidRDefault="002D3335" w:rsidP="002D3335">
      <w:pPr>
        <w:spacing w:after="0" w:line="240" w:lineRule="auto"/>
        <w:rPr>
          <w:rFonts w:eastAsia="Times New Roman"/>
          <w:szCs w:val="20"/>
          <w:lang w:eastAsia="en-AU"/>
        </w:rPr>
      </w:pPr>
    </w:p>
    <w:p w14:paraId="3DB2B70A" w14:textId="77777777" w:rsidR="002D3335" w:rsidRPr="007A0E18" w:rsidRDefault="002D3335" w:rsidP="002D3335">
      <w:pPr>
        <w:spacing w:after="0" w:line="240" w:lineRule="auto"/>
        <w:rPr>
          <w:rFonts w:eastAsia="Times New Roman"/>
          <w:szCs w:val="20"/>
          <w:lang w:eastAsia="en-AU"/>
        </w:rPr>
      </w:pPr>
      <w:r w:rsidRPr="007A0E18">
        <w:rPr>
          <w:rFonts w:eastAsia="Times New Roman"/>
          <w:szCs w:val="20"/>
          <w:lang w:eastAsia="en-AU"/>
        </w:rPr>
        <w:t>All material and work produced by the Australian Commission on Safety and Quality in Health Care is protected by Commonwealth copyright. It may be reproduced in whole or in part for study or training purposes, subject to the inclusion of an acknowledgement of the source.</w:t>
      </w:r>
    </w:p>
    <w:p w14:paraId="0C24BE85" w14:textId="77777777" w:rsidR="002D3335" w:rsidRPr="007A0E18" w:rsidRDefault="002D3335" w:rsidP="002D3335">
      <w:pPr>
        <w:spacing w:after="0" w:line="240" w:lineRule="auto"/>
        <w:rPr>
          <w:rFonts w:eastAsia="Times New Roman"/>
          <w:szCs w:val="20"/>
          <w:lang w:eastAsia="en-AU"/>
        </w:rPr>
      </w:pPr>
    </w:p>
    <w:p w14:paraId="78ADBD85" w14:textId="77777777" w:rsidR="002D3335" w:rsidRPr="007A0E18" w:rsidRDefault="002D3335" w:rsidP="002D3335">
      <w:pPr>
        <w:spacing w:after="0" w:line="240" w:lineRule="auto"/>
        <w:rPr>
          <w:rFonts w:eastAsia="Times New Roman"/>
          <w:szCs w:val="20"/>
          <w:lang w:eastAsia="en-AU"/>
        </w:rPr>
      </w:pPr>
      <w:r w:rsidRPr="007A0E18">
        <w:rPr>
          <w:rFonts w:eastAsia="Times New Roman"/>
          <w:szCs w:val="20"/>
          <w:lang w:eastAsia="en-AU"/>
        </w:rPr>
        <w:t xml:space="preserve">The Commission’s preference is that you attribute this publication (and any material sourced from it) using the following citation: </w:t>
      </w:r>
    </w:p>
    <w:p w14:paraId="3C4C82EA" w14:textId="77777777" w:rsidR="002D3335" w:rsidRPr="007A0E18" w:rsidRDefault="002D3335" w:rsidP="002D3335">
      <w:pPr>
        <w:spacing w:after="0" w:line="240" w:lineRule="auto"/>
        <w:rPr>
          <w:rFonts w:eastAsia="Times New Roman"/>
          <w:szCs w:val="20"/>
          <w:lang w:eastAsia="en-AU"/>
        </w:rPr>
      </w:pPr>
    </w:p>
    <w:p w14:paraId="6B1607DC" w14:textId="16862C69" w:rsidR="002D3335" w:rsidRPr="002D3335" w:rsidRDefault="002D3335" w:rsidP="002D3335">
      <w:pPr>
        <w:spacing w:after="0" w:line="240" w:lineRule="auto"/>
        <w:ind w:left="720"/>
        <w:rPr>
          <w:rFonts w:eastAsia="Times New Roman" w:cs="Times New Roman"/>
          <w:i/>
          <w:szCs w:val="20"/>
          <w:lang w:eastAsia="en-AU"/>
        </w:rPr>
      </w:pPr>
      <w:r w:rsidRPr="007A0E18">
        <w:rPr>
          <w:rFonts w:eastAsia="Times New Roman" w:cs="Times New Roman"/>
          <w:szCs w:val="20"/>
          <w:lang w:eastAsia="en-AU"/>
        </w:rPr>
        <w:t>Falster, M</w:t>
      </w:r>
      <w:r>
        <w:rPr>
          <w:rFonts w:eastAsia="Times New Roman" w:cs="Times New Roman"/>
          <w:szCs w:val="20"/>
          <w:lang w:eastAsia="en-AU"/>
        </w:rPr>
        <w:t xml:space="preserve"> and Jorm, L</w:t>
      </w:r>
      <w:r w:rsidRPr="007A0E18">
        <w:rPr>
          <w:rFonts w:eastAsia="Times New Roman" w:cs="Times New Roman"/>
          <w:szCs w:val="20"/>
          <w:lang w:eastAsia="en-AU"/>
        </w:rPr>
        <w:t>.</w:t>
      </w:r>
      <w:r w:rsidRPr="007A0E18">
        <w:rPr>
          <w:rFonts w:eastAsia="Times New Roman" w:cs="Times New Roman"/>
          <w:i/>
          <w:szCs w:val="20"/>
          <w:lang w:eastAsia="en-AU"/>
        </w:rPr>
        <w:t xml:space="preserve"> </w:t>
      </w:r>
      <w:proofErr w:type="gramStart"/>
      <w:r w:rsidRPr="007A0E18">
        <w:rPr>
          <w:rFonts w:eastAsia="Times New Roman" w:cs="Times New Roman"/>
          <w:i/>
          <w:szCs w:val="20"/>
          <w:lang w:eastAsia="en-AU"/>
        </w:rPr>
        <w:t>A guid</w:t>
      </w:r>
      <w:r>
        <w:rPr>
          <w:rFonts w:eastAsia="Times New Roman" w:cs="Times New Roman"/>
          <w:i/>
          <w:szCs w:val="20"/>
          <w:lang w:eastAsia="en-AU"/>
        </w:rPr>
        <w:t>e to the potentially avoidable deaths</w:t>
      </w:r>
      <w:r w:rsidRPr="007A0E18">
        <w:rPr>
          <w:rFonts w:eastAsia="Times New Roman" w:cs="Times New Roman"/>
          <w:i/>
          <w:szCs w:val="20"/>
          <w:lang w:eastAsia="en-AU"/>
        </w:rPr>
        <w:t xml:space="preserve"> indicator in Australia.</w:t>
      </w:r>
      <w:proofErr w:type="gramEnd"/>
      <w:r w:rsidRPr="007A0E18">
        <w:rPr>
          <w:rFonts w:eastAsia="Times New Roman" w:cs="Times New Roman"/>
          <w:i/>
          <w:szCs w:val="20"/>
          <w:lang w:eastAsia="en-AU"/>
        </w:rPr>
        <w:t xml:space="preserve"> </w:t>
      </w:r>
      <w:r w:rsidRPr="007A0E18">
        <w:rPr>
          <w:rFonts w:eastAsia="Times New Roman" w:cs="Times New Roman"/>
          <w:szCs w:val="20"/>
          <w:lang w:eastAsia="en-AU"/>
        </w:rPr>
        <w:t>Centre for Big Data Research in Health, University of New South Wales in consultation with Australian Commission on Safety and Quality in Health Care and Australian Institute of Health and Welfare: Sydney 2017</w:t>
      </w:r>
    </w:p>
    <w:p w14:paraId="473879C2" w14:textId="77777777" w:rsidR="002D3335" w:rsidRPr="007A0E18" w:rsidRDefault="002D3335" w:rsidP="002D3335">
      <w:pPr>
        <w:spacing w:after="0" w:line="240" w:lineRule="auto"/>
        <w:rPr>
          <w:rFonts w:eastAsia="Times New Roman"/>
          <w:szCs w:val="20"/>
          <w:lang w:eastAsia="en-AU"/>
        </w:rPr>
      </w:pPr>
    </w:p>
    <w:p w14:paraId="5CA3E49C" w14:textId="77777777" w:rsidR="002D3335" w:rsidRPr="007A0E18" w:rsidRDefault="002D3335" w:rsidP="002D3335">
      <w:pPr>
        <w:spacing w:after="0" w:line="240" w:lineRule="auto"/>
        <w:rPr>
          <w:rFonts w:eastAsia="Times New Roman"/>
          <w:szCs w:val="20"/>
          <w:lang w:eastAsia="en-AU"/>
        </w:rPr>
      </w:pPr>
      <w:r w:rsidRPr="007A0E18">
        <w:rPr>
          <w:rFonts w:eastAsia="Times New Roman"/>
          <w:szCs w:val="20"/>
          <w:lang w:eastAsia="en-AU"/>
        </w:rPr>
        <w:t xml:space="preserve">Enquiries regarding the use of this publication are welcome and can be sent to </w:t>
      </w:r>
      <w:hyperlink r:id="rId14" w:history="1">
        <w:r w:rsidRPr="007A0E18">
          <w:rPr>
            <w:rFonts w:eastAsia="Times New Roman"/>
            <w:color w:val="0000FF"/>
            <w:szCs w:val="20"/>
            <w:u w:val="single"/>
            <w:lang w:eastAsia="en-AU"/>
          </w:rPr>
          <w:t>communications@safetyandquality.gov.au</w:t>
        </w:r>
      </w:hyperlink>
      <w:r w:rsidRPr="007A0E18">
        <w:rPr>
          <w:rFonts w:eastAsia="Times New Roman"/>
          <w:szCs w:val="20"/>
          <w:lang w:eastAsia="en-AU"/>
        </w:rPr>
        <w:t>.</w:t>
      </w:r>
    </w:p>
    <w:p w14:paraId="06FA514F" w14:textId="06DF6186" w:rsidR="00054153" w:rsidRPr="00CC36F3" w:rsidRDefault="00054153" w:rsidP="00CC36F3">
      <w:pPr>
        <w:rPr>
          <w:color w:val="1178A2"/>
          <w:sz w:val="28"/>
          <w:lang w:eastAsia="en-AU"/>
        </w:rPr>
      </w:pPr>
      <w:r w:rsidRPr="00CC36F3">
        <w:rPr>
          <w:color w:val="1178A2"/>
          <w:sz w:val="28"/>
          <w:lang w:eastAsia="en-AU"/>
        </w:rPr>
        <w:lastRenderedPageBreak/>
        <w:t xml:space="preserve">Preface </w:t>
      </w:r>
    </w:p>
    <w:p w14:paraId="4C0DEE68" w14:textId="77777777" w:rsidR="00054153" w:rsidRDefault="00054153" w:rsidP="00054153">
      <w:pPr>
        <w:spacing w:after="0" w:line="240" w:lineRule="auto"/>
        <w:rPr>
          <w:rFonts w:eastAsia="Times New Roman" w:cs="Times New Roman"/>
          <w:szCs w:val="20"/>
          <w:lang w:eastAsia="en-AU"/>
        </w:rPr>
      </w:pPr>
      <w:r w:rsidRPr="002D3335">
        <w:rPr>
          <w:rFonts w:eastAsia="Times New Roman" w:cs="Times New Roman"/>
          <w:szCs w:val="20"/>
          <w:lang w:eastAsia="en-AU"/>
        </w:rPr>
        <w:t>This preface has been written by the Australian Commission on Safety and Quality in Health Care. It is a separate piece of work from “</w:t>
      </w:r>
      <w:r w:rsidRPr="002D3335">
        <w:rPr>
          <w:rFonts w:eastAsia="Times New Roman" w:cs="Times New Roman"/>
          <w:i/>
          <w:szCs w:val="20"/>
          <w:lang w:eastAsia="en-AU"/>
        </w:rPr>
        <w:t>A guide to the potentially avoidable deaths indicator in Australia</w:t>
      </w:r>
      <w:r w:rsidRPr="002D3335">
        <w:rPr>
          <w:rFonts w:eastAsia="Times New Roman" w:cs="Times New Roman"/>
          <w:szCs w:val="20"/>
          <w:lang w:eastAsia="en-AU"/>
        </w:rPr>
        <w:t>” which was prepared by subject experts from the</w:t>
      </w:r>
      <w:r w:rsidRPr="002D3335">
        <w:rPr>
          <w:rFonts w:eastAsia="Times New Roman" w:cs="Times New Roman"/>
          <w:color w:val="00B0F0"/>
          <w:szCs w:val="20"/>
          <w:lang w:eastAsia="en-AU"/>
        </w:rPr>
        <w:t xml:space="preserve"> </w:t>
      </w:r>
      <w:r w:rsidRPr="002D3335">
        <w:rPr>
          <w:rFonts w:eastAsia="Times New Roman" w:cs="Times New Roman"/>
          <w:szCs w:val="20"/>
          <w:lang w:eastAsia="en-AU"/>
        </w:rPr>
        <w:t>Centre for Big Data Research in Health,</w:t>
      </w:r>
      <w:r>
        <w:rPr>
          <w:rFonts w:eastAsia="Times New Roman" w:cs="Times New Roman"/>
          <w:szCs w:val="20"/>
          <w:lang w:eastAsia="en-AU"/>
        </w:rPr>
        <w:t xml:space="preserve"> University of New South Wales.</w:t>
      </w:r>
    </w:p>
    <w:p w14:paraId="4D7FFA26" w14:textId="77777777" w:rsidR="00054153" w:rsidRPr="002D3335" w:rsidRDefault="00054153" w:rsidP="00054153">
      <w:pPr>
        <w:spacing w:after="0" w:line="240" w:lineRule="auto"/>
        <w:rPr>
          <w:rFonts w:eastAsia="Times New Roman" w:cs="Times New Roman"/>
          <w:szCs w:val="20"/>
          <w:lang w:eastAsia="en-AU"/>
        </w:rPr>
      </w:pPr>
    </w:p>
    <w:p w14:paraId="41AC7300" w14:textId="77777777" w:rsidR="00054153" w:rsidRDefault="00054153" w:rsidP="00054153">
      <w:pPr>
        <w:spacing w:after="0" w:line="240" w:lineRule="auto"/>
        <w:rPr>
          <w:rFonts w:eastAsia="Times New Roman" w:cs="Times New Roman"/>
          <w:szCs w:val="20"/>
          <w:lang w:eastAsia="en-AU"/>
        </w:rPr>
      </w:pPr>
      <w:r w:rsidRPr="002D3335">
        <w:rPr>
          <w:rFonts w:eastAsia="Times New Roman" w:cs="Times New Roman"/>
          <w:szCs w:val="20"/>
          <w:lang w:eastAsia="en-AU"/>
        </w:rPr>
        <w:t>The guide was developed in consultation with the Australian Commission on Safety and Quality in Health Care and the Australian Institute of Health and Welfare on behalf of the National Health Information Standards and Statistics Committee (NHISSC).</w:t>
      </w:r>
    </w:p>
    <w:p w14:paraId="51EE25D9" w14:textId="77777777" w:rsidR="00454FF2" w:rsidRDefault="00454FF2" w:rsidP="00CE0E54">
      <w:pPr>
        <w:spacing w:after="0" w:line="240" w:lineRule="auto"/>
        <w:rPr>
          <w:rFonts w:eastAsia="Times New Roman" w:cs="Times New Roman"/>
          <w:szCs w:val="20"/>
          <w:lang w:eastAsia="en-AU"/>
        </w:rPr>
      </w:pPr>
    </w:p>
    <w:p w14:paraId="0E233A60" w14:textId="77E0EEDA" w:rsidR="00CE0E54" w:rsidRDefault="00CE0E54" w:rsidP="00CE0E54">
      <w:pPr>
        <w:spacing w:after="0" w:line="240" w:lineRule="auto"/>
        <w:rPr>
          <w:rFonts w:eastAsia="Times New Roman" w:cs="Times New Roman"/>
          <w:szCs w:val="20"/>
          <w:lang w:eastAsia="en-AU"/>
        </w:rPr>
      </w:pPr>
      <w:r>
        <w:rPr>
          <w:rFonts w:eastAsia="Times New Roman" w:cs="Times New Roman"/>
          <w:szCs w:val="20"/>
          <w:lang w:eastAsia="en-AU"/>
        </w:rPr>
        <w:t xml:space="preserve">This guide is intended to help professionals within the health system to understand and interpret one of the indicators in the National Health Performance Framework (NHPF), which focuses on potentially avoidable deaths. The NHPF </w:t>
      </w:r>
      <w:r w:rsidRPr="00A70332">
        <w:rPr>
          <w:rFonts w:eastAsia="Times New Roman" w:cs="Times New Roman"/>
          <w:szCs w:val="20"/>
          <w:lang w:eastAsia="en-AU"/>
        </w:rPr>
        <w:t>was first develo</w:t>
      </w:r>
      <w:r>
        <w:rPr>
          <w:rFonts w:eastAsia="Times New Roman" w:cs="Times New Roman"/>
          <w:szCs w:val="20"/>
          <w:lang w:eastAsia="en-AU"/>
        </w:rPr>
        <w:t>ped in 2001 and revised in 2009</w:t>
      </w:r>
      <w:r w:rsidR="00667339">
        <w:rPr>
          <w:rFonts w:eastAsia="Times New Roman" w:cs="Times New Roman"/>
          <w:szCs w:val="20"/>
          <w:lang w:eastAsia="en-AU"/>
        </w:rPr>
        <w:t>,</w:t>
      </w:r>
      <w:r>
        <w:rPr>
          <w:rFonts w:eastAsia="Times New Roman" w:cs="Times New Roman"/>
          <w:szCs w:val="20"/>
          <w:lang w:eastAsia="en-AU"/>
        </w:rPr>
        <w:t xml:space="preserve"> with the </w:t>
      </w:r>
      <w:r w:rsidRPr="00A70332">
        <w:rPr>
          <w:rFonts w:eastAsia="Times New Roman" w:cs="Times New Roman"/>
          <w:szCs w:val="20"/>
          <w:lang w:eastAsia="en-AU"/>
        </w:rPr>
        <w:t>m</w:t>
      </w:r>
      <w:r w:rsidR="00454FF2">
        <w:rPr>
          <w:rFonts w:eastAsia="Times New Roman" w:cs="Times New Roman"/>
          <w:szCs w:val="20"/>
          <w:lang w:eastAsia="en-AU"/>
        </w:rPr>
        <w:t>ain purpose of providing</w:t>
      </w:r>
      <w:r w:rsidRPr="00A70332">
        <w:rPr>
          <w:rFonts w:eastAsia="Times New Roman" w:cs="Times New Roman"/>
          <w:szCs w:val="20"/>
          <w:lang w:eastAsia="en-AU"/>
        </w:rPr>
        <w:t xml:space="preserve"> a structure for reporting on the performance of the Australian health system at the national level. The framework can also be used as a guiding structure when developing sets of performance indicators for more discrete components of the health system, such as a particular program, or a specific target group.</w:t>
      </w:r>
    </w:p>
    <w:p w14:paraId="48FC3251" w14:textId="77777777" w:rsidR="00CE0E54" w:rsidRDefault="00CE0E54" w:rsidP="00054153">
      <w:pPr>
        <w:spacing w:after="0" w:line="240" w:lineRule="auto"/>
        <w:rPr>
          <w:rFonts w:eastAsia="Times New Roman" w:cs="Times New Roman"/>
          <w:szCs w:val="20"/>
          <w:lang w:eastAsia="en-AU"/>
        </w:rPr>
      </w:pPr>
    </w:p>
    <w:p w14:paraId="02CBC745" w14:textId="77777777" w:rsidR="00054153" w:rsidRPr="002D3335" w:rsidRDefault="00054153" w:rsidP="00054153">
      <w:pPr>
        <w:spacing w:after="0" w:line="240" w:lineRule="auto"/>
        <w:rPr>
          <w:rFonts w:eastAsia="Times New Roman" w:cs="Times New Roman"/>
          <w:szCs w:val="20"/>
          <w:lang w:eastAsia="en-AU"/>
        </w:rPr>
      </w:pPr>
      <w:r w:rsidRPr="002D3335">
        <w:rPr>
          <w:rFonts w:eastAsia="Times New Roman" w:cs="Times New Roman"/>
          <w:szCs w:val="20"/>
          <w:lang w:eastAsia="en-AU"/>
        </w:rPr>
        <w:t xml:space="preserve">Within certain sectors of the health system, there is a lack of clarity regarding how to accurately interpret the National Health Performance Framework indicator </w:t>
      </w:r>
      <w:r w:rsidRPr="002D3335">
        <w:rPr>
          <w:rFonts w:ascii="Calibri" w:eastAsia="Times New Roman" w:hAnsi="Calibri" w:cs="Calibri"/>
          <w:noProof/>
          <w:szCs w:val="20"/>
          <w:vertAlign w:val="superscript"/>
          <w:lang w:eastAsia="en-AU"/>
        </w:rPr>
        <w:t>1,2</w:t>
      </w:r>
      <w:r w:rsidRPr="002D3335">
        <w:rPr>
          <w:rFonts w:eastAsia="Times New Roman" w:cs="Times New Roman"/>
          <w:szCs w:val="20"/>
          <w:lang w:eastAsia="en-AU"/>
        </w:rPr>
        <w:t xml:space="preserve"> ‘</w:t>
      </w:r>
      <w:r w:rsidRPr="002D3335">
        <w:rPr>
          <w:rFonts w:eastAsia="Times New Roman" w:cs="Times New Roman"/>
          <w:i/>
          <w:szCs w:val="20"/>
          <w:lang w:eastAsia="en-AU"/>
        </w:rPr>
        <w:t>Potentially Avoidable Deaths</w:t>
      </w:r>
      <w:r w:rsidRPr="002D3335">
        <w:rPr>
          <w:rFonts w:eastAsia="Times New Roman" w:cs="Times New Roman"/>
          <w:szCs w:val="20"/>
          <w:lang w:eastAsia="en-AU"/>
        </w:rPr>
        <w:t>’ and an interpretive guide could potentially resolve this issue. NHISSC actioned the Australian Institute for Health Welfare and the Australian Commission on Safety and Quality in Health Care (the Commission) to discuss options on the best way to develop an appropriate user guide. Subject matter epidemiological experts from the Centre for Big Data Research in Health, University of New South Wales were contracted to write the guide.</w:t>
      </w:r>
    </w:p>
    <w:p w14:paraId="5EA8419C" w14:textId="77777777" w:rsidR="00054153" w:rsidRDefault="00054153" w:rsidP="00054153">
      <w:pPr>
        <w:spacing w:after="0" w:line="240" w:lineRule="auto"/>
        <w:rPr>
          <w:rFonts w:eastAsia="Times New Roman" w:cs="Times New Roman"/>
          <w:szCs w:val="20"/>
          <w:lang w:eastAsia="en-AU"/>
        </w:rPr>
      </w:pPr>
    </w:p>
    <w:p w14:paraId="77E9E991" w14:textId="77777777" w:rsidR="00054153" w:rsidRDefault="00054153" w:rsidP="00054153">
      <w:pPr>
        <w:spacing w:after="0" w:line="240" w:lineRule="auto"/>
        <w:rPr>
          <w:rFonts w:eastAsia="Times New Roman" w:cs="Times New Roman"/>
          <w:szCs w:val="20"/>
          <w:lang w:eastAsia="en-AU"/>
        </w:rPr>
      </w:pPr>
      <w:r w:rsidRPr="002D3335">
        <w:rPr>
          <w:rFonts w:eastAsia="Times New Roman" w:cs="Times New Roman"/>
          <w:szCs w:val="20"/>
          <w:lang w:eastAsia="en-AU"/>
        </w:rPr>
        <w:t>The guide provides an overview of the potentially avoidable deaths indicator, including common ways that this indicator is reported in Australia, interpretation, and a brief history of how the indicator was developed. This guide is intended as background and a resource for understanding and interpreting this indicator.</w:t>
      </w:r>
    </w:p>
    <w:p w14:paraId="63B26618" w14:textId="77777777" w:rsidR="00054153" w:rsidRPr="002D3335" w:rsidRDefault="00054153" w:rsidP="00054153">
      <w:pPr>
        <w:spacing w:after="0" w:line="240" w:lineRule="auto"/>
        <w:rPr>
          <w:rFonts w:eastAsia="Times New Roman" w:cs="Times New Roman"/>
          <w:szCs w:val="20"/>
          <w:lang w:eastAsia="en-AU"/>
        </w:rPr>
      </w:pPr>
    </w:p>
    <w:p w14:paraId="4F40BE08" w14:textId="712C62DB" w:rsidR="00054153" w:rsidRDefault="00054153" w:rsidP="00054153">
      <w:pPr>
        <w:spacing w:after="0" w:line="240" w:lineRule="auto"/>
        <w:rPr>
          <w:rFonts w:eastAsia="Times New Roman" w:cs="Times New Roman"/>
          <w:szCs w:val="20"/>
          <w:lang w:eastAsia="en-AU"/>
        </w:rPr>
        <w:sectPr w:rsidR="00054153" w:rsidSect="00FF2688">
          <w:footerReference w:type="default" r:id="rId15"/>
          <w:headerReference w:type="first" r:id="rId16"/>
          <w:footerReference w:type="first" r:id="rId17"/>
          <w:pgSz w:w="11906" w:h="16838"/>
          <w:pgMar w:top="1440" w:right="1440" w:bottom="1440" w:left="1440" w:header="708" w:footer="708" w:gutter="0"/>
          <w:cols w:space="708"/>
          <w:docGrid w:linePitch="360"/>
        </w:sectPr>
      </w:pPr>
      <w:r w:rsidRPr="002D3335">
        <w:rPr>
          <w:rFonts w:eastAsia="Times New Roman" w:cs="Times New Roman"/>
          <w:szCs w:val="20"/>
          <w:lang w:eastAsia="en-AU"/>
        </w:rPr>
        <w:t>While the guide has been written for a wide audience it is primarily for professionals in the health system, a</w:t>
      </w:r>
      <w:r w:rsidR="00667339">
        <w:rPr>
          <w:rFonts w:eastAsia="Times New Roman" w:cs="Times New Roman"/>
          <w:szCs w:val="20"/>
          <w:lang w:eastAsia="en-AU"/>
        </w:rPr>
        <w:t xml:space="preserve">nd should also have utility for </w:t>
      </w:r>
      <w:r w:rsidRPr="002D3335">
        <w:rPr>
          <w:rFonts w:eastAsia="Times New Roman" w:cs="Times New Roman"/>
          <w:szCs w:val="20"/>
          <w:lang w:eastAsia="en-AU"/>
        </w:rPr>
        <w:t>service level staff in states and territories, Primary Health Networks (PHNs), and Local</w:t>
      </w:r>
      <w:r>
        <w:rPr>
          <w:rFonts w:eastAsia="Times New Roman" w:cs="Times New Roman"/>
          <w:szCs w:val="20"/>
          <w:lang w:eastAsia="en-AU"/>
        </w:rPr>
        <w:t xml:space="preserve"> Health Network Boards and CEOs.</w:t>
      </w:r>
    </w:p>
    <w:p w14:paraId="57292DB1" w14:textId="553B8EE6" w:rsidR="00402CF0" w:rsidRDefault="00402CF0" w:rsidP="00EE2508">
      <w:pPr>
        <w:rPr>
          <w:rFonts w:ascii="Franklin Gothic Medium" w:hAnsi="Franklin Gothic Medium"/>
          <w:color w:val="0A4A63"/>
          <w:sz w:val="28"/>
          <w:szCs w:val="28"/>
        </w:rPr>
      </w:pPr>
      <w:r>
        <w:rPr>
          <w:noProof/>
          <w:lang w:eastAsia="en-AU"/>
        </w:rPr>
        <w:lastRenderedPageBreak/>
        <w:drawing>
          <wp:anchor distT="0" distB="0" distL="114300" distR="114300" simplePos="0" relativeHeight="251660288" behindDoc="1" locked="0" layoutInCell="1" allowOverlap="1" wp14:anchorId="7EE30B74" wp14:editId="68E5FD45">
            <wp:simplePos x="0" y="0"/>
            <wp:positionH relativeFrom="column">
              <wp:posOffset>-104775</wp:posOffset>
            </wp:positionH>
            <wp:positionV relativeFrom="paragraph">
              <wp:posOffset>-437515</wp:posOffset>
            </wp:positionV>
            <wp:extent cx="4845685" cy="683895"/>
            <wp:effectExtent l="0" t="0" r="0" b="1905"/>
            <wp:wrapTight wrapText="bothSides">
              <wp:wrapPolygon edited="0">
                <wp:start x="0" y="0"/>
                <wp:lineTo x="0" y="21058"/>
                <wp:lineTo x="21484" y="21058"/>
                <wp:lineTo x="214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5685" cy="683895"/>
                    </a:xfrm>
                    <a:prstGeom prst="rect">
                      <a:avLst/>
                    </a:prstGeom>
                  </pic:spPr>
                </pic:pic>
              </a:graphicData>
            </a:graphic>
            <wp14:sizeRelH relativeFrom="page">
              <wp14:pctWidth>0</wp14:pctWidth>
            </wp14:sizeRelH>
            <wp14:sizeRelV relativeFrom="page">
              <wp14:pctHeight>0</wp14:pctHeight>
            </wp14:sizeRelV>
          </wp:anchor>
        </w:drawing>
      </w:r>
    </w:p>
    <w:p w14:paraId="61CAC25B" w14:textId="77777777" w:rsidR="00402CF0" w:rsidRDefault="00402CF0" w:rsidP="00EE2508">
      <w:pPr>
        <w:rPr>
          <w:rFonts w:ascii="Franklin Gothic Medium" w:hAnsi="Franklin Gothic Medium"/>
          <w:color w:val="0A4A63"/>
          <w:sz w:val="28"/>
          <w:szCs w:val="28"/>
        </w:rPr>
      </w:pPr>
    </w:p>
    <w:p w14:paraId="4CBFF02A" w14:textId="1F7814DF" w:rsidR="00EE2508" w:rsidRPr="00402CF0" w:rsidRDefault="00FB12DB" w:rsidP="00EE2508">
      <w:pPr>
        <w:rPr>
          <w:rFonts w:ascii="Franklin Gothic Medium" w:hAnsi="Franklin Gothic Medium"/>
          <w:color w:val="0A4A63"/>
          <w:sz w:val="28"/>
          <w:szCs w:val="28"/>
        </w:rPr>
      </w:pPr>
      <w:r>
        <w:rPr>
          <w:rFonts w:ascii="Franklin Gothic Medium" w:hAnsi="Franklin Gothic Medium"/>
          <w:color w:val="0A4A63"/>
          <w:sz w:val="28"/>
          <w:szCs w:val="28"/>
        </w:rPr>
        <w:t>March</w:t>
      </w:r>
      <w:r w:rsidR="00EE2508" w:rsidRPr="00402CF0">
        <w:rPr>
          <w:rFonts w:ascii="Franklin Gothic Medium" w:hAnsi="Franklin Gothic Medium"/>
          <w:color w:val="0A4A63"/>
          <w:sz w:val="28"/>
          <w:szCs w:val="28"/>
        </w:rPr>
        <w:t xml:space="preserve"> 2017 </w:t>
      </w:r>
    </w:p>
    <w:p w14:paraId="61F1190B" w14:textId="77777777" w:rsidR="00504399" w:rsidRPr="00402CF0" w:rsidRDefault="00504399" w:rsidP="00EE2508">
      <w:pPr>
        <w:tabs>
          <w:tab w:val="left" w:pos="2910"/>
        </w:tabs>
        <w:spacing w:after="0"/>
        <w:ind w:firstLine="720"/>
        <w:rPr>
          <w:color w:val="0A4A63"/>
        </w:rPr>
      </w:pPr>
    </w:p>
    <w:p w14:paraId="2625C77F" w14:textId="77777777" w:rsidR="00BF68BE" w:rsidRPr="00402CF0" w:rsidRDefault="00BF68BE" w:rsidP="00BF68BE">
      <w:pPr>
        <w:tabs>
          <w:tab w:val="left" w:pos="2910"/>
        </w:tabs>
        <w:spacing w:after="0"/>
        <w:rPr>
          <w:color w:val="0A4A63"/>
        </w:rPr>
      </w:pPr>
    </w:p>
    <w:p w14:paraId="126319A6" w14:textId="77777777" w:rsidR="00BF68BE" w:rsidRPr="00402CF0" w:rsidRDefault="00BF68BE" w:rsidP="00BF68BE">
      <w:pPr>
        <w:tabs>
          <w:tab w:val="left" w:pos="2910"/>
        </w:tabs>
        <w:spacing w:after="0"/>
        <w:rPr>
          <w:color w:val="0A4A63"/>
        </w:rPr>
      </w:pPr>
    </w:p>
    <w:p w14:paraId="7EDBA5DB" w14:textId="77777777" w:rsidR="00BF68BE" w:rsidRPr="00402CF0" w:rsidRDefault="00BF68BE" w:rsidP="00BF68BE">
      <w:pPr>
        <w:tabs>
          <w:tab w:val="left" w:pos="2910"/>
        </w:tabs>
        <w:spacing w:after="0"/>
        <w:rPr>
          <w:color w:val="0A4A63"/>
        </w:rPr>
      </w:pPr>
    </w:p>
    <w:p w14:paraId="4B76B75F" w14:textId="77777777" w:rsidR="00BF68BE" w:rsidRPr="00402CF0" w:rsidRDefault="00BF68BE" w:rsidP="00BF68BE">
      <w:pPr>
        <w:tabs>
          <w:tab w:val="left" w:pos="2910"/>
        </w:tabs>
        <w:spacing w:after="0"/>
        <w:rPr>
          <w:color w:val="0A4A63"/>
        </w:rPr>
      </w:pPr>
    </w:p>
    <w:p w14:paraId="6E7782AF" w14:textId="77777777" w:rsidR="00EE2508" w:rsidRPr="00402CF0" w:rsidRDefault="00EE2508" w:rsidP="00C26714">
      <w:pPr>
        <w:jc w:val="center"/>
        <w:rPr>
          <w:rFonts w:ascii="Franklin Gothic Medium" w:hAnsi="Franklin Gothic Medium"/>
          <w:b/>
          <w:color w:val="0A4A63"/>
          <w:sz w:val="56"/>
        </w:rPr>
      </w:pPr>
      <w:r w:rsidRPr="00402CF0">
        <w:rPr>
          <w:rFonts w:ascii="Franklin Gothic Medium" w:hAnsi="Franklin Gothic Medium"/>
          <w:b/>
          <w:color w:val="0A4A63"/>
          <w:sz w:val="56"/>
        </w:rPr>
        <w:t>A guide to the potentially avoidable deaths indicator in Australia</w:t>
      </w:r>
    </w:p>
    <w:p w14:paraId="455D733C" w14:textId="275D4BDC" w:rsidR="00BF68BE" w:rsidRPr="00402CF0" w:rsidRDefault="00EE2508" w:rsidP="00EE2508">
      <w:pPr>
        <w:jc w:val="center"/>
        <w:rPr>
          <w:rFonts w:ascii="Franklin Gothic Medium" w:hAnsi="Franklin Gothic Medium"/>
          <w:color w:val="0A4A63"/>
          <w:sz w:val="28"/>
          <w:szCs w:val="28"/>
        </w:rPr>
      </w:pPr>
      <w:r w:rsidRPr="00402CF0">
        <w:rPr>
          <w:rFonts w:ascii="Franklin Gothic Medium" w:hAnsi="Franklin Gothic Medium"/>
          <w:color w:val="0A4A63"/>
          <w:sz w:val="28"/>
          <w:szCs w:val="28"/>
        </w:rPr>
        <w:t>Prepared by:</w:t>
      </w:r>
    </w:p>
    <w:p w14:paraId="7BC2DCC5" w14:textId="77777777" w:rsidR="00EE2508" w:rsidRPr="00402CF0" w:rsidRDefault="00EE2508" w:rsidP="00EE2508">
      <w:pPr>
        <w:jc w:val="center"/>
        <w:rPr>
          <w:rFonts w:ascii="Franklin Gothic Medium" w:hAnsi="Franklin Gothic Medium"/>
          <w:color w:val="0A4A63"/>
          <w:sz w:val="28"/>
          <w:szCs w:val="28"/>
        </w:rPr>
      </w:pPr>
      <w:r w:rsidRPr="00402CF0">
        <w:rPr>
          <w:rFonts w:ascii="Franklin Gothic Medium" w:hAnsi="Franklin Gothic Medium"/>
          <w:color w:val="0A4A63"/>
          <w:sz w:val="28"/>
          <w:szCs w:val="28"/>
        </w:rPr>
        <w:t>Centre for Big Data Research in Health, University of New South Wales</w:t>
      </w:r>
    </w:p>
    <w:p w14:paraId="6FB2BF76" w14:textId="77777777" w:rsidR="00EE2508" w:rsidRPr="00402CF0" w:rsidRDefault="00EE2508" w:rsidP="00EE2508">
      <w:pPr>
        <w:jc w:val="center"/>
        <w:rPr>
          <w:rFonts w:ascii="Franklin Gothic Medium" w:hAnsi="Franklin Gothic Medium"/>
          <w:color w:val="0A4A63"/>
          <w:sz w:val="28"/>
          <w:szCs w:val="28"/>
        </w:rPr>
      </w:pPr>
      <w:proofErr w:type="gramStart"/>
      <w:r w:rsidRPr="00402CF0">
        <w:rPr>
          <w:rFonts w:ascii="Franklin Gothic Medium" w:hAnsi="Franklin Gothic Medium"/>
          <w:color w:val="0A4A63"/>
          <w:sz w:val="28"/>
          <w:szCs w:val="28"/>
        </w:rPr>
        <w:t>for</w:t>
      </w:r>
      <w:proofErr w:type="gramEnd"/>
      <w:r w:rsidRPr="00402CF0">
        <w:rPr>
          <w:rFonts w:ascii="Franklin Gothic Medium" w:hAnsi="Franklin Gothic Medium"/>
          <w:color w:val="0A4A63"/>
          <w:sz w:val="28"/>
          <w:szCs w:val="28"/>
        </w:rPr>
        <w:t xml:space="preserve"> </w:t>
      </w:r>
    </w:p>
    <w:p w14:paraId="376802A3" w14:textId="77777777" w:rsidR="00EE2508" w:rsidRPr="00402CF0" w:rsidRDefault="00EE2508" w:rsidP="00EE2508">
      <w:pPr>
        <w:jc w:val="center"/>
        <w:rPr>
          <w:rFonts w:ascii="Franklin Gothic Medium" w:hAnsi="Franklin Gothic Medium"/>
          <w:color w:val="0A4A63"/>
          <w:sz w:val="28"/>
          <w:szCs w:val="28"/>
        </w:rPr>
      </w:pPr>
      <w:r w:rsidRPr="00402CF0">
        <w:rPr>
          <w:rFonts w:ascii="Franklin Gothic Medium" w:hAnsi="Franklin Gothic Medium"/>
          <w:color w:val="0A4A63"/>
          <w:sz w:val="28"/>
          <w:szCs w:val="28"/>
        </w:rPr>
        <w:t>The National Health Information Standards and Statistics Committee</w:t>
      </w:r>
    </w:p>
    <w:p w14:paraId="2D1AA289" w14:textId="77777777" w:rsidR="00BF68BE" w:rsidRPr="00402CF0" w:rsidRDefault="00BF68BE" w:rsidP="00BF68BE">
      <w:pPr>
        <w:spacing w:after="200"/>
        <w:rPr>
          <w:color w:val="0A4A63"/>
        </w:rPr>
      </w:pPr>
    </w:p>
    <w:p w14:paraId="71DA1E29" w14:textId="56F9CB0D" w:rsidR="00BF68BE" w:rsidRPr="00402CF0" w:rsidRDefault="00EE2508" w:rsidP="00EE2508">
      <w:pPr>
        <w:spacing w:after="200"/>
        <w:jc w:val="center"/>
        <w:rPr>
          <w:rFonts w:ascii="Franklin Gothic Medium" w:hAnsi="Franklin Gothic Medium"/>
          <w:color w:val="0A4A63"/>
          <w:sz w:val="28"/>
          <w:szCs w:val="28"/>
        </w:rPr>
      </w:pPr>
      <w:r w:rsidRPr="00402CF0">
        <w:rPr>
          <w:rFonts w:ascii="Franklin Gothic Medium" w:hAnsi="Franklin Gothic Medium"/>
          <w:color w:val="0A4A63"/>
          <w:sz w:val="28"/>
          <w:szCs w:val="28"/>
        </w:rPr>
        <w:t>In consultation with:</w:t>
      </w:r>
    </w:p>
    <w:p w14:paraId="47EFA4E3" w14:textId="6E04E882" w:rsidR="00EE2508" w:rsidRPr="00402CF0" w:rsidRDefault="00EE2508" w:rsidP="00EE2508">
      <w:pPr>
        <w:spacing w:after="200"/>
        <w:jc w:val="center"/>
        <w:rPr>
          <w:rFonts w:ascii="Franklin Gothic Medium" w:hAnsi="Franklin Gothic Medium"/>
          <w:color w:val="0A4A63"/>
          <w:sz w:val="28"/>
          <w:szCs w:val="28"/>
        </w:rPr>
      </w:pPr>
      <w:r w:rsidRPr="00402CF0">
        <w:rPr>
          <w:rFonts w:ascii="Franklin Gothic Medium" w:hAnsi="Franklin Gothic Medium"/>
          <w:color w:val="0A4A63"/>
          <w:sz w:val="28"/>
          <w:szCs w:val="28"/>
        </w:rPr>
        <w:t>Australian Commission on Safety and Quality in Health Care</w:t>
      </w:r>
    </w:p>
    <w:p w14:paraId="137AF768" w14:textId="2067FF8A" w:rsidR="00BF68BE" w:rsidRPr="00402CF0" w:rsidRDefault="00EE2508" w:rsidP="00EE2508">
      <w:pPr>
        <w:jc w:val="center"/>
        <w:rPr>
          <w:rFonts w:ascii="Franklin Gothic Medium" w:hAnsi="Franklin Gothic Medium"/>
          <w:color w:val="0A4A63"/>
          <w:sz w:val="28"/>
          <w:szCs w:val="28"/>
        </w:rPr>
      </w:pPr>
      <w:proofErr w:type="gramStart"/>
      <w:r w:rsidRPr="00402CF0">
        <w:rPr>
          <w:rFonts w:ascii="Franklin Gothic Medium" w:hAnsi="Franklin Gothic Medium"/>
          <w:color w:val="0A4A63"/>
          <w:sz w:val="28"/>
          <w:szCs w:val="28"/>
        </w:rPr>
        <w:t>and</w:t>
      </w:r>
      <w:proofErr w:type="gramEnd"/>
      <w:r w:rsidRPr="00402CF0">
        <w:rPr>
          <w:rFonts w:ascii="Franklin Gothic Medium" w:hAnsi="Franklin Gothic Medium"/>
          <w:color w:val="0A4A63"/>
          <w:sz w:val="28"/>
          <w:szCs w:val="28"/>
        </w:rPr>
        <w:t xml:space="preserve"> Australian Institute of Health and Welfare</w:t>
      </w:r>
    </w:p>
    <w:p w14:paraId="6F7205D4" w14:textId="197A7F49" w:rsidR="00BF68BE" w:rsidRPr="00EE2508" w:rsidRDefault="002A7C9D" w:rsidP="002A7C9D">
      <w:pPr>
        <w:jc w:val="center"/>
      </w:pPr>
      <w:r>
        <w:rPr>
          <w:noProof/>
          <w:lang w:eastAsia="en-AU"/>
        </w:rPr>
        <w:drawing>
          <wp:inline distT="0" distB="0" distL="0" distR="0" wp14:anchorId="0B71C307" wp14:editId="363BB49A">
            <wp:extent cx="2409825" cy="863900"/>
            <wp:effectExtent l="0" t="0" r="0" b="0"/>
            <wp:docPr id="21" name="Picture 21" descr="http://www.aihw.gov.au/uploadedImages/aihw_a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hw.gov.au/uploadedImages/aihw_ands_logo.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67643"/>
                    <a:stretch/>
                  </pic:blipFill>
                  <pic:spPr bwMode="auto">
                    <a:xfrm>
                      <a:off x="0" y="0"/>
                      <a:ext cx="2430983" cy="871485"/>
                    </a:xfrm>
                    <a:prstGeom prst="rect">
                      <a:avLst/>
                    </a:prstGeom>
                    <a:noFill/>
                    <a:ln>
                      <a:noFill/>
                    </a:ln>
                    <a:extLst>
                      <a:ext uri="{53640926-AAD7-44D8-BBD7-CCE9431645EC}">
                        <a14:shadowObscured xmlns:a14="http://schemas.microsoft.com/office/drawing/2010/main"/>
                      </a:ext>
                    </a:extLst>
                  </pic:spPr>
                </pic:pic>
              </a:graphicData>
            </a:graphic>
          </wp:inline>
        </w:drawing>
      </w:r>
    </w:p>
    <w:p w14:paraId="7F8AAE58" w14:textId="5EA6A86F" w:rsidR="00EE2508" w:rsidRDefault="00C26714" w:rsidP="0057506E">
      <w:pPr>
        <w:sectPr w:rsidR="00EE2508" w:rsidSect="008933A8">
          <w:footerReference w:type="default" r:id="rId19"/>
          <w:pgSz w:w="11906" w:h="16838"/>
          <w:pgMar w:top="1440" w:right="1440" w:bottom="1440" w:left="1440" w:header="708" w:footer="708" w:gutter="0"/>
          <w:pgNumType w:start="1"/>
          <w:cols w:space="708"/>
          <w:docGrid w:linePitch="360"/>
        </w:sectPr>
      </w:pPr>
      <w:r w:rsidRPr="00C26714">
        <w:rPr>
          <w:noProof/>
          <w:lang w:eastAsia="en-AU"/>
        </w:rPr>
        <w:drawing>
          <wp:inline distT="0" distB="0" distL="0" distR="0" wp14:anchorId="53B34ACE" wp14:editId="2049B607">
            <wp:extent cx="5571429" cy="116190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71429" cy="1161905"/>
                    </a:xfrm>
                    <a:prstGeom prst="rect">
                      <a:avLst/>
                    </a:prstGeom>
                  </pic:spPr>
                </pic:pic>
              </a:graphicData>
            </a:graphic>
          </wp:inline>
        </w:drawing>
      </w:r>
    </w:p>
    <w:p w14:paraId="787BCC5F" w14:textId="63746CDF" w:rsidR="00995C8E" w:rsidRPr="00CC36F3" w:rsidRDefault="006D4DD4" w:rsidP="00CC36F3">
      <w:pPr>
        <w:rPr>
          <w:color w:val="1178A2"/>
          <w:sz w:val="28"/>
        </w:rPr>
      </w:pPr>
      <w:bookmarkStart w:id="1" w:name="_Toc450663405"/>
      <w:bookmarkStart w:id="2" w:name="_Toc450727203"/>
      <w:bookmarkStart w:id="3" w:name="_Toc451867230"/>
      <w:bookmarkStart w:id="4" w:name="_Toc451954235"/>
      <w:bookmarkStart w:id="5" w:name="_Toc452129031"/>
      <w:bookmarkStart w:id="6" w:name="_Toc454532357"/>
      <w:r w:rsidRPr="00CC36F3">
        <w:rPr>
          <w:color w:val="1178A2"/>
          <w:sz w:val="28"/>
        </w:rPr>
        <w:lastRenderedPageBreak/>
        <w:t>Contents</w:t>
      </w:r>
      <w:bookmarkEnd w:id="1"/>
      <w:bookmarkEnd w:id="2"/>
      <w:bookmarkEnd w:id="3"/>
      <w:bookmarkEnd w:id="4"/>
      <w:bookmarkEnd w:id="5"/>
      <w:bookmarkEnd w:id="6"/>
      <w:r w:rsidR="00995C8E" w:rsidRPr="00CC36F3">
        <w:rPr>
          <w:color w:val="1178A2"/>
          <w:sz w:val="28"/>
        </w:rPr>
        <w:t xml:space="preserve"> </w:t>
      </w:r>
    </w:p>
    <w:sdt>
      <w:sdtPr>
        <w:rPr>
          <w:b/>
          <w:bCs/>
        </w:rPr>
        <w:id w:val="1477413703"/>
        <w:docPartObj>
          <w:docPartGallery w:val="Table of Contents"/>
          <w:docPartUnique/>
        </w:docPartObj>
      </w:sdtPr>
      <w:sdtEndPr>
        <w:rPr>
          <w:b w:val="0"/>
          <w:bCs w:val="0"/>
          <w:noProof/>
        </w:rPr>
      </w:sdtEndPr>
      <w:sdtContent>
        <w:p w14:paraId="7C9FE9D1" w14:textId="77777777" w:rsidR="00CC36F3" w:rsidRDefault="00AE0E8B">
          <w:pPr>
            <w:pStyle w:val="TOC1"/>
            <w:tabs>
              <w:tab w:val="right" w:leader="dot" w:pos="9016"/>
            </w:tabs>
            <w:rPr>
              <w:rFonts w:asciiTheme="minorHAnsi" w:eastAsiaTheme="minorEastAsia" w:hAnsiTheme="minorHAnsi" w:cstheme="minorBidi"/>
              <w:noProof/>
              <w:lang w:eastAsia="en-AU"/>
            </w:rPr>
          </w:pPr>
          <w:r>
            <w:rPr>
              <w:rFonts w:asciiTheme="majorHAnsi" w:eastAsiaTheme="majorEastAsia" w:hAnsiTheme="majorHAnsi" w:cstheme="majorBidi"/>
              <w:color w:val="365F91" w:themeColor="accent1" w:themeShade="BF"/>
              <w:sz w:val="28"/>
              <w:szCs w:val="28"/>
              <w:lang w:val="en-US" w:eastAsia="ja-JP"/>
            </w:rPr>
            <w:fldChar w:fldCharType="begin"/>
          </w:r>
          <w:r>
            <w:instrText xml:space="preserve"> TOC \o "1-3" \h \z \u </w:instrText>
          </w:r>
          <w:r>
            <w:rPr>
              <w:rFonts w:asciiTheme="majorHAnsi" w:eastAsiaTheme="majorEastAsia" w:hAnsiTheme="majorHAnsi" w:cstheme="majorBidi"/>
              <w:color w:val="365F91" w:themeColor="accent1" w:themeShade="BF"/>
              <w:sz w:val="28"/>
              <w:szCs w:val="28"/>
              <w:lang w:val="en-US" w:eastAsia="ja-JP"/>
            </w:rPr>
            <w:fldChar w:fldCharType="separate"/>
          </w:r>
          <w:hyperlink w:anchor="_Toc474329554" w:history="1">
            <w:r w:rsidR="00CC36F3" w:rsidRPr="00626D9E">
              <w:rPr>
                <w:rStyle w:val="Hyperlink"/>
                <w:noProof/>
              </w:rPr>
              <w:t>1. Background</w:t>
            </w:r>
            <w:r w:rsidR="00CC36F3">
              <w:rPr>
                <w:noProof/>
                <w:webHidden/>
              </w:rPr>
              <w:tab/>
            </w:r>
            <w:r w:rsidR="00CC36F3">
              <w:rPr>
                <w:noProof/>
                <w:webHidden/>
              </w:rPr>
              <w:fldChar w:fldCharType="begin"/>
            </w:r>
            <w:r w:rsidR="00CC36F3">
              <w:rPr>
                <w:noProof/>
                <w:webHidden/>
              </w:rPr>
              <w:instrText xml:space="preserve"> PAGEREF _Toc474329554 \h </w:instrText>
            </w:r>
            <w:r w:rsidR="00CC36F3">
              <w:rPr>
                <w:noProof/>
                <w:webHidden/>
              </w:rPr>
            </w:r>
            <w:r w:rsidR="00CC36F3">
              <w:rPr>
                <w:noProof/>
                <w:webHidden/>
              </w:rPr>
              <w:fldChar w:fldCharType="separate"/>
            </w:r>
            <w:r w:rsidR="00CC36F3">
              <w:rPr>
                <w:noProof/>
                <w:webHidden/>
              </w:rPr>
              <w:t>3</w:t>
            </w:r>
            <w:r w:rsidR="00CC36F3">
              <w:rPr>
                <w:noProof/>
                <w:webHidden/>
              </w:rPr>
              <w:fldChar w:fldCharType="end"/>
            </w:r>
          </w:hyperlink>
        </w:p>
        <w:p w14:paraId="1DD9E9F1" w14:textId="77777777" w:rsidR="00CC36F3" w:rsidRDefault="0076471F">
          <w:pPr>
            <w:pStyle w:val="TOC1"/>
            <w:tabs>
              <w:tab w:val="right" w:leader="dot" w:pos="9016"/>
            </w:tabs>
            <w:rPr>
              <w:rFonts w:asciiTheme="minorHAnsi" w:eastAsiaTheme="minorEastAsia" w:hAnsiTheme="minorHAnsi" w:cstheme="minorBidi"/>
              <w:noProof/>
              <w:lang w:eastAsia="en-AU"/>
            </w:rPr>
          </w:pPr>
          <w:hyperlink w:anchor="_Toc474329555" w:history="1">
            <w:r w:rsidR="00CC36F3" w:rsidRPr="00626D9E">
              <w:rPr>
                <w:rStyle w:val="Hyperlink"/>
                <w:noProof/>
              </w:rPr>
              <w:t>2. Overview of potentially avoidable deaths</w:t>
            </w:r>
            <w:r w:rsidR="00CC36F3">
              <w:rPr>
                <w:noProof/>
                <w:webHidden/>
              </w:rPr>
              <w:tab/>
            </w:r>
            <w:r w:rsidR="00CC36F3">
              <w:rPr>
                <w:noProof/>
                <w:webHidden/>
              </w:rPr>
              <w:fldChar w:fldCharType="begin"/>
            </w:r>
            <w:r w:rsidR="00CC36F3">
              <w:rPr>
                <w:noProof/>
                <w:webHidden/>
              </w:rPr>
              <w:instrText xml:space="preserve"> PAGEREF _Toc474329555 \h </w:instrText>
            </w:r>
            <w:r w:rsidR="00CC36F3">
              <w:rPr>
                <w:noProof/>
                <w:webHidden/>
              </w:rPr>
            </w:r>
            <w:r w:rsidR="00CC36F3">
              <w:rPr>
                <w:noProof/>
                <w:webHidden/>
              </w:rPr>
              <w:fldChar w:fldCharType="separate"/>
            </w:r>
            <w:r w:rsidR="00CC36F3">
              <w:rPr>
                <w:noProof/>
                <w:webHidden/>
              </w:rPr>
              <w:t>4</w:t>
            </w:r>
            <w:r w:rsidR="00CC36F3">
              <w:rPr>
                <w:noProof/>
                <w:webHidden/>
              </w:rPr>
              <w:fldChar w:fldCharType="end"/>
            </w:r>
          </w:hyperlink>
        </w:p>
        <w:p w14:paraId="4BF0957F" w14:textId="77777777" w:rsidR="00CC36F3" w:rsidRDefault="0076471F">
          <w:pPr>
            <w:pStyle w:val="TOC2"/>
            <w:tabs>
              <w:tab w:val="right" w:leader="dot" w:pos="9016"/>
            </w:tabs>
            <w:rPr>
              <w:rFonts w:asciiTheme="minorHAnsi" w:eastAsiaTheme="minorEastAsia" w:hAnsiTheme="minorHAnsi" w:cstheme="minorBidi"/>
              <w:noProof/>
              <w:lang w:eastAsia="en-AU"/>
            </w:rPr>
          </w:pPr>
          <w:hyperlink w:anchor="_Toc474329556" w:history="1">
            <w:r w:rsidR="00CC36F3" w:rsidRPr="00626D9E">
              <w:rPr>
                <w:rStyle w:val="Hyperlink"/>
                <w:noProof/>
              </w:rPr>
              <w:t>2.1 Evolution of potentially avoidable deaths as a health performance indicator</w:t>
            </w:r>
            <w:r w:rsidR="00CC36F3">
              <w:rPr>
                <w:noProof/>
                <w:webHidden/>
              </w:rPr>
              <w:tab/>
            </w:r>
            <w:r w:rsidR="00CC36F3">
              <w:rPr>
                <w:noProof/>
                <w:webHidden/>
              </w:rPr>
              <w:fldChar w:fldCharType="begin"/>
            </w:r>
            <w:r w:rsidR="00CC36F3">
              <w:rPr>
                <w:noProof/>
                <w:webHidden/>
              </w:rPr>
              <w:instrText xml:space="preserve"> PAGEREF _Toc474329556 \h </w:instrText>
            </w:r>
            <w:r w:rsidR="00CC36F3">
              <w:rPr>
                <w:noProof/>
                <w:webHidden/>
              </w:rPr>
            </w:r>
            <w:r w:rsidR="00CC36F3">
              <w:rPr>
                <w:noProof/>
                <w:webHidden/>
              </w:rPr>
              <w:fldChar w:fldCharType="separate"/>
            </w:r>
            <w:r w:rsidR="00CC36F3">
              <w:rPr>
                <w:noProof/>
                <w:webHidden/>
              </w:rPr>
              <w:t>5</w:t>
            </w:r>
            <w:r w:rsidR="00CC36F3">
              <w:rPr>
                <w:noProof/>
                <w:webHidden/>
              </w:rPr>
              <w:fldChar w:fldCharType="end"/>
            </w:r>
          </w:hyperlink>
        </w:p>
        <w:p w14:paraId="67A405E5" w14:textId="77777777" w:rsidR="00CC36F3" w:rsidRDefault="0076471F">
          <w:pPr>
            <w:pStyle w:val="TOC2"/>
            <w:tabs>
              <w:tab w:val="right" w:leader="dot" w:pos="9016"/>
            </w:tabs>
            <w:rPr>
              <w:rFonts w:asciiTheme="minorHAnsi" w:eastAsiaTheme="minorEastAsia" w:hAnsiTheme="minorHAnsi" w:cstheme="minorBidi"/>
              <w:noProof/>
              <w:lang w:eastAsia="en-AU"/>
            </w:rPr>
          </w:pPr>
          <w:hyperlink w:anchor="_Toc474329557" w:history="1">
            <w:r w:rsidR="00CC36F3" w:rsidRPr="00626D9E">
              <w:rPr>
                <w:rStyle w:val="Hyperlink"/>
                <w:noProof/>
              </w:rPr>
              <w:t>2.2 Strengths and limitations as a health performance indicator</w:t>
            </w:r>
            <w:r w:rsidR="00CC36F3">
              <w:rPr>
                <w:noProof/>
                <w:webHidden/>
              </w:rPr>
              <w:tab/>
            </w:r>
            <w:r w:rsidR="00CC36F3">
              <w:rPr>
                <w:noProof/>
                <w:webHidden/>
              </w:rPr>
              <w:fldChar w:fldCharType="begin"/>
            </w:r>
            <w:r w:rsidR="00CC36F3">
              <w:rPr>
                <w:noProof/>
                <w:webHidden/>
              </w:rPr>
              <w:instrText xml:space="preserve"> PAGEREF _Toc474329557 \h </w:instrText>
            </w:r>
            <w:r w:rsidR="00CC36F3">
              <w:rPr>
                <w:noProof/>
                <w:webHidden/>
              </w:rPr>
            </w:r>
            <w:r w:rsidR="00CC36F3">
              <w:rPr>
                <w:noProof/>
                <w:webHidden/>
              </w:rPr>
              <w:fldChar w:fldCharType="separate"/>
            </w:r>
            <w:r w:rsidR="00CC36F3">
              <w:rPr>
                <w:noProof/>
                <w:webHidden/>
              </w:rPr>
              <w:t>7</w:t>
            </w:r>
            <w:r w:rsidR="00CC36F3">
              <w:rPr>
                <w:noProof/>
                <w:webHidden/>
              </w:rPr>
              <w:fldChar w:fldCharType="end"/>
            </w:r>
          </w:hyperlink>
        </w:p>
        <w:p w14:paraId="1A831D73" w14:textId="77777777" w:rsidR="00CC36F3" w:rsidRDefault="0076471F">
          <w:pPr>
            <w:pStyle w:val="TOC1"/>
            <w:tabs>
              <w:tab w:val="right" w:leader="dot" w:pos="9016"/>
            </w:tabs>
            <w:rPr>
              <w:rFonts w:asciiTheme="minorHAnsi" w:eastAsiaTheme="minorEastAsia" w:hAnsiTheme="minorHAnsi" w:cstheme="minorBidi"/>
              <w:noProof/>
              <w:lang w:eastAsia="en-AU"/>
            </w:rPr>
          </w:pPr>
          <w:hyperlink w:anchor="_Toc474329558" w:history="1">
            <w:r w:rsidR="00CC36F3" w:rsidRPr="00626D9E">
              <w:rPr>
                <w:rStyle w:val="Hyperlink"/>
                <w:noProof/>
              </w:rPr>
              <w:t>3. Using the potentially avoidable deaths indicator</w:t>
            </w:r>
            <w:r w:rsidR="00CC36F3">
              <w:rPr>
                <w:noProof/>
                <w:webHidden/>
              </w:rPr>
              <w:tab/>
            </w:r>
            <w:r w:rsidR="00CC36F3">
              <w:rPr>
                <w:noProof/>
                <w:webHidden/>
              </w:rPr>
              <w:fldChar w:fldCharType="begin"/>
            </w:r>
            <w:r w:rsidR="00CC36F3">
              <w:rPr>
                <w:noProof/>
                <w:webHidden/>
              </w:rPr>
              <w:instrText xml:space="preserve"> PAGEREF _Toc474329558 \h </w:instrText>
            </w:r>
            <w:r w:rsidR="00CC36F3">
              <w:rPr>
                <w:noProof/>
                <w:webHidden/>
              </w:rPr>
            </w:r>
            <w:r w:rsidR="00CC36F3">
              <w:rPr>
                <w:noProof/>
                <w:webHidden/>
              </w:rPr>
              <w:fldChar w:fldCharType="separate"/>
            </w:r>
            <w:r w:rsidR="00CC36F3">
              <w:rPr>
                <w:noProof/>
                <w:webHidden/>
              </w:rPr>
              <w:t>9</w:t>
            </w:r>
            <w:r w:rsidR="00CC36F3">
              <w:rPr>
                <w:noProof/>
                <w:webHidden/>
              </w:rPr>
              <w:fldChar w:fldCharType="end"/>
            </w:r>
          </w:hyperlink>
        </w:p>
        <w:p w14:paraId="330D96E6" w14:textId="77777777" w:rsidR="00CC36F3" w:rsidRDefault="0076471F">
          <w:pPr>
            <w:pStyle w:val="TOC2"/>
            <w:tabs>
              <w:tab w:val="right" w:leader="dot" w:pos="9016"/>
            </w:tabs>
            <w:rPr>
              <w:rFonts w:asciiTheme="minorHAnsi" w:eastAsiaTheme="minorEastAsia" w:hAnsiTheme="minorHAnsi" w:cstheme="minorBidi"/>
              <w:noProof/>
              <w:lang w:eastAsia="en-AU"/>
            </w:rPr>
          </w:pPr>
          <w:hyperlink w:anchor="_Toc474329559" w:history="1">
            <w:r w:rsidR="00CC36F3" w:rsidRPr="00626D9E">
              <w:rPr>
                <w:rStyle w:val="Hyperlink"/>
                <w:noProof/>
              </w:rPr>
              <w:t>3.1 Comparisons between geographic regions</w:t>
            </w:r>
            <w:r w:rsidR="00CC36F3">
              <w:rPr>
                <w:noProof/>
                <w:webHidden/>
              </w:rPr>
              <w:tab/>
            </w:r>
            <w:r w:rsidR="00CC36F3">
              <w:rPr>
                <w:noProof/>
                <w:webHidden/>
              </w:rPr>
              <w:fldChar w:fldCharType="begin"/>
            </w:r>
            <w:r w:rsidR="00CC36F3">
              <w:rPr>
                <w:noProof/>
                <w:webHidden/>
              </w:rPr>
              <w:instrText xml:space="preserve"> PAGEREF _Toc474329559 \h </w:instrText>
            </w:r>
            <w:r w:rsidR="00CC36F3">
              <w:rPr>
                <w:noProof/>
                <w:webHidden/>
              </w:rPr>
            </w:r>
            <w:r w:rsidR="00CC36F3">
              <w:rPr>
                <w:noProof/>
                <w:webHidden/>
              </w:rPr>
              <w:fldChar w:fldCharType="separate"/>
            </w:r>
            <w:r w:rsidR="00CC36F3">
              <w:rPr>
                <w:noProof/>
                <w:webHidden/>
              </w:rPr>
              <w:t>10</w:t>
            </w:r>
            <w:r w:rsidR="00CC36F3">
              <w:rPr>
                <w:noProof/>
                <w:webHidden/>
              </w:rPr>
              <w:fldChar w:fldCharType="end"/>
            </w:r>
          </w:hyperlink>
        </w:p>
        <w:p w14:paraId="2B62D264" w14:textId="77777777" w:rsidR="00CC36F3" w:rsidRDefault="0076471F">
          <w:pPr>
            <w:pStyle w:val="TOC3"/>
            <w:tabs>
              <w:tab w:val="right" w:leader="dot" w:pos="9016"/>
            </w:tabs>
            <w:rPr>
              <w:rFonts w:asciiTheme="minorHAnsi" w:eastAsiaTheme="minorEastAsia" w:hAnsiTheme="minorHAnsi" w:cstheme="minorBidi"/>
              <w:noProof/>
              <w:lang w:eastAsia="en-AU"/>
            </w:rPr>
          </w:pPr>
          <w:hyperlink w:anchor="_Toc474329560" w:history="1">
            <w:r w:rsidR="00CC36F3" w:rsidRPr="00626D9E">
              <w:rPr>
                <w:rStyle w:val="Hyperlink"/>
                <w:noProof/>
              </w:rPr>
              <w:t>Other factors to consider</w:t>
            </w:r>
            <w:r w:rsidR="00CC36F3">
              <w:rPr>
                <w:noProof/>
                <w:webHidden/>
              </w:rPr>
              <w:tab/>
            </w:r>
            <w:r w:rsidR="00CC36F3">
              <w:rPr>
                <w:noProof/>
                <w:webHidden/>
              </w:rPr>
              <w:fldChar w:fldCharType="begin"/>
            </w:r>
            <w:r w:rsidR="00CC36F3">
              <w:rPr>
                <w:noProof/>
                <w:webHidden/>
              </w:rPr>
              <w:instrText xml:space="preserve"> PAGEREF _Toc474329560 \h </w:instrText>
            </w:r>
            <w:r w:rsidR="00CC36F3">
              <w:rPr>
                <w:noProof/>
                <w:webHidden/>
              </w:rPr>
            </w:r>
            <w:r w:rsidR="00CC36F3">
              <w:rPr>
                <w:noProof/>
                <w:webHidden/>
              </w:rPr>
              <w:fldChar w:fldCharType="separate"/>
            </w:r>
            <w:r w:rsidR="00CC36F3">
              <w:rPr>
                <w:noProof/>
                <w:webHidden/>
              </w:rPr>
              <w:t>11</w:t>
            </w:r>
            <w:r w:rsidR="00CC36F3">
              <w:rPr>
                <w:noProof/>
                <w:webHidden/>
              </w:rPr>
              <w:fldChar w:fldCharType="end"/>
            </w:r>
          </w:hyperlink>
        </w:p>
        <w:p w14:paraId="092E2232" w14:textId="77777777" w:rsidR="00CC36F3" w:rsidRDefault="0076471F">
          <w:pPr>
            <w:pStyle w:val="TOC2"/>
            <w:tabs>
              <w:tab w:val="right" w:leader="dot" w:pos="9016"/>
            </w:tabs>
            <w:rPr>
              <w:rFonts w:asciiTheme="minorHAnsi" w:eastAsiaTheme="minorEastAsia" w:hAnsiTheme="minorHAnsi" w:cstheme="minorBidi"/>
              <w:noProof/>
              <w:lang w:eastAsia="en-AU"/>
            </w:rPr>
          </w:pPr>
          <w:hyperlink w:anchor="_Toc474329561" w:history="1">
            <w:r w:rsidR="00CC36F3" w:rsidRPr="00626D9E">
              <w:rPr>
                <w:rStyle w:val="Hyperlink"/>
                <w:noProof/>
              </w:rPr>
              <w:t>3.2 Breakdowns by cause of death and population subgroups</w:t>
            </w:r>
            <w:r w:rsidR="00CC36F3">
              <w:rPr>
                <w:noProof/>
                <w:webHidden/>
              </w:rPr>
              <w:tab/>
            </w:r>
            <w:r w:rsidR="00CC36F3">
              <w:rPr>
                <w:noProof/>
                <w:webHidden/>
              </w:rPr>
              <w:fldChar w:fldCharType="begin"/>
            </w:r>
            <w:r w:rsidR="00CC36F3">
              <w:rPr>
                <w:noProof/>
                <w:webHidden/>
              </w:rPr>
              <w:instrText xml:space="preserve"> PAGEREF _Toc474329561 \h </w:instrText>
            </w:r>
            <w:r w:rsidR="00CC36F3">
              <w:rPr>
                <w:noProof/>
                <w:webHidden/>
              </w:rPr>
            </w:r>
            <w:r w:rsidR="00CC36F3">
              <w:rPr>
                <w:noProof/>
                <w:webHidden/>
              </w:rPr>
              <w:fldChar w:fldCharType="separate"/>
            </w:r>
            <w:r w:rsidR="00CC36F3">
              <w:rPr>
                <w:noProof/>
                <w:webHidden/>
              </w:rPr>
              <w:t>12</w:t>
            </w:r>
            <w:r w:rsidR="00CC36F3">
              <w:rPr>
                <w:noProof/>
                <w:webHidden/>
              </w:rPr>
              <w:fldChar w:fldCharType="end"/>
            </w:r>
          </w:hyperlink>
        </w:p>
        <w:p w14:paraId="49E27FCD" w14:textId="77777777" w:rsidR="00CC36F3" w:rsidRDefault="0076471F">
          <w:pPr>
            <w:pStyle w:val="TOC2"/>
            <w:tabs>
              <w:tab w:val="right" w:leader="dot" w:pos="9016"/>
            </w:tabs>
            <w:rPr>
              <w:rFonts w:asciiTheme="minorHAnsi" w:eastAsiaTheme="minorEastAsia" w:hAnsiTheme="minorHAnsi" w:cstheme="minorBidi"/>
              <w:noProof/>
              <w:lang w:eastAsia="en-AU"/>
            </w:rPr>
          </w:pPr>
          <w:hyperlink w:anchor="_Toc474329562" w:history="1">
            <w:r w:rsidR="00CC36F3" w:rsidRPr="00626D9E">
              <w:rPr>
                <w:rStyle w:val="Hyperlink"/>
                <w:noProof/>
              </w:rPr>
              <w:t>3.3 Trends in potentially avoidable deaths</w:t>
            </w:r>
            <w:r w:rsidR="00CC36F3">
              <w:rPr>
                <w:noProof/>
                <w:webHidden/>
              </w:rPr>
              <w:tab/>
            </w:r>
            <w:r w:rsidR="00CC36F3">
              <w:rPr>
                <w:noProof/>
                <w:webHidden/>
              </w:rPr>
              <w:fldChar w:fldCharType="begin"/>
            </w:r>
            <w:r w:rsidR="00CC36F3">
              <w:rPr>
                <w:noProof/>
                <w:webHidden/>
              </w:rPr>
              <w:instrText xml:space="preserve"> PAGEREF _Toc474329562 \h </w:instrText>
            </w:r>
            <w:r w:rsidR="00CC36F3">
              <w:rPr>
                <w:noProof/>
                <w:webHidden/>
              </w:rPr>
            </w:r>
            <w:r w:rsidR="00CC36F3">
              <w:rPr>
                <w:noProof/>
                <w:webHidden/>
              </w:rPr>
              <w:fldChar w:fldCharType="separate"/>
            </w:r>
            <w:r w:rsidR="00CC36F3">
              <w:rPr>
                <w:noProof/>
                <w:webHidden/>
              </w:rPr>
              <w:t>14</w:t>
            </w:r>
            <w:r w:rsidR="00CC36F3">
              <w:rPr>
                <w:noProof/>
                <w:webHidden/>
              </w:rPr>
              <w:fldChar w:fldCharType="end"/>
            </w:r>
          </w:hyperlink>
        </w:p>
        <w:p w14:paraId="114DB8B0" w14:textId="77777777" w:rsidR="00CC36F3" w:rsidRDefault="0076471F">
          <w:pPr>
            <w:pStyle w:val="TOC3"/>
            <w:tabs>
              <w:tab w:val="right" w:leader="dot" w:pos="9016"/>
            </w:tabs>
            <w:rPr>
              <w:rFonts w:asciiTheme="minorHAnsi" w:eastAsiaTheme="minorEastAsia" w:hAnsiTheme="minorHAnsi" w:cstheme="minorBidi"/>
              <w:noProof/>
              <w:lang w:eastAsia="en-AU"/>
            </w:rPr>
          </w:pPr>
          <w:hyperlink w:anchor="_Toc474329563" w:history="1">
            <w:r w:rsidR="00CC36F3" w:rsidRPr="00626D9E">
              <w:rPr>
                <w:rStyle w:val="Hyperlink"/>
                <w:noProof/>
              </w:rPr>
              <w:t>Limitations</w:t>
            </w:r>
            <w:r w:rsidR="00CC36F3">
              <w:rPr>
                <w:noProof/>
                <w:webHidden/>
              </w:rPr>
              <w:tab/>
            </w:r>
            <w:r w:rsidR="00CC36F3">
              <w:rPr>
                <w:noProof/>
                <w:webHidden/>
              </w:rPr>
              <w:fldChar w:fldCharType="begin"/>
            </w:r>
            <w:r w:rsidR="00CC36F3">
              <w:rPr>
                <w:noProof/>
                <w:webHidden/>
              </w:rPr>
              <w:instrText xml:space="preserve"> PAGEREF _Toc474329563 \h </w:instrText>
            </w:r>
            <w:r w:rsidR="00CC36F3">
              <w:rPr>
                <w:noProof/>
                <w:webHidden/>
              </w:rPr>
            </w:r>
            <w:r w:rsidR="00CC36F3">
              <w:rPr>
                <w:noProof/>
                <w:webHidden/>
              </w:rPr>
              <w:fldChar w:fldCharType="separate"/>
            </w:r>
            <w:r w:rsidR="00CC36F3">
              <w:rPr>
                <w:noProof/>
                <w:webHidden/>
              </w:rPr>
              <w:t>14</w:t>
            </w:r>
            <w:r w:rsidR="00CC36F3">
              <w:rPr>
                <w:noProof/>
                <w:webHidden/>
              </w:rPr>
              <w:fldChar w:fldCharType="end"/>
            </w:r>
          </w:hyperlink>
        </w:p>
        <w:p w14:paraId="6DB2E9EA" w14:textId="77777777" w:rsidR="00CC36F3" w:rsidRDefault="0076471F">
          <w:pPr>
            <w:pStyle w:val="TOC1"/>
            <w:tabs>
              <w:tab w:val="right" w:leader="dot" w:pos="9016"/>
            </w:tabs>
            <w:rPr>
              <w:rFonts w:asciiTheme="minorHAnsi" w:eastAsiaTheme="minorEastAsia" w:hAnsiTheme="minorHAnsi" w:cstheme="minorBidi"/>
              <w:noProof/>
              <w:lang w:eastAsia="en-AU"/>
            </w:rPr>
          </w:pPr>
          <w:hyperlink w:anchor="_Toc474329564" w:history="1">
            <w:r w:rsidR="00CC36F3" w:rsidRPr="00626D9E">
              <w:rPr>
                <w:rStyle w:val="Hyperlink"/>
                <w:noProof/>
              </w:rPr>
              <w:t>4. Further resources</w:t>
            </w:r>
            <w:r w:rsidR="00CC36F3">
              <w:rPr>
                <w:noProof/>
                <w:webHidden/>
              </w:rPr>
              <w:tab/>
            </w:r>
            <w:r w:rsidR="00CC36F3">
              <w:rPr>
                <w:noProof/>
                <w:webHidden/>
              </w:rPr>
              <w:fldChar w:fldCharType="begin"/>
            </w:r>
            <w:r w:rsidR="00CC36F3">
              <w:rPr>
                <w:noProof/>
                <w:webHidden/>
              </w:rPr>
              <w:instrText xml:space="preserve"> PAGEREF _Toc474329564 \h </w:instrText>
            </w:r>
            <w:r w:rsidR="00CC36F3">
              <w:rPr>
                <w:noProof/>
                <w:webHidden/>
              </w:rPr>
            </w:r>
            <w:r w:rsidR="00CC36F3">
              <w:rPr>
                <w:noProof/>
                <w:webHidden/>
              </w:rPr>
              <w:fldChar w:fldCharType="separate"/>
            </w:r>
            <w:r w:rsidR="00CC36F3">
              <w:rPr>
                <w:noProof/>
                <w:webHidden/>
              </w:rPr>
              <w:t>16</w:t>
            </w:r>
            <w:r w:rsidR="00CC36F3">
              <w:rPr>
                <w:noProof/>
                <w:webHidden/>
              </w:rPr>
              <w:fldChar w:fldCharType="end"/>
            </w:r>
          </w:hyperlink>
        </w:p>
        <w:p w14:paraId="03C495C5" w14:textId="77777777" w:rsidR="00CC36F3" w:rsidRDefault="0076471F">
          <w:pPr>
            <w:pStyle w:val="TOC1"/>
            <w:tabs>
              <w:tab w:val="right" w:leader="dot" w:pos="9016"/>
            </w:tabs>
            <w:rPr>
              <w:rFonts w:asciiTheme="minorHAnsi" w:eastAsiaTheme="minorEastAsia" w:hAnsiTheme="minorHAnsi" w:cstheme="minorBidi"/>
              <w:noProof/>
              <w:lang w:eastAsia="en-AU"/>
            </w:rPr>
          </w:pPr>
          <w:hyperlink w:anchor="_Toc474329565" w:history="1">
            <w:r w:rsidR="00CC36F3" w:rsidRPr="00626D9E">
              <w:rPr>
                <w:rStyle w:val="Hyperlink"/>
                <w:noProof/>
              </w:rPr>
              <w:t>5. References</w:t>
            </w:r>
            <w:r w:rsidR="00CC36F3">
              <w:rPr>
                <w:noProof/>
                <w:webHidden/>
              </w:rPr>
              <w:tab/>
            </w:r>
            <w:r w:rsidR="00CC36F3">
              <w:rPr>
                <w:noProof/>
                <w:webHidden/>
              </w:rPr>
              <w:fldChar w:fldCharType="begin"/>
            </w:r>
            <w:r w:rsidR="00CC36F3">
              <w:rPr>
                <w:noProof/>
                <w:webHidden/>
              </w:rPr>
              <w:instrText xml:space="preserve"> PAGEREF _Toc474329565 \h </w:instrText>
            </w:r>
            <w:r w:rsidR="00CC36F3">
              <w:rPr>
                <w:noProof/>
                <w:webHidden/>
              </w:rPr>
            </w:r>
            <w:r w:rsidR="00CC36F3">
              <w:rPr>
                <w:noProof/>
                <w:webHidden/>
              </w:rPr>
              <w:fldChar w:fldCharType="separate"/>
            </w:r>
            <w:r w:rsidR="00CC36F3">
              <w:rPr>
                <w:noProof/>
                <w:webHidden/>
              </w:rPr>
              <w:t>17</w:t>
            </w:r>
            <w:r w:rsidR="00CC36F3">
              <w:rPr>
                <w:noProof/>
                <w:webHidden/>
              </w:rPr>
              <w:fldChar w:fldCharType="end"/>
            </w:r>
          </w:hyperlink>
        </w:p>
        <w:p w14:paraId="27B25F4A" w14:textId="77777777" w:rsidR="00CC36F3" w:rsidRDefault="0076471F">
          <w:pPr>
            <w:pStyle w:val="TOC1"/>
            <w:tabs>
              <w:tab w:val="right" w:leader="dot" w:pos="9016"/>
            </w:tabs>
            <w:rPr>
              <w:rFonts w:asciiTheme="minorHAnsi" w:eastAsiaTheme="minorEastAsia" w:hAnsiTheme="minorHAnsi" w:cstheme="minorBidi"/>
              <w:noProof/>
              <w:lang w:eastAsia="en-AU"/>
            </w:rPr>
          </w:pPr>
          <w:hyperlink w:anchor="_Toc474329566" w:history="1">
            <w:r w:rsidR="00CC36F3" w:rsidRPr="00626D9E">
              <w:rPr>
                <w:rStyle w:val="Hyperlink"/>
                <w:noProof/>
              </w:rPr>
              <w:t>Appendices</w:t>
            </w:r>
            <w:r w:rsidR="00CC36F3">
              <w:rPr>
                <w:noProof/>
                <w:webHidden/>
              </w:rPr>
              <w:tab/>
            </w:r>
            <w:r w:rsidR="00CC36F3">
              <w:rPr>
                <w:noProof/>
                <w:webHidden/>
              </w:rPr>
              <w:fldChar w:fldCharType="begin"/>
            </w:r>
            <w:r w:rsidR="00CC36F3">
              <w:rPr>
                <w:noProof/>
                <w:webHidden/>
              </w:rPr>
              <w:instrText xml:space="preserve"> PAGEREF _Toc474329566 \h </w:instrText>
            </w:r>
            <w:r w:rsidR="00CC36F3">
              <w:rPr>
                <w:noProof/>
                <w:webHidden/>
              </w:rPr>
            </w:r>
            <w:r w:rsidR="00CC36F3">
              <w:rPr>
                <w:noProof/>
                <w:webHidden/>
              </w:rPr>
              <w:fldChar w:fldCharType="separate"/>
            </w:r>
            <w:r w:rsidR="00CC36F3">
              <w:rPr>
                <w:noProof/>
                <w:webHidden/>
              </w:rPr>
              <w:t>19</w:t>
            </w:r>
            <w:r w:rsidR="00CC36F3">
              <w:rPr>
                <w:noProof/>
                <w:webHidden/>
              </w:rPr>
              <w:fldChar w:fldCharType="end"/>
            </w:r>
          </w:hyperlink>
        </w:p>
        <w:p w14:paraId="00FE609F" w14:textId="77777777" w:rsidR="00CC36F3" w:rsidRDefault="0076471F">
          <w:pPr>
            <w:pStyle w:val="TOC2"/>
            <w:tabs>
              <w:tab w:val="right" w:leader="dot" w:pos="9016"/>
            </w:tabs>
            <w:rPr>
              <w:rFonts w:asciiTheme="minorHAnsi" w:eastAsiaTheme="minorEastAsia" w:hAnsiTheme="minorHAnsi" w:cstheme="minorBidi"/>
              <w:noProof/>
              <w:lang w:eastAsia="en-AU"/>
            </w:rPr>
          </w:pPr>
          <w:hyperlink w:anchor="_Toc474329567" w:history="1">
            <w:r w:rsidR="00CC36F3" w:rsidRPr="00626D9E">
              <w:rPr>
                <w:rStyle w:val="Hyperlink"/>
                <w:noProof/>
              </w:rPr>
              <w:t>Appendix 1: Conditions in the potentially avoidable deaths indicator</w:t>
            </w:r>
            <w:r w:rsidR="00CC36F3">
              <w:rPr>
                <w:noProof/>
                <w:webHidden/>
              </w:rPr>
              <w:tab/>
            </w:r>
            <w:r w:rsidR="00CC36F3">
              <w:rPr>
                <w:noProof/>
                <w:webHidden/>
              </w:rPr>
              <w:fldChar w:fldCharType="begin"/>
            </w:r>
            <w:r w:rsidR="00CC36F3">
              <w:rPr>
                <w:noProof/>
                <w:webHidden/>
              </w:rPr>
              <w:instrText xml:space="preserve"> PAGEREF _Toc474329567 \h </w:instrText>
            </w:r>
            <w:r w:rsidR="00CC36F3">
              <w:rPr>
                <w:noProof/>
                <w:webHidden/>
              </w:rPr>
            </w:r>
            <w:r w:rsidR="00CC36F3">
              <w:rPr>
                <w:noProof/>
                <w:webHidden/>
              </w:rPr>
              <w:fldChar w:fldCharType="separate"/>
            </w:r>
            <w:r w:rsidR="00CC36F3">
              <w:rPr>
                <w:noProof/>
                <w:webHidden/>
              </w:rPr>
              <w:t>19</w:t>
            </w:r>
            <w:r w:rsidR="00CC36F3">
              <w:rPr>
                <w:noProof/>
                <w:webHidden/>
              </w:rPr>
              <w:fldChar w:fldCharType="end"/>
            </w:r>
          </w:hyperlink>
        </w:p>
        <w:p w14:paraId="39CD52DC" w14:textId="5251249E" w:rsidR="00CC36F3" w:rsidRDefault="0076471F">
          <w:pPr>
            <w:pStyle w:val="TOC2"/>
            <w:tabs>
              <w:tab w:val="right" w:leader="dot" w:pos="9016"/>
            </w:tabs>
            <w:rPr>
              <w:rFonts w:asciiTheme="minorHAnsi" w:eastAsiaTheme="minorEastAsia" w:hAnsiTheme="minorHAnsi" w:cstheme="minorBidi"/>
              <w:noProof/>
              <w:lang w:eastAsia="en-AU"/>
            </w:rPr>
          </w:pPr>
          <w:hyperlink w:anchor="_Toc474329568" w:history="1">
            <w:r w:rsidR="00CC36F3" w:rsidRPr="00626D9E">
              <w:rPr>
                <w:rStyle w:val="Hyperlink"/>
                <w:noProof/>
              </w:rPr>
              <w:t xml:space="preserve">Appendix 2: Example of comparisons between geographic regions using peer grouping </w:t>
            </w:r>
            <w:r w:rsidR="00830F65">
              <w:rPr>
                <w:rStyle w:val="Hyperlink"/>
                <w:noProof/>
              </w:rPr>
              <w:t xml:space="preserve">  </w:t>
            </w:r>
            <w:r w:rsidR="00CC36F3" w:rsidRPr="00626D9E">
              <w:rPr>
                <w:rStyle w:val="Hyperlink"/>
                <w:noProof/>
              </w:rPr>
              <w:t>to make fairer comparisons</w:t>
            </w:r>
            <w:r w:rsidR="00CC36F3">
              <w:rPr>
                <w:noProof/>
                <w:webHidden/>
              </w:rPr>
              <w:tab/>
            </w:r>
            <w:r w:rsidR="00CC36F3">
              <w:rPr>
                <w:noProof/>
                <w:webHidden/>
              </w:rPr>
              <w:fldChar w:fldCharType="begin"/>
            </w:r>
            <w:r w:rsidR="00CC36F3">
              <w:rPr>
                <w:noProof/>
                <w:webHidden/>
              </w:rPr>
              <w:instrText xml:space="preserve"> PAGEREF _Toc474329568 \h </w:instrText>
            </w:r>
            <w:r w:rsidR="00CC36F3">
              <w:rPr>
                <w:noProof/>
                <w:webHidden/>
              </w:rPr>
            </w:r>
            <w:r w:rsidR="00CC36F3">
              <w:rPr>
                <w:noProof/>
                <w:webHidden/>
              </w:rPr>
              <w:fldChar w:fldCharType="separate"/>
            </w:r>
            <w:r w:rsidR="00CC36F3">
              <w:rPr>
                <w:noProof/>
                <w:webHidden/>
              </w:rPr>
              <w:t>20</w:t>
            </w:r>
            <w:r w:rsidR="00CC36F3">
              <w:rPr>
                <w:noProof/>
                <w:webHidden/>
              </w:rPr>
              <w:fldChar w:fldCharType="end"/>
            </w:r>
          </w:hyperlink>
        </w:p>
        <w:p w14:paraId="14F08403" w14:textId="0DF6AFB2" w:rsidR="00CC36F3" w:rsidRDefault="0076471F">
          <w:pPr>
            <w:pStyle w:val="TOC2"/>
            <w:tabs>
              <w:tab w:val="right" w:leader="dot" w:pos="9016"/>
            </w:tabs>
            <w:rPr>
              <w:rFonts w:asciiTheme="minorHAnsi" w:eastAsiaTheme="minorEastAsia" w:hAnsiTheme="minorHAnsi" w:cstheme="minorBidi"/>
              <w:noProof/>
              <w:lang w:eastAsia="en-AU"/>
            </w:rPr>
          </w:pPr>
          <w:hyperlink w:anchor="_Toc474329569" w:history="1">
            <w:r w:rsidR="00CC36F3" w:rsidRPr="00626D9E">
              <w:rPr>
                <w:rStyle w:val="Hyperlink"/>
                <w:noProof/>
              </w:rPr>
              <w:t>Appendix 3: Examples of breakdown of potentially avoidable deaths by conditions -</w:t>
            </w:r>
            <w:r w:rsidR="00830F65">
              <w:rPr>
                <w:rStyle w:val="Hyperlink"/>
                <w:noProof/>
              </w:rPr>
              <w:t xml:space="preserve">     </w:t>
            </w:r>
            <w:r w:rsidR="00CC36F3" w:rsidRPr="00626D9E">
              <w:rPr>
                <w:rStyle w:val="Hyperlink"/>
                <w:noProof/>
              </w:rPr>
              <w:t xml:space="preserve"> sex, age and Indigenous status</w:t>
            </w:r>
            <w:r w:rsidR="00CC36F3">
              <w:rPr>
                <w:noProof/>
                <w:webHidden/>
              </w:rPr>
              <w:tab/>
            </w:r>
            <w:r w:rsidR="00CC36F3">
              <w:rPr>
                <w:noProof/>
                <w:webHidden/>
              </w:rPr>
              <w:fldChar w:fldCharType="begin"/>
            </w:r>
            <w:r w:rsidR="00CC36F3">
              <w:rPr>
                <w:noProof/>
                <w:webHidden/>
              </w:rPr>
              <w:instrText xml:space="preserve"> PAGEREF _Toc474329569 \h </w:instrText>
            </w:r>
            <w:r w:rsidR="00CC36F3">
              <w:rPr>
                <w:noProof/>
                <w:webHidden/>
              </w:rPr>
            </w:r>
            <w:r w:rsidR="00CC36F3">
              <w:rPr>
                <w:noProof/>
                <w:webHidden/>
              </w:rPr>
              <w:fldChar w:fldCharType="separate"/>
            </w:r>
            <w:r w:rsidR="00CC36F3">
              <w:rPr>
                <w:noProof/>
                <w:webHidden/>
              </w:rPr>
              <w:t>21</w:t>
            </w:r>
            <w:r w:rsidR="00CC36F3">
              <w:rPr>
                <w:noProof/>
                <w:webHidden/>
              </w:rPr>
              <w:fldChar w:fldCharType="end"/>
            </w:r>
          </w:hyperlink>
        </w:p>
        <w:p w14:paraId="6A052DF8" w14:textId="77777777" w:rsidR="00CC36F3" w:rsidRDefault="0076471F">
          <w:pPr>
            <w:pStyle w:val="TOC2"/>
            <w:tabs>
              <w:tab w:val="right" w:leader="dot" w:pos="9016"/>
            </w:tabs>
            <w:rPr>
              <w:rFonts w:asciiTheme="minorHAnsi" w:eastAsiaTheme="minorEastAsia" w:hAnsiTheme="minorHAnsi" w:cstheme="minorBidi"/>
              <w:noProof/>
              <w:lang w:eastAsia="en-AU"/>
            </w:rPr>
          </w:pPr>
          <w:hyperlink w:anchor="_Toc474329570" w:history="1">
            <w:r w:rsidR="00CC36F3" w:rsidRPr="00626D9E">
              <w:rPr>
                <w:rStyle w:val="Hyperlink"/>
                <w:noProof/>
              </w:rPr>
              <w:t>Appendix 4: Examples of time trends</w:t>
            </w:r>
            <w:r w:rsidR="00CC36F3">
              <w:rPr>
                <w:noProof/>
                <w:webHidden/>
              </w:rPr>
              <w:tab/>
            </w:r>
            <w:r w:rsidR="00CC36F3">
              <w:rPr>
                <w:noProof/>
                <w:webHidden/>
              </w:rPr>
              <w:fldChar w:fldCharType="begin"/>
            </w:r>
            <w:r w:rsidR="00CC36F3">
              <w:rPr>
                <w:noProof/>
                <w:webHidden/>
              </w:rPr>
              <w:instrText xml:space="preserve"> PAGEREF _Toc474329570 \h </w:instrText>
            </w:r>
            <w:r w:rsidR="00CC36F3">
              <w:rPr>
                <w:noProof/>
                <w:webHidden/>
              </w:rPr>
            </w:r>
            <w:r w:rsidR="00CC36F3">
              <w:rPr>
                <w:noProof/>
                <w:webHidden/>
              </w:rPr>
              <w:fldChar w:fldCharType="separate"/>
            </w:r>
            <w:r w:rsidR="00CC36F3">
              <w:rPr>
                <w:noProof/>
                <w:webHidden/>
              </w:rPr>
              <w:t>24</w:t>
            </w:r>
            <w:r w:rsidR="00CC36F3">
              <w:rPr>
                <w:noProof/>
                <w:webHidden/>
              </w:rPr>
              <w:fldChar w:fldCharType="end"/>
            </w:r>
          </w:hyperlink>
        </w:p>
        <w:p w14:paraId="31C84043" w14:textId="0519AE72" w:rsidR="00AE0E8B" w:rsidRDefault="00AE0E8B">
          <w:r>
            <w:rPr>
              <w:b/>
              <w:bCs/>
              <w:noProof/>
            </w:rPr>
            <w:fldChar w:fldCharType="end"/>
          </w:r>
        </w:p>
      </w:sdtContent>
    </w:sdt>
    <w:p w14:paraId="0C258E64" w14:textId="77777777" w:rsidR="00553549" w:rsidRDefault="00553549" w:rsidP="00553549">
      <w:pPr>
        <w:pStyle w:val="ListParagraph"/>
      </w:pPr>
    </w:p>
    <w:p w14:paraId="17D4510C" w14:textId="133D857D" w:rsidR="00906CAE" w:rsidRDefault="00906CAE">
      <w:pPr>
        <w:spacing w:after="200"/>
        <w:rPr>
          <w:rFonts w:asciiTheme="majorHAnsi" w:eastAsiaTheme="majorEastAsia" w:hAnsiTheme="majorHAnsi" w:cstheme="majorBidi"/>
          <w:b/>
          <w:bCs/>
          <w:sz w:val="28"/>
          <w:szCs w:val="28"/>
        </w:rPr>
      </w:pPr>
      <w:r>
        <w:br w:type="page"/>
      </w:r>
    </w:p>
    <w:p w14:paraId="435C870A" w14:textId="4DCF25FA" w:rsidR="00273C68" w:rsidRPr="009820CC" w:rsidRDefault="00664762" w:rsidP="00D42F7E">
      <w:pPr>
        <w:pStyle w:val="Heading1"/>
      </w:pPr>
      <w:bookmarkStart w:id="7" w:name="_Toc474329554"/>
      <w:r>
        <w:lastRenderedPageBreak/>
        <w:t>1</w:t>
      </w:r>
      <w:r w:rsidR="006D4DD4" w:rsidRPr="009820CC">
        <w:t>.</w:t>
      </w:r>
      <w:r w:rsidR="00861AE3">
        <w:t xml:space="preserve"> Background</w:t>
      </w:r>
      <w:bookmarkEnd w:id="7"/>
    </w:p>
    <w:p w14:paraId="3760D2E2" w14:textId="1D50E2B3" w:rsidR="00FC4285" w:rsidRDefault="00FC4285" w:rsidP="00FC4285">
      <w:pPr>
        <w:rPr>
          <w:rFonts w:asciiTheme="minorHAnsi" w:hAnsiTheme="minorHAnsi" w:cstheme="minorHAnsi"/>
        </w:rPr>
      </w:pPr>
      <w:r w:rsidRPr="007B6C05">
        <w:rPr>
          <w:rFonts w:asciiTheme="minorHAnsi" w:hAnsiTheme="minorHAnsi" w:cstheme="minorHAnsi"/>
        </w:rPr>
        <w:t xml:space="preserve">This guide provides an overview of the potentially avoidable deaths </w:t>
      </w:r>
      <w:r>
        <w:rPr>
          <w:rFonts w:asciiTheme="minorHAnsi" w:hAnsiTheme="minorHAnsi" w:cstheme="minorHAnsi"/>
        </w:rPr>
        <w:t xml:space="preserve">health </w:t>
      </w:r>
      <w:r w:rsidRPr="007B6C05">
        <w:rPr>
          <w:rFonts w:asciiTheme="minorHAnsi" w:hAnsiTheme="minorHAnsi" w:cstheme="minorHAnsi"/>
        </w:rPr>
        <w:t>performance indicator, including a guide to interpreting common forms of statistics reported in Australia</w:t>
      </w:r>
      <w:r>
        <w:rPr>
          <w:rFonts w:asciiTheme="minorHAnsi" w:hAnsiTheme="minorHAnsi" w:cstheme="minorHAnsi"/>
        </w:rPr>
        <w:t>, and</w:t>
      </w:r>
      <w:r w:rsidRPr="007B6C05">
        <w:rPr>
          <w:rFonts w:asciiTheme="minorHAnsi" w:hAnsiTheme="minorHAnsi" w:cstheme="minorHAnsi"/>
        </w:rPr>
        <w:t xml:space="preserve"> a brief history of how </w:t>
      </w:r>
      <w:r>
        <w:rPr>
          <w:rFonts w:asciiTheme="minorHAnsi" w:hAnsiTheme="minorHAnsi" w:cstheme="minorHAnsi"/>
        </w:rPr>
        <w:t>the indicator</w:t>
      </w:r>
      <w:r w:rsidRPr="007B6C05">
        <w:rPr>
          <w:rFonts w:asciiTheme="minorHAnsi" w:hAnsiTheme="minorHAnsi" w:cstheme="minorHAnsi"/>
        </w:rPr>
        <w:t xml:space="preserve"> was developed</w:t>
      </w:r>
      <w:r>
        <w:rPr>
          <w:rFonts w:asciiTheme="minorHAnsi" w:hAnsiTheme="minorHAnsi" w:cstheme="minorHAnsi"/>
        </w:rPr>
        <w:t>.</w:t>
      </w:r>
    </w:p>
    <w:p w14:paraId="322B8904" w14:textId="6F8B1792" w:rsidR="00D466D2" w:rsidRPr="007B6C05" w:rsidRDefault="005641DF" w:rsidP="00595909">
      <w:pPr>
        <w:rPr>
          <w:rFonts w:asciiTheme="minorHAnsi" w:hAnsiTheme="minorHAnsi" w:cstheme="minorHAnsi"/>
        </w:rPr>
      </w:pPr>
      <w:r w:rsidRPr="007B6C05">
        <w:rPr>
          <w:rFonts w:asciiTheme="minorHAnsi" w:hAnsiTheme="minorHAnsi" w:cstheme="minorHAnsi"/>
        </w:rPr>
        <w:t>A p</w:t>
      </w:r>
      <w:r w:rsidR="00D466D2" w:rsidRPr="007B6C05">
        <w:rPr>
          <w:rFonts w:asciiTheme="minorHAnsi" w:hAnsiTheme="minorHAnsi" w:cstheme="minorHAnsi"/>
        </w:rPr>
        <w:t>otentially avoidable death</w:t>
      </w:r>
      <w:r w:rsidR="009035CA">
        <w:rPr>
          <w:rFonts w:asciiTheme="minorHAnsi" w:hAnsiTheme="minorHAnsi" w:cstheme="minorHAnsi"/>
        </w:rPr>
        <w:t>, as used in performance measures,</w:t>
      </w:r>
      <w:r w:rsidRPr="007B6C05">
        <w:rPr>
          <w:rFonts w:asciiTheme="minorHAnsi" w:hAnsiTheme="minorHAnsi" w:cstheme="minorHAnsi"/>
        </w:rPr>
        <w:t xml:space="preserve"> is a </w:t>
      </w:r>
      <w:r w:rsidR="00D466D2" w:rsidRPr="007B6C05">
        <w:rPr>
          <w:rFonts w:asciiTheme="minorHAnsi" w:hAnsiTheme="minorHAnsi" w:cstheme="minorHAnsi"/>
        </w:rPr>
        <w:t>death</w:t>
      </w:r>
      <w:r w:rsidR="0035650F" w:rsidRPr="007B6C05">
        <w:rPr>
          <w:rFonts w:asciiTheme="minorHAnsi" w:hAnsiTheme="minorHAnsi" w:cstheme="minorHAnsi"/>
        </w:rPr>
        <w:t xml:space="preserve"> </w:t>
      </w:r>
      <w:r w:rsidR="00D466D2" w:rsidRPr="007B6C05">
        <w:rPr>
          <w:rFonts w:asciiTheme="minorHAnsi" w:hAnsiTheme="minorHAnsi" w:cstheme="minorHAnsi"/>
        </w:rPr>
        <w:t>from</w:t>
      </w:r>
      <w:r w:rsidRPr="007B6C05">
        <w:rPr>
          <w:rFonts w:asciiTheme="minorHAnsi" w:hAnsiTheme="minorHAnsi" w:cstheme="minorHAnsi"/>
        </w:rPr>
        <w:t xml:space="preserve"> a</w:t>
      </w:r>
      <w:r w:rsidR="00D466D2" w:rsidRPr="007B6C05">
        <w:rPr>
          <w:rFonts w:asciiTheme="minorHAnsi" w:hAnsiTheme="minorHAnsi" w:cstheme="minorHAnsi"/>
        </w:rPr>
        <w:t xml:space="preserve"> condition that could have been prevented through provision of individualised care and/or treat</w:t>
      </w:r>
      <w:r w:rsidR="006B39E4">
        <w:rPr>
          <w:rFonts w:asciiTheme="minorHAnsi" w:hAnsiTheme="minorHAnsi" w:cstheme="minorHAnsi"/>
        </w:rPr>
        <w:t>ment</w:t>
      </w:r>
      <w:r w:rsidR="00D466D2" w:rsidRPr="007B6C05">
        <w:rPr>
          <w:rFonts w:asciiTheme="minorHAnsi" w:hAnsiTheme="minorHAnsi" w:cstheme="minorHAnsi"/>
        </w:rPr>
        <w:t xml:space="preserve"> through existing primary or hospital care.</w:t>
      </w:r>
      <w:hyperlink w:anchor="_ENREF_1" w:tooltip="AIHW, 2016 #2071" w:history="1">
        <w:r w:rsidR="0094762C" w:rsidRPr="007B6C05">
          <w:rPr>
            <w:rFonts w:asciiTheme="minorHAnsi" w:hAnsiTheme="minorHAnsi" w:cstheme="minorHAnsi"/>
          </w:rPr>
          <w:fldChar w:fldCharType="begin"/>
        </w:r>
        <w:r w:rsidR="0094762C">
          <w:rPr>
            <w:rFonts w:asciiTheme="minorHAnsi" w:hAnsiTheme="minorHAnsi" w:cstheme="minorHAnsi"/>
          </w:rPr>
          <w:instrText xml:space="preserve"> ADDIN EN.CITE &lt;EndNote&gt;&lt;Cite&gt;&lt;Author&gt;AIHW&lt;/Author&gt;&lt;Year&gt;2016&lt;/Year&gt;&lt;RecNum&gt;2071&lt;/RecNum&gt;&lt;DisplayText&gt;&lt;style face="superscript"&gt;1&lt;/style&gt;&lt;/DisplayText&gt;&lt;record&gt;&lt;rec-number&gt;2071&lt;/rec-number&gt;&lt;foreign-keys&gt;&lt;key app="EN" db-id="rpzwzaaags0r0pe95aixvrsiw02a5psfsd5f" timestamp="1463621965"&gt;2071&lt;/key&gt;&lt;/foreign-keys&gt;&lt;ref-type name="Web Page"&gt;12&lt;/ref-type&gt;&lt;contributors&gt;&lt;authors&gt;&lt;author&gt;AIHW&lt;/author&gt;&lt;/authors&gt;&lt;/contributors&gt;&lt;titles&gt;&lt;title&gt;National Healthcare Agreement: PI 16 – Potentially avoidable deaths, 2016&lt;/title&gt;&lt;/titles&gt;&lt;number&gt;19/05/2016&lt;/number&gt;&lt;dates&gt;&lt;year&gt;2016&lt;/year&gt;&lt;/dates&gt;&lt;urls&gt;&lt;related-urls&gt;&lt;url&gt;http://meteor.aihw.gov.au/content/index.phtml/itemId/598750&lt;/url&gt;&lt;/related-urls&gt;&lt;/urls&gt;&lt;/record&gt;&lt;/Cite&gt;&lt;/EndNote&gt;</w:instrText>
        </w:r>
        <w:r w:rsidR="0094762C" w:rsidRPr="007B6C05">
          <w:rPr>
            <w:rFonts w:asciiTheme="minorHAnsi" w:hAnsiTheme="minorHAnsi" w:cstheme="minorHAnsi"/>
          </w:rPr>
          <w:fldChar w:fldCharType="separate"/>
        </w:r>
        <w:r w:rsidR="0094762C" w:rsidRPr="007B6C05">
          <w:rPr>
            <w:rFonts w:asciiTheme="minorHAnsi" w:hAnsiTheme="minorHAnsi" w:cstheme="minorHAnsi"/>
            <w:noProof/>
            <w:vertAlign w:val="superscript"/>
          </w:rPr>
          <w:t>1</w:t>
        </w:r>
        <w:r w:rsidR="0094762C" w:rsidRPr="007B6C05">
          <w:rPr>
            <w:rFonts w:asciiTheme="minorHAnsi" w:hAnsiTheme="minorHAnsi" w:cstheme="minorHAnsi"/>
          </w:rPr>
          <w:fldChar w:fldCharType="end"/>
        </w:r>
      </w:hyperlink>
    </w:p>
    <w:p w14:paraId="6F374AEB" w14:textId="7E38DFC4" w:rsidR="00D466D2" w:rsidRDefault="00D466D2" w:rsidP="00D466D2">
      <w:pPr>
        <w:rPr>
          <w:rFonts w:asciiTheme="minorHAnsi" w:hAnsiTheme="minorHAnsi" w:cstheme="minorHAnsi"/>
        </w:rPr>
      </w:pPr>
      <w:r w:rsidRPr="007B6C05">
        <w:rPr>
          <w:rFonts w:asciiTheme="minorHAnsi" w:hAnsiTheme="minorHAnsi" w:cstheme="minorHAnsi"/>
        </w:rPr>
        <w:t xml:space="preserve">Potentially avoidable deaths are </w:t>
      </w:r>
      <w:r w:rsidR="006B39E4">
        <w:rPr>
          <w:rFonts w:asciiTheme="minorHAnsi" w:hAnsiTheme="minorHAnsi" w:cstheme="minorHAnsi"/>
        </w:rPr>
        <w:t xml:space="preserve">used in Australia as </w:t>
      </w:r>
      <w:r w:rsidRPr="007B6C05">
        <w:rPr>
          <w:rFonts w:asciiTheme="minorHAnsi" w:hAnsiTheme="minorHAnsi" w:cstheme="minorHAnsi"/>
        </w:rPr>
        <w:t xml:space="preserve">a performance indicator </w:t>
      </w:r>
      <w:r w:rsidR="006B39E4">
        <w:rPr>
          <w:rFonts w:asciiTheme="minorHAnsi" w:hAnsiTheme="minorHAnsi" w:cstheme="minorHAnsi"/>
        </w:rPr>
        <w:t>for</w:t>
      </w:r>
      <w:r w:rsidRPr="007B6C05">
        <w:rPr>
          <w:rFonts w:asciiTheme="minorHAnsi" w:hAnsiTheme="minorHAnsi" w:cstheme="minorHAnsi"/>
        </w:rPr>
        <w:t xml:space="preserve"> </w:t>
      </w:r>
      <w:r w:rsidR="002E0330" w:rsidRPr="007B6C05">
        <w:rPr>
          <w:rFonts w:asciiTheme="minorHAnsi" w:hAnsiTheme="minorHAnsi" w:cstheme="minorHAnsi"/>
        </w:rPr>
        <w:t xml:space="preserve">the effectiveness of </w:t>
      </w:r>
      <w:r w:rsidR="006E5460">
        <w:rPr>
          <w:rFonts w:asciiTheme="minorHAnsi" w:hAnsiTheme="minorHAnsi" w:cstheme="minorHAnsi"/>
        </w:rPr>
        <w:t xml:space="preserve">the health system, including hospital, </w:t>
      </w:r>
      <w:r w:rsidR="005641DF" w:rsidRPr="007B6C05">
        <w:rPr>
          <w:rFonts w:asciiTheme="minorHAnsi" w:hAnsiTheme="minorHAnsi" w:cstheme="minorHAnsi"/>
        </w:rPr>
        <w:t xml:space="preserve">primary and community </w:t>
      </w:r>
      <w:r w:rsidR="006E5460">
        <w:rPr>
          <w:rFonts w:asciiTheme="minorHAnsi" w:hAnsiTheme="minorHAnsi" w:cstheme="minorHAnsi"/>
        </w:rPr>
        <w:t>care</w:t>
      </w:r>
      <w:r w:rsidR="002E0330" w:rsidRPr="007B6C05">
        <w:rPr>
          <w:rFonts w:asciiTheme="minorHAnsi" w:hAnsiTheme="minorHAnsi" w:cstheme="minorHAnsi"/>
        </w:rPr>
        <w:t xml:space="preserve">. The indicator </w:t>
      </w:r>
      <w:r w:rsidR="00C034DB" w:rsidRPr="007B6C05">
        <w:rPr>
          <w:rFonts w:asciiTheme="minorHAnsi" w:hAnsiTheme="minorHAnsi" w:cstheme="minorHAnsi"/>
        </w:rPr>
        <w:t>is currently</w:t>
      </w:r>
      <w:r w:rsidR="005641DF" w:rsidRPr="007B6C05">
        <w:rPr>
          <w:rFonts w:asciiTheme="minorHAnsi" w:hAnsiTheme="minorHAnsi" w:cstheme="minorHAnsi"/>
        </w:rPr>
        <w:t xml:space="preserve"> i</w:t>
      </w:r>
      <w:r w:rsidRPr="007B6C05">
        <w:rPr>
          <w:rFonts w:asciiTheme="minorHAnsi" w:hAnsiTheme="minorHAnsi" w:cstheme="minorHAnsi"/>
        </w:rPr>
        <w:t>n the Australian National Healthcare Agreement (NHA)</w:t>
      </w:r>
      <w:r w:rsidR="009343C6" w:rsidRPr="007B6C05">
        <w:rPr>
          <w:rFonts w:asciiTheme="minorHAnsi" w:hAnsiTheme="minorHAnsi" w:cstheme="minorHAnsi"/>
        </w:rPr>
        <w:fldChar w:fldCharType="begin"/>
      </w:r>
      <w:r w:rsidR="0094762C">
        <w:rPr>
          <w:rFonts w:asciiTheme="minorHAnsi" w:hAnsiTheme="minorHAnsi" w:cstheme="minorHAnsi"/>
        </w:rPr>
        <w:instrText xml:space="preserve"> ADDIN EN.CITE &lt;EndNote&gt;&lt;Cite&gt;&lt;Author&gt;AIHW&lt;/Author&gt;&lt;Year&gt;2016&lt;/Year&gt;&lt;RecNum&gt;2071&lt;/RecNum&gt;&lt;DisplayText&gt;&lt;style face="superscript"&gt;1, 2&lt;/style&gt;&lt;/DisplayText&gt;&lt;record&gt;&lt;rec-number&gt;2071&lt;/rec-number&gt;&lt;foreign-keys&gt;&lt;key app="EN" db-id="rpzwzaaags0r0pe95aixvrsiw02a5psfsd5f" timestamp="1463621965"&gt;2071&lt;/key&gt;&lt;/foreign-keys&gt;&lt;ref-type name="Web Page"&gt;12&lt;/ref-type&gt;&lt;contributors&gt;&lt;authors&gt;&lt;author&gt;AIHW&lt;/author&gt;&lt;/authors&gt;&lt;/contributors&gt;&lt;titles&gt;&lt;title&gt;National Healthcare Agreement: PI 16 – Potentially avoidable deaths, 2016&lt;/title&gt;&lt;/titles&gt;&lt;number&gt;19/05/2016&lt;/number&gt;&lt;dates&gt;&lt;year&gt;2016&lt;/year&gt;&lt;/dates&gt;&lt;urls&gt;&lt;related-urls&gt;&lt;url&gt;http://meteor.aihw.gov.au/content/index.phtml/itemId/598750&lt;/url&gt;&lt;/related-urls&gt;&lt;/urls&gt;&lt;/record&gt;&lt;/Cite&gt;&lt;Cite&gt;&lt;Author&gt;COAG&lt;/Author&gt;&lt;Year&gt;2008&lt;/Year&gt;&lt;RecNum&gt;1643&lt;/RecNum&gt;&lt;record&gt;&lt;rec-number&gt;1643&lt;/rec-number&gt;&lt;foreign-keys&gt;&lt;key app="EN" db-id="rpzwzaaags0r0pe95aixvrsiw02a5psfsd5f" timestamp="1421198156"&gt;1643&lt;/key&gt;&lt;/foreign-keys&gt;&lt;ref-type name="Web Page"&gt;12&lt;/ref-type&gt;&lt;contributors&gt;&lt;authors&gt;&lt;author&gt;COAG&lt;/author&gt;&lt;/authors&gt;&lt;/contributors&gt;&lt;titles&gt;&lt;title&gt;Intergovernmental Agreement (IGA) on Federal Financial Relations: Schedule F National Healthcare Agreement&lt;/title&gt;&lt;/titles&gt;&lt;number&gt;March 2013&lt;/number&gt;&lt;dates&gt;&lt;year&gt;2008&lt;/year&gt;&lt;/dates&gt;&lt;publisher&gt;Council of Australian Governments&lt;/publisher&gt;&lt;urls&gt;&lt;related-urls&gt;&lt;url&gt;http://www.federalfinancialrelations.gov.au/content/national_agreements.aspx&lt;/url&gt;&lt;/related-urls&gt;&lt;/urls&gt;&lt;custom2&gt;26/02/2014&lt;/custom2&gt;&lt;/record&gt;&lt;/Cite&gt;&lt;/EndNote&gt;</w:instrText>
      </w:r>
      <w:r w:rsidR="009343C6" w:rsidRPr="007B6C05">
        <w:rPr>
          <w:rFonts w:asciiTheme="minorHAnsi" w:hAnsiTheme="minorHAnsi" w:cstheme="minorHAnsi"/>
        </w:rPr>
        <w:fldChar w:fldCharType="separate"/>
      </w:r>
      <w:hyperlink w:anchor="_ENREF_1" w:tooltip="AIHW, 2016 #2071" w:history="1">
        <w:r w:rsidR="0094762C" w:rsidRPr="0094762C">
          <w:rPr>
            <w:rFonts w:asciiTheme="minorHAnsi" w:hAnsiTheme="minorHAnsi" w:cstheme="minorHAnsi"/>
            <w:noProof/>
            <w:vertAlign w:val="superscript"/>
          </w:rPr>
          <w:t>1</w:t>
        </w:r>
      </w:hyperlink>
      <w:r w:rsidR="0094762C" w:rsidRPr="0094762C">
        <w:rPr>
          <w:rFonts w:asciiTheme="minorHAnsi" w:hAnsiTheme="minorHAnsi" w:cstheme="minorHAnsi"/>
          <w:noProof/>
          <w:vertAlign w:val="superscript"/>
        </w:rPr>
        <w:t xml:space="preserve">, </w:t>
      </w:r>
      <w:hyperlink w:anchor="_ENREF_2" w:tooltip="COAG, 2008 #1643" w:history="1">
        <w:r w:rsidR="0094762C" w:rsidRPr="0094762C">
          <w:rPr>
            <w:rFonts w:asciiTheme="minorHAnsi" w:hAnsiTheme="minorHAnsi" w:cstheme="minorHAnsi"/>
            <w:noProof/>
            <w:vertAlign w:val="superscript"/>
          </w:rPr>
          <w:t>2</w:t>
        </w:r>
      </w:hyperlink>
      <w:r w:rsidR="009343C6" w:rsidRPr="007B6C05">
        <w:rPr>
          <w:rFonts w:asciiTheme="minorHAnsi" w:hAnsiTheme="minorHAnsi" w:cstheme="minorHAnsi"/>
        </w:rPr>
        <w:fldChar w:fldCharType="end"/>
      </w:r>
      <w:r w:rsidR="002E0330" w:rsidRPr="007B6C05">
        <w:rPr>
          <w:rFonts w:asciiTheme="minorHAnsi" w:hAnsiTheme="minorHAnsi" w:cstheme="minorHAnsi"/>
        </w:rPr>
        <w:t xml:space="preserve">, and </w:t>
      </w:r>
      <w:r w:rsidRPr="007B6C05">
        <w:rPr>
          <w:rFonts w:asciiTheme="minorHAnsi" w:hAnsiTheme="minorHAnsi" w:cstheme="minorHAnsi"/>
        </w:rPr>
        <w:t>a part of the Performanc</w:t>
      </w:r>
      <w:r w:rsidR="00F86C4A" w:rsidRPr="007B6C05">
        <w:rPr>
          <w:rFonts w:asciiTheme="minorHAnsi" w:hAnsiTheme="minorHAnsi" w:cstheme="minorHAnsi"/>
        </w:rPr>
        <w:t>e and Accountability Framework.</w:t>
      </w:r>
      <w:hyperlink w:anchor="_ENREF_3" w:tooltip="NHPA, 2015 #2051" w:history="1">
        <w:r w:rsidR="0094762C" w:rsidRPr="007B6C05">
          <w:rPr>
            <w:rFonts w:asciiTheme="minorHAnsi" w:hAnsiTheme="minorHAnsi" w:cstheme="minorHAnsi"/>
          </w:rPr>
          <w:fldChar w:fldCharType="begin"/>
        </w:r>
        <w:r w:rsidR="0094762C">
          <w:rPr>
            <w:rFonts w:asciiTheme="minorHAnsi" w:hAnsiTheme="minorHAnsi" w:cstheme="minorHAnsi"/>
          </w:rPr>
          <w:instrText xml:space="preserve"> ADDIN EN.CITE &lt;EndNote&gt;&lt;Cite&gt;&lt;Author&gt;NHPA&lt;/Author&gt;&lt;Year&gt;2015&lt;/Year&gt;&lt;RecNum&gt;2051&lt;/RecNum&gt;&lt;DisplayText&gt;&lt;style face="superscript"&gt;3&lt;/style&gt;&lt;/DisplayText&gt;&lt;record&gt;&lt;rec-number&gt;2051&lt;/rec-number&gt;&lt;foreign-keys&gt;&lt;key app="EN" db-id="rpzwzaaags0r0pe95aixvrsiw02a5psfsd5f" timestamp="1462862660"&gt;2051&lt;/key&gt;&lt;/foreign-keys&gt;&lt;ref-type name="Web Page"&gt;12&lt;/ref-type&gt;&lt;contributors&gt;&lt;authors&gt;&lt;author&gt;NHPA&lt;/author&gt;&lt;/authors&gt;&lt;/contributors&gt;&lt;titles&gt;&lt;title&gt;National health reform performance and accountability framework&lt;/title&gt;&lt;/titles&gt;&lt;dates&gt;&lt;year&gt;2015&lt;/year&gt;&lt;/dates&gt;&lt;publisher&gt;National Health Performance Authority&lt;/publisher&gt;&lt;urls&gt;&lt;related-urls&gt;&lt;url&gt;http://www.nhpa.gov.au/internet/nhpa/publishing.nsf/content/paf&lt;/url&gt;&lt;/related-urls&gt;&lt;/urls&gt;&lt;access-date&gt;05/05/2016&lt;/access-date&gt;&lt;/record&gt;&lt;/Cite&gt;&lt;/EndNote&gt;</w:instrText>
        </w:r>
        <w:r w:rsidR="0094762C" w:rsidRPr="007B6C05">
          <w:rPr>
            <w:rFonts w:asciiTheme="minorHAnsi" w:hAnsiTheme="minorHAnsi" w:cstheme="minorHAnsi"/>
          </w:rPr>
          <w:fldChar w:fldCharType="separate"/>
        </w:r>
        <w:r w:rsidR="0094762C" w:rsidRPr="0094762C">
          <w:rPr>
            <w:rFonts w:asciiTheme="minorHAnsi" w:hAnsiTheme="minorHAnsi" w:cstheme="minorHAnsi"/>
            <w:noProof/>
            <w:vertAlign w:val="superscript"/>
          </w:rPr>
          <w:t>3</w:t>
        </w:r>
        <w:r w:rsidR="0094762C" w:rsidRPr="007B6C05">
          <w:rPr>
            <w:rFonts w:asciiTheme="minorHAnsi" w:hAnsiTheme="minorHAnsi" w:cstheme="minorHAnsi"/>
          </w:rPr>
          <w:fldChar w:fldCharType="end"/>
        </w:r>
      </w:hyperlink>
    </w:p>
    <w:p w14:paraId="147D7829" w14:textId="0ECEE86D" w:rsidR="00F36ABA" w:rsidRDefault="00F36ABA" w:rsidP="00F36ABA">
      <w:pPr>
        <w:spacing w:before="120" w:after="120"/>
      </w:pPr>
      <w:r w:rsidRPr="00BC1A9B">
        <w:t xml:space="preserve">Comparisons </w:t>
      </w:r>
      <w:r>
        <w:t xml:space="preserve">of population-based mortality </w:t>
      </w:r>
      <w:r w:rsidR="0069741B">
        <w:t>rates or person-</w:t>
      </w:r>
      <w:r>
        <w:t xml:space="preserve">years of life lost </w:t>
      </w:r>
      <w:r w:rsidRPr="00BC1A9B">
        <w:t xml:space="preserve">between geographic regions </w:t>
      </w:r>
      <w:r>
        <w:t>are used to identify areas with relatively high mortality due to potentially avoidable deaths</w:t>
      </w:r>
      <w:r w:rsidRPr="00BC1A9B">
        <w:t>.</w:t>
      </w:r>
      <w:r>
        <w:t xml:space="preserve"> Breakdowns of</w:t>
      </w:r>
      <w:r w:rsidRPr="009A7B8D">
        <w:t xml:space="preserve"> potentially </w:t>
      </w:r>
      <w:r>
        <w:t>avoidable deaths</w:t>
      </w:r>
      <w:r w:rsidRPr="009A7B8D">
        <w:t xml:space="preserve"> </w:t>
      </w:r>
      <w:r>
        <w:t>by</w:t>
      </w:r>
      <w:r w:rsidRPr="009A7B8D">
        <w:t xml:space="preserve"> c</w:t>
      </w:r>
      <w:r>
        <w:t xml:space="preserve">ause of death </w:t>
      </w:r>
      <w:r w:rsidRPr="009A7B8D">
        <w:t xml:space="preserve">or population subgroups can help </w:t>
      </w:r>
      <w:r>
        <w:t xml:space="preserve">to </w:t>
      </w:r>
      <w:r w:rsidRPr="009A7B8D">
        <w:t>identify priorities for targeted policy interventions.</w:t>
      </w:r>
      <w:r w:rsidR="00450AED">
        <w:t xml:space="preserve"> </w:t>
      </w:r>
      <w:r w:rsidRPr="009A7B8D">
        <w:t xml:space="preserve">Trends </w:t>
      </w:r>
      <w:r>
        <w:t xml:space="preserve">over time </w:t>
      </w:r>
      <w:r w:rsidRPr="009A7B8D">
        <w:t xml:space="preserve">can be used to monitor </w:t>
      </w:r>
      <w:r>
        <w:t>for improvements or identify emerging problem areas</w:t>
      </w:r>
      <w:r w:rsidRPr="009A7B8D">
        <w:t xml:space="preserve">. </w:t>
      </w:r>
    </w:p>
    <w:p w14:paraId="692A0A96" w14:textId="28A73F42" w:rsidR="00F36ABA" w:rsidRDefault="00F36ABA" w:rsidP="00F36ABA">
      <w:pPr>
        <w:spacing w:before="120" w:after="120"/>
      </w:pPr>
      <w:r>
        <w:t>While the indicator is e</w:t>
      </w:r>
      <w:r w:rsidRPr="006F5518">
        <w:t xml:space="preserve">asy to calculate using routinely collected </w:t>
      </w:r>
      <w:r>
        <w:t>mortality</w:t>
      </w:r>
      <w:r w:rsidRPr="006F5518">
        <w:t xml:space="preserve"> data</w:t>
      </w:r>
      <w:r>
        <w:t>, d</w:t>
      </w:r>
      <w:r w:rsidRPr="00B06E71">
        <w:t xml:space="preserve">ifferent definitions </w:t>
      </w:r>
      <w:r>
        <w:t xml:space="preserve">for the indicator have been </w:t>
      </w:r>
      <w:r w:rsidRPr="00B06E71">
        <w:t xml:space="preserve">used over </w:t>
      </w:r>
      <w:r>
        <w:t>the years</w:t>
      </w:r>
      <w:r w:rsidRPr="00B06E71">
        <w:t xml:space="preserve"> and by </w:t>
      </w:r>
      <w:r w:rsidRPr="00A22A94">
        <w:t xml:space="preserve">different agencies, </w:t>
      </w:r>
      <w:r>
        <w:t xml:space="preserve">which can make </w:t>
      </w:r>
      <w:r w:rsidRPr="00B06E71">
        <w:t xml:space="preserve">comparisons </w:t>
      </w:r>
      <w:r>
        <w:t>over time or between jurisdictions</w:t>
      </w:r>
      <w:r w:rsidRPr="00B06E71">
        <w:t xml:space="preserve"> difficult</w:t>
      </w:r>
      <w:r>
        <w:t>.</w:t>
      </w:r>
    </w:p>
    <w:p w14:paraId="0CE512BC" w14:textId="4355131C" w:rsidR="00F36ABA" w:rsidRPr="0061029D" w:rsidRDefault="00F36ABA" w:rsidP="00F36ABA">
      <w:pPr>
        <w:spacing w:before="120" w:after="120"/>
      </w:pPr>
      <w:r>
        <w:t>The indicator is also i</w:t>
      </w:r>
      <w:r w:rsidRPr="00B06E71">
        <w:t xml:space="preserve">nfluenced by </w:t>
      </w:r>
      <w:r>
        <w:t xml:space="preserve">a variety of </w:t>
      </w:r>
      <w:r w:rsidRPr="00B06E71">
        <w:t>factors,</w:t>
      </w:r>
      <w:r>
        <w:t xml:space="preserve"> </w:t>
      </w:r>
      <w:r w:rsidRPr="00B06E71">
        <w:t>such as</w:t>
      </w:r>
      <w:r>
        <w:t xml:space="preserve"> changes in disease incidence and the use of different disease coding systems, making direct attribution to specific health policies and/or programs difficult. </w:t>
      </w:r>
    </w:p>
    <w:p w14:paraId="3A7496C3" w14:textId="0DBA5AF8" w:rsidR="00BF68BE" w:rsidRDefault="00BF68BE" w:rsidP="00BF68BE">
      <w:pPr>
        <w:rPr>
          <w:rFonts w:asciiTheme="minorHAnsi" w:hAnsiTheme="minorHAnsi" w:cstheme="minorHAnsi"/>
        </w:rPr>
      </w:pPr>
      <w:r w:rsidRPr="0098102D">
        <w:rPr>
          <w:rFonts w:asciiTheme="minorHAnsi" w:hAnsiTheme="minorHAnsi" w:cstheme="minorHAnsi"/>
        </w:rPr>
        <w:t>The Australian Commission on Safety and Quality in Health Care</w:t>
      </w:r>
      <w:r>
        <w:rPr>
          <w:rFonts w:asciiTheme="minorHAnsi" w:hAnsiTheme="minorHAnsi" w:cstheme="minorHAnsi"/>
        </w:rPr>
        <w:t xml:space="preserve"> (the Commission)</w:t>
      </w:r>
      <w:r w:rsidRPr="0098102D">
        <w:rPr>
          <w:rFonts w:asciiTheme="minorHAnsi" w:hAnsiTheme="minorHAnsi" w:cstheme="minorHAnsi"/>
        </w:rPr>
        <w:t xml:space="preserve"> and the Australian Institute of Health and Welfare</w:t>
      </w:r>
      <w:r w:rsidR="0072365F">
        <w:rPr>
          <w:rFonts w:asciiTheme="minorHAnsi" w:hAnsiTheme="minorHAnsi" w:cstheme="minorHAnsi"/>
        </w:rPr>
        <w:t xml:space="preserve"> (AIHW)</w:t>
      </w:r>
      <w:r>
        <w:rPr>
          <w:rFonts w:asciiTheme="minorHAnsi" w:hAnsiTheme="minorHAnsi" w:cstheme="minorHAnsi"/>
        </w:rPr>
        <w:t xml:space="preserve"> were </w:t>
      </w:r>
      <w:r w:rsidRPr="0098102D">
        <w:rPr>
          <w:rFonts w:asciiTheme="minorHAnsi" w:hAnsiTheme="minorHAnsi" w:cstheme="minorHAnsi"/>
        </w:rPr>
        <w:t xml:space="preserve">jointly commissioned </w:t>
      </w:r>
      <w:r>
        <w:rPr>
          <w:rFonts w:asciiTheme="minorHAnsi" w:hAnsiTheme="minorHAnsi" w:cstheme="minorHAnsi"/>
        </w:rPr>
        <w:t xml:space="preserve">by the </w:t>
      </w:r>
      <w:r w:rsidRPr="00637CA4">
        <w:rPr>
          <w:rFonts w:asciiTheme="minorHAnsi" w:hAnsiTheme="minorHAnsi" w:cstheme="minorHAnsi"/>
        </w:rPr>
        <w:t>National Health Information Standards and Statistics Committee (NHISSC)</w:t>
      </w:r>
      <w:r w:rsidR="00F36ABA">
        <w:rPr>
          <w:rFonts w:asciiTheme="minorHAnsi" w:hAnsiTheme="minorHAnsi" w:cstheme="minorHAnsi"/>
        </w:rPr>
        <w:t xml:space="preserve"> to develop this </w:t>
      </w:r>
      <w:r>
        <w:rPr>
          <w:rFonts w:asciiTheme="minorHAnsi" w:hAnsiTheme="minorHAnsi" w:cstheme="minorHAnsi"/>
        </w:rPr>
        <w:t>guide on the</w:t>
      </w:r>
      <w:r w:rsidRPr="0098102D">
        <w:rPr>
          <w:rFonts w:asciiTheme="minorHAnsi" w:hAnsiTheme="minorHAnsi" w:cstheme="minorHAnsi"/>
        </w:rPr>
        <w:t xml:space="preserve"> </w:t>
      </w:r>
      <w:r>
        <w:rPr>
          <w:rFonts w:asciiTheme="minorHAnsi" w:hAnsiTheme="minorHAnsi" w:cstheme="minorHAnsi"/>
        </w:rPr>
        <w:t xml:space="preserve">potentially </w:t>
      </w:r>
      <w:r w:rsidR="00413B9D">
        <w:rPr>
          <w:rFonts w:asciiTheme="minorHAnsi" w:hAnsiTheme="minorHAnsi" w:cstheme="minorHAnsi"/>
        </w:rPr>
        <w:t xml:space="preserve">avoidable deaths </w:t>
      </w:r>
      <w:r>
        <w:rPr>
          <w:rFonts w:asciiTheme="minorHAnsi" w:hAnsiTheme="minorHAnsi" w:cstheme="minorHAnsi"/>
        </w:rPr>
        <w:t>indicator.</w:t>
      </w:r>
      <w:r w:rsidRPr="00457F5F">
        <w:rPr>
          <w:rFonts w:asciiTheme="minorHAnsi" w:hAnsiTheme="minorHAnsi" w:cstheme="minorHAnsi"/>
        </w:rPr>
        <w:t xml:space="preserve"> </w:t>
      </w:r>
      <w:r>
        <w:rPr>
          <w:rFonts w:asciiTheme="minorHAnsi" w:hAnsiTheme="minorHAnsi" w:cstheme="minorHAnsi"/>
        </w:rPr>
        <w:t>The guide has been written by academics from the University of New South Wales who have extensive experience in this area.</w:t>
      </w:r>
    </w:p>
    <w:p w14:paraId="25C8897D" w14:textId="77777777" w:rsidR="00BF68BE" w:rsidRPr="0012537A" w:rsidRDefault="00BF68BE" w:rsidP="00BF68BE">
      <w:pPr>
        <w:rPr>
          <w:rFonts w:asciiTheme="minorHAnsi" w:hAnsiTheme="minorHAnsi" w:cstheme="minorHAnsi"/>
        </w:rPr>
      </w:pPr>
      <w:r>
        <w:rPr>
          <w:rFonts w:asciiTheme="minorHAnsi" w:hAnsiTheme="minorHAnsi" w:cstheme="minorHAnsi"/>
        </w:rPr>
        <w:t>The Commission sponsored this project as part of the development and explanation of safety and quality indicators in health care delivery, in both the primary care and hospital sector.</w:t>
      </w:r>
      <w:r w:rsidRPr="0012537A">
        <w:rPr>
          <w:rFonts w:asciiTheme="minorHAnsi" w:hAnsiTheme="minorHAnsi" w:cstheme="minorHAnsi"/>
        </w:rPr>
        <w:t xml:space="preserve"> </w:t>
      </w:r>
    </w:p>
    <w:p w14:paraId="7B573F12" w14:textId="35C5A860" w:rsidR="0095754A" w:rsidRDefault="0095754A" w:rsidP="00D466D2">
      <w:pPr>
        <w:rPr>
          <w:rFonts w:asciiTheme="minorHAnsi" w:hAnsiTheme="minorHAnsi" w:cstheme="minorHAnsi"/>
        </w:rPr>
      </w:pPr>
    </w:p>
    <w:p w14:paraId="5D1B95D1" w14:textId="064F4B92" w:rsidR="0095754A" w:rsidRDefault="0095754A">
      <w:pPr>
        <w:spacing w:after="200"/>
        <w:rPr>
          <w:rFonts w:asciiTheme="minorHAnsi" w:hAnsiTheme="minorHAnsi" w:cstheme="minorHAnsi"/>
        </w:rPr>
      </w:pPr>
      <w:r>
        <w:rPr>
          <w:rFonts w:asciiTheme="minorHAnsi" w:hAnsiTheme="minorHAnsi" w:cstheme="minorHAnsi"/>
        </w:rPr>
        <w:br w:type="page"/>
      </w:r>
    </w:p>
    <w:p w14:paraId="46D26DC3" w14:textId="4C9DFF5B" w:rsidR="00220576" w:rsidRPr="00060F42" w:rsidRDefault="00AA07F8" w:rsidP="00060F42">
      <w:pPr>
        <w:pStyle w:val="Heading1"/>
      </w:pPr>
      <w:bookmarkStart w:id="8" w:name="_Toc474329555"/>
      <w:r>
        <w:lastRenderedPageBreak/>
        <w:t>2</w:t>
      </w:r>
      <w:r w:rsidR="00220576" w:rsidRPr="00060F42">
        <w:t>.</w:t>
      </w:r>
      <w:r w:rsidR="00F20C52" w:rsidRPr="00060F42">
        <w:t xml:space="preserve"> </w:t>
      </w:r>
      <w:r w:rsidR="00F27C74" w:rsidRPr="00060F42">
        <w:t>Overview of</w:t>
      </w:r>
      <w:r w:rsidR="00664762" w:rsidRPr="00060F42">
        <w:t xml:space="preserve"> p</w:t>
      </w:r>
      <w:r w:rsidR="00F20C52" w:rsidRPr="00060F42">
        <w:t xml:space="preserve">otentially </w:t>
      </w:r>
      <w:r w:rsidR="00AF2823" w:rsidRPr="00060F42">
        <w:t>avoidable deaths</w:t>
      </w:r>
      <w:bookmarkEnd w:id="8"/>
    </w:p>
    <w:p w14:paraId="774BD572" w14:textId="15DA75A5" w:rsidR="00E017CF" w:rsidRDefault="006322CE" w:rsidP="002E1B1F">
      <w:pPr>
        <w:rPr>
          <w:rFonts w:asciiTheme="minorHAnsi" w:hAnsiTheme="minorHAnsi" w:cstheme="minorHAnsi"/>
        </w:rPr>
      </w:pPr>
      <w:r>
        <w:t>A p</w:t>
      </w:r>
      <w:r w:rsidR="00310559">
        <w:t>otentially avoidable death</w:t>
      </w:r>
      <w:r>
        <w:t xml:space="preserve"> is one</w:t>
      </w:r>
      <w:r w:rsidR="00310559">
        <w:t xml:space="preserve"> that could be </w:t>
      </w:r>
      <w:r w:rsidR="001F194C">
        <w:t xml:space="preserve">potentially </w:t>
      </w:r>
      <w:r w:rsidR="00310559">
        <w:t xml:space="preserve">prevented with individualised care or through existing primary care </w:t>
      </w:r>
      <w:r w:rsidR="00310559">
        <w:rPr>
          <w:rFonts w:asciiTheme="minorHAnsi" w:hAnsiTheme="minorHAnsi" w:cstheme="minorHAnsi"/>
        </w:rPr>
        <w:t>or hospitalisation.</w:t>
      </w:r>
      <w:r w:rsidR="00820F1D">
        <w:rPr>
          <w:rFonts w:asciiTheme="minorHAnsi" w:hAnsiTheme="minorHAnsi" w:cstheme="minorHAnsi"/>
        </w:rPr>
        <w:t xml:space="preserve"> Potentially avoidable deaths</w:t>
      </w:r>
      <w:r w:rsidR="001F35CB">
        <w:rPr>
          <w:rFonts w:asciiTheme="minorHAnsi" w:hAnsiTheme="minorHAnsi" w:cstheme="minorHAnsi"/>
        </w:rPr>
        <w:t>,</w:t>
      </w:r>
      <w:r w:rsidR="00820F1D">
        <w:rPr>
          <w:rFonts w:asciiTheme="minorHAnsi" w:hAnsiTheme="minorHAnsi" w:cstheme="minorHAnsi"/>
        </w:rPr>
        <w:t xml:space="preserve"> also referred to as avoidable mortality</w:t>
      </w:r>
      <w:r w:rsidR="00A90058">
        <w:rPr>
          <w:rFonts w:asciiTheme="minorHAnsi" w:hAnsiTheme="minorHAnsi" w:cstheme="minorHAnsi"/>
        </w:rPr>
        <w:t>,</w:t>
      </w:r>
      <w:r w:rsidR="001F35CB">
        <w:rPr>
          <w:rFonts w:asciiTheme="minorHAnsi" w:hAnsiTheme="minorHAnsi" w:cstheme="minorHAnsi"/>
        </w:rPr>
        <w:t xml:space="preserve"> are a subset of all premature mortality</w:t>
      </w:r>
      <w:r w:rsidR="002E1B1F">
        <w:rPr>
          <w:rFonts w:asciiTheme="minorHAnsi" w:hAnsiTheme="minorHAnsi" w:cstheme="minorHAnsi"/>
        </w:rPr>
        <w:t xml:space="preserve"> </w:t>
      </w:r>
      <w:r w:rsidR="009C2732">
        <w:rPr>
          <w:rFonts w:asciiTheme="minorHAnsi" w:hAnsiTheme="minorHAnsi" w:cstheme="minorHAnsi"/>
        </w:rPr>
        <w:t>(deaths under 75 years)</w:t>
      </w:r>
      <w:r w:rsidR="009C568B">
        <w:rPr>
          <w:rFonts w:asciiTheme="minorHAnsi" w:hAnsiTheme="minorHAnsi" w:cstheme="minorHAnsi"/>
        </w:rPr>
        <w:t xml:space="preserve">, </w:t>
      </w:r>
      <w:r w:rsidR="00703D03">
        <w:rPr>
          <w:rFonts w:asciiTheme="minorHAnsi" w:hAnsiTheme="minorHAnsi" w:cstheme="minorHAnsi"/>
        </w:rPr>
        <w:t xml:space="preserve">and include </w:t>
      </w:r>
      <w:r w:rsidR="008D1679">
        <w:rPr>
          <w:rFonts w:asciiTheme="minorHAnsi" w:hAnsiTheme="minorHAnsi" w:cstheme="minorHAnsi"/>
        </w:rPr>
        <w:t xml:space="preserve">deaths considered to be potentially preventable (those amenable to screening and primary prevention) </w:t>
      </w:r>
      <w:r w:rsidR="00A07AE7">
        <w:rPr>
          <w:rFonts w:asciiTheme="minorHAnsi" w:hAnsiTheme="minorHAnsi" w:cstheme="minorHAnsi"/>
        </w:rPr>
        <w:t xml:space="preserve">and </w:t>
      </w:r>
      <w:r w:rsidR="008D1679">
        <w:rPr>
          <w:rFonts w:asciiTheme="minorHAnsi" w:hAnsiTheme="minorHAnsi" w:cstheme="minorHAnsi"/>
        </w:rPr>
        <w:t>potentially treatable (those amenable to therapeutic interventions). M</w:t>
      </w:r>
      <w:r w:rsidR="009C568B">
        <w:t xml:space="preserve">easures of </w:t>
      </w:r>
      <w:r w:rsidR="007814B6">
        <w:t>potentially avoidable</w:t>
      </w:r>
      <w:r w:rsidR="009C568B" w:rsidRPr="003F62D8">
        <w:t xml:space="preserve"> </w:t>
      </w:r>
      <w:r w:rsidR="009C568B">
        <w:t>deaths</w:t>
      </w:r>
      <w:r w:rsidR="009C568B" w:rsidRPr="003F62D8">
        <w:t xml:space="preserve"> are </w:t>
      </w:r>
      <w:r w:rsidR="009C568B">
        <w:t xml:space="preserve">commonly </w:t>
      </w:r>
      <w:r w:rsidR="009C568B" w:rsidRPr="003F62D8">
        <w:t xml:space="preserve">used in Australia and internationally as a </w:t>
      </w:r>
      <w:r w:rsidR="009C568B">
        <w:t>high</w:t>
      </w:r>
      <w:r w:rsidR="00A07AE7">
        <w:t>-</w:t>
      </w:r>
      <w:r w:rsidR="009C568B">
        <w:t xml:space="preserve">level </w:t>
      </w:r>
      <w:r w:rsidR="009C568B" w:rsidRPr="003F62D8">
        <w:t>health</w:t>
      </w:r>
      <w:r w:rsidR="009C568B">
        <w:t xml:space="preserve"> system</w:t>
      </w:r>
      <w:r w:rsidR="009C568B" w:rsidRPr="003F62D8">
        <w:t xml:space="preserve"> performance indicator</w:t>
      </w:r>
      <w:r w:rsidR="009C2732">
        <w:rPr>
          <w:rFonts w:asciiTheme="minorHAnsi" w:hAnsiTheme="minorHAnsi" w:cstheme="minorHAnsi"/>
        </w:rPr>
        <w:t>.</w:t>
      </w:r>
    </w:p>
    <w:p w14:paraId="121E33E5" w14:textId="4D882F9B" w:rsidR="006F7569" w:rsidRDefault="00C04C19" w:rsidP="006F7569">
      <w:r>
        <w:rPr>
          <w:rFonts w:asciiTheme="minorHAnsi" w:hAnsiTheme="minorHAnsi" w:cstheme="minorHAnsi"/>
        </w:rPr>
        <w:t xml:space="preserve">Potentially avoidable deaths are identified from </w:t>
      </w:r>
      <w:r w:rsidR="00C034DB">
        <w:rPr>
          <w:rFonts w:asciiTheme="minorHAnsi" w:hAnsiTheme="minorHAnsi" w:cstheme="minorHAnsi"/>
        </w:rPr>
        <w:t>cause of death codes</w:t>
      </w:r>
      <w:r>
        <w:rPr>
          <w:rFonts w:asciiTheme="minorHAnsi" w:hAnsiTheme="minorHAnsi" w:cstheme="minorHAnsi"/>
        </w:rPr>
        <w:t xml:space="preserve"> recorded in </w:t>
      </w:r>
      <w:r w:rsidR="00C034DB">
        <w:rPr>
          <w:rFonts w:asciiTheme="minorHAnsi" w:hAnsiTheme="minorHAnsi" w:cstheme="minorHAnsi"/>
        </w:rPr>
        <w:t>routinely collected mortality</w:t>
      </w:r>
      <w:r>
        <w:rPr>
          <w:rFonts w:asciiTheme="minorHAnsi" w:hAnsiTheme="minorHAnsi" w:cstheme="minorHAnsi"/>
        </w:rPr>
        <w:t xml:space="preserve"> data.</w:t>
      </w:r>
      <w:r w:rsidR="00C034DB">
        <w:rPr>
          <w:rFonts w:asciiTheme="minorHAnsi" w:hAnsiTheme="minorHAnsi" w:cstheme="minorHAnsi"/>
        </w:rPr>
        <w:t xml:space="preserve"> The indicator </w:t>
      </w:r>
      <w:r w:rsidR="006B39E4">
        <w:rPr>
          <w:rFonts w:asciiTheme="minorHAnsi" w:hAnsiTheme="minorHAnsi" w:cstheme="minorHAnsi"/>
        </w:rPr>
        <w:t>comprises</w:t>
      </w:r>
      <w:r w:rsidR="00C034DB">
        <w:rPr>
          <w:rFonts w:asciiTheme="minorHAnsi" w:hAnsiTheme="minorHAnsi" w:cstheme="minorHAnsi"/>
        </w:rPr>
        <w:t xml:space="preserve"> a broad range of causes of death, including infection</w:t>
      </w:r>
      <w:r w:rsidR="00A90058">
        <w:rPr>
          <w:rFonts w:asciiTheme="minorHAnsi" w:hAnsiTheme="minorHAnsi" w:cstheme="minorHAnsi"/>
        </w:rPr>
        <w:t>s</w:t>
      </w:r>
      <w:r w:rsidR="00C034DB">
        <w:rPr>
          <w:rFonts w:asciiTheme="minorHAnsi" w:hAnsiTheme="minorHAnsi" w:cstheme="minorHAnsi"/>
        </w:rPr>
        <w:t xml:space="preserve">, cancer, diabetes, maternal and infant causes, external causes (such as </w:t>
      </w:r>
      <w:r w:rsidR="00A90058">
        <w:rPr>
          <w:rFonts w:asciiTheme="minorHAnsi" w:hAnsiTheme="minorHAnsi" w:cstheme="minorHAnsi"/>
        </w:rPr>
        <w:t xml:space="preserve">transport injury), and </w:t>
      </w:r>
      <w:r w:rsidR="00C034DB">
        <w:rPr>
          <w:rFonts w:asciiTheme="minorHAnsi" w:hAnsiTheme="minorHAnsi" w:cstheme="minorHAnsi"/>
        </w:rPr>
        <w:t>diseases of the circulatory, genitourinary, respiratory and digestive systems</w:t>
      </w:r>
      <w:r w:rsidR="006B39E4">
        <w:rPr>
          <w:rFonts w:asciiTheme="minorHAnsi" w:hAnsiTheme="minorHAnsi" w:cstheme="minorHAnsi"/>
        </w:rPr>
        <w:t>.</w:t>
      </w:r>
      <w:r w:rsidR="00A90058">
        <w:t xml:space="preserve"> </w:t>
      </w:r>
      <w:r w:rsidR="005B43DC">
        <w:t>T</w:t>
      </w:r>
      <w:r w:rsidR="005B43DC" w:rsidRPr="00B107B2">
        <w:t xml:space="preserve">he current Australian </w:t>
      </w:r>
      <w:r w:rsidR="005B43DC">
        <w:t xml:space="preserve">health performance </w:t>
      </w:r>
      <w:r w:rsidR="005B43DC" w:rsidRPr="00B107B2">
        <w:t xml:space="preserve">indicator </w:t>
      </w:r>
      <w:r w:rsidR="005B43DC">
        <w:t>includes</w:t>
      </w:r>
      <w:r w:rsidR="0039786A" w:rsidRPr="00B107B2">
        <w:t xml:space="preserve"> 11 major </w:t>
      </w:r>
      <w:r w:rsidR="0039786A">
        <w:t>categories of potentially avoidable deaths</w:t>
      </w:r>
      <w:r w:rsidR="0039786A" w:rsidRPr="00B107B2">
        <w:t xml:space="preserve"> (Appendix 1). Past and current specifications </w:t>
      </w:r>
      <w:r w:rsidR="005B43DC">
        <w:t>for</w:t>
      </w:r>
      <w:r w:rsidR="005B43DC" w:rsidRPr="00B107B2">
        <w:t xml:space="preserve"> </w:t>
      </w:r>
      <w:r w:rsidR="0039786A" w:rsidRPr="00B107B2">
        <w:t>the potentially avoidable deaths indicator as used in the Australian National Healthcare Agreement</w:t>
      </w:r>
      <w:r w:rsidR="00AE5F51">
        <w:t>, including additional identifying criteria such as relevant age thresholds,</w:t>
      </w:r>
      <w:r w:rsidR="0039786A" w:rsidRPr="00B107B2">
        <w:t xml:space="preserve"> are detailed in the AIHW Metadata Online Registry (</w:t>
      </w:r>
      <w:proofErr w:type="spellStart"/>
      <w:r w:rsidR="0039786A" w:rsidRPr="00B107B2">
        <w:t>M</w:t>
      </w:r>
      <w:r w:rsidR="0039786A">
        <w:t>E</w:t>
      </w:r>
      <w:r w:rsidR="0039786A" w:rsidRPr="00B107B2">
        <w:t>Te</w:t>
      </w:r>
      <w:r w:rsidR="0039786A">
        <w:t>O</w:t>
      </w:r>
      <w:r w:rsidR="0039786A" w:rsidRPr="00B107B2">
        <w:t>R</w:t>
      </w:r>
      <w:proofErr w:type="spellEnd"/>
      <w:r w:rsidR="0039786A" w:rsidRPr="00B107B2">
        <w:t>).</w:t>
      </w:r>
      <w:hyperlink w:anchor="_ENREF_1" w:tooltip="AIHW, 2016 #2071" w:history="1">
        <w:r w:rsidR="0094762C">
          <w:fldChar w:fldCharType="begin"/>
        </w:r>
        <w:r w:rsidR="0094762C">
          <w:instrText xml:space="preserve"> ADDIN EN.CITE &lt;EndNote&gt;&lt;Cite&gt;&lt;Author&gt;AIHW&lt;/Author&gt;&lt;Year&gt;2016&lt;/Year&gt;&lt;RecNum&gt;2071&lt;/RecNum&gt;&lt;DisplayText&gt;&lt;style face="superscript"&gt;1&lt;/style&gt;&lt;/DisplayText&gt;&lt;record&gt;&lt;rec-number&gt;2071&lt;/rec-number&gt;&lt;foreign-keys&gt;&lt;key app="EN" db-id="rpzwzaaags0r0pe95aixvrsiw02a5psfsd5f" timestamp="1463621965"&gt;2071&lt;/key&gt;&lt;/foreign-keys&gt;&lt;ref-type name="Web Page"&gt;12&lt;/ref-type&gt;&lt;contributors&gt;&lt;authors&gt;&lt;author&gt;AIHW&lt;/author&gt;&lt;/authors&gt;&lt;/contributors&gt;&lt;titles&gt;&lt;title&gt;National Healthcare Agreement: PI 16 – Potentially avoidable deaths, 2016&lt;/title&gt;&lt;/titles&gt;&lt;number&gt;19/05/2016&lt;/number&gt;&lt;dates&gt;&lt;year&gt;2016&lt;/year&gt;&lt;/dates&gt;&lt;urls&gt;&lt;related-urls&gt;&lt;url&gt;http://meteor.aihw.gov.au/content/index.phtml/itemId/598750&lt;/url&gt;&lt;/related-urls&gt;&lt;/urls&gt;&lt;/record&gt;&lt;/Cite&gt;&lt;/EndNote&gt;</w:instrText>
        </w:r>
        <w:r w:rsidR="0094762C">
          <w:fldChar w:fldCharType="separate"/>
        </w:r>
        <w:r w:rsidR="0094762C" w:rsidRPr="006351F3">
          <w:rPr>
            <w:noProof/>
            <w:vertAlign w:val="superscript"/>
          </w:rPr>
          <w:t>1</w:t>
        </w:r>
        <w:r w:rsidR="0094762C">
          <w:fldChar w:fldCharType="end"/>
        </w:r>
      </w:hyperlink>
      <w:r w:rsidR="0039786A" w:rsidRPr="00E440B2">
        <w:t xml:space="preserve"> </w:t>
      </w:r>
    </w:p>
    <w:p w14:paraId="2BB98034" w14:textId="2078DE96" w:rsidR="006F7569" w:rsidRDefault="006F7569" w:rsidP="006F7569">
      <w:r>
        <w:t>Potentially avoidable deaths are usually presented as age-standardised rate</w:t>
      </w:r>
      <w:r w:rsidR="006B39E4">
        <w:t>s</w:t>
      </w:r>
      <w:r>
        <w:t xml:space="preserve"> </w:t>
      </w:r>
      <w:r w:rsidR="00A90058">
        <w:t xml:space="preserve">(e.g. </w:t>
      </w:r>
      <w:r w:rsidR="00845A23">
        <w:t xml:space="preserve">the numbers of deaths per 100 </w:t>
      </w:r>
      <w:r>
        <w:t>000 people per year</w:t>
      </w:r>
      <w:r w:rsidR="005A71D7">
        <w:t>,</w:t>
      </w:r>
      <w:r w:rsidR="006E5460">
        <w:t xml:space="preserve"> which has been adjusted </w:t>
      </w:r>
      <w:r w:rsidR="00CC5C38">
        <w:t>to take into account different age structures of population groups</w:t>
      </w:r>
      <w:r w:rsidR="00A90058">
        <w:t>)</w:t>
      </w:r>
      <w:r>
        <w:t>, or as potential ye</w:t>
      </w:r>
      <w:r w:rsidR="00845A23">
        <w:t xml:space="preserve">ars of life lost (PYLL) per 100 </w:t>
      </w:r>
      <w:r>
        <w:t xml:space="preserve">000 people </w:t>
      </w:r>
      <w:r w:rsidR="005A71D7">
        <w:t>– an estimate of the additional years of life which would have been lived if people had not died prematurely</w:t>
      </w:r>
      <w:r>
        <w:t>.</w:t>
      </w:r>
      <w:r w:rsidR="009D3193">
        <w:t xml:space="preserve"> </w:t>
      </w:r>
      <w:r w:rsidR="004F3D3A">
        <w:t xml:space="preserve">Ideally, 95% upper and lower confidence intervals should be reported, but this is not always the case. </w:t>
      </w:r>
      <w:r w:rsidR="009D3193">
        <w:t xml:space="preserve">An example of </w:t>
      </w:r>
      <w:r w:rsidR="001203C6">
        <w:t>standardised rates of potentially avoidable deaths is presented in Table 1 below.</w:t>
      </w:r>
    </w:p>
    <w:p w14:paraId="54380DE7" w14:textId="1E5AD52A" w:rsidR="009D3193" w:rsidRPr="00500FCC" w:rsidRDefault="009D3193" w:rsidP="006F7569">
      <w:r w:rsidRPr="00500FCC">
        <w:t xml:space="preserve">Table 1: Example, </w:t>
      </w:r>
      <w:r w:rsidR="00B038AC" w:rsidRPr="00500FCC">
        <w:t>A</w:t>
      </w:r>
      <w:r w:rsidRPr="00500FCC">
        <w:t xml:space="preserve">voidable deaths by region of usual residence and sex, </w:t>
      </w:r>
      <w:proofErr w:type="gramStart"/>
      <w:r w:rsidRPr="00500FCC">
        <w:t>2014</w:t>
      </w:r>
      <w:proofErr w:type="gramEnd"/>
      <w:r w:rsidRPr="00500FCC">
        <w:t>.</w:t>
      </w:r>
      <w:r w:rsidRPr="00500FCC">
        <w:rPr>
          <w:i/>
        </w:rPr>
        <w:t xml:space="preserve"> Source: Adapted from Australian Bureau of Statistics 2016, 3303.0 – Causes of Death, Australia, 2014, </w:t>
      </w:r>
      <w:proofErr w:type="gramStart"/>
      <w:r w:rsidRPr="00500FCC">
        <w:rPr>
          <w:i/>
        </w:rPr>
        <w:t>Potentially</w:t>
      </w:r>
      <w:proofErr w:type="gramEnd"/>
      <w:r w:rsidRPr="00500FCC">
        <w:rPr>
          <w:i/>
        </w:rPr>
        <w:t xml:space="preserve"> avoidable deaths (table 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voidable deaths by state and gender"/>
        <w:tblDescription w:val="Table showing numbers and rate of avoidable deaths by state and gender"/>
      </w:tblPr>
      <w:tblGrid>
        <w:gridCol w:w="2660"/>
        <w:gridCol w:w="1097"/>
        <w:gridCol w:w="1097"/>
        <w:gridCol w:w="1097"/>
        <w:gridCol w:w="1097"/>
        <w:gridCol w:w="1097"/>
        <w:gridCol w:w="1097"/>
      </w:tblGrid>
      <w:tr w:rsidR="009D3193" w:rsidRPr="009D3193" w14:paraId="76B3E568" w14:textId="77777777" w:rsidTr="009D3193">
        <w:tc>
          <w:tcPr>
            <w:tcW w:w="2660" w:type="dxa"/>
            <w:vMerge w:val="restart"/>
            <w:tcBorders>
              <w:top w:val="single" w:sz="4" w:space="0" w:color="auto"/>
            </w:tcBorders>
          </w:tcPr>
          <w:p w14:paraId="60DA5D42" w14:textId="5D41F984" w:rsidR="009D3193" w:rsidRPr="009D3193" w:rsidRDefault="009D3193" w:rsidP="006E6ED4">
            <w:pPr>
              <w:pStyle w:val="NoSpacing"/>
              <w:spacing w:line="276" w:lineRule="auto"/>
              <w:jc w:val="center"/>
              <w:rPr>
                <w:rFonts w:cstheme="minorHAnsi"/>
                <w:sz w:val="20"/>
                <w:szCs w:val="20"/>
              </w:rPr>
            </w:pPr>
            <w:r>
              <w:rPr>
                <w:rFonts w:cstheme="minorHAnsi"/>
                <w:sz w:val="20"/>
                <w:szCs w:val="20"/>
              </w:rPr>
              <w:t>Region of usual residence</w:t>
            </w:r>
          </w:p>
        </w:tc>
        <w:tc>
          <w:tcPr>
            <w:tcW w:w="2194" w:type="dxa"/>
            <w:gridSpan w:val="2"/>
            <w:tcBorders>
              <w:top w:val="single" w:sz="4" w:space="0" w:color="auto"/>
            </w:tcBorders>
          </w:tcPr>
          <w:p w14:paraId="7A1F947F" w14:textId="5C2A9FE6" w:rsidR="009D3193" w:rsidRPr="009D3193" w:rsidRDefault="009D3193" w:rsidP="006E6ED4">
            <w:pPr>
              <w:pStyle w:val="NoSpacing"/>
              <w:spacing w:line="276" w:lineRule="auto"/>
              <w:jc w:val="center"/>
              <w:rPr>
                <w:rFonts w:cstheme="minorHAnsi"/>
                <w:sz w:val="20"/>
                <w:szCs w:val="20"/>
              </w:rPr>
            </w:pPr>
            <w:r w:rsidRPr="009D3193">
              <w:rPr>
                <w:rFonts w:cstheme="minorHAnsi"/>
                <w:sz w:val="20"/>
                <w:szCs w:val="20"/>
              </w:rPr>
              <w:t>Males</w:t>
            </w:r>
          </w:p>
        </w:tc>
        <w:tc>
          <w:tcPr>
            <w:tcW w:w="2194" w:type="dxa"/>
            <w:gridSpan w:val="2"/>
            <w:tcBorders>
              <w:top w:val="single" w:sz="4" w:space="0" w:color="auto"/>
            </w:tcBorders>
          </w:tcPr>
          <w:p w14:paraId="54F0A34E" w14:textId="570F47A2" w:rsidR="009D3193" w:rsidRPr="009D3193" w:rsidRDefault="009D3193" w:rsidP="006E6ED4">
            <w:pPr>
              <w:pStyle w:val="NoSpacing"/>
              <w:spacing w:line="276" w:lineRule="auto"/>
              <w:jc w:val="center"/>
              <w:rPr>
                <w:rFonts w:cstheme="minorHAnsi"/>
                <w:sz w:val="20"/>
                <w:szCs w:val="20"/>
              </w:rPr>
            </w:pPr>
            <w:r>
              <w:rPr>
                <w:rFonts w:cstheme="minorHAnsi"/>
                <w:sz w:val="20"/>
                <w:szCs w:val="20"/>
              </w:rPr>
              <w:t>Females</w:t>
            </w:r>
          </w:p>
        </w:tc>
        <w:tc>
          <w:tcPr>
            <w:tcW w:w="2194" w:type="dxa"/>
            <w:gridSpan w:val="2"/>
            <w:tcBorders>
              <w:top w:val="single" w:sz="4" w:space="0" w:color="auto"/>
            </w:tcBorders>
          </w:tcPr>
          <w:p w14:paraId="0DA10E72" w14:textId="02310005" w:rsidR="009D3193" w:rsidRPr="009D3193" w:rsidRDefault="009D3193" w:rsidP="006E6ED4">
            <w:pPr>
              <w:pStyle w:val="NoSpacing"/>
              <w:spacing w:line="276" w:lineRule="auto"/>
              <w:jc w:val="center"/>
              <w:rPr>
                <w:rFonts w:cstheme="minorHAnsi"/>
                <w:sz w:val="20"/>
                <w:szCs w:val="20"/>
              </w:rPr>
            </w:pPr>
            <w:r>
              <w:rPr>
                <w:rFonts w:cstheme="minorHAnsi"/>
                <w:sz w:val="20"/>
                <w:szCs w:val="20"/>
              </w:rPr>
              <w:t>Persons</w:t>
            </w:r>
          </w:p>
        </w:tc>
      </w:tr>
      <w:tr w:rsidR="009D3193" w:rsidRPr="009D3193" w14:paraId="7D8B6D49" w14:textId="77777777" w:rsidTr="009D3193">
        <w:tc>
          <w:tcPr>
            <w:tcW w:w="2660" w:type="dxa"/>
            <w:vMerge/>
            <w:tcBorders>
              <w:bottom w:val="single" w:sz="4" w:space="0" w:color="auto"/>
            </w:tcBorders>
          </w:tcPr>
          <w:p w14:paraId="6E74B73F" w14:textId="77777777" w:rsidR="009D3193" w:rsidRPr="009D3193" w:rsidRDefault="009D3193" w:rsidP="006E6ED4">
            <w:pPr>
              <w:pStyle w:val="NoSpacing"/>
              <w:spacing w:line="276" w:lineRule="auto"/>
              <w:jc w:val="center"/>
              <w:rPr>
                <w:rFonts w:cstheme="minorHAnsi"/>
                <w:sz w:val="20"/>
                <w:szCs w:val="20"/>
              </w:rPr>
            </w:pPr>
          </w:p>
        </w:tc>
        <w:tc>
          <w:tcPr>
            <w:tcW w:w="1097" w:type="dxa"/>
            <w:tcBorders>
              <w:bottom w:val="single" w:sz="4" w:space="0" w:color="auto"/>
            </w:tcBorders>
          </w:tcPr>
          <w:p w14:paraId="0EA6DE75" w14:textId="096ACDF3" w:rsidR="009D3193" w:rsidRPr="009D3193" w:rsidRDefault="009D3193" w:rsidP="006E6ED4">
            <w:pPr>
              <w:pStyle w:val="NoSpacing"/>
              <w:spacing w:line="276" w:lineRule="auto"/>
              <w:jc w:val="right"/>
              <w:rPr>
                <w:rFonts w:cstheme="minorHAnsi"/>
                <w:sz w:val="20"/>
                <w:szCs w:val="20"/>
              </w:rPr>
            </w:pPr>
            <w:r w:rsidRPr="009D3193">
              <w:rPr>
                <w:rFonts w:cstheme="minorHAnsi"/>
                <w:sz w:val="20"/>
                <w:szCs w:val="20"/>
              </w:rPr>
              <w:t>Number</w:t>
            </w:r>
          </w:p>
        </w:tc>
        <w:tc>
          <w:tcPr>
            <w:tcW w:w="1097" w:type="dxa"/>
            <w:tcBorders>
              <w:bottom w:val="single" w:sz="4" w:space="0" w:color="auto"/>
            </w:tcBorders>
          </w:tcPr>
          <w:p w14:paraId="32B0D7A4" w14:textId="23E649FF" w:rsidR="009D3193" w:rsidRPr="009D3193" w:rsidRDefault="009D3193" w:rsidP="006E6ED4">
            <w:pPr>
              <w:pStyle w:val="NoSpacing"/>
              <w:spacing w:line="276" w:lineRule="auto"/>
              <w:jc w:val="right"/>
              <w:rPr>
                <w:rFonts w:cstheme="minorHAnsi"/>
                <w:sz w:val="20"/>
                <w:szCs w:val="20"/>
              </w:rPr>
            </w:pPr>
            <w:proofErr w:type="spellStart"/>
            <w:r>
              <w:rPr>
                <w:rFonts w:cstheme="minorHAnsi"/>
                <w:sz w:val="20"/>
                <w:szCs w:val="20"/>
              </w:rPr>
              <w:t>Rate</w:t>
            </w:r>
            <w:r w:rsidRPr="00B038AC">
              <w:rPr>
                <w:rFonts w:cstheme="minorHAnsi"/>
                <w:sz w:val="20"/>
                <w:szCs w:val="20"/>
                <w:vertAlign w:val="superscript"/>
              </w:rPr>
              <w:t>a</w:t>
            </w:r>
            <w:proofErr w:type="spellEnd"/>
          </w:p>
        </w:tc>
        <w:tc>
          <w:tcPr>
            <w:tcW w:w="1097" w:type="dxa"/>
            <w:tcBorders>
              <w:bottom w:val="single" w:sz="4" w:space="0" w:color="auto"/>
            </w:tcBorders>
          </w:tcPr>
          <w:p w14:paraId="454D7DB4" w14:textId="2B5CC268" w:rsidR="009D3193" w:rsidRPr="009D3193" w:rsidRDefault="009D3193" w:rsidP="006E6ED4">
            <w:pPr>
              <w:pStyle w:val="NoSpacing"/>
              <w:spacing w:line="276" w:lineRule="auto"/>
              <w:jc w:val="right"/>
              <w:rPr>
                <w:rFonts w:cstheme="minorHAnsi"/>
                <w:sz w:val="20"/>
                <w:szCs w:val="20"/>
              </w:rPr>
            </w:pPr>
            <w:r w:rsidRPr="009D3193">
              <w:rPr>
                <w:rFonts w:cstheme="minorHAnsi"/>
                <w:sz w:val="20"/>
                <w:szCs w:val="20"/>
              </w:rPr>
              <w:t>Number</w:t>
            </w:r>
          </w:p>
        </w:tc>
        <w:tc>
          <w:tcPr>
            <w:tcW w:w="1097" w:type="dxa"/>
            <w:tcBorders>
              <w:bottom w:val="single" w:sz="4" w:space="0" w:color="auto"/>
            </w:tcBorders>
          </w:tcPr>
          <w:p w14:paraId="48DC3509" w14:textId="5FA32687" w:rsidR="009D3193" w:rsidRPr="009D3193" w:rsidRDefault="009D3193" w:rsidP="006E6ED4">
            <w:pPr>
              <w:pStyle w:val="NoSpacing"/>
              <w:spacing w:line="276" w:lineRule="auto"/>
              <w:jc w:val="right"/>
              <w:rPr>
                <w:rFonts w:cstheme="minorHAnsi"/>
                <w:sz w:val="20"/>
                <w:szCs w:val="20"/>
              </w:rPr>
            </w:pPr>
            <w:proofErr w:type="spellStart"/>
            <w:r>
              <w:rPr>
                <w:rFonts w:cstheme="minorHAnsi"/>
                <w:sz w:val="20"/>
                <w:szCs w:val="20"/>
              </w:rPr>
              <w:t>Rate</w:t>
            </w:r>
            <w:r w:rsidR="00B038AC" w:rsidRPr="00B038AC">
              <w:rPr>
                <w:rFonts w:cstheme="minorHAnsi"/>
                <w:sz w:val="20"/>
                <w:szCs w:val="20"/>
                <w:vertAlign w:val="superscript"/>
              </w:rPr>
              <w:t>a</w:t>
            </w:r>
            <w:proofErr w:type="spellEnd"/>
          </w:p>
        </w:tc>
        <w:tc>
          <w:tcPr>
            <w:tcW w:w="1097" w:type="dxa"/>
            <w:tcBorders>
              <w:bottom w:val="single" w:sz="4" w:space="0" w:color="auto"/>
            </w:tcBorders>
          </w:tcPr>
          <w:p w14:paraId="42EB8185" w14:textId="1FE9A664" w:rsidR="009D3193" w:rsidRPr="009D3193" w:rsidRDefault="009D3193" w:rsidP="006E6ED4">
            <w:pPr>
              <w:pStyle w:val="NoSpacing"/>
              <w:spacing w:line="276" w:lineRule="auto"/>
              <w:jc w:val="right"/>
              <w:rPr>
                <w:rFonts w:cstheme="minorHAnsi"/>
                <w:sz w:val="20"/>
                <w:szCs w:val="20"/>
              </w:rPr>
            </w:pPr>
            <w:r w:rsidRPr="009D3193">
              <w:rPr>
                <w:rFonts w:cstheme="minorHAnsi"/>
                <w:sz w:val="20"/>
                <w:szCs w:val="20"/>
              </w:rPr>
              <w:t>Number</w:t>
            </w:r>
          </w:p>
        </w:tc>
        <w:tc>
          <w:tcPr>
            <w:tcW w:w="1097" w:type="dxa"/>
            <w:tcBorders>
              <w:bottom w:val="single" w:sz="4" w:space="0" w:color="auto"/>
            </w:tcBorders>
          </w:tcPr>
          <w:p w14:paraId="5FD4B0B1" w14:textId="1109F64B" w:rsidR="009D3193" w:rsidRPr="009D3193" w:rsidRDefault="009D3193" w:rsidP="006E6ED4">
            <w:pPr>
              <w:pStyle w:val="NoSpacing"/>
              <w:spacing w:line="276" w:lineRule="auto"/>
              <w:jc w:val="right"/>
              <w:rPr>
                <w:rFonts w:cstheme="minorHAnsi"/>
                <w:sz w:val="20"/>
                <w:szCs w:val="20"/>
              </w:rPr>
            </w:pPr>
            <w:proofErr w:type="spellStart"/>
            <w:r>
              <w:rPr>
                <w:rFonts w:cstheme="minorHAnsi"/>
                <w:sz w:val="20"/>
                <w:szCs w:val="20"/>
              </w:rPr>
              <w:t>Rate</w:t>
            </w:r>
            <w:r w:rsidR="00B038AC" w:rsidRPr="00B038AC">
              <w:rPr>
                <w:rFonts w:cstheme="minorHAnsi"/>
                <w:sz w:val="20"/>
                <w:szCs w:val="20"/>
                <w:vertAlign w:val="superscript"/>
              </w:rPr>
              <w:t>a</w:t>
            </w:r>
            <w:proofErr w:type="spellEnd"/>
          </w:p>
        </w:tc>
      </w:tr>
      <w:tr w:rsidR="009D3193" w:rsidRPr="009D3193" w14:paraId="5FC4CB32" w14:textId="77777777" w:rsidTr="009D3193">
        <w:tc>
          <w:tcPr>
            <w:tcW w:w="2660" w:type="dxa"/>
            <w:tcBorders>
              <w:top w:val="single" w:sz="4" w:space="0" w:color="auto"/>
            </w:tcBorders>
          </w:tcPr>
          <w:p w14:paraId="6E0E0D79" w14:textId="28134310" w:rsidR="009D3193" w:rsidRPr="009D3193" w:rsidRDefault="009D3193" w:rsidP="006E6ED4">
            <w:pPr>
              <w:pStyle w:val="NoSpacing"/>
              <w:spacing w:line="276" w:lineRule="auto"/>
              <w:jc w:val="center"/>
              <w:rPr>
                <w:rFonts w:cstheme="minorHAnsi"/>
                <w:sz w:val="20"/>
                <w:szCs w:val="20"/>
              </w:rPr>
            </w:pPr>
            <w:r w:rsidRPr="009D3193">
              <w:rPr>
                <w:rFonts w:cstheme="minorHAnsi"/>
                <w:sz w:val="20"/>
                <w:szCs w:val="20"/>
              </w:rPr>
              <w:t>N</w:t>
            </w:r>
            <w:r>
              <w:rPr>
                <w:rFonts w:cstheme="minorHAnsi"/>
                <w:sz w:val="20"/>
                <w:szCs w:val="20"/>
              </w:rPr>
              <w:t xml:space="preserve">ew </w:t>
            </w:r>
            <w:r w:rsidRPr="009D3193">
              <w:rPr>
                <w:rFonts w:cstheme="minorHAnsi"/>
                <w:sz w:val="20"/>
                <w:szCs w:val="20"/>
              </w:rPr>
              <w:t>S</w:t>
            </w:r>
            <w:r>
              <w:rPr>
                <w:rFonts w:cstheme="minorHAnsi"/>
                <w:sz w:val="20"/>
                <w:szCs w:val="20"/>
              </w:rPr>
              <w:t xml:space="preserve">outh </w:t>
            </w:r>
            <w:r w:rsidRPr="009D3193">
              <w:rPr>
                <w:rFonts w:cstheme="minorHAnsi"/>
                <w:sz w:val="20"/>
                <w:szCs w:val="20"/>
              </w:rPr>
              <w:t>W</w:t>
            </w:r>
            <w:r>
              <w:rPr>
                <w:rFonts w:cstheme="minorHAnsi"/>
                <w:sz w:val="20"/>
                <w:szCs w:val="20"/>
              </w:rPr>
              <w:t>ales</w:t>
            </w:r>
          </w:p>
        </w:tc>
        <w:tc>
          <w:tcPr>
            <w:tcW w:w="1097" w:type="dxa"/>
            <w:tcBorders>
              <w:top w:val="single" w:sz="4" w:space="0" w:color="auto"/>
            </w:tcBorders>
            <w:vAlign w:val="center"/>
          </w:tcPr>
          <w:p w14:paraId="2C27C1E9" w14:textId="4EECD152"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5</w:t>
            </w:r>
            <w:r w:rsidR="00FA21D7">
              <w:rPr>
                <w:rFonts w:cstheme="minorHAnsi"/>
                <w:color w:val="000000"/>
                <w:sz w:val="20"/>
                <w:szCs w:val="20"/>
              </w:rPr>
              <w:t>,</w:t>
            </w:r>
            <w:r w:rsidRPr="009D3193">
              <w:rPr>
                <w:rFonts w:cstheme="minorHAnsi"/>
                <w:color w:val="000000"/>
                <w:sz w:val="20"/>
                <w:szCs w:val="20"/>
              </w:rPr>
              <w:t>366</w:t>
            </w:r>
          </w:p>
        </w:tc>
        <w:tc>
          <w:tcPr>
            <w:tcW w:w="1097" w:type="dxa"/>
            <w:tcBorders>
              <w:top w:val="single" w:sz="4" w:space="0" w:color="auto"/>
            </w:tcBorders>
            <w:vAlign w:val="center"/>
          </w:tcPr>
          <w:p w14:paraId="0C46D127" w14:textId="5CFFBEDB"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136.8</w:t>
            </w:r>
          </w:p>
        </w:tc>
        <w:tc>
          <w:tcPr>
            <w:tcW w:w="1097" w:type="dxa"/>
            <w:tcBorders>
              <w:top w:val="single" w:sz="4" w:space="0" w:color="auto"/>
            </w:tcBorders>
            <w:vAlign w:val="center"/>
          </w:tcPr>
          <w:p w14:paraId="13D27FEA" w14:textId="6E271F03"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3</w:t>
            </w:r>
            <w:r w:rsidR="00FA21D7">
              <w:rPr>
                <w:rFonts w:cstheme="minorHAnsi"/>
                <w:color w:val="000000"/>
                <w:sz w:val="20"/>
                <w:szCs w:val="20"/>
              </w:rPr>
              <w:t>,</w:t>
            </w:r>
            <w:r w:rsidRPr="009D3193">
              <w:rPr>
                <w:rFonts w:cstheme="minorHAnsi"/>
                <w:color w:val="000000"/>
                <w:sz w:val="20"/>
                <w:szCs w:val="20"/>
              </w:rPr>
              <w:t>097</w:t>
            </w:r>
          </w:p>
        </w:tc>
        <w:tc>
          <w:tcPr>
            <w:tcW w:w="1097" w:type="dxa"/>
            <w:tcBorders>
              <w:top w:val="single" w:sz="4" w:space="0" w:color="auto"/>
            </w:tcBorders>
            <w:vAlign w:val="center"/>
          </w:tcPr>
          <w:p w14:paraId="0D81F712" w14:textId="5BA55F81"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76.9</w:t>
            </w:r>
          </w:p>
        </w:tc>
        <w:tc>
          <w:tcPr>
            <w:tcW w:w="1097" w:type="dxa"/>
            <w:tcBorders>
              <w:top w:val="single" w:sz="4" w:space="0" w:color="auto"/>
            </w:tcBorders>
            <w:vAlign w:val="center"/>
          </w:tcPr>
          <w:p w14:paraId="4DF036D2" w14:textId="6DDDA954"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8</w:t>
            </w:r>
            <w:r w:rsidR="00FA21D7">
              <w:rPr>
                <w:rFonts w:cstheme="minorHAnsi"/>
                <w:color w:val="000000"/>
                <w:sz w:val="20"/>
                <w:szCs w:val="20"/>
              </w:rPr>
              <w:t>,</w:t>
            </w:r>
            <w:r w:rsidRPr="009D3193">
              <w:rPr>
                <w:rFonts w:cstheme="minorHAnsi"/>
                <w:color w:val="000000"/>
                <w:sz w:val="20"/>
                <w:szCs w:val="20"/>
              </w:rPr>
              <w:t>463</w:t>
            </w:r>
          </w:p>
        </w:tc>
        <w:tc>
          <w:tcPr>
            <w:tcW w:w="1097" w:type="dxa"/>
            <w:tcBorders>
              <w:top w:val="single" w:sz="4" w:space="0" w:color="auto"/>
            </w:tcBorders>
            <w:vAlign w:val="center"/>
          </w:tcPr>
          <w:p w14:paraId="1373E27F" w14:textId="2CFCD1A7"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106.6</w:t>
            </w:r>
          </w:p>
        </w:tc>
      </w:tr>
      <w:tr w:rsidR="009D3193" w:rsidRPr="009D3193" w14:paraId="4935CE44" w14:textId="77777777" w:rsidTr="009D3193">
        <w:tc>
          <w:tcPr>
            <w:tcW w:w="2660" w:type="dxa"/>
          </w:tcPr>
          <w:p w14:paraId="1BB42BB0" w14:textId="6D7D36BB" w:rsidR="009D3193" w:rsidRPr="009D3193" w:rsidRDefault="009D3193" w:rsidP="006E6ED4">
            <w:pPr>
              <w:pStyle w:val="NoSpacing"/>
              <w:spacing w:line="276" w:lineRule="auto"/>
              <w:jc w:val="center"/>
              <w:rPr>
                <w:rFonts w:cstheme="minorHAnsi"/>
                <w:sz w:val="20"/>
                <w:szCs w:val="20"/>
              </w:rPr>
            </w:pPr>
            <w:r w:rsidRPr="009D3193">
              <w:rPr>
                <w:rFonts w:cstheme="minorHAnsi"/>
                <w:sz w:val="20"/>
                <w:szCs w:val="20"/>
              </w:rPr>
              <w:t>Victoria</w:t>
            </w:r>
          </w:p>
        </w:tc>
        <w:tc>
          <w:tcPr>
            <w:tcW w:w="1097" w:type="dxa"/>
            <w:vAlign w:val="center"/>
          </w:tcPr>
          <w:p w14:paraId="69FCAF57" w14:textId="6BB5E34A"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3</w:t>
            </w:r>
            <w:r w:rsidR="00FA21D7">
              <w:rPr>
                <w:rFonts w:cstheme="minorHAnsi"/>
                <w:color w:val="000000"/>
                <w:sz w:val="20"/>
                <w:szCs w:val="20"/>
              </w:rPr>
              <w:t>,</w:t>
            </w:r>
            <w:r w:rsidRPr="009D3193">
              <w:rPr>
                <w:rFonts w:cstheme="minorHAnsi"/>
                <w:color w:val="000000"/>
                <w:sz w:val="20"/>
                <w:szCs w:val="20"/>
              </w:rPr>
              <w:t>879</w:t>
            </w:r>
          </w:p>
        </w:tc>
        <w:tc>
          <w:tcPr>
            <w:tcW w:w="1097" w:type="dxa"/>
            <w:vAlign w:val="center"/>
          </w:tcPr>
          <w:p w14:paraId="1DDF837C" w14:textId="43A21522"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131.5</w:t>
            </w:r>
          </w:p>
        </w:tc>
        <w:tc>
          <w:tcPr>
            <w:tcW w:w="1097" w:type="dxa"/>
            <w:vAlign w:val="center"/>
          </w:tcPr>
          <w:p w14:paraId="22C3EE96" w14:textId="3BDD7DC0"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2</w:t>
            </w:r>
            <w:r w:rsidR="00FA21D7">
              <w:rPr>
                <w:rFonts w:cstheme="minorHAnsi"/>
                <w:color w:val="000000"/>
                <w:sz w:val="20"/>
                <w:szCs w:val="20"/>
              </w:rPr>
              <w:t>,</w:t>
            </w:r>
            <w:r w:rsidRPr="009D3193">
              <w:rPr>
                <w:rFonts w:cstheme="minorHAnsi"/>
                <w:color w:val="000000"/>
                <w:sz w:val="20"/>
                <w:szCs w:val="20"/>
              </w:rPr>
              <w:t>243</w:t>
            </w:r>
          </w:p>
        </w:tc>
        <w:tc>
          <w:tcPr>
            <w:tcW w:w="1097" w:type="dxa"/>
            <w:vAlign w:val="center"/>
          </w:tcPr>
          <w:p w14:paraId="51A4AF5B" w14:textId="0A0647F1"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73.2</w:t>
            </w:r>
          </w:p>
        </w:tc>
        <w:tc>
          <w:tcPr>
            <w:tcW w:w="1097" w:type="dxa"/>
            <w:vAlign w:val="center"/>
          </w:tcPr>
          <w:p w14:paraId="35E81F1C" w14:textId="3B2E0FEF"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6</w:t>
            </w:r>
            <w:r w:rsidR="00FA21D7">
              <w:rPr>
                <w:rFonts w:cstheme="minorHAnsi"/>
                <w:color w:val="000000"/>
                <w:sz w:val="20"/>
                <w:szCs w:val="20"/>
              </w:rPr>
              <w:t>,</w:t>
            </w:r>
            <w:r w:rsidRPr="009D3193">
              <w:rPr>
                <w:rFonts w:cstheme="minorHAnsi"/>
                <w:color w:val="000000"/>
                <w:sz w:val="20"/>
                <w:szCs w:val="20"/>
              </w:rPr>
              <w:t>122</w:t>
            </w:r>
          </w:p>
        </w:tc>
        <w:tc>
          <w:tcPr>
            <w:tcW w:w="1097" w:type="dxa"/>
            <w:vAlign w:val="center"/>
          </w:tcPr>
          <w:p w14:paraId="24FE41FA" w14:textId="349310F1"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101.8</w:t>
            </w:r>
          </w:p>
        </w:tc>
      </w:tr>
      <w:tr w:rsidR="009D3193" w:rsidRPr="009D3193" w14:paraId="3030B66C" w14:textId="77777777" w:rsidTr="009D3193">
        <w:tc>
          <w:tcPr>
            <w:tcW w:w="2660" w:type="dxa"/>
          </w:tcPr>
          <w:p w14:paraId="3036D441" w14:textId="77A98D34" w:rsidR="009D3193" w:rsidRPr="009D3193" w:rsidRDefault="009D3193" w:rsidP="006E6ED4">
            <w:pPr>
              <w:pStyle w:val="NoSpacing"/>
              <w:spacing w:line="276" w:lineRule="auto"/>
              <w:jc w:val="center"/>
              <w:rPr>
                <w:rFonts w:cstheme="minorHAnsi"/>
                <w:sz w:val="20"/>
                <w:szCs w:val="20"/>
              </w:rPr>
            </w:pPr>
            <w:r w:rsidRPr="009D3193">
              <w:rPr>
                <w:rFonts w:cstheme="minorHAnsi"/>
                <w:sz w:val="20"/>
                <w:szCs w:val="20"/>
              </w:rPr>
              <w:t>Queensland</w:t>
            </w:r>
          </w:p>
        </w:tc>
        <w:tc>
          <w:tcPr>
            <w:tcW w:w="1097" w:type="dxa"/>
            <w:vAlign w:val="center"/>
          </w:tcPr>
          <w:p w14:paraId="42799B61" w14:textId="71260DDA"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3</w:t>
            </w:r>
            <w:r w:rsidR="00FA21D7">
              <w:rPr>
                <w:rFonts w:cstheme="minorHAnsi"/>
                <w:color w:val="000000"/>
                <w:sz w:val="20"/>
                <w:szCs w:val="20"/>
              </w:rPr>
              <w:t>,</w:t>
            </w:r>
            <w:r w:rsidRPr="009D3193">
              <w:rPr>
                <w:rFonts w:cstheme="minorHAnsi"/>
                <w:color w:val="000000"/>
                <w:sz w:val="20"/>
                <w:szCs w:val="20"/>
              </w:rPr>
              <w:t>403</w:t>
            </w:r>
          </w:p>
        </w:tc>
        <w:tc>
          <w:tcPr>
            <w:tcW w:w="1097" w:type="dxa"/>
            <w:vAlign w:val="center"/>
          </w:tcPr>
          <w:p w14:paraId="4E4AA2F1" w14:textId="08647532"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140.9</w:t>
            </w:r>
          </w:p>
        </w:tc>
        <w:tc>
          <w:tcPr>
            <w:tcW w:w="1097" w:type="dxa"/>
            <w:vAlign w:val="center"/>
          </w:tcPr>
          <w:p w14:paraId="2059D510" w14:textId="5BEE4FB7"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w:t>
            </w:r>
            <w:r w:rsidR="00FA21D7">
              <w:rPr>
                <w:rFonts w:cstheme="minorHAnsi"/>
                <w:color w:val="000000"/>
                <w:sz w:val="20"/>
                <w:szCs w:val="20"/>
              </w:rPr>
              <w:t>,</w:t>
            </w:r>
            <w:r w:rsidRPr="009D3193">
              <w:rPr>
                <w:rFonts w:cstheme="minorHAnsi"/>
                <w:color w:val="000000"/>
                <w:sz w:val="20"/>
                <w:szCs w:val="20"/>
              </w:rPr>
              <w:t>976</w:t>
            </w:r>
          </w:p>
        </w:tc>
        <w:tc>
          <w:tcPr>
            <w:tcW w:w="1097" w:type="dxa"/>
            <w:vAlign w:val="center"/>
          </w:tcPr>
          <w:p w14:paraId="314F94AA" w14:textId="7F57F459"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81.2</w:t>
            </w:r>
          </w:p>
        </w:tc>
        <w:tc>
          <w:tcPr>
            <w:tcW w:w="1097" w:type="dxa"/>
            <w:vAlign w:val="center"/>
          </w:tcPr>
          <w:p w14:paraId="55070D08" w14:textId="6075127E"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5</w:t>
            </w:r>
            <w:r w:rsidR="00FA21D7">
              <w:rPr>
                <w:rFonts w:cstheme="minorHAnsi"/>
                <w:color w:val="000000"/>
                <w:sz w:val="20"/>
                <w:szCs w:val="20"/>
              </w:rPr>
              <w:t>,</w:t>
            </w:r>
            <w:r w:rsidRPr="009D3193">
              <w:rPr>
                <w:rFonts w:cstheme="minorHAnsi"/>
                <w:color w:val="000000"/>
                <w:sz w:val="20"/>
                <w:szCs w:val="20"/>
              </w:rPr>
              <w:t>379</w:t>
            </w:r>
          </w:p>
        </w:tc>
        <w:tc>
          <w:tcPr>
            <w:tcW w:w="1097" w:type="dxa"/>
            <w:vAlign w:val="center"/>
          </w:tcPr>
          <w:p w14:paraId="0A8BCC7E" w14:textId="519E030E"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110.9</w:t>
            </w:r>
          </w:p>
        </w:tc>
      </w:tr>
      <w:tr w:rsidR="009D3193" w:rsidRPr="009D3193" w14:paraId="42822DBA" w14:textId="77777777" w:rsidTr="009D3193">
        <w:tc>
          <w:tcPr>
            <w:tcW w:w="2660" w:type="dxa"/>
          </w:tcPr>
          <w:p w14:paraId="57D30CFF" w14:textId="0B28EAAE" w:rsidR="009D3193" w:rsidRPr="009D3193" w:rsidRDefault="009D3193" w:rsidP="006E6ED4">
            <w:pPr>
              <w:pStyle w:val="NoSpacing"/>
              <w:spacing w:line="276" w:lineRule="auto"/>
              <w:jc w:val="center"/>
              <w:rPr>
                <w:rFonts w:cstheme="minorHAnsi"/>
                <w:sz w:val="20"/>
                <w:szCs w:val="20"/>
              </w:rPr>
            </w:pPr>
            <w:r w:rsidRPr="009D3193">
              <w:rPr>
                <w:rFonts w:cstheme="minorHAnsi"/>
                <w:sz w:val="20"/>
                <w:szCs w:val="20"/>
              </w:rPr>
              <w:t>South Australia</w:t>
            </w:r>
          </w:p>
        </w:tc>
        <w:tc>
          <w:tcPr>
            <w:tcW w:w="1097" w:type="dxa"/>
            <w:vAlign w:val="center"/>
          </w:tcPr>
          <w:p w14:paraId="56A68294" w14:textId="06536503"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w:t>
            </w:r>
            <w:r w:rsidR="00FA21D7">
              <w:rPr>
                <w:rFonts w:cstheme="minorHAnsi"/>
                <w:color w:val="000000"/>
                <w:sz w:val="20"/>
                <w:szCs w:val="20"/>
              </w:rPr>
              <w:t>,</w:t>
            </w:r>
            <w:r w:rsidRPr="009D3193">
              <w:rPr>
                <w:rFonts w:cstheme="minorHAnsi"/>
                <w:color w:val="000000"/>
                <w:sz w:val="20"/>
                <w:szCs w:val="20"/>
              </w:rPr>
              <w:t>285</w:t>
            </w:r>
          </w:p>
        </w:tc>
        <w:tc>
          <w:tcPr>
            <w:tcW w:w="1097" w:type="dxa"/>
            <w:vAlign w:val="center"/>
          </w:tcPr>
          <w:p w14:paraId="4CEC4FD7" w14:textId="20396D23"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142.2</w:t>
            </w:r>
          </w:p>
        </w:tc>
        <w:tc>
          <w:tcPr>
            <w:tcW w:w="1097" w:type="dxa"/>
            <w:vAlign w:val="center"/>
          </w:tcPr>
          <w:p w14:paraId="20BFD069" w14:textId="561C947B"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737</w:t>
            </w:r>
          </w:p>
        </w:tc>
        <w:tc>
          <w:tcPr>
            <w:tcW w:w="1097" w:type="dxa"/>
            <w:vAlign w:val="center"/>
          </w:tcPr>
          <w:p w14:paraId="79AB15CC" w14:textId="21791870"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78.4</w:t>
            </w:r>
          </w:p>
        </w:tc>
        <w:tc>
          <w:tcPr>
            <w:tcW w:w="1097" w:type="dxa"/>
            <w:vAlign w:val="center"/>
          </w:tcPr>
          <w:p w14:paraId="33702227" w14:textId="4856D385"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2</w:t>
            </w:r>
            <w:r w:rsidR="00FA21D7">
              <w:rPr>
                <w:rFonts w:cstheme="minorHAnsi"/>
                <w:color w:val="000000"/>
                <w:sz w:val="20"/>
                <w:szCs w:val="20"/>
              </w:rPr>
              <w:t>,</w:t>
            </w:r>
            <w:r w:rsidRPr="009D3193">
              <w:rPr>
                <w:rFonts w:cstheme="minorHAnsi"/>
                <w:color w:val="000000"/>
                <w:sz w:val="20"/>
                <w:szCs w:val="20"/>
              </w:rPr>
              <w:t>022</w:t>
            </w:r>
          </w:p>
        </w:tc>
        <w:tc>
          <w:tcPr>
            <w:tcW w:w="1097" w:type="dxa"/>
            <w:vAlign w:val="center"/>
          </w:tcPr>
          <w:p w14:paraId="6FDB1359" w14:textId="6FD414B3"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109.9</w:t>
            </w:r>
          </w:p>
        </w:tc>
      </w:tr>
      <w:tr w:rsidR="009D3193" w:rsidRPr="009D3193" w14:paraId="0CEEA83F" w14:textId="77777777" w:rsidTr="009D3193">
        <w:tc>
          <w:tcPr>
            <w:tcW w:w="2660" w:type="dxa"/>
          </w:tcPr>
          <w:p w14:paraId="1720FDBB" w14:textId="467D4561" w:rsidR="009D3193" w:rsidRPr="009D3193" w:rsidRDefault="009D3193" w:rsidP="006E6ED4">
            <w:pPr>
              <w:pStyle w:val="NoSpacing"/>
              <w:spacing w:line="276" w:lineRule="auto"/>
              <w:jc w:val="center"/>
              <w:rPr>
                <w:rFonts w:cstheme="minorHAnsi"/>
                <w:sz w:val="20"/>
                <w:szCs w:val="20"/>
              </w:rPr>
            </w:pPr>
            <w:r w:rsidRPr="009D3193">
              <w:rPr>
                <w:rFonts w:cstheme="minorHAnsi"/>
                <w:sz w:val="20"/>
                <w:szCs w:val="20"/>
              </w:rPr>
              <w:t>Western Australia</w:t>
            </w:r>
          </w:p>
        </w:tc>
        <w:tc>
          <w:tcPr>
            <w:tcW w:w="1097" w:type="dxa"/>
            <w:vAlign w:val="center"/>
          </w:tcPr>
          <w:p w14:paraId="67B2BB82" w14:textId="45FD6E55"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w:t>
            </w:r>
            <w:r w:rsidR="00FA21D7">
              <w:rPr>
                <w:rFonts w:cstheme="minorHAnsi"/>
                <w:color w:val="000000"/>
                <w:sz w:val="20"/>
                <w:szCs w:val="20"/>
              </w:rPr>
              <w:t>,</w:t>
            </w:r>
            <w:r w:rsidRPr="009D3193">
              <w:rPr>
                <w:rFonts w:cstheme="minorHAnsi"/>
                <w:color w:val="000000"/>
                <w:sz w:val="20"/>
                <w:szCs w:val="20"/>
              </w:rPr>
              <w:t>779</w:t>
            </w:r>
          </w:p>
        </w:tc>
        <w:tc>
          <w:tcPr>
            <w:tcW w:w="1097" w:type="dxa"/>
            <w:vAlign w:val="center"/>
          </w:tcPr>
          <w:p w14:paraId="4ED05C7E" w14:textId="29D735D8"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139.8</w:t>
            </w:r>
          </w:p>
        </w:tc>
        <w:tc>
          <w:tcPr>
            <w:tcW w:w="1097" w:type="dxa"/>
            <w:vAlign w:val="center"/>
          </w:tcPr>
          <w:p w14:paraId="2A7927B0" w14:textId="4039630E"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914</w:t>
            </w:r>
          </w:p>
        </w:tc>
        <w:tc>
          <w:tcPr>
            <w:tcW w:w="1097" w:type="dxa"/>
            <w:vAlign w:val="center"/>
          </w:tcPr>
          <w:p w14:paraId="04F46395" w14:textId="7499E3C7"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72.7</w:t>
            </w:r>
          </w:p>
        </w:tc>
        <w:tc>
          <w:tcPr>
            <w:tcW w:w="1097" w:type="dxa"/>
            <w:vAlign w:val="center"/>
          </w:tcPr>
          <w:p w14:paraId="2E9CFA09" w14:textId="267E84A1"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2</w:t>
            </w:r>
            <w:r w:rsidR="00FA21D7">
              <w:rPr>
                <w:rFonts w:cstheme="minorHAnsi"/>
                <w:color w:val="000000"/>
                <w:sz w:val="20"/>
                <w:szCs w:val="20"/>
              </w:rPr>
              <w:t>,</w:t>
            </w:r>
            <w:r w:rsidRPr="009D3193">
              <w:rPr>
                <w:rFonts w:cstheme="minorHAnsi"/>
                <w:color w:val="000000"/>
                <w:sz w:val="20"/>
                <w:szCs w:val="20"/>
              </w:rPr>
              <w:t>693</w:t>
            </w:r>
          </w:p>
        </w:tc>
        <w:tc>
          <w:tcPr>
            <w:tcW w:w="1097" w:type="dxa"/>
            <w:vAlign w:val="center"/>
          </w:tcPr>
          <w:p w14:paraId="5730F9DE" w14:textId="5AA645EC"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106.5</w:t>
            </w:r>
          </w:p>
        </w:tc>
      </w:tr>
      <w:tr w:rsidR="009D3193" w:rsidRPr="009D3193" w14:paraId="27087A94" w14:textId="77777777" w:rsidTr="009D3193">
        <w:tc>
          <w:tcPr>
            <w:tcW w:w="2660" w:type="dxa"/>
          </w:tcPr>
          <w:p w14:paraId="68EC7471" w14:textId="1EA33400" w:rsidR="009D3193" w:rsidRPr="009D3193" w:rsidRDefault="009D3193" w:rsidP="006E6ED4">
            <w:pPr>
              <w:pStyle w:val="NoSpacing"/>
              <w:spacing w:line="276" w:lineRule="auto"/>
              <w:jc w:val="center"/>
              <w:rPr>
                <w:rFonts w:cstheme="minorHAnsi"/>
                <w:sz w:val="20"/>
                <w:szCs w:val="20"/>
              </w:rPr>
            </w:pPr>
            <w:r w:rsidRPr="009D3193">
              <w:rPr>
                <w:rFonts w:cstheme="minorHAnsi"/>
                <w:sz w:val="20"/>
                <w:szCs w:val="20"/>
              </w:rPr>
              <w:t>Tasmania</w:t>
            </w:r>
          </w:p>
        </w:tc>
        <w:tc>
          <w:tcPr>
            <w:tcW w:w="1097" w:type="dxa"/>
            <w:vAlign w:val="center"/>
          </w:tcPr>
          <w:p w14:paraId="523BF4AE" w14:textId="37D5449A"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465</w:t>
            </w:r>
          </w:p>
        </w:tc>
        <w:tc>
          <w:tcPr>
            <w:tcW w:w="1097" w:type="dxa"/>
            <w:vAlign w:val="center"/>
          </w:tcPr>
          <w:p w14:paraId="6126AB0C" w14:textId="0BB5A7EF"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159.1</w:t>
            </w:r>
          </w:p>
        </w:tc>
        <w:tc>
          <w:tcPr>
            <w:tcW w:w="1097" w:type="dxa"/>
            <w:vAlign w:val="center"/>
          </w:tcPr>
          <w:p w14:paraId="237CE485" w14:textId="52F82316"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324</w:t>
            </w:r>
          </w:p>
        </w:tc>
        <w:tc>
          <w:tcPr>
            <w:tcW w:w="1097" w:type="dxa"/>
            <w:vAlign w:val="center"/>
          </w:tcPr>
          <w:p w14:paraId="09579125" w14:textId="5C1BC6AF"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105</w:t>
            </w:r>
            <w:r w:rsidR="00FA21D7">
              <w:rPr>
                <w:rFonts w:cstheme="minorHAnsi"/>
                <w:color w:val="000000"/>
                <w:sz w:val="20"/>
                <w:szCs w:val="20"/>
              </w:rPr>
              <w:t>.0</w:t>
            </w:r>
          </w:p>
        </w:tc>
        <w:tc>
          <w:tcPr>
            <w:tcW w:w="1097" w:type="dxa"/>
            <w:vAlign w:val="center"/>
          </w:tcPr>
          <w:p w14:paraId="7F67EF36" w14:textId="4A3B1D27"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789</w:t>
            </w:r>
          </w:p>
        </w:tc>
        <w:tc>
          <w:tcPr>
            <w:tcW w:w="1097" w:type="dxa"/>
            <w:vAlign w:val="center"/>
          </w:tcPr>
          <w:p w14:paraId="5150E25A" w14:textId="7CD22093"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132</w:t>
            </w:r>
            <w:r w:rsidR="00FA21D7">
              <w:rPr>
                <w:rFonts w:cstheme="minorHAnsi"/>
                <w:color w:val="000000"/>
                <w:sz w:val="20"/>
                <w:szCs w:val="20"/>
              </w:rPr>
              <w:t>.0</w:t>
            </w:r>
          </w:p>
        </w:tc>
      </w:tr>
      <w:tr w:rsidR="009D3193" w:rsidRPr="009D3193" w14:paraId="108E6B7F" w14:textId="77777777" w:rsidTr="009D3193">
        <w:tc>
          <w:tcPr>
            <w:tcW w:w="2660" w:type="dxa"/>
          </w:tcPr>
          <w:p w14:paraId="0B53381E" w14:textId="4EDB6B03" w:rsidR="009D3193" w:rsidRPr="009D3193" w:rsidRDefault="009D3193" w:rsidP="006E6ED4">
            <w:pPr>
              <w:pStyle w:val="NoSpacing"/>
              <w:spacing w:line="276" w:lineRule="auto"/>
              <w:jc w:val="center"/>
              <w:rPr>
                <w:rFonts w:cstheme="minorHAnsi"/>
                <w:sz w:val="20"/>
                <w:szCs w:val="20"/>
              </w:rPr>
            </w:pPr>
            <w:r w:rsidRPr="009D3193">
              <w:rPr>
                <w:rFonts w:cstheme="minorHAnsi"/>
                <w:sz w:val="20"/>
                <w:szCs w:val="20"/>
              </w:rPr>
              <w:t>Northern Territory</w:t>
            </w:r>
          </w:p>
        </w:tc>
        <w:tc>
          <w:tcPr>
            <w:tcW w:w="1097" w:type="dxa"/>
            <w:vAlign w:val="center"/>
          </w:tcPr>
          <w:p w14:paraId="129C7ACB" w14:textId="47B1C66A"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302</w:t>
            </w:r>
          </w:p>
        </w:tc>
        <w:tc>
          <w:tcPr>
            <w:tcW w:w="1097" w:type="dxa"/>
            <w:vAlign w:val="center"/>
          </w:tcPr>
          <w:p w14:paraId="181F7173" w14:textId="0A15B18B"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269.7</w:t>
            </w:r>
          </w:p>
        </w:tc>
        <w:tc>
          <w:tcPr>
            <w:tcW w:w="1097" w:type="dxa"/>
            <w:vAlign w:val="center"/>
          </w:tcPr>
          <w:p w14:paraId="095008FF" w14:textId="7D48DD96"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201</w:t>
            </w:r>
          </w:p>
        </w:tc>
        <w:tc>
          <w:tcPr>
            <w:tcW w:w="1097" w:type="dxa"/>
            <w:vAlign w:val="center"/>
          </w:tcPr>
          <w:p w14:paraId="5E75C54C" w14:textId="30A210DA"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198</w:t>
            </w:r>
            <w:r w:rsidR="00FA21D7">
              <w:rPr>
                <w:rFonts w:cstheme="minorHAnsi"/>
                <w:color w:val="000000"/>
                <w:sz w:val="20"/>
                <w:szCs w:val="20"/>
              </w:rPr>
              <w:t>.0</w:t>
            </w:r>
          </w:p>
        </w:tc>
        <w:tc>
          <w:tcPr>
            <w:tcW w:w="1097" w:type="dxa"/>
            <w:vAlign w:val="center"/>
          </w:tcPr>
          <w:p w14:paraId="671EEA52" w14:textId="45A82AE1"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503</w:t>
            </w:r>
          </w:p>
        </w:tc>
        <w:tc>
          <w:tcPr>
            <w:tcW w:w="1097" w:type="dxa"/>
            <w:vAlign w:val="center"/>
          </w:tcPr>
          <w:p w14:paraId="28103357" w14:textId="5F81D3BA"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236.6</w:t>
            </w:r>
          </w:p>
        </w:tc>
      </w:tr>
      <w:tr w:rsidR="009D3193" w:rsidRPr="009D3193" w14:paraId="2622774B" w14:textId="77777777" w:rsidTr="009D3193">
        <w:tc>
          <w:tcPr>
            <w:tcW w:w="2660" w:type="dxa"/>
          </w:tcPr>
          <w:p w14:paraId="42BEA747" w14:textId="501F4A5C" w:rsidR="009D3193" w:rsidRPr="009D3193" w:rsidRDefault="009D3193" w:rsidP="006E6ED4">
            <w:pPr>
              <w:pStyle w:val="NoSpacing"/>
              <w:spacing w:line="276" w:lineRule="auto"/>
              <w:jc w:val="center"/>
              <w:rPr>
                <w:rFonts w:cstheme="minorHAnsi"/>
                <w:sz w:val="20"/>
                <w:szCs w:val="20"/>
              </w:rPr>
            </w:pPr>
            <w:r w:rsidRPr="009D3193">
              <w:rPr>
                <w:rFonts w:cstheme="minorHAnsi"/>
                <w:sz w:val="20"/>
                <w:szCs w:val="20"/>
              </w:rPr>
              <w:t>Australian Capital Territory</w:t>
            </w:r>
          </w:p>
        </w:tc>
        <w:tc>
          <w:tcPr>
            <w:tcW w:w="1097" w:type="dxa"/>
            <w:vAlign w:val="center"/>
          </w:tcPr>
          <w:p w14:paraId="272414DA" w14:textId="12A4662F"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185</w:t>
            </w:r>
          </w:p>
        </w:tc>
        <w:tc>
          <w:tcPr>
            <w:tcW w:w="1097" w:type="dxa"/>
            <w:vAlign w:val="center"/>
          </w:tcPr>
          <w:p w14:paraId="2E40C2AB" w14:textId="47F0C3DC"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101.1</w:t>
            </w:r>
          </w:p>
        </w:tc>
        <w:tc>
          <w:tcPr>
            <w:tcW w:w="1097" w:type="dxa"/>
            <w:vAlign w:val="center"/>
          </w:tcPr>
          <w:p w14:paraId="0578DAF0" w14:textId="7A969DE5"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121</w:t>
            </w:r>
          </w:p>
        </w:tc>
        <w:tc>
          <w:tcPr>
            <w:tcW w:w="1097" w:type="dxa"/>
            <w:vAlign w:val="center"/>
          </w:tcPr>
          <w:p w14:paraId="0873E13D" w14:textId="7F344543"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65.4</w:t>
            </w:r>
          </w:p>
        </w:tc>
        <w:tc>
          <w:tcPr>
            <w:tcW w:w="1097" w:type="dxa"/>
            <w:vAlign w:val="center"/>
          </w:tcPr>
          <w:p w14:paraId="60948F8A" w14:textId="13520AE9"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306</w:t>
            </w:r>
          </w:p>
        </w:tc>
        <w:tc>
          <w:tcPr>
            <w:tcW w:w="1097" w:type="dxa"/>
            <w:vAlign w:val="center"/>
          </w:tcPr>
          <w:p w14:paraId="3E538BAE" w14:textId="4D7951F4"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82.8</w:t>
            </w:r>
          </w:p>
        </w:tc>
      </w:tr>
      <w:tr w:rsidR="009D3193" w:rsidRPr="009D3193" w14:paraId="5ECF5646" w14:textId="77777777" w:rsidTr="009D3193">
        <w:tc>
          <w:tcPr>
            <w:tcW w:w="2660" w:type="dxa"/>
            <w:tcBorders>
              <w:bottom w:val="single" w:sz="4" w:space="0" w:color="auto"/>
            </w:tcBorders>
          </w:tcPr>
          <w:p w14:paraId="13472D00" w14:textId="060072EA" w:rsidR="009D3193" w:rsidRPr="009D3193" w:rsidRDefault="009D3193" w:rsidP="006E6ED4">
            <w:pPr>
              <w:pStyle w:val="NoSpacing"/>
              <w:spacing w:line="276" w:lineRule="auto"/>
              <w:jc w:val="center"/>
              <w:rPr>
                <w:rFonts w:cstheme="minorHAnsi"/>
                <w:sz w:val="20"/>
                <w:szCs w:val="20"/>
              </w:rPr>
            </w:pPr>
            <w:r w:rsidRPr="009D3193">
              <w:rPr>
                <w:rFonts w:cstheme="minorHAnsi"/>
                <w:sz w:val="20"/>
                <w:szCs w:val="20"/>
              </w:rPr>
              <w:t>Australia</w:t>
            </w:r>
            <w:r>
              <w:rPr>
                <w:rFonts w:cstheme="minorHAnsi"/>
                <w:sz w:val="20"/>
                <w:szCs w:val="20"/>
              </w:rPr>
              <w:t xml:space="preserve"> (total)</w:t>
            </w:r>
          </w:p>
        </w:tc>
        <w:tc>
          <w:tcPr>
            <w:tcW w:w="1097" w:type="dxa"/>
            <w:tcBorders>
              <w:bottom w:val="single" w:sz="4" w:space="0" w:color="auto"/>
            </w:tcBorders>
            <w:vAlign w:val="center"/>
          </w:tcPr>
          <w:p w14:paraId="2C9607AF" w14:textId="5EB2CE7B"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16</w:t>
            </w:r>
            <w:r w:rsidR="00FA21D7">
              <w:rPr>
                <w:rFonts w:cstheme="minorHAnsi"/>
                <w:color w:val="000000"/>
                <w:sz w:val="20"/>
                <w:szCs w:val="20"/>
              </w:rPr>
              <w:t>,</w:t>
            </w:r>
            <w:r w:rsidRPr="009D3193">
              <w:rPr>
                <w:rFonts w:cstheme="minorHAnsi"/>
                <w:color w:val="000000"/>
                <w:sz w:val="20"/>
                <w:szCs w:val="20"/>
              </w:rPr>
              <w:t>668</w:t>
            </w:r>
          </w:p>
        </w:tc>
        <w:tc>
          <w:tcPr>
            <w:tcW w:w="1097" w:type="dxa"/>
            <w:tcBorders>
              <w:bottom w:val="single" w:sz="4" w:space="0" w:color="auto"/>
            </w:tcBorders>
            <w:vAlign w:val="center"/>
          </w:tcPr>
          <w:p w14:paraId="12B17E46" w14:textId="25F63A32"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138.4</w:t>
            </w:r>
          </w:p>
        </w:tc>
        <w:tc>
          <w:tcPr>
            <w:tcW w:w="1097" w:type="dxa"/>
            <w:tcBorders>
              <w:bottom w:val="single" w:sz="4" w:space="0" w:color="auto"/>
            </w:tcBorders>
            <w:vAlign w:val="center"/>
          </w:tcPr>
          <w:p w14:paraId="3E45F1A9" w14:textId="0CA83528"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9</w:t>
            </w:r>
            <w:r w:rsidR="00FA21D7">
              <w:rPr>
                <w:rFonts w:cstheme="minorHAnsi"/>
                <w:color w:val="000000"/>
                <w:sz w:val="20"/>
                <w:szCs w:val="20"/>
              </w:rPr>
              <w:t>,</w:t>
            </w:r>
            <w:r w:rsidRPr="009D3193">
              <w:rPr>
                <w:rFonts w:cstheme="minorHAnsi"/>
                <w:color w:val="000000"/>
                <w:sz w:val="20"/>
                <w:szCs w:val="20"/>
              </w:rPr>
              <w:t>615</w:t>
            </w:r>
          </w:p>
        </w:tc>
        <w:tc>
          <w:tcPr>
            <w:tcW w:w="1097" w:type="dxa"/>
            <w:tcBorders>
              <w:bottom w:val="single" w:sz="4" w:space="0" w:color="auto"/>
            </w:tcBorders>
            <w:vAlign w:val="center"/>
          </w:tcPr>
          <w:p w14:paraId="1C54BD02" w14:textId="4E065AD4"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78.2</w:t>
            </w:r>
          </w:p>
        </w:tc>
        <w:tc>
          <w:tcPr>
            <w:tcW w:w="1097" w:type="dxa"/>
            <w:tcBorders>
              <w:bottom w:val="single" w:sz="4" w:space="0" w:color="auto"/>
            </w:tcBorders>
            <w:vAlign w:val="center"/>
          </w:tcPr>
          <w:p w14:paraId="79E3BCAE" w14:textId="2C0BE54C"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26</w:t>
            </w:r>
            <w:r w:rsidR="00FA21D7">
              <w:rPr>
                <w:rFonts w:cstheme="minorHAnsi"/>
                <w:color w:val="000000"/>
                <w:sz w:val="20"/>
                <w:szCs w:val="20"/>
              </w:rPr>
              <w:t>,</w:t>
            </w:r>
            <w:r w:rsidRPr="009D3193">
              <w:rPr>
                <w:rFonts w:cstheme="minorHAnsi"/>
                <w:color w:val="000000"/>
                <w:sz w:val="20"/>
                <w:szCs w:val="20"/>
              </w:rPr>
              <w:t>283</w:t>
            </w:r>
          </w:p>
        </w:tc>
        <w:tc>
          <w:tcPr>
            <w:tcW w:w="1097" w:type="dxa"/>
            <w:tcBorders>
              <w:bottom w:val="single" w:sz="4" w:space="0" w:color="auto"/>
            </w:tcBorders>
            <w:vAlign w:val="center"/>
          </w:tcPr>
          <w:p w14:paraId="30CA5FF0" w14:textId="546D368A" w:rsidR="009D3193" w:rsidRPr="009D3193" w:rsidRDefault="009D3193" w:rsidP="006E6ED4">
            <w:pPr>
              <w:pStyle w:val="NoSpacing"/>
              <w:spacing w:line="276" w:lineRule="auto"/>
              <w:jc w:val="right"/>
              <w:rPr>
                <w:rFonts w:cstheme="minorHAnsi"/>
                <w:sz w:val="20"/>
                <w:szCs w:val="20"/>
              </w:rPr>
            </w:pPr>
            <w:r w:rsidRPr="009D3193">
              <w:rPr>
                <w:rFonts w:cstheme="minorHAnsi"/>
                <w:color w:val="000000"/>
                <w:sz w:val="20"/>
                <w:szCs w:val="20"/>
              </w:rPr>
              <w:t>108</w:t>
            </w:r>
            <w:r w:rsidR="00FA21D7">
              <w:rPr>
                <w:rFonts w:cstheme="minorHAnsi"/>
                <w:color w:val="000000"/>
                <w:sz w:val="20"/>
                <w:szCs w:val="20"/>
              </w:rPr>
              <w:t>.0</w:t>
            </w:r>
          </w:p>
        </w:tc>
      </w:tr>
    </w:tbl>
    <w:p w14:paraId="522512E8" w14:textId="71965F65" w:rsidR="00395328" w:rsidRDefault="00B038AC" w:rsidP="006F7569">
      <w:proofErr w:type="gramStart"/>
      <w:r w:rsidRPr="001F7507">
        <w:rPr>
          <w:vertAlign w:val="superscript"/>
        </w:rPr>
        <w:t>a</w:t>
      </w:r>
      <w:proofErr w:type="gramEnd"/>
      <w:r>
        <w:t xml:space="preserve"> Standard</w:t>
      </w:r>
      <w:r w:rsidR="00B84EEA">
        <w:t xml:space="preserve">ised death rate, deaths per 100 </w:t>
      </w:r>
      <w:r>
        <w:t>000 of estimated mid-year population.</w:t>
      </w:r>
    </w:p>
    <w:p w14:paraId="73531D41" w14:textId="77777777" w:rsidR="00395328" w:rsidRDefault="00395328" w:rsidP="006F7569"/>
    <w:p w14:paraId="54B6B6DD" w14:textId="77777777" w:rsidR="00664762" w:rsidRDefault="00664762">
      <w:pPr>
        <w:spacing w:after="200"/>
        <w:rPr>
          <w:rFonts w:asciiTheme="minorHAnsi" w:eastAsiaTheme="majorEastAsia" w:hAnsiTheme="minorHAnsi" w:cstheme="minorHAnsi"/>
          <w:b/>
          <w:bCs/>
          <w:sz w:val="26"/>
          <w:szCs w:val="26"/>
        </w:rPr>
      </w:pPr>
      <w:r>
        <w:br w:type="page"/>
      </w:r>
    </w:p>
    <w:p w14:paraId="6B84B071" w14:textId="71E81C51" w:rsidR="00E77AEF" w:rsidRDefault="00AA07F8" w:rsidP="00AC40AB">
      <w:pPr>
        <w:pStyle w:val="Heading2"/>
      </w:pPr>
      <w:bookmarkStart w:id="9" w:name="_Toc474329556"/>
      <w:r>
        <w:lastRenderedPageBreak/>
        <w:t>2</w:t>
      </w:r>
      <w:r w:rsidR="00664762" w:rsidRPr="00AC40AB">
        <w:t xml:space="preserve">.1 </w:t>
      </w:r>
      <w:r w:rsidR="00450AED">
        <w:t>Evolution</w:t>
      </w:r>
      <w:r w:rsidR="00E671FA" w:rsidRPr="00AC40AB">
        <w:t xml:space="preserve"> of potentially </w:t>
      </w:r>
      <w:r w:rsidR="00AF2823" w:rsidRPr="00AC40AB">
        <w:t xml:space="preserve">avoidable deaths </w:t>
      </w:r>
      <w:r w:rsidR="00E671FA" w:rsidRPr="00AC40AB">
        <w:t>as a health performance indicator</w:t>
      </w:r>
      <w:bookmarkEnd w:id="9"/>
      <w:r w:rsidR="00390DB0">
        <w:t xml:space="preserve">  </w:t>
      </w:r>
    </w:p>
    <w:p w14:paraId="3FE8008F" w14:textId="77094045" w:rsidR="00224AB1" w:rsidRDefault="00A90058" w:rsidP="007B0156">
      <w:r>
        <w:t>The concept of p</w:t>
      </w:r>
      <w:r w:rsidR="00820F1D">
        <w:t>otentially avoidable deaths w</w:t>
      </w:r>
      <w:r w:rsidR="00F93485">
        <w:t>as</w:t>
      </w:r>
      <w:r w:rsidR="00820F1D">
        <w:t xml:space="preserve"> first introduced by </w:t>
      </w:r>
      <w:proofErr w:type="spellStart"/>
      <w:r w:rsidR="00820F1D">
        <w:t>Rutstein</w:t>
      </w:r>
      <w:proofErr w:type="spellEnd"/>
      <w:r w:rsidR="00820F1D">
        <w:t xml:space="preserve"> and colleagues </w:t>
      </w:r>
      <w:r w:rsidR="00607813">
        <w:t>in the</w:t>
      </w:r>
      <w:r w:rsidR="009343C6">
        <w:t xml:space="preserve"> US in the </w:t>
      </w:r>
      <w:r w:rsidR="00AD355A">
        <w:t>1970s</w:t>
      </w:r>
      <w:r w:rsidR="00492F1F">
        <w:t xml:space="preserve">, as a set of </w:t>
      </w:r>
      <w:r w:rsidR="00E60D86">
        <w:t>‘</w:t>
      </w:r>
      <w:r w:rsidR="00492F1F">
        <w:t>unnecessary untimely deaths</w:t>
      </w:r>
      <w:r w:rsidR="00E60D86">
        <w:t>’</w:t>
      </w:r>
      <w:r w:rsidR="00492F1F">
        <w:t xml:space="preserve"> which should not occur in the presence of timely and eff</w:t>
      </w:r>
      <w:r w:rsidR="00CE624E">
        <w:t>ective</w:t>
      </w:r>
      <w:r w:rsidR="00492F1F">
        <w:t xml:space="preserve"> medical care.</w:t>
      </w:r>
      <w:hyperlink w:anchor="_ENREF_4" w:tooltip="Rutstein, 1976 #2073" w:history="1">
        <w:r w:rsidR="0094762C">
          <w:fldChar w:fldCharType="begin"/>
        </w:r>
        <w:r w:rsidR="0094762C">
          <w:instrText xml:space="preserve"> ADDIN EN.CITE &lt;EndNote&gt;&lt;Cite&gt;&lt;Author&gt;Rutstein&lt;/Author&gt;&lt;Year&gt;1976&lt;/Year&gt;&lt;RecNum&gt;2073&lt;/RecNum&gt;&lt;DisplayText&gt;&lt;style face="superscript"&gt;4&lt;/style&gt;&lt;/DisplayText&gt;&lt;record&gt;&lt;rec-number&gt;2073&lt;/rec-number&gt;&lt;foreign-keys&gt;&lt;key app="EN" db-id="rpzwzaaags0r0pe95aixvrsiw02a5psfsd5f" timestamp="1463705164"&gt;2073&lt;/key&gt;&lt;/foreign-keys&gt;&lt;ref-type name="Journal Article"&gt;17&lt;/ref-type&gt;&lt;contributors&gt;&lt;authors&gt;&lt;author&gt;Rutstein, D. D.&lt;/author&gt;&lt;author&gt;Berenberg, W.&lt;/author&gt;&lt;author&gt;Chalmers, T. C.&lt;/author&gt;&lt;author&gt;Child, C. G., 3rd&lt;/author&gt;&lt;author&gt;Fishman, A. P.&lt;/author&gt;&lt;author&gt;Perrin, E. B.&lt;/author&gt;&lt;/authors&gt;&lt;/contributors&gt;&lt;titles&gt;&lt;title&gt;Measuring the quality of medical care. A clinical method&lt;/title&gt;&lt;secondary-title&gt;N Engl J Med&lt;/secondary-title&gt;&lt;/titles&gt;&lt;periodical&gt;&lt;full-title&gt;N Engl J Med&lt;/full-title&gt;&lt;/periodical&gt;&lt;pages&gt;582-8&lt;/pages&gt;&lt;volume&gt;294&lt;/volume&gt;&lt;number&gt;11&lt;/number&gt;&lt;keywords&gt;&lt;keyword&gt;Female&lt;/keyword&gt;&lt;keyword&gt;Health Status Indicators&lt;/keyword&gt;&lt;keyword&gt;Humans&lt;/keyword&gt;&lt;keyword&gt;Iatrogenic Disease&lt;/keyword&gt;&lt;keyword&gt;Infant Mortality&lt;/keyword&gt;&lt;keyword&gt;Infant, Newborn&lt;/keyword&gt;&lt;keyword&gt;International Cooperation&lt;/keyword&gt;&lt;keyword&gt;Male&lt;/keyword&gt;&lt;keyword&gt;Maternal Mortality&lt;/keyword&gt;&lt;keyword&gt;*Morbidity&lt;/keyword&gt;&lt;keyword&gt;*Mortality&lt;/keyword&gt;&lt;keyword&gt;Pregnancy&lt;/keyword&gt;&lt;keyword&gt;Preventive Medicine&lt;/keyword&gt;&lt;keyword&gt;*Professional Review Organizations&lt;/keyword&gt;&lt;keyword&gt;*Quality of Health Care&lt;/keyword&gt;&lt;keyword&gt;United States&lt;/keyword&gt;&lt;/keywords&gt;&lt;dates&gt;&lt;year&gt;1976&lt;/year&gt;&lt;pub-dates&gt;&lt;date&gt;Mar 11&lt;/date&gt;&lt;/pub-dates&gt;&lt;/dates&gt;&lt;isbn&gt;0028-4793 (Print)&amp;#xD;0028-4793 (Linking)&lt;/isbn&gt;&lt;accession-num&gt;942758&lt;/accession-num&gt;&lt;urls&gt;&lt;related-urls&gt;&lt;url&gt;http://www.ncbi.nlm.nih.gov/pubmed/942758&lt;/url&gt;&lt;url&gt;http://www.nejm.org/doi/pdf/10.1056/NEJM197603112941104&lt;/url&gt;&lt;/related-urls&gt;&lt;/urls&gt;&lt;electronic-resource-num&gt;10.1056/NEJM197603112941104&lt;/electronic-resource-num&gt;&lt;/record&gt;&lt;/Cite&gt;&lt;/EndNote&gt;</w:instrText>
        </w:r>
        <w:r w:rsidR="0094762C">
          <w:fldChar w:fldCharType="separate"/>
        </w:r>
        <w:r w:rsidR="0094762C" w:rsidRPr="0094762C">
          <w:rPr>
            <w:noProof/>
            <w:vertAlign w:val="superscript"/>
          </w:rPr>
          <w:t>4</w:t>
        </w:r>
        <w:r w:rsidR="0094762C">
          <w:fldChar w:fldCharType="end"/>
        </w:r>
      </w:hyperlink>
      <w:r w:rsidR="00EB1F2A">
        <w:t xml:space="preserve"> </w:t>
      </w:r>
      <w:r w:rsidR="00224AB1">
        <w:t xml:space="preserve">The conditions included </w:t>
      </w:r>
      <w:r w:rsidR="00AD17A7">
        <w:t xml:space="preserve">in this set </w:t>
      </w:r>
      <w:r w:rsidR="00224AB1">
        <w:t>were decided through group consensus</w:t>
      </w:r>
      <w:r w:rsidR="008B4E32">
        <w:t xml:space="preserve"> </w:t>
      </w:r>
      <w:r w:rsidR="00AD17A7">
        <w:t xml:space="preserve">by a team of medical specialists </w:t>
      </w:r>
      <w:r w:rsidR="00452913">
        <w:t xml:space="preserve">using </w:t>
      </w:r>
      <w:r w:rsidR="00224AB1">
        <w:t xml:space="preserve">a broad </w:t>
      </w:r>
      <w:r w:rsidR="00754216">
        <w:t xml:space="preserve">definition </w:t>
      </w:r>
      <w:r w:rsidR="00224AB1">
        <w:t xml:space="preserve">of ‘medical care’, </w:t>
      </w:r>
      <w:r w:rsidR="004357B1">
        <w:t>resulting</w:t>
      </w:r>
      <w:r w:rsidR="00224AB1">
        <w:t xml:space="preserve"> in </w:t>
      </w:r>
      <w:r w:rsidR="00820F1D">
        <w:t xml:space="preserve">a list of </w:t>
      </w:r>
      <w:r w:rsidR="003D3EB6">
        <w:t xml:space="preserve">more than 90 </w:t>
      </w:r>
      <w:r w:rsidR="00820F1D">
        <w:t>conditions</w:t>
      </w:r>
      <w:r w:rsidR="0090168B">
        <w:t xml:space="preserve"> that were either preventable or treatable through the role of a physician</w:t>
      </w:r>
      <w:r w:rsidR="00754216">
        <w:t>.</w:t>
      </w:r>
      <w:r w:rsidR="00820F1D">
        <w:t xml:space="preserve"> </w:t>
      </w:r>
    </w:p>
    <w:p w14:paraId="6FA269E0" w14:textId="3E080385" w:rsidR="007833EE" w:rsidRDefault="0090168B" w:rsidP="007B0156">
      <w:r>
        <w:t xml:space="preserve">This concept was </w:t>
      </w:r>
      <w:r w:rsidR="001F7D2D">
        <w:t>further</w:t>
      </w:r>
      <w:r w:rsidR="009A70E2">
        <w:t xml:space="preserve"> </w:t>
      </w:r>
      <w:r>
        <w:t>develop</w:t>
      </w:r>
      <w:r w:rsidR="009A70E2">
        <w:t>ed</w:t>
      </w:r>
      <w:r>
        <w:t xml:space="preserve"> as a health performance indicator by </w:t>
      </w:r>
      <w:r w:rsidR="004060F5">
        <w:t>Charlton and colleagues</w:t>
      </w:r>
      <w:r w:rsidR="00CF5BFF">
        <w:t xml:space="preserve"> in the UK,</w:t>
      </w:r>
      <w:hyperlink w:anchor="_ENREF_5" w:tooltip="Charlton, 1983 #2074" w:history="1">
        <w:r w:rsidR="0094762C">
          <w:fldChar w:fldCharType="begin"/>
        </w:r>
        <w:r w:rsidR="0094762C">
          <w:instrText xml:space="preserve"> ADDIN EN.CITE &lt;EndNote&gt;&lt;Cite&gt;&lt;Author&gt;Charlton&lt;/Author&gt;&lt;Year&gt;1983&lt;/Year&gt;&lt;RecNum&gt;2074&lt;/RecNum&gt;&lt;DisplayText&gt;&lt;style face="superscript"&gt;5&lt;/style&gt;&lt;/DisplayText&gt;&lt;record&gt;&lt;rec-number&gt;2074&lt;/rec-number&gt;&lt;foreign-keys&gt;&lt;key app="EN" db-id="rpzwzaaags0r0pe95aixvrsiw02a5psfsd5f" timestamp="1463705454"&gt;2074&lt;/key&gt;&lt;/foreign-keys&gt;&lt;ref-type name="Journal Article"&gt;17&lt;/ref-type&gt;&lt;contributors&gt;&lt;authors&gt;&lt;author&gt;Charlton, J. R. H.&lt;/author&gt;&lt;author&gt;Silver, R.&lt;/author&gt;&lt;author&gt;Hartley, R. M.&lt;/author&gt;&lt;author&gt;Holland, W. W.&lt;/author&gt;&lt;/authors&gt;&lt;/contributors&gt;&lt;titles&gt;&lt;title&gt;Geographical Variation in Mortality from Conditions Amenable to Medical Intervention in England and Wales&lt;/title&gt;&lt;secondary-title&gt;The Lancet&lt;/secondary-title&gt;&lt;/titles&gt;&lt;periodical&gt;&lt;full-title&gt;The Lancet&lt;/full-title&gt;&lt;/periodical&gt;&lt;pages&gt;691-696&lt;/pages&gt;&lt;volume&gt;321&lt;/volume&gt;&lt;number&gt;8326&lt;/number&gt;&lt;dates&gt;&lt;year&gt;1983&lt;/year&gt;&lt;pub-dates&gt;&lt;date&gt;1983/03/26&lt;/date&gt;&lt;/pub-dates&gt;&lt;/dates&gt;&lt;isbn&gt;0140-6736&lt;/isbn&gt;&lt;urls&gt;&lt;related-urls&gt;&lt;url&gt;http://www.sciencedirect.com/science/article/pii/S0140673683919815&lt;/url&gt;&lt;/related-urls&gt;&lt;/urls&gt;&lt;electronic-resource-num&gt;http://dx.doi.org/10.1016/S0140-6736(83)91981-5&lt;/electronic-resource-num&gt;&lt;/record&gt;&lt;/Cite&gt;&lt;/EndNote&gt;</w:instrText>
        </w:r>
        <w:r w:rsidR="0094762C">
          <w:fldChar w:fldCharType="separate"/>
        </w:r>
        <w:r w:rsidR="0094762C" w:rsidRPr="0094762C">
          <w:rPr>
            <w:noProof/>
            <w:vertAlign w:val="superscript"/>
          </w:rPr>
          <w:t>5</w:t>
        </w:r>
        <w:r w:rsidR="0094762C">
          <w:fldChar w:fldCharType="end"/>
        </w:r>
      </w:hyperlink>
      <w:r w:rsidR="004060F5">
        <w:t xml:space="preserve"> </w:t>
      </w:r>
      <w:r>
        <w:t xml:space="preserve">who selected </w:t>
      </w:r>
      <w:r w:rsidR="004060F5">
        <w:t xml:space="preserve">a </w:t>
      </w:r>
      <w:r w:rsidR="00D327DD">
        <w:t>sub</w:t>
      </w:r>
      <w:r>
        <w:t>set</w:t>
      </w:r>
      <w:r w:rsidR="004060F5">
        <w:t xml:space="preserve"> of 14 conditions from the </w:t>
      </w:r>
      <w:proofErr w:type="spellStart"/>
      <w:r w:rsidR="004060F5">
        <w:t>Rutstein</w:t>
      </w:r>
      <w:proofErr w:type="spellEnd"/>
      <w:r w:rsidR="004060F5">
        <w:t xml:space="preserve"> </w:t>
      </w:r>
      <w:r w:rsidR="00F93485">
        <w:t>study</w:t>
      </w:r>
      <w:r>
        <w:t xml:space="preserve"> </w:t>
      </w:r>
      <w:r w:rsidR="006B39E4">
        <w:t xml:space="preserve">that were </w:t>
      </w:r>
      <w:r>
        <w:t xml:space="preserve">considered amenable to medical intervention, and applied this at the population level  </w:t>
      </w:r>
      <w:r w:rsidR="004060F5">
        <w:t xml:space="preserve">to </w:t>
      </w:r>
      <w:r w:rsidR="00EB1F2A">
        <w:t>examine regional variations</w:t>
      </w:r>
      <w:r w:rsidR="003D3EB6">
        <w:t xml:space="preserve"> in mortality</w:t>
      </w:r>
      <w:r w:rsidR="006E5382">
        <w:t xml:space="preserve">. </w:t>
      </w:r>
      <w:r w:rsidR="006B39E4">
        <w:t>U</w:t>
      </w:r>
      <w:r w:rsidR="00CF5BFF">
        <w:t xml:space="preserve">se of </w:t>
      </w:r>
      <w:r w:rsidR="006B39E4">
        <w:t xml:space="preserve">similar </w:t>
      </w:r>
      <w:r w:rsidR="00CF5BFF">
        <w:t>indicators expanded across countries</w:t>
      </w:r>
      <w:r w:rsidR="00141C61">
        <w:t xml:space="preserve"> over the next few decades</w:t>
      </w:r>
      <w:r w:rsidR="007833EE">
        <w:t xml:space="preserve">, </w:t>
      </w:r>
      <w:r w:rsidR="00CF5BFF">
        <w:t xml:space="preserve">leading </w:t>
      </w:r>
      <w:r w:rsidR="00EF4CE8">
        <w:t xml:space="preserve">to </w:t>
      </w:r>
      <w:r w:rsidR="008B4E32">
        <w:t xml:space="preserve">the </w:t>
      </w:r>
      <w:r w:rsidR="00EF4CE8">
        <w:t>development of</w:t>
      </w:r>
      <w:r w:rsidR="008B4E32">
        <w:t xml:space="preserve"> a number of different </w:t>
      </w:r>
      <w:r w:rsidR="0049666D">
        <w:t xml:space="preserve">indicator sets, some </w:t>
      </w:r>
      <w:r w:rsidR="008B4E32">
        <w:t>specific</w:t>
      </w:r>
      <w:r w:rsidR="0049666D">
        <w:t xml:space="preserve"> to a health system or country,</w:t>
      </w:r>
      <w:hyperlink w:anchor="_ENREF_6" w:tooltip="Mackenbach, 1996 #2077" w:history="1">
        <w:r w:rsidR="0094762C">
          <w:fldChar w:fldCharType="begin">
            <w:fldData xml:space="preserve">PEVuZE5vdGU+PENpdGU+PEF1dGhvcj5NYWNrZW5iYWNoPC9BdXRob3I+PFllYXI+MTk5NjwvWWVh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</w:fldData>
          </w:fldChar>
        </w:r>
        <w:r w:rsidR="0094762C">
          <w:instrText xml:space="preserve"> ADDIN EN.CITE </w:instrText>
        </w:r>
        <w:r w:rsidR="0094762C">
          <w:fldChar w:fldCharType="begin">
            <w:fldData xml:space="preserve">PEVuZE5vdGU+PENpdGU+PEF1dGhvcj5NYWNrZW5iYWNoPC9BdXRob3I+PFllYXI+MTk5NjwvWWVh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</w:fldData>
          </w:fldChar>
        </w:r>
        <w:r w:rsidR="0094762C">
          <w:instrText xml:space="preserve"> ADDIN EN.CITE.DATA </w:instrText>
        </w:r>
        <w:r w:rsidR="0094762C">
          <w:fldChar w:fldCharType="end"/>
        </w:r>
        <w:r w:rsidR="0094762C">
          <w:fldChar w:fldCharType="separate"/>
        </w:r>
        <w:r w:rsidR="0094762C" w:rsidRPr="0094762C">
          <w:rPr>
            <w:noProof/>
            <w:vertAlign w:val="superscript"/>
          </w:rPr>
          <w:t>6-10</w:t>
        </w:r>
        <w:r w:rsidR="0094762C">
          <w:fldChar w:fldCharType="end"/>
        </w:r>
      </w:hyperlink>
      <w:r w:rsidR="0049666D">
        <w:t xml:space="preserve"> </w:t>
      </w:r>
      <w:r w:rsidR="00733D05">
        <w:t xml:space="preserve">and </w:t>
      </w:r>
      <w:r w:rsidR="0049666D">
        <w:t>others to facilitate international comparisons</w:t>
      </w:r>
      <w:r w:rsidR="006B39E4">
        <w:t>,</w:t>
      </w:r>
      <w:hyperlink w:anchor="_ENREF_11" w:tooltip="Simonato, 1998 #2087" w:history="1">
        <w:r w:rsidR="0094762C">
          <w:fldChar w:fldCharType="begin">
            <w:fldData xml:space="preserve">PEVuZE5vdGU+PENpdGU+PEF1dGhvcj5TaW1vbmF0bzwvQXV0aG9yPjxZZWFyPjE5OTg8L1llYXI+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</w:fldData>
          </w:fldChar>
        </w:r>
        <w:r w:rsidR="0094762C">
          <w:instrText xml:space="preserve"> ADDIN EN.CITE </w:instrText>
        </w:r>
        <w:r w:rsidR="0094762C">
          <w:fldChar w:fldCharType="begin">
            <w:fldData xml:space="preserve">PEVuZE5vdGU+PENpdGU+PEF1dGhvcj5TaW1vbmF0bzwvQXV0aG9yPjxZZWFyPjE5OTg8L1llYXI+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</w:fldData>
          </w:fldChar>
        </w:r>
        <w:r w:rsidR="0094762C">
          <w:instrText xml:space="preserve"> ADDIN EN.CITE.DATA </w:instrText>
        </w:r>
        <w:r w:rsidR="0094762C">
          <w:fldChar w:fldCharType="end"/>
        </w:r>
        <w:r w:rsidR="0094762C">
          <w:fldChar w:fldCharType="separate"/>
        </w:r>
        <w:r w:rsidR="0094762C" w:rsidRPr="0094762C">
          <w:rPr>
            <w:noProof/>
            <w:vertAlign w:val="superscript"/>
          </w:rPr>
          <w:t>11-13</w:t>
        </w:r>
        <w:r w:rsidR="0094762C">
          <w:fldChar w:fldCharType="end"/>
        </w:r>
      </w:hyperlink>
      <w:r w:rsidR="0049666D">
        <w:t xml:space="preserve"> such as</w:t>
      </w:r>
      <w:r w:rsidR="00DC16BD">
        <w:t xml:space="preserve"> in</w:t>
      </w:r>
      <w:r w:rsidR="00EF4CE8">
        <w:t xml:space="preserve"> the </w:t>
      </w:r>
      <w:r w:rsidR="00331449">
        <w:t xml:space="preserve">European Community </w:t>
      </w:r>
      <w:r w:rsidR="004060F5">
        <w:t>atlas o</w:t>
      </w:r>
      <w:r w:rsidR="00331449">
        <w:t>f</w:t>
      </w:r>
      <w:r w:rsidR="004060F5">
        <w:t xml:space="preserve"> avoidable </w:t>
      </w:r>
      <w:r w:rsidR="00331449">
        <w:t>death</w:t>
      </w:r>
      <w:r w:rsidR="0049666D">
        <w:t>.</w:t>
      </w:r>
      <w:hyperlink w:anchor="_ENREF_14" w:tooltip="Holland, 1988 #2089" w:history="1">
        <w:r w:rsidR="0094762C">
          <w:fldChar w:fldCharType="begin"/>
        </w:r>
        <w:r w:rsidR="0094762C">
          <w:instrText xml:space="preserve"> ADDIN EN.CITE &lt;EndNote&gt;&lt;Cite&gt;&lt;Author&gt;Holland&lt;/Author&gt;&lt;Year&gt;1988&lt;/Year&gt;&lt;RecNum&gt;2089&lt;/RecNum&gt;&lt;DisplayText&gt;&lt;style face="superscript"&gt;14&lt;/style&gt;&lt;/DisplayText&gt;&lt;record&gt;&lt;rec-number&gt;2089&lt;/rec-number&gt;&lt;foreign-keys&gt;&lt;key app="EN" db-id="rpzwzaaags0r0pe95aixvrsiw02a5psfsd5f" timestamp="1464139814"&gt;2089&lt;/key&gt;&lt;/foreign-keys&gt;&lt;ref-type name="Book"&gt;6&lt;/ref-type&gt;&lt;contributors&gt;&lt;authors&gt;&lt;author&gt;Holland, W. W.&lt;/author&gt;&lt;/authors&gt;&lt;/contributors&gt;&lt;titles&gt;&lt;title&gt;European Community atlas of &amp;apos;avoidable death&amp;apos;&lt;/title&gt;&lt;/titles&gt;&lt;dates&gt;&lt;year&gt;1988&lt;/year&gt;&lt;/dates&gt;&lt;pub-location&gt;Oxford&lt;/pub-location&gt;&lt;publisher&gt;Oxford University Press&lt;/publisher&gt;&lt;urls&gt;&lt;/urls&gt;&lt;/record&gt;&lt;/Cite&gt;&lt;/EndNote&gt;</w:instrText>
        </w:r>
        <w:r w:rsidR="0094762C">
          <w:fldChar w:fldCharType="separate"/>
        </w:r>
        <w:r w:rsidR="0094762C" w:rsidRPr="0094762C">
          <w:rPr>
            <w:noProof/>
            <w:vertAlign w:val="superscript"/>
          </w:rPr>
          <w:t>14</w:t>
        </w:r>
        <w:r w:rsidR="0094762C">
          <w:fldChar w:fldCharType="end"/>
        </w:r>
      </w:hyperlink>
      <w:r w:rsidR="00141C61">
        <w:t xml:space="preserve"> </w:t>
      </w:r>
      <w:r w:rsidR="007833EE">
        <w:t>The history and development of these indicators have been well documented.</w:t>
      </w:r>
      <w:r w:rsidR="007833EE">
        <w:fldChar w:fldCharType="begin"/>
      </w:r>
      <w:r w:rsidR="0094762C">
        <w:instrText xml:space="preserve"> ADDIN EN.CITE &lt;EndNote&gt;&lt;Cite&gt;&lt;Author&gt;Nolte&lt;/Author&gt;&lt;Year&gt;2004&lt;/Year&gt;&lt;RecNum&gt;2075&lt;/RecNum&gt;&lt;DisplayText&gt;&lt;style face="superscript"&gt;15, 16&lt;/style&gt;&lt;/DisplayText&gt;&lt;record&gt;&lt;rec-number&gt;2075&lt;/rec-number&gt;&lt;foreign-keys&gt;&lt;key app="EN" db-id="rpzwzaaags0r0pe95aixvrsiw02a5psfsd5f" timestamp="1463705734"&gt;2075&lt;/key&gt;&lt;/foreign-keys&gt;&lt;ref-type name="Report"&gt;27&lt;/ref-type&gt;&lt;contributors&gt;&lt;authors&gt;&lt;author&gt;Nolte, E.&lt;/author&gt;&lt;author&gt;McKee, M.&lt;/author&gt;&lt;/authors&gt;&lt;/contributors&gt;&lt;titles&gt;&lt;title&gt;Does health care save lives? Avoidable mortality revisited&lt;/title&gt;&lt;/titles&gt;&lt;dates&gt;&lt;year&gt;2004&lt;/year&gt;&lt;/dates&gt;&lt;pub-location&gt;London&lt;/pub-location&gt;&lt;publisher&gt;The Nuffield Trust&lt;/publisher&gt;&lt;urls&gt;&lt;/urls&gt;&lt;/record&gt;&lt;/Cite&gt;&lt;Cite&gt;&lt;Author&gt;Page&lt;/Author&gt;&lt;Year&gt;2006&lt;/Year&gt;&lt;RecNum&gt;2076&lt;/RecNum&gt;&lt;record&gt;&lt;rec-number&gt;2076&lt;/rec-number&gt;&lt;foreign-keys&gt;&lt;key app="EN" db-id="rpzwzaaags0r0pe95aixvrsiw02a5psfsd5f" timestamp="1463706040"&gt;2076&lt;/key&gt;&lt;/foreign-keys&gt;&lt;ref-type name="Report"&gt;27&lt;/ref-type&gt;&lt;contributors&gt;&lt;authors&gt;&lt;author&gt;Page, A&lt;/author&gt;&lt;author&gt;Tobias, M&lt;/author&gt;&lt;author&gt;Glover, J&lt;/author&gt;&lt;author&gt;Wright, C.&lt;/author&gt;&lt;author&gt;Hetzel, D&lt;/author&gt;&lt;author&gt;Fisher, E.&lt;/author&gt;&lt;/authors&gt;&lt;/contributors&gt;&lt;titles&gt;&lt;title&gt;Australian and New Zealand atlas of avoidable mortality&lt;/title&gt;&lt;/titles&gt;&lt;dates&gt;&lt;year&gt;2006&lt;/year&gt;&lt;/dates&gt;&lt;pub-location&gt;Adelaide&lt;/pub-location&gt;&lt;publisher&gt;PHIDU, University of Adelaide.&lt;/publisher&gt;&lt;urls&gt;&lt;/urls&gt;&lt;/record&gt;&lt;/Cite&gt;&lt;/EndNote&gt;</w:instrText>
      </w:r>
      <w:r w:rsidR="007833EE">
        <w:fldChar w:fldCharType="separate"/>
      </w:r>
      <w:hyperlink w:anchor="_ENREF_15" w:tooltip="Nolte, 2004 #2075" w:history="1">
        <w:r w:rsidR="0094762C" w:rsidRPr="0094762C">
          <w:rPr>
            <w:noProof/>
            <w:vertAlign w:val="superscript"/>
          </w:rPr>
          <w:t>15</w:t>
        </w:r>
      </w:hyperlink>
      <w:r w:rsidR="0094762C" w:rsidRPr="0094762C">
        <w:rPr>
          <w:noProof/>
          <w:vertAlign w:val="superscript"/>
        </w:rPr>
        <w:t xml:space="preserve">, </w:t>
      </w:r>
      <w:hyperlink w:anchor="_ENREF_16" w:tooltip="Page, 2006 #2076" w:history="1">
        <w:r w:rsidR="0094762C" w:rsidRPr="0094762C">
          <w:rPr>
            <w:noProof/>
            <w:vertAlign w:val="superscript"/>
          </w:rPr>
          <w:t>16</w:t>
        </w:r>
      </w:hyperlink>
      <w:r w:rsidR="007833EE">
        <w:fldChar w:fldCharType="end"/>
      </w:r>
    </w:p>
    <w:p w14:paraId="61E610D3" w14:textId="25F0CCA0" w:rsidR="003258EA" w:rsidRDefault="00733D05" w:rsidP="007833EE">
      <w:r>
        <w:t>C</w:t>
      </w:r>
      <w:r w:rsidR="007833EE" w:rsidRPr="00742C7B">
        <w:t>urrently</w:t>
      </w:r>
      <w:r>
        <w:t xml:space="preserve">, </w:t>
      </w:r>
      <w:r w:rsidR="007833EE" w:rsidRPr="00742C7B">
        <w:t xml:space="preserve">potentially avoidable deaths </w:t>
      </w:r>
      <w:r>
        <w:t xml:space="preserve">are used </w:t>
      </w:r>
      <w:r w:rsidR="007833EE" w:rsidRPr="00742C7B">
        <w:t xml:space="preserve">as a </w:t>
      </w:r>
      <w:r>
        <w:t xml:space="preserve">tool for monitoring the </w:t>
      </w:r>
      <w:r w:rsidR="007833EE" w:rsidRPr="00742C7B">
        <w:t>performance of the</w:t>
      </w:r>
      <w:r w:rsidR="00963B90">
        <w:t xml:space="preserve"> </w:t>
      </w:r>
      <w:r>
        <w:t>health care system</w:t>
      </w:r>
      <w:r w:rsidR="007833EE" w:rsidRPr="00742C7B">
        <w:t xml:space="preserve"> </w:t>
      </w:r>
      <w:r w:rsidR="00AC40AB">
        <w:t xml:space="preserve">in many countries, including </w:t>
      </w:r>
      <w:r w:rsidR="007833EE" w:rsidRPr="00742C7B">
        <w:t>Australia</w:t>
      </w:r>
      <w:r w:rsidR="007833EE">
        <w:t>,</w:t>
      </w:r>
      <w:r w:rsidR="007833EE">
        <w:fldChar w:fldCharType="begin"/>
      </w:r>
      <w:r w:rsidR="0094762C">
        <w:instrText xml:space="preserve"> ADDIN EN.CITE &lt;EndNote&gt;&lt;Cite&gt;&lt;Author&gt;AIHW&lt;/Author&gt;&lt;Year&gt;2016&lt;/Year&gt;&lt;RecNum&gt;2071&lt;/RecNum&gt;&lt;DisplayText&gt;&lt;style face="superscript"&gt;1, 17&lt;/style&gt;&lt;/DisplayText&gt;&lt;record&gt;&lt;rec-number&gt;2071&lt;/rec-number&gt;&lt;foreign-keys&gt;&lt;key app="EN" db-id="rpzwzaaags0r0pe95aixvrsiw02a5psfsd5f" timestamp="1463621965"&gt;2071&lt;/key&gt;&lt;/foreign-keys&gt;&lt;ref-type name="Web Page"&gt;12&lt;/ref-type&gt;&lt;contributors&gt;&lt;authors&gt;&lt;author&gt;AIHW&lt;/author&gt;&lt;/authors&gt;&lt;/contributors&gt;&lt;titles&gt;&lt;title&gt;National Healthcare Agreement: PI 16 – Potentially avoidable deaths, 2016&lt;/title&gt;&lt;/titles&gt;&lt;number&gt;19/05/2016&lt;/number&gt;&lt;dates&gt;&lt;year&gt;2016&lt;/year&gt;&lt;/dates&gt;&lt;urls&gt;&lt;related-urls&gt;&lt;url&gt;http://meteor.aihw.gov.au/content/index.phtml/itemId/598750&lt;/url&gt;&lt;/related-urls&gt;&lt;/urls&gt;&lt;/record&gt;&lt;/Cite&gt;&lt;Cite&gt;&lt;Author&gt;NHPA&lt;/Author&gt;&lt;Year&gt;2013&lt;/Year&gt;&lt;RecNum&gt;2078&lt;/RecNum&gt;&lt;record&gt;&lt;rec-number&gt;2078&lt;/rec-number&gt;&lt;foreign-keys&gt;&lt;key app="EN" db-id="rpzwzaaags0r0pe95aixvrsiw02a5psfsd5f" timestamp="1463707055"&gt;2078&lt;/key&gt;&lt;/foreign-keys&gt;&lt;ref-type name="Report"&gt;27&lt;/ref-type&gt;&lt;contributors&gt;&lt;authors&gt;&lt;author&gt;NHPA&lt;/author&gt;&lt;/authors&gt;&lt;/contributors&gt;&lt;titles&gt;&lt;title&gt;Healthy Communities: Avoidable deaths and life expectancies in 2009–2011&lt;/title&gt;&lt;/titles&gt;&lt;dates&gt;&lt;year&gt;2013&lt;/year&gt;&lt;/dates&gt;&lt;publisher&gt;National Health Performance Authority&lt;/publisher&gt;&lt;urls&gt;&lt;/urls&gt;&lt;/record&gt;&lt;/Cite&gt;&lt;/EndNote&gt;</w:instrText>
      </w:r>
      <w:r w:rsidR="007833EE">
        <w:fldChar w:fldCharType="separate"/>
      </w:r>
      <w:hyperlink w:anchor="_ENREF_1" w:tooltip="AIHW, 2016 #2071" w:history="1">
        <w:r w:rsidR="0094762C" w:rsidRPr="0094762C">
          <w:rPr>
            <w:noProof/>
            <w:vertAlign w:val="superscript"/>
          </w:rPr>
          <w:t>1</w:t>
        </w:r>
      </w:hyperlink>
      <w:r w:rsidR="0094762C" w:rsidRPr="0094762C">
        <w:rPr>
          <w:noProof/>
          <w:vertAlign w:val="superscript"/>
        </w:rPr>
        <w:t xml:space="preserve">, </w:t>
      </w:r>
      <w:hyperlink w:anchor="_ENREF_17" w:tooltip="NHPA, 2013 #2078" w:history="1">
        <w:r w:rsidR="0094762C" w:rsidRPr="0094762C">
          <w:rPr>
            <w:noProof/>
            <w:vertAlign w:val="superscript"/>
          </w:rPr>
          <w:t>17</w:t>
        </w:r>
      </w:hyperlink>
      <w:r w:rsidR="007833EE">
        <w:fldChar w:fldCharType="end"/>
      </w:r>
      <w:r w:rsidR="007833EE" w:rsidRPr="00742C7B">
        <w:t xml:space="preserve"> New Zealand,</w:t>
      </w:r>
      <w:hyperlink w:anchor="_ENREF_18" w:tooltip="NZMOH, 2010 #2093" w:history="1">
        <w:r w:rsidR="0094762C">
          <w:fldChar w:fldCharType="begin"/>
        </w:r>
        <w:r w:rsidR="0094762C">
          <w:instrText xml:space="preserve"> ADDIN EN.CITE &lt;EndNote&gt;&lt;Cite&gt;&lt;Author&gt;NZMOH&lt;/Author&gt;&lt;Year&gt;2010&lt;/Year&gt;&lt;RecNum&gt;2093&lt;/RecNum&gt;&lt;DisplayText&gt;&lt;style face="superscript"&gt;18&lt;/style&gt;&lt;/DisplayText&gt;&lt;record&gt;&lt;rec-number&gt;2093&lt;/rec-number&gt;&lt;foreign-keys&gt;&lt;key app="EN" db-id="rpzwzaaags0r0pe95aixvrsiw02a5psfsd5f" timestamp="1464142193"&gt;2093&lt;/key&gt;&lt;/foreign-keys&gt;&lt;ref-type name="Report"&gt;27&lt;/ref-type&gt;&lt;contributors&gt;&lt;authors&gt;&lt;author&gt;NZMOH&lt;/author&gt;&lt;/authors&gt;&lt;/contributors&gt;&lt;titles&gt;&lt;title&gt; Saving Lives: Amenable Mortality in New Zealand, 1996–2006&lt;/title&gt;&lt;/titles&gt;&lt;dates&gt;&lt;year&gt;2010&lt;/year&gt;&lt;/dates&gt;&lt;pub-location&gt;Wellington&lt;/pub-location&gt;&lt;publisher&gt;New Zealand Ministry of Health&lt;/publisher&gt;&lt;urls&gt;&lt;/urls&gt;&lt;/record&gt;&lt;/Cite&gt;&lt;/EndNote&gt;</w:instrText>
        </w:r>
        <w:r w:rsidR="0094762C">
          <w:fldChar w:fldCharType="separate"/>
        </w:r>
        <w:r w:rsidR="0094762C" w:rsidRPr="0094762C">
          <w:rPr>
            <w:noProof/>
            <w:vertAlign w:val="superscript"/>
          </w:rPr>
          <w:t>18</w:t>
        </w:r>
        <w:r w:rsidR="0094762C">
          <w:fldChar w:fldCharType="end"/>
        </w:r>
      </w:hyperlink>
      <w:r w:rsidR="007833EE" w:rsidRPr="00742C7B">
        <w:t xml:space="preserve"> Canada,</w:t>
      </w:r>
      <w:hyperlink w:anchor="_ENREF_19" w:tooltip="CIHI, 2016 #2092" w:history="1">
        <w:r w:rsidR="0094762C">
          <w:fldChar w:fldCharType="begin"/>
        </w:r>
        <w:r w:rsidR="0094762C">
          <w:instrText xml:space="preserve"> ADDIN EN.CITE &lt;EndNote&gt;&lt;Cite&gt;&lt;Author&gt;CIHI&lt;/Author&gt;&lt;Year&gt;2016&lt;/Year&gt;&lt;RecNum&gt;2092&lt;/RecNum&gt;&lt;DisplayText&gt;&lt;style face="superscript"&gt;19&lt;/style&gt;&lt;/DisplayText&gt;&lt;record&gt;&lt;rec-number&gt;2092&lt;/rec-number&gt;&lt;foreign-keys&gt;&lt;key app="EN" db-id="rpzwzaaags0r0pe95aixvrsiw02a5psfsd5f" timestamp="1464141740"&gt;2092&lt;/key&gt;&lt;/foreign-keys&gt;&lt;ref-type name="Web Page"&gt;12&lt;/ref-type&gt;&lt;contributors&gt;&lt;authors&gt;&lt;author&gt;CIHI&lt;/author&gt;&lt;/authors&gt;&lt;/contributors&gt;&lt;titles&gt;&lt;title&gt;Avoidable deaths&lt;/title&gt;&lt;/titles&gt;&lt;dates&gt;&lt;year&gt;2016&lt;/year&gt;&lt;/dates&gt;&lt;publisher&gt;Canadian Institute for Health Information&lt;/publisher&gt;&lt;urls&gt;&lt;related-urls&gt;&lt;url&gt;http://indicatorlibrary.cihi.ca/pages/viewpage.action?pageId=1114195&lt;/url&gt;&lt;/related-urls&gt;&lt;/urls&gt;&lt;custom2&gt;25/05/2016&lt;/custom2&gt;&lt;/record&gt;&lt;/Cite&gt;&lt;/EndNote&gt;</w:instrText>
        </w:r>
        <w:r w:rsidR="0094762C">
          <w:fldChar w:fldCharType="separate"/>
        </w:r>
        <w:r w:rsidR="0094762C" w:rsidRPr="0094762C">
          <w:rPr>
            <w:noProof/>
            <w:vertAlign w:val="superscript"/>
          </w:rPr>
          <w:t>19</w:t>
        </w:r>
        <w:r w:rsidR="0094762C">
          <w:fldChar w:fldCharType="end"/>
        </w:r>
      </w:hyperlink>
      <w:r w:rsidR="007833EE" w:rsidRPr="00742C7B">
        <w:t xml:space="preserve"> the UK</w:t>
      </w:r>
      <w:r w:rsidR="007833EE">
        <w:t>,</w:t>
      </w:r>
      <w:r w:rsidR="007833EE">
        <w:fldChar w:fldCharType="begin"/>
      </w:r>
      <w:r w:rsidR="0094762C">
        <w:instrText xml:space="preserve"> ADDIN EN.CITE &lt;EndNote&gt;&lt;Cite&gt;&lt;Author&gt;England&lt;/Author&gt;&lt;Year&gt;2015&lt;/Year&gt;&lt;RecNum&gt;2086&lt;/RecNum&gt;&lt;DisplayText&gt;&lt;style face="superscript"&gt;20, 21&lt;/style&gt;&lt;/DisplayText&gt;&lt;record&gt;&lt;rec-number&gt;2086&lt;/rec-number&gt;&lt;foreign-keys&gt;&lt;key app="EN" db-id="rpzwzaaags0r0pe95aixvrsiw02a5psfsd5f" timestamp="1464068622"&gt;2086&lt;/key&gt;&lt;/foreign-keys&gt;&lt;ref-type name="Report"&gt;27&lt;/ref-type&gt;&lt;contributors&gt;&lt;authors&gt;&lt;author&gt;NHS England&lt;/author&gt;&lt;/authors&gt;&lt;/contributors&gt;&lt;titles&gt;&lt;title&gt;CCG Outcomes Indicator Set 2015/16: Technical Guidance &lt;/title&gt;&lt;/titles&gt;&lt;dates&gt;&lt;year&gt;2015&lt;/year&gt;&lt;/dates&gt;&lt;urls&gt;&lt;related-urls&gt;&lt;url&gt;https://www.england.nhs.uk/resources/resources-for-ccgs/ccg-out-tool/ccg-ois/&lt;/url&gt;&lt;/related-urls&gt;&lt;/urls&gt;&lt;access-date&gt;24/05/2016&lt;/access-date&gt;&lt;/record&gt;&lt;/Cite&gt;&lt;Cite&gt;&lt;Author&gt;ONS&lt;/Author&gt;&lt;Year&gt;2015&lt;/Year&gt;&lt;RecNum&gt;2080&lt;/RecNum&gt;&lt;record&gt;&lt;rec-number&gt;2080&lt;/rec-number&gt;&lt;foreign-keys&gt;&lt;key app="EN" db-id="rpzwzaaags0r0pe95aixvrsiw02a5psfsd5f" timestamp="1463708738"&gt;2080&lt;/key&gt;&lt;/foreign-keys&gt;&lt;ref-type name="Report"&gt;27&lt;/ref-type&gt;&lt;contributors&gt;&lt;authors&gt;&lt;author&gt;ONS&lt;/author&gt;&lt;/authors&gt;&lt;/contributors&gt;&lt;titles&gt;&lt;title&gt;Avoidable mortality in England and Wales, 2013&lt;/title&gt;&lt;/titles&gt;&lt;dates&gt;&lt;year&gt;2015&lt;/year&gt;&lt;/dates&gt;&lt;publisher&gt;Office for National Statistics&lt;/publisher&gt;&lt;urls&gt;&lt;related-urls&gt;&lt;url&gt;http://www.ons.gov.uk/ons/about-ons/get-involved/consultations-and-user-surveys/consultations/review-of-avoidable-mortality-definition/index.html&lt;/url&gt;&lt;/related-urls&gt;&lt;/urls&gt;&lt;access-date&gt;20/05/2016&lt;/access-date&gt;&lt;/record&gt;&lt;/Cite&gt;&lt;/EndNote&gt;</w:instrText>
      </w:r>
      <w:r w:rsidR="007833EE">
        <w:fldChar w:fldCharType="separate"/>
      </w:r>
      <w:hyperlink w:anchor="_ENREF_20" w:tooltip="England, 2015 #2086" w:history="1">
        <w:r w:rsidR="0094762C" w:rsidRPr="0094762C">
          <w:rPr>
            <w:noProof/>
            <w:vertAlign w:val="superscript"/>
          </w:rPr>
          <w:t>20</w:t>
        </w:r>
      </w:hyperlink>
      <w:r w:rsidR="0094762C" w:rsidRPr="0094762C">
        <w:rPr>
          <w:noProof/>
          <w:vertAlign w:val="superscript"/>
        </w:rPr>
        <w:t xml:space="preserve">, </w:t>
      </w:r>
      <w:hyperlink w:anchor="_ENREF_21" w:tooltip="ONS, 2015 #2080" w:history="1">
        <w:r w:rsidR="0094762C" w:rsidRPr="0094762C">
          <w:rPr>
            <w:noProof/>
            <w:vertAlign w:val="superscript"/>
          </w:rPr>
          <w:t>21</w:t>
        </w:r>
      </w:hyperlink>
      <w:r w:rsidR="007833EE">
        <w:fldChar w:fldCharType="end"/>
      </w:r>
      <w:r w:rsidR="007833EE" w:rsidRPr="00742C7B">
        <w:t xml:space="preserve"> the USA and the E</w:t>
      </w:r>
      <w:r w:rsidR="00CC5C38">
        <w:t xml:space="preserve">uropean </w:t>
      </w:r>
      <w:r w:rsidR="007833EE" w:rsidRPr="00742C7B">
        <w:t>U</w:t>
      </w:r>
      <w:r w:rsidR="00CC5C38">
        <w:t>nion</w:t>
      </w:r>
      <w:hyperlink w:anchor="_ENREF_12" w:tooltip="AMIEHS, 2011 #2082" w:history="1">
        <w:r w:rsidR="0094762C">
          <w:fldChar w:fldCharType="begin"/>
        </w:r>
        <w:r w:rsidR="0094762C">
          <w:instrText xml:space="preserve"> ADDIN EN.CITE &lt;EndNote&gt;&lt;Cite&gt;&lt;Author&gt;AMIEHS&lt;/Author&gt;&lt;Year&gt;2011&lt;/Year&gt;&lt;RecNum&gt;2082&lt;/RecNum&gt;&lt;DisplayText&gt;&lt;style face="superscript"&gt;12&lt;/style&gt;&lt;/DisplayText&gt;&lt;record&gt;&lt;rec-number&gt;2082&lt;/rec-number&gt;&lt;foreign-keys&gt;&lt;key app="EN" db-id="rpzwzaaags0r0pe95aixvrsiw02a5psfsd5f" timestamp="1463709035"&gt;2082&lt;/key&gt;&lt;/foreign-keys&gt;&lt;ref-type name="Report"&gt;27&lt;/ref-type&gt;&lt;contributors&gt;&lt;authors&gt;&lt;author&gt;AMIEHS&lt;/author&gt;&lt;/authors&gt;&lt;/contributors&gt;&lt;titles&gt;&lt;title&gt;Avoidable mortality in the European Union: Towards better indicators for the effectiveness of health systems. Volume 1: Final report&lt;/title&gt;&lt;/titles&gt;&lt;dates&gt;&lt;year&gt;2011&lt;/year&gt;&lt;/dates&gt;&lt;urls&gt;&lt;related-urls&gt;&lt;url&gt;http://amiehs.lshtm.ac.uk/publications/&lt;/url&gt;&lt;/related-urls&gt;&lt;/urls&gt;&lt;access-date&gt;20/05/2016&lt;/access-date&gt;&lt;/record&gt;&lt;/Cite&gt;&lt;/EndNote&gt;</w:instrText>
        </w:r>
        <w:r w:rsidR="0094762C">
          <w:fldChar w:fldCharType="separate"/>
        </w:r>
        <w:r w:rsidR="0094762C" w:rsidRPr="0094762C">
          <w:rPr>
            <w:noProof/>
            <w:vertAlign w:val="superscript"/>
          </w:rPr>
          <w:t>12</w:t>
        </w:r>
        <w:r w:rsidR="0094762C">
          <w:fldChar w:fldCharType="end"/>
        </w:r>
      </w:hyperlink>
      <w:r w:rsidR="007833EE" w:rsidRPr="00742C7B">
        <w:t>.</w:t>
      </w:r>
      <w:r w:rsidR="007833EE">
        <w:t xml:space="preserve"> </w:t>
      </w:r>
      <w:r w:rsidR="00E6303A">
        <w:t>However, t</w:t>
      </w:r>
      <w:r w:rsidR="00CC5C38">
        <w:t>he definition of the indicator</w:t>
      </w:r>
      <w:r w:rsidR="00E6303A">
        <w:t xml:space="preserve"> varies across countries for a number of reasons.</w:t>
      </w:r>
      <w:r w:rsidR="00CC5C38">
        <w:t xml:space="preserve"> </w:t>
      </w:r>
    </w:p>
    <w:p w14:paraId="0A4AB1A5" w14:textId="5F8C82A9" w:rsidR="00FF444B" w:rsidRDefault="00950385" w:rsidP="007833EE">
      <w:r>
        <w:t>T</w:t>
      </w:r>
      <w:r w:rsidR="00D52FE7">
        <w:t>he</w:t>
      </w:r>
      <w:r>
        <w:t xml:space="preserve"> primary reason is that the indicator is designed to reflect deaths </w:t>
      </w:r>
      <w:r w:rsidR="006B39E4">
        <w:t>that</w:t>
      </w:r>
      <w:r>
        <w:t xml:space="preserve"> are avoidable given the current state of the healthcare system. As there </w:t>
      </w:r>
      <w:r w:rsidR="006B39E4">
        <w:t>are</w:t>
      </w:r>
      <w:r>
        <w:t xml:space="preserve"> differences in healthcare systems between countries, as well as in the </w:t>
      </w:r>
      <w:r w:rsidR="006B39E4">
        <w:t xml:space="preserve">point in </w:t>
      </w:r>
      <w:r>
        <w:t xml:space="preserve">time when indicators were developed, it is understandable that the indicators differ accordingly. Some </w:t>
      </w:r>
      <w:r w:rsidR="00FF444B">
        <w:t xml:space="preserve">indicator sets </w:t>
      </w:r>
      <w:r>
        <w:t>may also have</w:t>
      </w:r>
      <w:r w:rsidR="00FF444B">
        <w:t xml:space="preserve"> a select</w:t>
      </w:r>
      <w:r w:rsidR="006B39E4">
        <w:t>ed</w:t>
      </w:r>
      <w:r w:rsidR="00FF444B">
        <w:t xml:space="preserve"> scope for conditions of interest, such as only those amenable to therapeutic treatment,</w:t>
      </w:r>
      <w:hyperlink w:anchor="_ENREF_5" w:tooltip="Charlton, 1983 #2074" w:history="1">
        <w:r w:rsidR="0094762C">
          <w:fldChar w:fldCharType="begin"/>
        </w:r>
        <w:r w:rsidR="0094762C">
          <w:instrText xml:space="preserve"> ADDIN EN.CITE &lt;EndNote&gt;&lt;Cite&gt;&lt;Author&gt;Charlton&lt;/Author&gt;&lt;Year&gt;1983&lt;/Year&gt;&lt;RecNum&gt;2074&lt;/RecNum&gt;&lt;DisplayText&gt;&lt;style face="superscript"&gt;5&lt;/style&gt;&lt;/DisplayText&gt;&lt;record&gt;&lt;rec-number&gt;2074&lt;/rec-number&gt;&lt;foreign-keys&gt;&lt;key app="EN" db-id="rpzwzaaags0r0pe95aixvrsiw02a5psfsd5f" timestamp="1463705454"&gt;2074&lt;/key&gt;&lt;/foreign-keys&gt;&lt;ref-type name="Journal Article"&gt;17&lt;/ref-type&gt;&lt;contributors&gt;&lt;authors&gt;&lt;author&gt;Charlton, J. R. H.&lt;/author&gt;&lt;author&gt;Silver, R.&lt;/author&gt;&lt;author&gt;Hartley, R. M.&lt;/author&gt;&lt;author&gt;Holland, W. W.&lt;/author&gt;&lt;/authors&gt;&lt;/contributors&gt;&lt;titles&gt;&lt;title&gt;Geographical Variation in Mortality from Conditions Amenable to Medical Intervention in England and Wales&lt;/title&gt;&lt;secondary-title&gt;The Lancet&lt;/secondary-title&gt;&lt;/titles&gt;&lt;periodical&gt;&lt;full-title&gt;The Lancet&lt;/full-title&gt;&lt;/periodical&gt;&lt;pages&gt;691-696&lt;/pages&gt;&lt;volume&gt;321&lt;/volume&gt;&lt;number&gt;8326&lt;/number&gt;&lt;dates&gt;&lt;year&gt;1983&lt;/year&gt;&lt;pub-dates&gt;&lt;date&gt;1983/03/26&lt;/date&gt;&lt;/pub-dates&gt;&lt;/dates&gt;&lt;isbn&gt;0140-6736&lt;/isbn&gt;&lt;urls&gt;&lt;related-urls&gt;&lt;url&gt;http://www.sciencedirect.com/science/article/pii/S0140673683919815&lt;/url&gt;&lt;/related-urls&gt;&lt;/urls&gt;&lt;electronic-resource-num&gt;http://dx.doi.org/10.1016/S0140-6736(83)91981-5&lt;/electronic-resource-num&gt;&lt;/record&gt;&lt;/Cite&gt;&lt;/EndNote&gt;</w:instrText>
        </w:r>
        <w:r w:rsidR="0094762C">
          <w:fldChar w:fldCharType="separate"/>
        </w:r>
        <w:r w:rsidR="0094762C" w:rsidRPr="0094762C">
          <w:rPr>
            <w:noProof/>
            <w:vertAlign w:val="superscript"/>
          </w:rPr>
          <w:t>5</w:t>
        </w:r>
        <w:r w:rsidR="0094762C">
          <w:fldChar w:fldCharType="end"/>
        </w:r>
      </w:hyperlink>
      <w:r w:rsidR="00FF444B">
        <w:t xml:space="preserve"> or conditions which allow </w:t>
      </w:r>
      <w:r w:rsidR="009343C6">
        <w:t xml:space="preserve">reliable </w:t>
      </w:r>
      <w:r w:rsidR="00FF444B">
        <w:t>comparison between countries.</w:t>
      </w:r>
      <w:hyperlink w:anchor="_ENREF_12" w:tooltip="AMIEHS, 2011 #2082" w:history="1">
        <w:r w:rsidR="0094762C">
          <w:fldChar w:fldCharType="begin"/>
        </w:r>
        <w:r w:rsidR="0094762C">
          <w:instrText xml:space="preserve"> ADDIN EN.CITE &lt;EndNote&gt;&lt;Cite&gt;&lt;Author&gt;AMIEHS&lt;/Author&gt;&lt;Year&gt;2011&lt;/Year&gt;&lt;RecNum&gt;2082&lt;/RecNum&gt;&lt;DisplayText&gt;&lt;style face="superscript"&gt;12&lt;/style&gt;&lt;/DisplayText&gt;&lt;record&gt;&lt;rec-number&gt;2082&lt;/rec-number&gt;&lt;foreign-keys&gt;&lt;key app="EN" db-id="rpzwzaaags0r0pe95aixvrsiw02a5psfsd5f" timestamp="1463709035"&gt;2082&lt;/key&gt;&lt;/foreign-keys&gt;&lt;ref-type name="Report"&gt;27&lt;/ref-type&gt;&lt;contributors&gt;&lt;authors&gt;&lt;author&gt;AMIEHS&lt;/author&gt;&lt;/authors&gt;&lt;/contributors&gt;&lt;titles&gt;&lt;title&gt;Avoidable mortality in the European Union: Towards better indicators for the effectiveness of health systems. Volume 1: Final report&lt;/title&gt;&lt;/titles&gt;&lt;dates&gt;&lt;year&gt;2011&lt;/year&gt;&lt;/dates&gt;&lt;urls&gt;&lt;related-urls&gt;&lt;url&gt;http://amiehs.lshtm.ac.uk/publications/&lt;/url&gt;&lt;/related-urls&gt;&lt;/urls&gt;&lt;access-date&gt;20/05/2016&lt;/access-date&gt;&lt;/record&gt;&lt;/Cite&gt;&lt;/EndNote&gt;</w:instrText>
        </w:r>
        <w:r w:rsidR="0094762C">
          <w:fldChar w:fldCharType="separate"/>
        </w:r>
        <w:r w:rsidR="0094762C" w:rsidRPr="0094762C">
          <w:rPr>
            <w:noProof/>
            <w:vertAlign w:val="superscript"/>
          </w:rPr>
          <w:t>12</w:t>
        </w:r>
        <w:r w:rsidR="0094762C">
          <w:fldChar w:fldCharType="end"/>
        </w:r>
      </w:hyperlink>
      <w:r w:rsidR="007736DD">
        <w:t xml:space="preserve"> There are also differences in the way countries report on the indicator, </w:t>
      </w:r>
      <w:r w:rsidR="007E7D17">
        <w:t xml:space="preserve">using either an aggregated indicator or a stratified set of conditions, and reporting </w:t>
      </w:r>
      <w:r w:rsidR="009343C6">
        <w:t xml:space="preserve">deaths as either </w:t>
      </w:r>
      <w:r w:rsidR="007736DD">
        <w:t>mortality rates</w:t>
      </w:r>
      <w:r w:rsidR="001F7507">
        <w:t xml:space="preserve"> or</w:t>
      </w:r>
      <w:r w:rsidR="007736DD">
        <w:t xml:space="preserve"> </w:t>
      </w:r>
      <w:r w:rsidR="009343C6">
        <w:t xml:space="preserve">as </w:t>
      </w:r>
      <w:r w:rsidR="000F62A3">
        <w:t>PYLL</w:t>
      </w:r>
      <w:r w:rsidR="007736DD">
        <w:t xml:space="preserve">. </w:t>
      </w:r>
    </w:p>
    <w:p w14:paraId="0BFE13E2" w14:textId="74099E89" w:rsidR="00301651" w:rsidRDefault="006B39E4" w:rsidP="007B0156">
      <w:r>
        <w:t>T</w:t>
      </w:r>
      <w:r w:rsidR="00D52FE7">
        <w:t xml:space="preserve">here are </w:t>
      </w:r>
      <w:r>
        <w:t xml:space="preserve">also </w:t>
      </w:r>
      <w:r w:rsidR="00D52FE7">
        <w:t>similarities</w:t>
      </w:r>
      <w:r w:rsidR="00FF444B">
        <w:t xml:space="preserve"> </w:t>
      </w:r>
      <w:r>
        <w:t xml:space="preserve">in the use of the indicator </w:t>
      </w:r>
      <w:r w:rsidR="00FF444B">
        <w:t>between countries</w:t>
      </w:r>
      <w:r w:rsidR="00D52FE7">
        <w:t>.</w:t>
      </w:r>
      <w:r w:rsidR="00FF444B">
        <w:t xml:space="preserve"> </w:t>
      </w:r>
      <w:r w:rsidR="007A08D2">
        <w:t xml:space="preserve">Given </w:t>
      </w:r>
      <w:r>
        <w:t xml:space="preserve">that </w:t>
      </w:r>
      <w:r w:rsidR="007A08D2">
        <w:t>a death is a</w:t>
      </w:r>
      <w:r>
        <w:t>n objective (or</w:t>
      </w:r>
      <w:r w:rsidR="007A08D2">
        <w:t xml:space="preserve"> </w:t>
      </w:r>
      <w:r w:rsidR="00EE2FE9">
        <w:t>‘</w:t>
      </w:r>
      <w:r w:rsidR="007A08D2">
        <w:t>hard</w:t>
      </w:r>
      <w:r w:rsidR="00EE2FE9">
        <w:t>’</w:t>
      </w:r>
      <w:r>
        <w:t>)</w:t>
      </w:r>
      <w:r w:rsidR="007A08D2">
        <w:t xml:space="preserve"> outcome</w:t>
      </w:r>
      <w:r>
        <w:t>,</w:t>
      </w:r>
      <w:r w:rsidR="007A08D2">
        <w:t xml:space="preserve"> there are few technical variations in the way the indicator is defined</w:t>
      </w:r>
      <w:r>
        <w:t xml:space="preserve"> other than the causes of death that are included</w:t>
      </w:r>
      <w:r w:rsidR="007A08D2">
        <w:t xml:space="preserve">. </w:t>
      </w:r>
      <w:r w:rsidR="00FF444B">
        <w:t xml:space="preserve">While there have been differences in </w:t>
      </w:r>
      <w:r w:rsidR="004A4EB8">
        <w:t xml:space="preserve">the exact definition of the indicator, such as </w:t>
      </w:r>
      <w:r w:rsidR="00FF444B">
        <w:t>whether older people are included or not</w:t>
      </w:r>
      <w:r w:rsidR="003636AC">
        <w:t>,</w:t>
      </w:r>
      <w:r w:rsidR="007A08D2">
        <w:t xml:space="preserve"> what age cut</w:t>
      </w:r>
      <w:r w:rsidR="007E7D17">
        <w:t>-</w:t>
      </w:r>
      <w:r w:rsidR="007A08D2">
        <w:t xml:space="preserve">off is </w:t>
      </w:r>
      <w:r>
        <w:t>used</w:t>
      </w:r>
      <w:r w:rsidR="003636AC">
        <w:t xml:space="preserve"> (most indicators now exclude people aged over 75 years</w:t>
      </w:r>
      <w:r w:rsidR="004A4EB8">
        <w:t>)</w:t>
      </w:r>
      <w:r w:rsidR="00FF444B">
        <w:t>,</w:t>
      </w:r>
      <w:hyperlink w:anchor="_ENREF_16" w:tooltip="Page, 2006 #2076" w:history="1">
        <w:r w:rsidR="0094762C">
          <w:fldChar w:fldCharType="begin"/>
        </w:r>
        <w:r w:rsidR="0094762C">
          <w:instrText xml:space="preserve"> ADDIN EN.CITE &lt;EndNote&gt;&lt;Cite&gt;&lt;Author&gt;Page&lt;/Author&gt;&lt;Year&gt;2006&lt;/Year&gt;&lt;RecNum&gt;2076&lt;/RecNum&gt;&lt;DisplayText&gt;&lt;style face="superscript"&gt;16&lt;/style&gt;&lt;/DisplayText&gt;&lt;record&gt;&lt;rec-number&gt;2076&lt;/rec-number&gt;&lt;foreign-keys&gt;&lt;key app="EN" db-id="rpzwzaaags0r0pe95aixvrsiw02a5psfsd5f" timestamp="1463706040"&gt;2076&lt;/key&gt;&lt;/foreign-keys&gt;&lt;ref-type name="Report"&gt;27&lt;/ref-type&gt;&lt;contributors&gt;&lt;authors&gt;&lt;author&gt;Page, A&lt;/author&gt;&lt;author&gt;Tobias, M&lt;/author&gt;&lt;author&gt;Glover, J&lt;/author&gt;&lt;author&gt;Wright, C.&lt;/author&gt;&lt;author&gt;Hetzel, D&lt;/author&gt;&lt;author&gt;Fisher, E.&lt;/author&gt;&lt;/authors&gt;&lt;/contributors&gt;&lt;titles&gt;&lt;title&gt;Australian and New Zealand atlas of avoidable mortality&lt;/title&gt;&lt;/titles&gt;&lt;dates&gt;&lt;year&gt;2006&lt;/year&gt;&lt;/dates&gt;&lt;pub-location&gt;Adelaide&lt;/pub-location&gt;&lt;publisher&gt;PHIDU, University of Adelaide.&lt;/publisher&gt;&lt;urls&gt;&lt;/urls&gt;&lt;/record&gt;&lt;/Cite&gt;&lt;/EndNote&gt;</w:instrText>
        </w:r>
        <w:r w:rsidR="0094762C">
          <w:fldChar w:fldCharType="separate"/>
        </w:r>
        <w:r w:rsidR="0094762C" w:rsidRPr="0094762C">
          <w:rPr>
            <w:noProof/>
            <w:vertAlign w:val="superscript"/>
          </w:rPr>
          <w:t>16</w:t>
        </w:r>
        <w:r w:rsidR="0094762C">
          <w:fldChar w:fldCharType="end"/>
        </w:r>
      </w:hyperlink>
      <w:r w:rsidR="004A4EB8">
        <w:t xml:space="preserve"> and whether this cut-off varies between co</w:t>
      </w:r>
      <w:r w:rsidR="003636AC">
        <w:t>nditions</w:t>
      </w:r>
      <w:r w:rsidR="004A4EB8">
        <w:t xml:space="preserve"> (e.g. </w:t>
      </w:r>
      <w:r w:rsidR="0076219D">
        <w:t xml:space="preserve">in Australia </w:t>
      </w:r>
      <w:r w:rsidR="003636AC">
        <w:t>acute lymphoid leukaemia</w:t>
      </w:r>
      <w:r w:rsidR="004A4EB8">
        <w:t xml:space="preserve"> </w:t>
      </w:r>
      <w:r w:rsidR="0076219D">
        <w:t xml:space="preserve">is considered for </w:t>
      </w:r>
      <w:r w:rsidR="003636AC">
        <w:t>people under 45 years only</w:t>
      </w:r>
      <w:r w:rsidR="0076219D">
        <w:t xml:space="preserve">), </w:t>
      </w:r>
      <w:r w:rsidR="007A08D2">
        <w:t xml:space="preserve">most </w:t>
      </w:r>
      <w:r w:rsidR="0090476F">
        <w:t>versions of</w:t>
      </w:r>
      <w:r w:rsidR="001F7D2D">
        <w:t xml:space="preserve"> </w:t>
      </w:r>
      <w:r w:rsidR="007A08D2">
        <w:t>potentially avoidable deaths have a broadly similar scope</w:t>
      </w:r>
      <w:r w:rsidR="004A4EB8">
        <w:t xml:space="preserve"> -</w:t>
      </w:r>
      <w:r w:rsidR="007A08D2">
        <w:t xml:space="preserve"> containing a mix of</w:t>
      </w:r>
      <w:r w:rsidR="001F7D2D">
        <w:t xml:space="preserve"> deaths</w:t>
      </w:r>
      <w:r w:rsidR="007A08D2">
        <w:t xml:space="preserve"> considered</w:t>
      </w:r>
      <w:r w:rsidR="001F7D2D">
        <w:t xml:space="preserve"> </w:t>
      </w:r>
      <w:r w:rsidR="0090476F">
        <w:t xml:space="preserve">‘treatable’ or ‘amenable’ </w:t>
      </w:r>
      <w:r w:rsidR="001F7D2D">
        <w:t xml:space="preserve">through efforts of healthcare services, </w:t>
      </w:r>
      <w:r w:rsidR="0090476F">
        <w:t xml:space="preserve">and </w:t>
      </w:r>
      <w:r w:rsidR="007E7D17">
        <w:t xml:space="preserve">deaths </w:t>
      </w:r>
      <w:r w:rsidR="0090476F">
        <w:t xml:space="preserve">‘preventable’ </w:t>
      </w:r>
      <w:r w:rsidR="00D52FE7">
        <w:t>through primary prevention and</w:t>
      </w:r>
      <w:r w:rsidR="001F7D2D">
        <w:t xml:space="preserve"> broader</w:t>
      </w:r>
      <w:r w:rsidR="00D52FE7">
        <w:t xml:space="preserve"> public health</w:t>
      </w:r>
      <w:r w:rsidR="001F7D2D">
        <w:t xml:space="preserve"> interventions</w:t>
      </w:r>
      <w:r w:rsidR="00D52FE7">
        <w:t xml:space="preserve">. </w:t>
      </w:r>
    </w:p>
    <w:p w14:paraId="10EC4DDF" w14:textId="243F776B" w:rsidR="00301651" w:rsidRPr="007B6E64" w:rsidRDefault="005C01B9" w:rsidP="009343C6">
      <w:r w:rsidRPr="005C01B9">
        <w:t>In Australia</w:t>
      </w:r>
      <w:r w:rsidR="00D52FE7">
        <w:t>,</w:t>
      </w:r>
      <w:r w:rsidRPr="005C01B9">
        <w:t xml:space="preserve"> </w:t>
      </w:r>
      <w:r w:rsidR="00D52FE7">
        <w:t xml:space="preserve">the </w:t>
      </w:r>
      <w:r w:rsidR="007E7D17">
        <w:t xml:space="preserve">first </w:t>
      </w:r>
      <w:r w:rsidR="00D52FE7">
        <w:t xml:space="preserve">use of </w:t>
      </w:r>
      <w:r w:rsidRPr="005C01B9">
        <w:t xml:space="preserve">potentially avoidable deaths </w:t>
      </w:r>
      <w:r w:rsidR="00D52FE7">
        <w:t xml:space="preserve">as a health performance indicator was in the NSW </w:t>
      </w:r>
      <w:r w:rsidR="006B39E4">
        <w:t>C</w:t>
      </w:r>
      <w:r w:rsidR="00D52FE7">
        <w:t xml:space="preserve">hief Health Officer’s reports, </w:t>
      </w:r>
      <w:r w:rsidR="006B39E4" w:rsidRPr="00EE2FE9">
        <w:t xml:space="preserve">commencing in </w:t>
      </w:r>
      <w:r w:rsidR="00E60D86" w:rsidRPr="00EE2FE9">
        <w:t>2002</w:t>
      </w:r>
      <w:r w:rsidR="006B39E4" w:rsidRPr="00EE2FE9">
        <w:t xml:space="preserve">, </w:t>
      </w:r>
      <w:r w:rsidR="007E7D17" w:rsidRPr="00EE2FE9">
        <w:t>using</w:t>
      </w:r>
      <w:r w:rsidR="007E7D17">
        <w:t xml:space="preserve"> </w:t>
      </w:r>
      <w:r w:rsidR="00D52FE7">
        <w:t>methodology developed for New Zealand.</w:t>
      </w:r>
      <w:hyperlink w:anchor="_ENREF_7" w:tooltip="Tobias, 2001 #2072" w:history="1">
        <w:r w:rsidR="0094762C">
          <w:fldChar w:fldCharType="begin">
            <w:fldData xml:space="preserve">PEVuZE5vdGU+PENpdGU+PEF1dGhvcj5Ub2JpYXM8L0F1dGhvcj48WWVhcj4yMDAxPC9ZZWFyPjxS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</w:fldData>
          </w:fldChar>
        </w:r>
        <w:r w:rsidR="0094762C">
          <w:instrText xml:space="preserve"> ADDIN EN.CITE </w:instrText>
        </w:r>
        <w:r w:rsidR="0094762C">
          <w:fldChar w:fldCharType="begin">
            <w:fldData xml:space="preserve">PEVuZE5vdGU+PENpdGU+PEF1dGhvcj5Ub2JpYXM8L0F1dGhvcj48WWVhcj4yMDAxPC9ZZWFyPjxS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</w:fldData>
          </w:fldChar>
        </w:r>
        <w:r w:rsidR="0094762C">
          <w:instrText xml:space="preserve"> ADDIN EN.CITE.DATA </w:instrText>
        </w:r>
        <w:r w:rsidR="0094762C">
          <w:fldChar w:fldCharType="end"/>
        </w:r>
        <w:r w:rsidR="0094762C">
          <w:fldChar w:fldCharType="separate"/>
        </w:r>
        <w:r w:rsidR="0094762C" w:rsidRPr="0094762C">
          <w:rPr>
            <w:noProof/>
            <w:vertAlign w:val="superscript"/>
          </w:rPr>
          <w:t>7</w:t>
        </w:r>
        <w:r w:rsidR="0094762C">
          <w:fldChar w:fldCharType="end"/>
        </w:r>
      </w:hyperlink>
      <w:r w:rsidR="00B07E70">
        <w:t xml:space="preserve"> As the indicator has continued to be used for national performance monitoring, its specifications have been revised and reviewed over time</w:t>
      </w:r>
      <w:r w:rsidR="009343C6">
        <w:t xml:space="preserve">, </w:t>
      </w:r>
      <w:r w:rsidR="009343C6">
        <w:lastRenderedPageBreak/>
        <w:t xml:space="preserve">including updates to account for changes in disease classification and coding, and occasional major reviews which </w:t>
      </w:r>
      <w:r w:rsidR="00B07E70">
        <w:t xml:space="preserve">take into account the current state of clinical care in the Australian health care system and the quality of data </w:t>
      </w:r>
      <w:r w:rsidR="006B39E4">
        <w:t>available</w:t>
      </w:r>
      <w:r w:rsidR="009343C6">
        <w:t xml:space="preserve">. These revisions, undertaken by a panel of clinicians, policymakers and data experts, </w:t>
      </w:r>
      <w:r w:rsidR="00B07E70">
        <w:t xml:space="preserve">ensure that the measure remains relevant to Australian policy priorities, reliable in its measurement, and comparable between regions and over time. </w:t>
      </w:r>
      <w:r w:rsidR="00781D86">
        <w:t>In 2015 the indicator was revised, taking into consideration the findings of a large evidence-based reviews of the indicator specification completed by the European Union</w:t>
      </w:r>
      <w:hyperlink w:anchor="_ENREF_12" w:tooltip="AMIEHS, 2011 #2082" w:history="1">
        <w:r w:rsidR="00781D86">
          <w:fldChar w:fldCharType="begin"/>
        </w:r>
        <w:r w:rsidR="00781D86">
          <w:instrText xml:space="preserve"> ADDIN EN.CITE &lt;EndNote&gt;&lt;Cite&gt;&lt;Author&gt;AMIEHS&lt;/Author&gt;&lt;Year&gt;2011&lt;/Year&gt;&lt;RecNum&gt;2082&lt;/RecNum&gt;&lt;DisplayText&gt;&lt;style face="superscript"&gt;12&lt;/style&gt;&lt;/DisplayText&gt;&lt;record&gt;&lt;rec-number&gt;2082&lt;/rec-number&gt;&lt;foreign-keys&gt;&lt;key app="EN" db-id="rpzwzaaags0r0pe95aixvrsiw02a5psfsd5f" timestamp="1463709035"&gt;2082&lt;/key&gt;&lt;/foreign-keys&gt;&lt;ref-type name="Report"&gt;27&lt;/ref-type&gt;&lt;contributors&gt;&lt;authors&gt;&lt;author&gt;AMIEHS&lt;/author&gt;&lt;/authors&gt;&lt;/contributors&gt;&lt;titles&gt;&lt;title&gt;Avoidable mortality in the European Union: Towards better indicators for the effectiveness of health systems. Volume 1: Final report&lt;/title&gt;&lt;/titles&gt;&lt;dates&gt;&lt;year&gt;2011&lt;/year&gt;&lt;/dates&gt;&lt;urls&gt;&lt;related-urls&gt;&lt;url&gt;http://amiehs.lshtm.ac.uk/publications/&lt;/url&gt;&lt;/related-urls&gt;&lt;/urls&gt;&lt;access-date&gt;20/05/2016&lt;/access-date&gt;&lt;/record&gt;&lt;/Cite&gt;&lt;/EndNote&gt;</w:instrText>
        </w:r>
        <w:r w:rsidR="00781D86">
          <w:fldChar w:fldCharType="separate"/>
        </w:r>
        <w:r w:rsidR="00781D86" w:rsidRPr="0094762C">
          <w:rPr>
            <w:noProof/>
            <w:vertAlign w:val="superscript"/>
          </w:rPr>
          <w:t>12</w:t>
        </w:r>
        <w:r w:rsidR="00781D86">
          <w:fldChar w:fldCharType="end"/>
        </w:r>
      </w:hyperlink>
      <w:r w:rsidR="00781D86">
        <w:t xml:space="preserve"> and New Zealand.</w:t>
      </w:r>
      <w:hyperlink w:anchor="_ENREF_18" w:tooltip="NZMOH, 2010 #2093" w:history="1">
        <w:r w:rsidR="00781D86">
          <w:fldChar w:fldCharType="begin"/>
        </w:r>
        <w:r w:rsidR="00781D86">
          <w:instrText xml:space="preserve"> ADDIN EN.CITE &lt;EndNote&gt;&lt;Cite&gt;&lt;Author&gt;NZMOH&lt;/Author&gt;&lt;Year&gt;2010&lt;/Year&gt;&lt;RecNum&gt;2093&lt;/RecNum&gt;&lt;DisplayText&gt;&lt;style face="superscript"&gt;18&lt;/style&gt;&lt;/DisplayText&gt;&lt;record&gt;&lt;rec-number&gt;2093&lt;/rec-number&gt;&lt;foreign-keys&gt;&lt;key app="EN" db-id="rpzwzaaags0r0pe95aixvrsiw02a5psfsd5f" timestamp="1464142193"&gt;2093&lt;/key&gt;&lt;/foreign-keys&gt;&lt;ref-type name="Report"&gt;27&lt;/ref-type&gt;&lt;contributors&gt;&lt;authors&gt;&lt;author&gt;NZMOH&lt;/author&gt;&lt;/authors&gt;&lt;/contributors&gt;&lt;titles&gt;&lt;title&gt;Saving Lives: Amenable Mortality in New Zealand, 1996–2006&lt;/title&gt;&lt;/titles&gt;&lt;dates&gt;&lt;year&gt;2010&lt;/year&gt;&lt;/dates&gt;&lt;pub-location&gt;Wellington&lt;/pub-location&gt;&lt;publisher&gt;New Zealand Ministry of Health&lt;/publisher&gt;&lt;urls&gt;&lt;/urls&gt;&lt;/record&gt;&lt;/Cite&gt;&lt;/EndNote&gt;</w:instrText>
        </w:r>
        <w:r w:rsidR="00781D86">
          <w:fldChar w:fldCharType="separate"/>
        </w:r>
        <w:r w:rsidR="00781D86" w:rsidRPr="004F25B5">
          <w:rPr>
            <w:noProof/>
            <w:vertAlign w:val="superscript"/>
          </w:rPr>
          <w:t>18</w:t>
        </w:r>
        <w:r w:rsidR="00781D86">
          <w:fldChar w:fldCharType="end"/>
        </w:r>
      </w:hyperlink>
      <w:r w:rsidR="00781D86">
        <w:t xml:space="preserve"> Conditions were reviewed according to both the relative volume of deaths and the presence of contemporary interventions shown to be capable of reducing mortality within 5 years, and the indicator no longer categorises deaths as either ‘preventable’ or ‘treatable’, as preventive and therapeutic health interventions both play a role in preventing deaths for many of the conditions within the indicator.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volution of PADs"/>
        <w:tblDescription w:val="Summary of the evolution of PADs"/>
      </w:tblPr>
      <w:tblGrid>
        <w:gridCol w:w="9242"/>
      </w:tblGrid>
      <w:tr w:rsidR="003F62D8" w:rsidRPr="009A7B8D" w14:paraId="12DD086C" w14:textId="77777777" w:rsidTr="008211F5">
        <w:tc>
          <w:tcPr>
            <w:tcW w:w="9242" w:type="dxa"/>
            <w:shd w:val="clear" w:color="auto" w:fill="79A8AC"/>
          </w:tcPr>
          <w:p w14:paraId="5C71BFEF" w14:textId="3486ADDB" w:rsidR="003F62D8" w:rsidRPr="009A7B8D" w:rsidRDefault="00B84EEA" w:rsidP="00AF2823">
            <w:pPr>
              <w:pStyle w:val="NoSpacing"/>
              <w:spacing w:before="120" w:after="120"/>
              <w:rPr>
                <w:b/>
                <w:color w:val="FFFFFF" w:themeColor="background1"/>
                <w:sz w:val="26"/>
                <w:szCs w:val="26"/>
              </w:rPr>
            </w:pPr>
            <w:r>
              <w:rPr>
                <w:b/>
                <w:color w:val="FFFFFF" w:themeColor="background1"/>
                <w:sz w:val="26"/>
                <w:szCs w:val="26"/>
              </w:rPr>
              <w:t xml:space="preserve">Box 1: </w:t>
            </w:r>
            <w:r w:rsidR="00450AED">
              <w:rPr>
                <w:b/>
                <w:color w:val="FFFFFF" w:themeColor="background1"/>
                <w:sz w:val="26"/>
                <w:szCs w:val="26"/>
              </w:rPr>
              <w:t>Evolution</w:t>
            </w:r>
            <w:r w:rsidR="003F62D8">
              <w:rPr>
                <w:b/>
                <w:color w:val="FFFFFF" w:themeColor="background1"/>
                <w:sz w:val="26"/>
                <w:szCs w:val="26"/>
              </w:rPr>
              <w:t xml:space="preserve"> of potentially </w:t>
            </w:r>
            <w:r w:rsidR="00AF2823">
              <w:rPr>
                <w:b/>
                <w:color w:val="FFFFFF" w:themeColor="background1"/>
                <w:sz w:val="26"/>
                <w:szCs w:val="26"/>
              </w:rPr>
              <w:t>avoidable deaths</w:t>
            </w:r>
          </w:p>
        </w:tc>
      </w:tr>
      <w:tr w:rsidR="003F62D8" w:rsidRPr="009A7B8D" w14:paraId="2190F8A9" w14:textId="77777777" w:rsidTr="008211F5">
        <w:tc>
          <w:tcPr>
            <w:tcW w:w="9242" w:type="dxa"/>
            <w:shd w:val="clear" w:color="auto" w:fill="D9E6E7"/>
          </w:tcPr>
          <w:p w14:paraId="0E2E76D4" w14:textId="3013F16B" w:rsidR="003F62D8" w:rsidRDefault="003258EA" w:rsidP="00B84EEA">
            <w:pPr>
              <w:pStyle w:val="ListParagraph"/>
              <w:numPr>
                <w:ilvl w:val="0"/>
                <w:numId w:val="15"/>
              </w:numPr>
              <w:spacing w:before="120" w:after="120" w:line="276" w:lineRule="auto"/>
            </w:pPr>
            <w:r>
              <w:t>Initially developed in the US</w:t>
            </w:r>
            <w:r w:rsidR="002D5B91">
              <w:t xml:space="preserve"> in </w:t>
            </w:r>
            <w:r>
              <w:t xml:space="preserve">the </w:t>
            </w:r>
            <w:r w:rsidR="002D5B91">
              <w:t>1970s</w:t>
            </w:r>
            <w:r>
              <w:t xml:space="preserve">, a number of versions of the indicator have since been developed to allow monitoring </w:t>
            </w:r>
            <w:r w:rsidR="006B39E4">
              <w:t xml:space="preserve">at the level of </w:t>
            </w:r>
            <w:r>
              <w:t>a country, or comparison between countries.</w:t>
            </w:r>
          </w:p>
          <w:p w14:paraId="29635180" w14:textId="684AA0A3" w:rsidR="002D5B91" w:rsidRDefault="00193CEC" w:rsidP="00B84EEA">
            <w:pPr>
              <w:pStyle w:val="ListParagraph"/>
              <w:numPr>
                <w:ilvl w:val="0"/>
                <w:numId w:val="15"/>
              </w:numPr>
              <w:spacing w:before="120" w:after="120" w:line="276" w:lineRule="auto"/>
            </w:pPr>
            <w:r>
              <w:t>The indicator is c</w:t>
            </w:r>
            <w:r w:rsidR="003258EA">
              <w:t xml:space="preserve">omprised of a number of causes of death, including those </w:t>
            </w:r>
            <w:r>
              <w:t>potentially treatable through</w:t>
            </w:r>
            <w:r w:rsidR="003258EA">
              <w:t xml:space="preserve"> therapeutic intervention</w:t>
            </w:r>
            <w:r w:rsidR="005B43DC">
              <w:t>s</w:t>
            </w:r>
            <w:r w:rsidR="003258EA">
              <w:t xml:space="preserve">, </w:t>
            </w:r>
            <w:r>
              <w:t xml:space="preserve">as well as </w:t>
            </w:r>
            <w:r w:rsidR="003258EA">
              <w:t xml:space="preserve">those </w:t>
            </w:r>
            <w:r>
              <w:t xml:space="preserve">potentially </w:t>
            </w:r>
            <w:r w:rsidR="003258EA">
              <w:t xml:space="preserve">preventable through </w:t>
            </w:r>
            <w:r>
              <w:t>broader public health interventions.</w:t>
            </w:r>
            <w:r w:rsidR="003258EA">
              <w:t xml:space="preserve"> </w:t>
            </w:r>
          </w:p>
          <w:p w14:paraId="3B6B61BA" w14:textId="53C34D78" w:rsidR="002D5B91" w:rsidRPr="00AF2823" w:rsidRDefault="002E1B5A" w:rsidP="00B84EEA">
            <w:pPr>
              <w:pStyle w:val="ListParagraph"/>
              <w:numPr>
                <w:ilvl w:val="0"/>
                <w:numId w:val="15"/>
              </w:numPr>
              <w:spacing w:before="120" w:after="120" w:line="276" w:lineRule="auto"/>
              <w:rPr>
                <w:rFonts w:ascii="Arial" w:hAnsi="Arial" w:cs="Arial"/>
              </w:rPr>
            </w:pPr>
            <w:r>
              <w:t>On several occasions, t</w:t>
            </w:r>
            <w:r w:rsidR="00B107B2" w:rsidRPr="00F4253B">
              <w:t xml:space="preserve">he conditions included in the Australian indicator </w:t>
            </w:r>
            <w:r w:rsidR="00850BC5">
              <w:t xml:space="preserve">have been </w:t>
            </w:r>
            <w:r w:rsidR="00B107B2" w:rsidRPr="00F4253B">
              <w:t>reviewed and revised by an expert committee</w:t>
            </w:r>
            <w:r w:rsidR="00850BC5">
              <w:t xml:space="preserve"> </w:t>
            </w:r>
            <w:r w:rsidR="00B107B2" w:rsidRPr="00F4253B">
              <w:t>to ensure they remain reliable and relevant for monitoring performance of the Australian health care system</w:t>
            </w:r>
            <w:r w:rsidR="00762967">
              <w:t>.</w:t>
            </w:r>
          </w:p>
        </w:tc>
      </w:tr>
    </w:tbl>
    <w:p w14:paraId="51A027F0" w14:textId="77777777" w:rsidR="003F62D8" w:rsidRDefault="003F62D8" w:rsidP="003F62D8"/>
    <w:p w14:paraId="3D2D6636" w14:textId="77777777" w:rsidR="00781D86" w:rsidRDefault="00781D86" w:rsidP="003F62D8"/>
    <w:p w14:paraId="582BED22" w14:textId="0B0C3502" w:rsidR="00664762" w:rsidRDefault="00664762">
      <w:pPr>
        <w:spacing w:after="200"/>
        <w:rPr>
          <w:rFonts w:asciiTheme="minorHAnsi" w:eastAsiaTheme="majorEastAsia" w:hAnsiTheme="minorHAnsi" w:cstheme="minorHAnsi"/>
          <w:b/>
          <w:bCs/>
          <w:sz w:val="26"/>
          <w:szCs w:val="26"/>
        </w:rPr>
      </w:pPr>
    </w:p>
    <w:p w14:paraId="1FA6E63E" w14:textId="77777777" w:rsidR="008B0581" w:rsidRDefault="008B0581">
      <w:pPr>
        <w:spacing w:after="200"/>
        <w:rPr>
          <w:rFonts w:asciiTheme="minorHAnsi" w:eastAsiaTheme="majorEastAsia" w:hAnsiTheme="minorHAnsi" w:cstheme="minorHAnsi"/>
          <w:b/>
          <w:bCs/>
          <w:sz w:val="26"/>
          <w:szCs w:val="26"/>
        </w:rPr>
      </w:pPr>
      <w:r>
        <w:br w:type="page"/>
      </w:r>
    </w:p>
    <w:p w14:paraId="28350EB7" w14:textId="5D181408" w:rsidR="007B0156" w:rsidRDefault="00AA07F8" w:rsidP="00276086">
      <w:pPr>
        <w:pStyle w:val="Heading2"/>
      </w:pPr>
      <w:bookmarkStart w:id="10" w:name="_Toc474329557"/>
      <w:r>
        <w:lastRenderedPageBreak/>
        <w:t>2</w:t>
      </w:r>
      <w:r w:rsidR="00664762">
        <w:t xml:space="preserve">.2 </w:t>
      </w:r>
      <w:r w:rsidR="00EB1961">
        <w:t>Strengths and l</w:t>
      </w:r>
      <w:r w:rsidR="00276086">
        <w:t xml:space="preserve">imitations </w:t>
      </w:r>
      <w:r w:rsidR="00664762">
        <w:t xml:space="preserve">as a health performance </w:t>
      </w:r>
      <w:r w:rsidR="00276086">
        <w:t>indicator</w:t>
      </w:r>
      <w:bookmarkEnd w:id="10"/>
      <w:r w:rsidR="00276086">
        <w:t xml:space="preserve"> </w:t>
      </w:r>
    </w:p>
    <w:p w14:paraId="02F13824" w14:textId="6AA8FF82" w:rsidR="00BE1DB0" w:rsidRDefault="007A1CAC" w:rsidP="008B0581">
      <w:r>
        <w:t>A key strength</w:t>
      </w:r>
      <w:r w:rsidR="008B0581">
        <w:t xml:space="preserve"> of the potentially avoidable deaths indicator is the ease </w:t>
      </w:r>
      <w:r w:rsidR="00015D2D">
        <w:t xml:space="preserve">with </w:t>
      </w:r>
      <w:r w:rsidR="008B0581">
        <w:t>which it can be calculated using routinely collected mortality data</w:t>
      </w:r>
      <w:r w:rsidR="008D4996">
        <w:t xml:space="preserve">, which is </w:t>
      </w:r>
      <w:r w:rsidR="008B0581">
        <w:t>widely available</w:t>
      </w:r>
      <w:r w:rsidR="00C35FBD">
        <w:t xml:space="preserve"> in many countries </w:t>
      </w:r>
      <w:r w:rsidR="008B0581">
        <w:t>to both policymakers and researchers</w:t>
      </w:r>
      <w:r w:rsidR="00572CEC">
        <w:t xml:space="preserve"> at a variety of jurisdictional levels</w:t>
      </w:r>
      <w:r w:rsidR="008D4996">
        <w:t xml:space="preserve">. </w:t>
      </w:r>
      <w:r w:rsidR="00AF48CA">
        <w:t>Given death is a</w:t>
      </w:r>
      <w:r w:rsidR="006B39E4">
        <w:t>n objective</w:t>
      </w:r>
      <w:r w:rsidR="00725843">
        <w:t xml:space="preserve"> outcome</w:t>
      </w:r>
      <w:r w:rsidR="00EC4FD3">
        <w:t xml:space="preserve">, the data in scope of the potentially avoidable death indicator is </w:t>
      </w:r>
      <w:r w:rsidR="000C7242">
        <w:t xml:space="preserve">also </w:t>
      </w:r>
      <w:r w:rsidR="00EC4FD3">
        <w:t>less variable</w:t>
      </w:r>
      <w:r w:rsidR="003452E6">
        <w:t xml:space="preserve"> </w:t>
      </w:r>
      <w:r w:rsidR="00EC4FD3">
        <w:t xml:space="preserve">than data used to calculate some </w:t>
      </w:r>
      <w:r w:rsidR="003452E6">
        <w:t xml:space="preserve">other </w:t>
      </w:r>
      <w:r w:rsidR="00AA1DD7">
        <w:t xml:space="preserve">health </w:t>
      </w:r>
      <w:r w:rsidR="003452E6">
        <w:t xml:space="preserve">performance </w:t>
      </w:r>
      <w:r w:rsidR="00AA1DD7">
        <w:t>indicators</w:t>
      </w:r>
      <w:r w:rsidR="000C7242">
        <w:t>,</w:t>
      </w:r>
      <w:r w:rsidR="00AA1DD7">
        <w:t xml:space="preserve"> such as potentially preventable hospitalisations</w:t>
      </w:r>
      <w:r w:rsidR="00725843">
        <w:t>, where records in scope may vary across jurisdictions because of variation</w:t>
      </w:r>
      <w:r w:rsidR="00675354">
        <w:t>s</w:t>
      </w:r>
      <w:r w:rsidR="00725843">
        <w:t xml:space="preserve"> in </w:t>
      </w:r>
      <w:r w:rsidR="00675354">
        <w:t xml:space="preserve">hospital coding and </w:t>
      </w:r>
      <w:r w:rsidR="00725843">
        <w:t>admission</w:t>
      </w:r>
      <w:r w:rsidR="00015D2D">
        <w:t xml:space="preserve"> practices</w:t>
      </w:r>
      <w:r w:rsidR="00AA1DD7">
        <w:t xml:space="preserve">. </w:t>
      </w:r>
      <w:r w:rsidR="00301BD3">
        <w:t xml:space="preserve"> </w:t>
      </w:r>
    </w:p>
    <w:p w14:paraId="4CD27C51" w14:textId="625CB6CA" w:rsidR="006351F3" w:rsidRDefault="00CB61D1" w:rsidP="008B0581">
      <w:r>
        <w:t>As the potentially avoidable deaths i</w:t>
      </w:r>
      <w:r w:rsidR="006322CE">
        <w:t xml:space="preserve">ndicator contains a range of causes of death, </w:t>
      </w:r>
      <w:r w:rsidR="003452E6">
        <w:t xml:space="preserve">such as </w:t>
      </w:r>
      <w:r w:rsidR="00E20FF9">
        <w:t>those due to cancers, infections, chronic diseases, injuries and poisonings,</w:t>
      </w:r>
      <w:r w:rsidR="006322CE">
        <w:t xml:space="preserve"> it also a</w:t>
      </w:r>
      <w:r w:rsidR="006351F3">
        <w:t xml:space="preserve">llows </w:t>
      </w:r>
      <w:r w:rsidR="006B39E4">
        <w:t>multiple</w:t>
      </w:r>
      <w:r w:rsidR="006351F3">
        <w:t xml:space="preserve"> facets of the health care system to be investigated</w:t>
      </w:r>
      <w:r w:rsidR="006322CE">
        <w:t>, such as the delivery of care</w:t>
      </w:r>
      <w:r w:rsidR="009210C3">
        <w:t xml:space="preserve"> in different settings</w:t>
      </w:r>
      <w:r w:rsidR="006322CE">
        <w:t>.</w:t>
      </w:r>
      <w:hyperlink w:anchor="_ENREF_16" w:tooltip="Page, 2006 #2076" w:history="1">
        <w:r w:rsidR="0094762C">
          <w:fldChar w:fldCharType="begin"/>
        </w:r>
        <w:r w:rsidR="0094762C">
          <w:instrText xml:space="preserve"> ADDIN EN.CITE &lt;EndNote&gt;&lt;Cite&gt;&lt;Author&gt;Page&lt;/Author&gt;&lt;Year&gt;2006&lt;/Year&gt;&lt;RecNum&gt;2076&lt;/RecNum&gt;&lt;DisplayText&gt;&lt;style face="superscript"&gt;16&lt;/style&gt;&lt;/DisplayText&gt;&lt;record&gt;&lt;rec-number&gt;2076&lt;/rec-number&gt;&lt;foreign-keys&gt;&lt;key app="EN" db-id="rpzwzaaags0r0pe95aixvrsiw02a5psfsd5f" timestamp="1463706040"&gt;2076&lt;/key&gt;&lt;/foreign-keys&gt;&lt;ref-type name="Report"&gt;27&lt;/ref-type&gt;&lt;contributors&gt;&lt;authors&gt;&lt;author&gt;Page, A&lt;/author&gt;&lt;author&gt;Tobias, M&lt;/author&gt;&lt;author&gt;Glover, J&lt;/author&gt;&lt;author&gt;Wright, C.&lt;/author&gt;&lt;author&gt;Hetzel, D&lt;/author&gt;&lt;author&gt;Fisher, E.&lt;/author&gt;&lt;/authors&gt;&lt;/contributors&gt;&lt;titles&gt;&lt;title&gt;Australian and New Zealand atlas of avoidable mortality&lt;/title&gt;&lt;/titles&gt;&lt;dates&gt;&lt;year&gt;2006&lt;/year&gt;&lt;/dates&gt;&lt;pub-location&gt;Adelaide&lt;/pub-location&gt;&lt;publisher&gt;PHIDU, University of Adelaide.&lt;/publisher&gt;&lt;urls&gt;&lt;/urls&gt;&lt;/record&gt;&lt;/Cite&gt;&lt;/EndNote&gt;</w:instrText>
        </w:r>
        <w:r w:rsidR="0094762C">
          <w:fldChar w:fldCharType="separate"/>
        </w:r>
        <w:r w:rsidR="0094762C" w:rsidRPr="0094762C">
          <w:rPr>
            <w:noProof/>
            <w:vertAlign w:val="superscript"/>
          </w:rPr>
          <w:t>16</w:t>
        </w:r>
        <w:r w:rsidR="0094762C">
          <w:fldChar w:fldCharType="end"/>
        </w:r>
      </w:hyperlink>
      <w:r w:rsidR="006322CE">
        <w:t xml:space="preserve"> </w:t>
      </w:r>
    </w:p>
    <w:p w14:paraId="3FEF2CF8" w14:textId="47685C73" w:rsidR="00C96C10" w:rsidRDefault="006351F3" w:rsidP="007B0156">
      <w:r>
        <w:t>A key limitation</w:t>
      </w:r>
      <w:r w:rsidR="00E20FF9">
        <w:t xml:space="preserve"> </w:t>
      </w:r>
      <w:r w:rsidR="000B52CA">
        <w:t xml:space="preserve">of the indicator </w:t>
      </w:r>
      <w:r w:rsidR="00E20FF9">
        <w:t xml:space="preserve">is </w:t>
      </w:r>
      <w:r w:rsidR="000B52CA">
        <w:t xml:space="preserve">that the scope of </w:t>
      </w:r>
      <w:r w:rsidR="00BE1DB0">
        <w:t xml:space="preserve">causes of death included </w:t>
      </w:r>
      <w:r w:rsidR="006B39E4">
        <w:t xml:space="preserve">is </w:t>
      </w:r>
      <w:r w:rsidR="00AF48CA">
        <w:t xml:space="preserve">not always </w:t>
      </w:r>
      <w:r w:rsidR="00BE1DB0">
        <w:t>consisten</w:t>
      </w:r>
      <w:r w:rsidR="00AF48CA">
        <w:t>t</w:t>
      </w:r>
      <w:r w:rsidR="00BE1DB0">
        <w:t xml:space="preserve"> over time and between countries. Most versions of the indicator can be traced back to a </w:t>
      </w:r>
      <w:r w:rsidR="003452E6">
        <w:t xml:space="preserve">set of </w:t>
      </w:r>
      <w:r w:rsidR="00BE1DB0">
        <w:t>common source</w:t>
      </w:r>
      <w:r w:rsidR="003452E6">
        <w:t>s</w:t>
      </w:r>
      <w:r w:rsidR="00BE1DB0">
        <w:t>.</w:t>
      </w:r>
      <w:hyperlink w:anchor="_ENREF_15" w:tooltip="Nolte, 2004 #2075" w:history="1">
        <w:r w:rsidR="0094762C">
          <w:fldChar w:fldCharType="begin"/>
        </w:r>
        <w:r w:rsidR="0094762C">
          <w:instrText xml:space="preserve"> ADDIN EN.CITE &lt;EndNote&gt;&lt;Cite&gt;&lt;Author&gt;Nolte&lt;/Author&gt;&lt;Year&gt;2004&lt;/Year&gt;&lt;RecNum&gt;2075&lt;/RecNum&gt;&lt;DisplayText&gt;&lt;style face="superscript"&gt;15&lt;/style&gt;&lt;/DisplayText&gt;&lt;record&gt;&lt;rec-number&gt;2075&lt;/rec-number&gt;&lt;foreign-keys&gt;&lt;key app="EN" db-id="rpzwzaaags0r0pe95aixvrsiw02a5psfsd5f" timestamp="1463705734"&gt;2075&lt;/key&gt;&lt;/foreign-keys&gt;&lt;ref-type name="Report"&gt;27&lt;/ref-type&gt;&lt;contributors&gt;&lt;authors&gt;&lt;author&gt;Nolte, E.&lt;/author&gt;&lt;author&gt;McKee, M.&lt;/author&gt;&lt;/authors&gt;&lt;/contributors&gt;&lt;titles&gt;&lt;title&gt;Does health care save lives? Avoidable mortality revisited&lt;/title&gt;&lt;/titles&gt;&lt;dates&gt;&lt;year&gt;2004&lt;/year&gt;&lt;/dates&gt;&lt;pub-location&gt;London&lt;/pub-location&gt;&lt;publisher&gt;The Nuffield Trust&lt;/publisher&gt;&lt;urls&gt;&lt;/urls&gt;&lt;/record&gt;&lt;/Cite&gt;&lt;/EndNote&gt;</w:instrText>
        </w:r>
        <w:r w:rsidR="0094762C">
          <w:fldChar w:fldCharType="separate"/>
        </w:r>
        <w:r w:rsidR="0094762C" w:rsidRPr="0094762C">
          <w:rPr>
            <w:noProof/>
            <w:vertAlign w:val="superscript"/>
          </w:rPr>
          <w:t>15</w:t>
        </w:r>
        <w:r w:rsidR="0094762C">
          <w:fldChar w:fldCharType="end"/>
        </w:r>
      </w:hyperlink>
      <w:r w:rsidR="00BE1DB0">
        <w:t xml:space="preserve"> However, the</w:t>
      </w:r>
      <w:r w:rsidR="00AF48CA">
        <w:t xml:space="preserve"> indicator is defined to reflect deaths </w:t>
      </w:r>
      <w:r w:rsidR="00015D2D">
        <w:t xml:space="preserve">that </w:t>
      </w:r>
      <w:r w:rsidR="00AF48CA">
        <w:t xml:space="preserve">are avoidable given the current state of a healthcare system, </w:t>
      </w:r>
      <w:r w:rsidR="00AA1DD7">
        <w:t>and by necessity require</w:t>
      </w:r>
      <w:r w:rsidR="00C35FBD">
        <w:t>s</w:t>
      </w:r>
      <w:r w:rsidR="00AA1DD7">
        <w:t xml:space="preserve"> review and modification in </w:t>
      </w:r>
      <w:r w:rsidR="006B39E4">
        <w:t xml:space="preserve">the </w:t>
      </w:r>
      <w:r w:rsidR="00AA1DD7">
        <w:t xml:space="preserve">context of the healthcare system </w:t>
      </w:r>
      <w:r w:rsidR="006B39E4">
        <w:t xml:space="preserve">at </w:t>
      </w:r>
      <w:r w:rsidR="00B72B27">
        <w:t xml:space="preserve">the time </w:t>
      </w:r>
      <w:r w:rsidR="00AA1DD7">
        <w:t xml:space="preserve">in which it is being </w:t>
      </w:r>
      <w:r w:rsidR="00B72B27">
        <w:t xml:space="preserve">measured. </w:t>
      </w:r>
      <w:r w:rsidR="003452E6">
        <w:t>For example, t</w:t>
      </w:r>
      <w:r w:rsidR="00B72B27">
        <w:t xml:space="preserve">he development of new treatments and interventions mean that </w:t>
      </w:r>
      <w:r w:rsidR="007A1CAC">
        <w:t xml:space="preserve">an </w:t>
      </w:r>
      <w:r w:rsidR="00B72B27">
        <w:t xml:space="preserve">avoidable cause of death </w:t>
      </w:r>
      <w:r w:rsidR="006B39E4">
        <w:t>to</w:t>
      </w:r>
      <w:r w:rsidR="00B72B27">
        <w:t>day</w:t>
      </w:r>
      <w:r w:rsidR="00970D87">
        <w:t>, such as HIV/AIDS or colorectal cancer,</w:t>
      </w:r>
      <w:r w:rsidR="00B72B27">
        <w:t xml:space="preserve"> may not </w:t>
      </w:r>
      <w:r w:rsidR="007A1CAC">
        <w:t xml:space="preserve">have been avoidable </w:t>
      </w:r>
      <w:r w:rsidR="00B72B27">
        <w:t xml:space="preserve">ten </w:t>
      </w:r>
      <w:r w:rsidR="008A0A62">
        <w:t xml:space="preserve">or twenty </w:t>
      </w:r>
      <w:r w:rsidR="005F423E">
        <w:t>years</w:t>
      </w:r>
      <w:r w:rsidR="00B72B27">
        <w:t xml:space="preserve"> earlier</w:t>
      </w:r>
      <w:r w:rsidR="008A0A62">
        <w:t>,</w:t>
      </w:r>
      <w:r w:rsidR="007A1CAC">
        <w:t xml:space="preserve"> making comparisons over time difficult.</w:t>
      </w:r>
      <w:r w:rsidR="003452E6">
        <w:t xml:space="preserve"> </w:t>
      </w:r>
    </w:p>
    <w:p w14:paraId="2286BD2C" w14:textId="67D3B1E7" w:rsidR="00B72B27" w:rsidRDefault="00890187" w:rsidP="007B0156">
      <w:r>
        <w:t xml:space="preserve">Comparisons between countries or long-term trends over time </w:t>
      </w:r>
      <w:r w:rsidR="000B52CA">
        <w:t xml:space="preserve">within countries </w:t>
      </w:r>
      <w:r>
        <w:t>may be further influenced by the use of different disease coding systems (e.g.</w:t>
      </w:r>
      <w:r w:rsidR="00C46680">
        <w:t xml:space="preserve"> International Classification of Diseases versions 9 and 10) which </w:t>
      </w:r>
      <w:r w:rsidR="000B52CA">
        <w:t>code</w:t>
      </w:r>
      <w:r w:rsidR="00C46680">
        <w:t xml:space="preserve"> conditions in different ways</w:t>
      </w:r>
      <w:r w:rsidR="008A0A62">
        <w:t xml:space="preserve">, and changes in disease coding technology, such as </w:t>
      </w:r>
      <w:r w:rsidR="00970D87">
        <w:t xml:space="preserve">the introduction of </w:t>
      </w:r>
      <w:r w:rsidR="008A0A62">
        <w:t>automated coding</w:t>
      </w:r>
      <w:r w:rsidR="000B52CA">
        <w:t>.</w:t>
      </w:r>
      <w:hyperlink w:anchor="_ENREF_22" w:tooltip="ABS, 2015 #2126" w:history="1">
        <w:r w:rsidR="0094762C">
          <w:fldChar w:fldCharType="begin"/>
        </w:r>
        <w:r w:rsidR="0094762C">
          <w:instrText xml:space="preserve"> ADDIN EN.CITE &lt;EndNote&gt;&lt;Cite&gt;&lt;Author&gt;ABS&lt;/Author&gt;&lt;Year&gt;2015&lt;/Year&gt;&lt;RecNum&gt;2126&lt;/RecNum&gt;&lt;DisplayText&gt;&lt;style face="superscript"&gt;22&lt;/style&gt;&lt;/DisplayText&gt;&lt;record&gt;&lt;rec-number&gt;2126&lt;/rec-number&gt;&lt;foreign-keys&gt;&lt;key app="EN" db-id="rpzwzaaags0r0pe95aixvrsiw02a5psfsd5f" timestamp="1466571438"&gt;2126&lt;/key&gt;&lt;/foreign-keys&gt;&lt;ref-type name="Web Page"&gt;12&lt;/ref-type&gt;&lt;contributors&gt;&lt;authors&gt;&lt;author&gt;ABS&lt;/author&gt;&lt;/authors&gt;&lt;/contributors&gt;&lt;titles&gt;&lt;title&gt;3303.0 - Causes of death, Australia, 2013, Technical Note 1&lt;/title&gt;&lt;/titles&gt;&lt;dates&gt;&lt;year&gt;2015&lt;/year&gt;&lt;/dates&gt;&lt;urls&gt;&lt;related-urls&gt;&lt;url&gt;http://www.abs.gov.au/ausstats/abs@.nsf/Lookup/3303.0Technical+Note12013&lt;/url&gt;&lt;/related-urls&gt;&lt;/urls&gt;&lt;custom2&gt;16/06/2016&lt;/custom2&gt;&lt;/record&gt;&lt;/Cite&gt;&lt;/EndNote&gt;</w:instrText>
        </w:r>
        <w:r w:rsidR="0094762C">
          <w:fldChar w:fldCharType="separate"/>
        </w:r>
        <w:r w:rsidR="0094762C" w:rsidRPr="0094762C">
          <w:rPr>
            <w:noProof/>
            <w:vertAlign w:val="superscript"/>
          </w:rPr>
          <w:t>22</w:t>
        </w:r>
        <w:r w:rsidR="0094762C">
          <w:fldChar w:fldCharType="end"/>
        </w:r>
      </w:hyperlink>
      <w:r w:rsidR="000B52CA">
        <w:t xml:space="preserve"> Furthermore,</w:t>
      </w:r>
      <w:r w:rsidR="00B77533">
        <w:t xml:space="preserve"> </w:t>
      </w:r>
      <w:r w:rsidR="000B52CA">
        <w:t xml:space="preserve">some cause of death </w:t>
      </w:r>
      <w:r w:rsidR="00C46680">
        <w:t>data</w:t>
      </w:r>
      <w:r w:rsidR="000B52CA">
        <w:t xml:space="preserve"> in Australia </w:t>
      </w:r>
      <w:r w:rsidR="008A0A62">
        <w:t>are</w:t>
      </w:r>
      <w:r w:rsidR="000B52CA">
        <w:t xml:space="preserve"> retrospectively update</w:t>
      </w:r>
      <w:r w:rsidR="00551EEC">
        <w:t>d to reflect the findings of subsequent coronial investigations</w:t>
      </w:r>
      <w:r w:rsidR="008A0A62">
        <w:t>, and</w:t>
      </w:r>
      <w:r w:rsidR="00551EEC">
        <w:t xml:space="preserve"> could affect the total number of potentially avoidable deaths in a year and/or the number of deaths in some conditions. These changes are most likely to affect data on potentially avoidable deaths related to external causes of morbidity and mortality, such as suicide</w:t>
      </w:r>
      <w:r w:rsidR="00EE2FE9">
        <w:t>.</w:t>
      </w:r>
      <w:hyperlink w:anchor="_ENREF_23" w:tooltip="ABS, 2015 #2095" w:history="1">
        <w:r w:rsidR="0094762C">
          <w:fldChar w:fldCharType="begin"/>
        </w:r>
        <w:r w:rsidR="0094762C">
          <w:instrText xml:space="preserve"> ADDIN EN.CITE &lt;EndNote&gt;&lt;Cite&gt;&lt;Author&gt;ABS&lt;/Author&gt;&lt;Year&gt;2015&lt;/Year&gt;&lt;RecNum&gt;2095&lt;/RecNum&gt;&lt;DisplayText&gt;&lt;style face="superscript"&gt;23&lt;/style&gt;&lt;/DisplayText&gt;&lt;record&gt;&lt;rec-number&gt;2095&lt;/rec-number&gt;&lt;foreign-keys&gt;&lt;key app="EN" db-id="rpzwzaaags0r0pe95aixvrsiw02a5psfsd5f" timestamp="1464325346"&gt;2095&lt;/key&gt;&lt;/foreign-keys&gt;&lt;ref-type name="Web Page"&gt;12&lt;/ref-type&gt;&lt;contributors&gt;&lt;authors&gt;&lt;author&gt;ABS&lt;/author&gt;&lt;/authors&gt;&lt;/contributors&gt;&lt;titles&gt;&lt;title&gt;3303.0 - Causes of death, Australia, 2013, Suicides&lt;/title&gt;&lt;/titles&gt;&lt;dates&gt;&lt;year&gt;2015&lt;/year&gt;&lt;/dates&gt;&lt;urls&gt;&lt;related-urls&gt;&lt;url&gt;http://www.abs.gov.au/ausstats/abs@.nsf/Lookup/by%20Subject/3303.0~2013~Main%20Features~Suicides~10004&lt;/url&gt;&lt;/related-urls&gt;&lt;/urls&gt;&lt;access-date&gt;27/05/2016&lt;/access-date&gt;&lt;/record&gt;&lt;/Cite&gt;&lt;/EndNote&gt;</w:instrText>
        </w:r>
        <w:r w:rsidR="0094762C">
          <w:fldChar w:fldCharType="separate"/>
        </w:r>
        <w:r w:rsidR="0094762C" w:rsidRPr="0094762C">
          <w:rPr>
            <w:noProof/>
            <w:vertAlign w:val="superscript"/>
          </w:rPr>
          <w:t>23</w:t>
        </w:r>
        <w:r w:rsidR="0094762C">
          <w:fldChar w:fldCharType="end"/>
        </w:r>
      </w:hyperlink>
      <w:r w:rsidR="00C46680">
        <w:t xml:space="preserve"> </w:t>
      </w:r>
    </w:p>
    <w:p w14:paraId="5BFA25FB" w14:textId="0B1A2FF8" w:rsidR="008D4996" w:rsidRDefault="008D4996" w:rsidP="008D4996">
      <w:r>
        <w:t>A further limitation is that potentially avoidable deaths may be influenced by many factors, making direct attribution of the indicator to specific health policies</w:t>
      </w:r>
      <w:r w:rsidR="00355114">
        <w:t xml:space="preserve"> and/or programs</w:t>
      </w:r>
      <w:r>
        <w:t xml:space="preserve"> difficult. For example, </w:t>
      </w:r>
      <w:r w:rsidR="00355114">
        <w:t xml:space="preserve">an increase in potentially avoidable mortality rates for a specific condition may reflect an increase in the </w:t>
      </w:r>
      <w:r>
        <w:t xml:space="preserve">disease </w:t>
      </w:r>
      <w:r w:rsidR="00015D2D">
        <w:t xml:space="preserve">incidence </w:t>
      </w:r>
      <w:r>
        <w:t>over time</w:t>
      </w:r>
      <w:r w:rsidR="00355114">
        <w:t>, rather than lack of appropriate health care.</w:t>
      </w:r>
      <w:r>
        <w:t xml:space="preserve"> </w:t>
      </w:r>
      <w:r w:rsidR="00EF7944">
        <w:t xml:space="preserve">Similarly, </w:t>
      </w:r>
      <w:r w:rsidR="00355114">
        <w:t xml:space="preserve">a decrease in mortality rates for a specific condition may reflect a decrease in disease incidence, rather than an increase in people surviving with the condition because of appropriate care. </w:t>
      </w:r>
      <w:r w:rsidR="00105ADF">
        <w:t>The indicator may also be influenced by broader</w:t>
      </w:r>
      <w:r w:rsidR="00970D87">
        <w:t xml:space="preserve"> public health policies </w:t>
      </w:r>
      <w:r w:rsidR="00857A13">
        <w:t>currently outside the scope of the Australian indicator.</w:t>
      </w:r>
      <w:r w:rsidR="00105ADF">
        <w:t xml:space="preserve"> </w:t>
      </w:r>
      <w:r w:rsidR="008C5BC3">
        <w:t xml:space="preserve">Further difficulties attributing performance of the indicator to specific policies arise from </w:t>
      </w:r>
      <w:r w:rsidR="009A5556">
        <w:t>the long time lag between when preventive action could have occurred and the time of death</w:t>
      </w:r>
      <w:r w:rsidR="008765AC">
        <w:t xml:space="preserve"> for many</w:t>
      </w:r>
      <w:r w:rsidR="008C5BC3">
        <w:t xml:space="preserve"> of the</w:t>
      </w:r>
      <w:r w:rsidR="008765AC">
        <w:t xml:space="preserve"> conditions</w:t>
      </w:r>
      <w:r w:rsidR="00F24069">
        <w:t>.</w:t>
      </w:r>
      <w:r w:rsidR="008765AC">
        <w:t xml:space="preserve"> </w:t>
      </w:r>
      <w:r w:rsidR="00355114">
        <w:t xml:space="preserve"> </w:t>
      </w:r>
    </w:p>
    <w:p w14:paraId="3B07D14D" w14:textId="74199459" w:rsidR="00AD17A7" w:rsidRDefault="003452E6" w:rsidP="00664762">
      <w:r>
        <w:t>F</w:t>
      </w:r>
      <w:r w:rsidR="00C35FBD">
        <w:t>inally</w:t>
      </w:r>
      <w:r w:rsidR="006B39E4">
        <w:t>,</w:t>
      </w:r>
      <w:r>
        <w:t xml:space="preserve"> the causes of death included in the indicator may not be definitive</w:t>
      </w:r>
      <w:r w:rsidR="008D4996">
        <w:t xml:space="preserve">. </w:t>
      </w:r>
      <w:r w:rsidR="00105ADF">
        <w:t>While the indicator is based on current evidence, n</w:t>
      </w:r>
      <w:r>
        <w:t xml:space="preserve">ot </w:t>
      </w:r>
      <w:r w:rsidR="009B1633">
        <w:t xml:space="preserve">every </w:t>
      </w:r>
      <w:r>
        <w:t xml:space="preserve">death </w:t>
      </w:r>
      <w:r w:rsidR="008D4996">
        <w:t xml:space="preserve">from the select causes </w:t>
      </w:r>
      <w:r>
        <w:t>may necessarily have been avoidable,</w:t>
      </w:r>
      <w:r w:rsidR="008D4996">
        <w:t xml:space="preserve"> and there may be other </w:t>
      </w:r>
      <w:r w:rsidR="00105ADF">
        <w:t>ca</w:t>
      </w:r>
      <w:r w:rsidR="004B4AB3">
        <w:t>u</w:t>
      </w:r>
      <w:r w:rsidR="00105ADF">
        <w:t xml:space="preserve">ses of </w:t>
      </w:r>
      <w:r w:rsidR="008D4996">
        <w:t xml:space="preserve">death which arguably </w:t>
      </w:r>
      <w:r w:rsidR="00857A13">
        <w:t>we</w:t>
      </w:r>
      <w:r w:rsidR="00C35FBD">
        <w:t xml:space="preserve">re </w:t>
      </w:r>
      <w:r w:rsidR="008D4996">
        <w:t xml:space="preserve">avoidable but </w:t>
      </w:r>
      <w:r w:rsidR="00015D2D">
        <w:t>are not captured by</w:t>
      </w:r>
      <w:r w:rsidR="008D4996">
        <w:t xml:space="preserve"> the indicator. </w:t>
      </w:r>
      <w:r w:rsidR="00105ADF">
        <w:t>T</w:t>
      </w:r>
      <w:r w:rsidR="008D4996">
        <w:t>he</w:t>
      </w:r>
      <w:r w:rsidR="00C35FBD">
        <w:t xml:space="preserve"> </w:t>
      </w:r>
      <w:r w:rsidR="00857A13">
        <w:t xml:space="preserve">purpose of the </w:t>
      </w:r>
      <w:r w:rsidR="008D4996">
        <w:t>indicator</w:t>
      </w:r>
      <w:r w:rsidR="00105ADF">
        <w:t>, however,</w:t>
      </w:r>
      <w:r w:rsidR="008D4996">
        <w:t xml:space="preserve"> </w:t>
      </w:r>
      <w:r w:rsidR="006B39E4">
        <w:lastRenderedPageBreak/>
        <w:t xml:space="preserve">is </w:t>
      </w:r>
      <w:r w:rsidR="008D4996">
        <w:t>to be</w:t>
      </w:r>
      <w:r w:rsidR="00105ADF">
        <w:t xml:space="preserve"> an indicative tool for</w:t>
      </w:r>
      <w:r w:rsidR="008D4996">
        <w:t xml:space="preserve"> </w:t>
      </w:r>
      <w:r w:rsidR="007E7D17">
        <w:t>measur</w:t>
      </w:r>
      <w:r w:rsidR="00105ADF">
        <w:t>ing</w:t>
      </w:r>
      <w:r w:rsidR="007E7D17">
        <w:t xml:space="preserve"> </w:t>
      </w:r>
      <w:r w:rsidR="008D4996">
        <w:t xml:space="preserve">the performance of the health </w:t>
      </w:r>
      <w:r w:rsidR="00105ADF">
        <w:t xml:space="preserve">care </w:t>
      </w:r>
      <w:r w:rsidR="008D4996">
        <w:t>system</w:t>
      </w:r>
      <w:r w:rsidR="00105ADF">
        <w:t xml:space="preserve"> and </w:t>
      </w:r>
      <w:r w:rsidR="008D4996">
        <w:t>highlight</w:t>
      </w:r>
      <w:r w:rsidR="00857A13">
        <w:t>ing</w:t>
      </w:r>
      <w:r w:rsidR="008D4996">
        <w:t xml:space="preserve"> where potential problems may exist</w:t>
      </w:r>
      <w:r w:rsidR="00857A13">
        <w:t xml:space="preserve">, and </w:t>
      </w:r>
      <w:r w:rsidR="00015D2D">
        <w:t xml:space="preserve">it </w:t>
      </w:r>
      <w:r w:rsidR="00857A13">
        <w:t>should be interpreted accordingly</w:t>
      </w:r>
      <w:r w:rsidR="008D499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rengths and limitations of PADs"/>
        <w:tblDescription w:val="Summary of strengths and limitations of PADs"/>
      </w:tblPr>
      <w:tblGrid>
        <w:gridCol w:w="9242"/>
      </w:tblGrid>
      <w:tr w:rsidR="008A2565" w:rsidRPr="009A7B8D" w14:paraId="275D374B" w14:textId="77777777" w:rsidTr="008211F5">
        <w:tc>
          <w:tcPr>
            <w:tcW w:w="9242" w:type="dxa"/>
            <w:shd w:val="clear" w:color="auto" w:fill="79A8AC"/>
          </w:tcPr>
          <w:p w14:paraId="61C395F8" w14:textId="333D0FAB" w:rsidR="008A2565" w:rsidRPr="009A7B8D" w:rsidRDefault="00B84EEA" w:rsidP="008A2565">
            <w:pPr>
              <w:pStyle w:val="NoSpacing"/>
              <w:spacing w:before="120" w:after="120"/>
              <w:rPr>
                <w:b/>
                <w:color w:val="FFFFFF" w:themeColor="background1"/>
                <w:sz w:val="26"/>
                <w:szCs w:val="26"/>
              </w:rPr>
            </w:pPr>
            <w:r>
              <w:rPr>
                <w:b/>
                <w:color w:val="FFFFFF" w:themeColor="background1"/>
                <w:sz w:val="26"/>
                <w:szCs w:val="26"/>
              </w:rPr>
              <w:t xml:space="preserve">Box 2: </w:t>
            </w:r>
            <w:r w:rsidR="008A2565">
              <w:rPr>
                <w:b/>
                <w:color w:val="FFFFFF" w:themeColor="background1"/>
                <w:sz w:val="26"/>
                <w:szCs w:val="26"/>
              </w:rPr>
              <w:t>Strengths and limitations</w:t>
            </w:r>
            <w:r w:rsidR="004A4EB8">
              <w:rPr>
                <w:b/>
                <w:color w:val="FFFFFF" w:themeColor="background1"/>
                <w:sz w:val="26"/>
                <w:szCs w:val="26"/>
              </w:rPr>
              <w:t xml:space="preserve"> as a health performance indicator</w:t>
            </w:r>
          </w:p>
        </w:tc>
      </w:tr>
      <w:tr w:rsidR="008A2565" w:rsidRPr="009A7B8D" w14:paraId="677A742B" w14:textId="77777777" w:rsidTr="008211F5">
        <w:tc>
          <w:tcPr>
            <w:tcW w:w="9242" w:type="dxa"/>
            <w:shd w:val="clear" w:color="auto" w:fill="D9E6E7"/>
          </w:tcPr>
          <w:p w14:paraId="3E1EF6D0" w14:textId="77777777" w:rsidR="008A2565" w:rsidRPr="008A2565" w:rsidRDefault="008A2565" w:rsidP="008A2565">
            <w:pPr>
              <w:spacing w:before="120" w:after="120"/>
              <w:rPr>
                <w:b/>
              </w:rPr>
            </w:pPr>
            <w:r w:rsidRPr="008A2565">
              <w:rPr>
                <w:b/>
              </w:rPr>
              <w:t>Key strengths:</w:t>
            </w:r>
          </w:p>
          <w:p w14:paraId="5AD87C89" w14:textId="022BA4A4" w:rsidR="006351F3" w:rsidRPr="008D4996" w:rsidRDefault="006351F3" w:rsidP="00B84EEA">
            <w:pPr>
              <w:pStyle w:val="ListParagraph"/>
              <w:numPr>
                <w:ilvl w:val="0"/>
                <w:numId w:val="16"/>
              </w:numPr>
              <w:spacing w:before="120" w:after="120" w:line="276" w:lineRule="auto"/>
            </w:pPr>
            <w:r w:rsidRPr="006F5518">
              <w:t xml:space="preserve">Easy to calculate using routinely collected </w:t>
            </w:r>
            <w:r>
              <w:t>mortality</w:t>
            </w:r>
            <w:r w:rsidRPr="006F5518">
              <w:t xml:space="preserve"> data</w:t>
            </w:r>
            <w:r>
              <w:t>.</w:t>
            </w:r>
          </w:p>
          <w:p w14:paraId="3E2E78A0" w14:textId="15B73827" w:rsidR="006351F3" w:rsidRDefault="006351F3" w:rsidP="00B84EEA">
            <w:pPr>
              <w:pStyle w:val="ListParagraph"/>
              <w:numPr>
                <w:ilvl w:val="0"/>
                <w:numId w:val="16"/>
              </w:numPr>
              <w:spacing w:before="120" w:after="120" w:line="276" w:lineRule="auto"/>
            </w:pPr>
            <w:r>
              <w:t xml:space="preserve">Can be disaggregated at various levels, </w:t>
            </w:r>
            <w:r w:rsidR="00A30F55">
              <w:t xml:space="preserve">including geographic and population groups, </w:t>
            </w:r>
            <w:r w:rsidR="006B39E4">
              <w:t xml:space="preserve">and </w:t>
            </w:r>
            <w:r w:rsidR="00A30F55">
              <w:t xml:space="preserve">by </w:t>
            </w:r>
            <w:r>
              <w:t>c</w:t>
            </w:r>
            <w:r w:rsidR="008D4996">
              <w:t>ause of death</w:t>
            </w:r>
            <w:r>
              <w:t>, to h</w:t>
            </w:r>
            <w:r w:rsidRPr="006F5518">
              <w:t>ighlight</w:t>
            </w:r>
            <w:r>
              <w:t xml:space="preserve"> priority areas for further investigation.</w:t>
            </w:r>
          </w:p>
          <w:p w14:paraId="4AF2C8CA" w14:textId="19371C36" w:rsidR="008D4996" w:rsidRPr="003B587A" w:rsidRDefault="00A30F55" w:rsidP="00B84EEA">
            <w:pPr>
              <w:pStyle w:val="ListParagraph"/>
              <w:numPr>
                <w:ilvl w:val="0"/>
                <w:numId w:val="16"/>
              </w:numPr>
              <w:spacing w:before="120" w:after="120" w:line="276" w:lineRule="auto"/>
            </w:pPr>
            <w:r>
              <w:t>Potentially a</w:t>
            </w:r>
            <w:r w:rsidR="008D4996" w:rsidRPr="006F5518">
              <w:t>llows in</w:t>
            </w:r>
            <w:r w:rsidR="008D4996">
              <w:t xml:space="preserve">vestigation </w:t>
            </w:r>
            <w:r w:rsidR="006B39E4">
              <w:t xml:space="preserve">of </w:t>
            </w:r>
            <w:r w:rsidR="008D4996">
              <w:t xml:space="preserve">various </w:t>
            </w:r>
            <w:r>
              <w:t xml:space="preserve">components </w:t>
            </w:r>
            <w:r w:rsidR="008D4996">
              <w:t>of the health care system</w:t>
            </w:r>
          </w:p>
          <w:p w14:paraId="17D65856" w14:textId="77777777" w:rsidR="006351F3" w:rsidRPr="00A22A94" w:rsidRDefault="006351F3" w:rsidP="006351F3">
            <w:pPr>
              <w:spacing w:before="120" w:after="120" w:line="276" w:lineRule="auto"/>
              <w:rPr>
                <w:b/>
              </w:rPr>
            </w:pPr>
            <w:r w:rsidRPr="00A22A94">
              <w:rPr>
                <w:b/>
              </w:rPr>
              <w:t>Key limitations:</w:t>
            </w:r>
          </w:p>
          <w:p w14:paraId="65DB83E2" w14:textId="1211A956" w:rsidR="00053F16" w:rsidRPr="00053F16" w:rsidRDefault="006351F3" w:rsidP="00B84EEA">
            <w:pPr>
              <w:pStyle w:val="ListParagraph"/>
              <w:numPr>
                <w:ilvl w:val="0"/>
                <w:numId w:val="17"/>
              </w:numPr>
              <w:spacing w:before="120" w:after="120" w:line="276" w:lineRule="auto"/>
            </w:pPr>
            <w:r w:rsidRPr="00B06E71">
              <w:t xml:space="preserve">Different definitions </w:t>
            </w:r>
            <w:r>
              <w:t xml:space="preserve">have been </w:t>
            </w:r>
            <w:r w:rsidRPr="00B06E71">
              <w:t xml:space="preserve">used over </w:t>
            </w:r>
            <w:r w:rsidR="00053F16">
              <w:t>the years</w:t>
            </w:r>
            <w:r w:rsidRPr="00B06E71">
              <w:t xml:space="preserve"> and by </w:t>
            </w:r>
            <w:r w:rsidRPr="00A22A94">
              <w:t xml:space="preserve">different agencies, </w:t>
            </w:r>
            <w:r>
              <w:t xml:space="preserve">which can make </w:t>
            </w:r>
            <w:r w:rsidRPr="00B06E71">
              <w:t xml:space="preserve">comparisons </w:t>
            </w:r>
            <w:r w:rsidR="00053F16">
              <w:t>over time or between jurisdictions</w:t>
            </w:r>
            <w:r w:rsidR="00053F16" w:rsidRPr="00B06E71">
              <w:t xml:space="preserve"> </w:t>
            </w:r>
            <w:r w:rsidRPr="00B06E71">
              <w:t>difficult</w:t>
            </w:r>
            <w:r>
              <w:t>.</w:t>
            </w:r>
          </w:p>
          <w:p w14:paraId="20F4B96E" w14:textId="363811AD" w:rsidR="00B72B27" w:rsidRPr="008D4996" w:rsidRDefault="006B39E4" w:rsidP="00B84EEA">
            <w:pPr>
              <w:pStyle w:val="ListParagraph"/>
              <w:numPr>
                <w:ilvl w:val="0"/>
                <w:numId w:val="17"/>
              </w:numPr>
              <w:spacing w:before="120" w:after="120" w:line="276" w:lineRule="auto"/>
              <w:rPr>
                <w:rFonts w:asciiTheme="majorHAnsi" w:eastAsiaTheme="majorEastAsia" w:hAnsiTheme="majorHAnsi" w:cstheme="majorBidi"/>
                <w:b/>
                <w:bCs/>
                <w:i/>
                <w:iCs/>
                <w:color w:val="4F81BD" w:themeColor="accent1"/>
              </w:rPr>
            </w:pPr>
            <w:r>
              <w:t>I</w:t>
            </w:r>
            <w:r w:rsidR="006351F3" w:rsidRPr="00B06E71">
              <w:t xml:space="preserve">nfluenced by </w:t>
            </w:r>
            <w:r w:rsidR="000822B9">
              <w:t xml:space="preserve">a variety of </w:t>
            </w:r>
            <w:r w:rsidR="006351F3" w:rsidRPr="00B06E71">
              <w:t>factors,</w:t>
            </w:r>
            <w:r w:rsidR="00A06B62">
              <w:t xml:space="preserve"> </w:t>
            </w:r>
            <w:r w:rsidR="006351F3" w:rsidRPr="00B06E71">
              <w:t>such as</w:t>
            </w:r>
            <w:r w:rsidR="006351F3">
              <w:t xml:space="preserve"> changes in disease </w:t>
            </w:r>
            <w:r w:rsidR="00015D2D">
              <w:t xml:space="preserve">incidence </w:t>
            </w:r>
            <w:r w:rsidR="000822B9">
              <w:t>or the use of different disease coding systems</w:t>
            </w:r>
            <w:r w:rsidR="00015D2D">
              <w:t>, making direct attribution to specific health policies and/or programs difficult</w:t>
            </w:r>
            <w:r w:rsidR="006351F3">
              <w:t xml:space="preserve">. </w:t>
            </w:r>
          </w:p>
        </w:tc>
      </w:tr>
    </w:tbl>
    <w:p w14:paraId="5FC79333" w14:textId="77777777" w:rsidR="00B07164" w:rsidRDefault="00B07164">
      <w:pPr>
        <w:spacing w:after="200"/>
        <w:rPr>
          <w:rFonts w:asciiTheme="minorHAnsi" w:eastAsiaTheme="majorEastAsia" w:hAnsiTheme="minorHAnsi" w:cstheme="minorHAnsi"/>
          <w:b/>
          <w:bCs/>
          <w:sz w:val="28"/>
          <w:szCs w:val="28"/>
        </w:rPr>
      </w:pPr>
      <w:r>
        <w:br w:type="page"/>
      </w:r>
    </w:p>
    <w:p w14:paraId="0666F5DB" w14:textId="51B16A4C" w:rsidR="00F90AE9" w:rsidRDefault="00AA07F8" w:rsidP="00D42F7E">
      <w:pPr>
        <w:pStyle w:val="Heading1"/>
      </w:pPr>
      <w:bookmarkStart w:id="11" w:name="_Toc474329558"/>
      <w:r>
        <w:lastRenderedPageBreak/>
        <w:t>3</w:t>
      </w:r>
      <w:r w:rsidR="00220576">
        <w:t xml:space="preserve">. </w:t>
      </w:r>
      <w:r w:rsidR="00F90AE9">
        <w:t xml:space="preserve">Using </w:t>
      </w:r>
      <w:r w:rsidR="00DA26AB">
        <w:t xml:space="preserve">the </w:t>
      </w:r>
      <w:r w:rsidR="00F90AE9">
        <w:t xml:space="preserve">potentially </w:t>
      </w:r>
      <w:r w:rsidR="003568A9">
        <w:t>avoidable deaths</w:t>
      </w:r>
      <w:r w:rsidR="00F90AE9">
        <w:t xml:space="preserve"> indicator</w:t>
      </w:r>
      <w:bookmarkEnd w:id="11"/>
    </w:p>
    <w:p w14:paraId="36F27C5F" w14:textId="3CBCF3A8" w:rsidR="00F20C52" w:rsidRDefault="001C3A2D" w:rsidP="00595909">
      <w:r>
        <w:t xml:space="preserve">Three different types of information </w:t>
      </w:r>
      <w:r w:rsidR="002C4201">
        <w:t xml:space="preserve">are commonly reported </w:t>
      </w:r>
      <w:r>
        <w:t xml:space="preserve">for potentially </w:t>
      </w:r>
      <w:r w:rsidR="00AF2823">
        <w:t>avoidable deaths</w:t>
      </w:r>
      <w:r>
        <w:t>:</w:t>
      </w:r>
    </w:p>
    <w:p w14:paraId="0F9A09A1" w14:textId="71C8D78D" w:rsidR="00220576" w:rsidRDefault="00220576" w:rsidP="00845A23">
      <w:pPr>
        <w:pStyle w:val="ListParagraph"/>
        <w:numPr>
          <w:ilvl w:val="0"/>
          <w:numId w:val="1"/>
        </w:numPr>
      </w:pPr>
      <w:r w:rsidRPr="00F20C52">
        <w:rPr>
          <w:b/>
        </w:rPr>
        <w:t>Compari</w:t>
      </w:r>
      <w:r w:rsidR="00DA26AB">
        <w:rPr>
          <w:b/>
        </w:rPr>
        <w:t xml:space="preserve">sons between </w:t>
      </w:r>
      <w:r w:rsidR="00F43CBE">
        <w:rPr>
          <w:b/>
        </w:rPr>
        <w:t xml:space="preserve">geographic </w:t>
      </w:r>
      <w:r w:rsidRPr="00F20C52">
        <w:rPr>
          <w:b/>
        </w:rPr>
        <w:t>regions</w:t>
      </w:r>
      <w:r w:rsidR="00340B45">
        <w:rPr>
          <w:b/>
        </w:rPr>
        <w:t>:</w:t>
      </w:r>
      <w:r w:rsidR="00F20C52">
        <w:t xml:space="preserve"> </w:t>
      </w:r>
      <w:r w:rsidR="009274D2">
        <w:t xml:space="preserve">identifies </w:t>
      </w:r>
      <w:r w:rsidR="00EA30EF">
        <w:t xml:space="preserve">how </w:t>
      </w:r>
      <w:r w:rsidR="00F20C52">
        <w:t xml:space="preserve">rates of </w:t>
      </w:r>
      <w:r w:rsidR="00340B45">
        <w:t xml:space="preserve">potentially </w:t>
      </w:r>
      <w:r w:rsidR="00AF2823">
        <w:t>avoidable deaths</w:t>
      </w:r>
      <w:r w:rsidR="00340B45">
        <w:t xml:space="preserve"> </w:t>
      </w:r>
      <w:r w:rsidR="00F20C52">
        <w:t xml:space="preserve">differ across </w:t>
      </w:r>
      <w:r w:rsidR="00EB1961">
        <w:t>geographic regions</w:t>
      </w:r>
      <w:r w:rsidR="00F6301C">
        <w:t>.</w:t>
      </w:r>
      <w:r w:rsidR="00F20C52">
        <w:t xml:space="preserve"> </w:t>
      </w:r>
    </w:p>
    <w:p w14:paraId="2370130C" w14:textId="6164B1A2" w:rsidR="005608A5" w:rsidRDefault="00B06E71" w:rsidP="00845A23">
      <w:pPr>
        <w:pStyle w:val="ListParagraph"/>
        <w:numPr>
          <w:ilvl w:val="0"/>
          <w:numId w:val="1"/>
        </w:numPr>
      </w:pPr>
      <w:r w:rsidRPr="00B06E71">
        <w:rPr>
          <w:b/>
        </w:rPr>
        <w:t>Breakdowns by condition and population subgroups</w:t>
      </w:r>
      <w:r w:rsidR="00340B45">
        <w:rPr>
          <w:b/>
        </w:rPr>
        <w:t>:</w:t>
      </w:r>
      <w:r w:rsidR="005608A5">
        <w:t xml:space="preserve"> provide</w:t>
      </w:r>
      <w:r w:rsidR="00340B45">
        <w:t>s</w:t>
      </w:r>
      <w:r w:rsidR="005608A5">
        <w:t xml:space="preserve"> supplementary information </w:t>
      </w:r>
      <w:r w:rsidR="00340B45">
        <w:t xml:space="preserve">on potentially </w:t>
      </w:r>
      <w:r w:rsidR="00AF2823">
        <w:t xml:space="preserve">avoidable deaths </w:t>
      </w:r>
      <w:r w:rsidR="00340B45">
        <w:t>for a region</w:t>
      </w:r>
      <w:r w:rsidR="009274D2">
        <w:t>,</w:t>
      </w:r>
      <w:r w:rsidR="00340B45">
        <w:t xml:space="preserve"> </w:t>
      </w:r>
      <w:r w:rsidR="005608A5">
        <w:t xml:space="preserve">which allows for priority areas to be identified, such as </w:t>
      </w:r>
      <w:r w:rsidR="00DA5E93">
        <w:t>certain conditions</w:t>
      </w:r>
      <w:r w:rsidR="005608A5">
        <w:t xml:space="preserve"> or population subgroups with very high rates of </w:t>
      </w:r>
      <w:r w:rsidR="00AF2823">
        <w:t>mortality</w:t>
      </w:r>
      <w:r w:rsidR="005608A5">
        <w:t xml:space="preserve">. </w:t>
      </w:r>
    </w:p>
    <w:p w14:paraId="1D97779F" w14:textId="2784C7DF" w:rsidR="00F20C52" w:rsidRDefault="00013918" w:rsidP="00845A23">
      <w:pPr>
        <w:pStyle w:val="ListParagraph"/>
        <w:numPr>
          <w:ilvl w:val="0"/>
          <w:numId w:val="1"/>
        </w:numPr>
      </w:pPr>
      <w:r>
        <w:rPr>
          <w:b/>
        </w:rPr>
        <w:t>T</w:t>
      </w:r>
      <w:r w:rsidR="00F20C52" w:rsidRPr="001C3A2D">
        <w:rPr>
          <w:b/>
        </w:rPr>
        <w:t xml:space="preserve">rends in rates of </w:t>
      </w:r>
      <w:r w:rsidR="00340B45">
        <w:rPr>
          <w:b/>
        </w:rPr>
        <w:t xml:space="preserve">potentially </w:t>
      </w:r>
      <w:r w:rsidR="00AF2823">
        <w:rPr>
          <w:b/>
        </w:rPr>
        <w:t>avoidable deaths</w:t>
      </w:r>
      <w:r w:rsidR="00340B45">
        <w:rPr>
          <w:b/>
        </w:rPr>
        <w:t>:</w:t>
      </w:r>
      <w:r w:rsidR="00340B45" w:rsidRPr="00340B45">
        <w:t xml:space="preserve"> </w:t>
      </w:r>
      <w:r w:rsidR="00340B45">
        <w:t xml:space="preserve">displays changes in rates of </w:t>
      </w:r>
      <w:r w:rsidR="00AF2823">
        <w:t xml:space="preserve">mortality </w:t>
      </w:r>
      <w:r w:rsidR="00340B45">
        <w:t>over time, to monitor i</w:t>
      </w:r>
      <w:r w:rsidR="001C3A2D">
        <w:t xml:space="preserve">mprovements </w:t>
      </w:r>
      <w:r w:rsidR="00340B45">
        <w:t>or identify emerging problem areas.</w:t>
      </w:r>
    </w:p>
    <w:p w14:paraId="56D4D472" w14:textId="77777777" w:rsidR="00220576" w:rsidRPr="00DA26AB" w:rsidRDefault="002C4201" w:rsidP="00595909">
      <w:r w:rsidRPr="00DA26AB">
        <w:t xml:space="preserve">This information is designed to help identify priority </w:t>
      </w:r>
      <w:r w:rsidR="00231938" w:rsidRPr="00DA26AB">
        <w:t xml:space="preserve">areas for </w:t>
      </w:r>
      <w:r w:rsidR="002046A6" w:rsidRPr="00DA26AB">
        <w:t>policy and evaluation</w:t>
      </w:r>
      <w:r w:rsidR="00DA26AB" w:rsidRPr="00DA26AB">
        <w:t>. I</w:t>
      </w:r>
      <w:r w:rsidR="00E77AEF" w:rsidRPr="00DA26AB">
        <w:t xml:space="preserve">t is the responsibility of </w:t>
      </w:r>
      <w:r w:rsidR="00231938" w:rsidRPr="00DA26AB">
        <w:t xml:space="preserve">health care professionals to respond to the information presented, in conjunction with their experience and local knowledge, to address any issues identified. </w:t>
      </w:r>
    </w:p>
    <w:p w14:paraId="3DE6F068" w14:textId="77777777" w:rsidR="00906CAE" w:rsidRDefault="00906CAE">
      <w:pPr>
        <w:spacing w:after="200"/>
        <w:rPr>
          <w:rFonts w:asciiTheme="majorHAnsi" w:eastAsiaTheme="majorEastAsia" w:hAnsiTheme="majorHAnsi" w:cstheme="majorBidi"/>
          <w:b/>
          <w:bCs/>
          <w:sz w:val="26"/>
          <w:szCs w:val="26"/>
        </w:rPr>
      </w:pPr>
    </w:p>
    <w:p w14:paraId="5FA19B33" w14:textId="77777777" w:rsidR="00072D3D" w:rsidRDefault="00072D3D">
      <w:pPr>
        <w:spacing w:after="200"/>
        <w:rPr>
          <w:rFonts w:asciiTheme="minorHAnsi" w:eastAsiaTheme="majorEastAsia" w:hAnsiTheme="minorHAnsi" w:cstheme="minorHAnsi"/>
          <w:b/>
          <w:bCs/>
          <w:sz w:val="26"/>
          <w:szCs w:val="26"/>
        </w:rPr>
      </w:pPr>
      <w:r>
        <w:br w:type="page"/>
      </w:r>
    </w:p>
    <w:p w14:paraId="55CBD010" w14:textId="42012B05" w:rsidR="00F20C52" w:rsidRDefault="00AA07F8" w:rsidP="00576625">
      <w:pPr>
        <w:pStyle w:val="Heading2"/>
      </w:pPr>
      <w:bookmarkStart w:id="12" w:name="_Toc474329559"/>
      <w:r>
        <w:lastRenderedPageBreak/>
        <w:t>3</w:t>
      </w:r>
      <w:r w:rsidR="00576625">
        <w:t xml:space="preserve">.1 </w:t>
      </w:r>
      <w:r w:rsidR="00F20C52" w:rsidRPr="00F20C52">
        <w:t>Compari</w:t>
      </w:r>
      <w:r w:rsidR="00CD7E00">
        <w:t xml:space="preserve">sons between geographic </w:t>
      </w:r>
      <w:r w:rsidR="00F20C52" w:rsidRPr="00F20C52">
        <w:t>regions</w:t>
      </w:r>
      <w:bookmarkEnd w:id="12"/>
    </w:p>
    <w:p w14:paraId="0CCEF0BE" w14:textId="46E94F55" w:rsidR="00576625" w:rsidRDefault="00576625" w:rsidP="00576625">
      <w:r>
        <w:t xml:space="preserve">The most common form of reporting involves comparing potentially avoidable </w:t>
      </w:r>
      <w:r w:rsidR="009274D2">
        <w:t xml:space="preserve">mortality </w:t>
      </w:r>
      <w:r>
        <w:t>between geographic regions, typically as age-standard</w:t>
      </w:r>
      <w:r w:rsidR="000F62A3">
        <w:t>ised population-based rates or PYLL</w:t>
      </w:r>
      <w:r>
        <w:t xml:space="preserve">. These comparisons take into account the different age structures of the population of different geographic regions. They are used as a screening tool to identify areas with </w:t>
      </w:r>
      <w:r w:rsidR="00523713">
        <w:t xml:space="preserve">relative </w:t>
      </w:r>
      <w:r>
        <w:t>high mortality</w:t>
      </w:r>
      <w:r w:rsidR="00C830A1">
        <w:t xml:space="preserve"> </w:t>
      </w:r>
      <w:r>
        <w:t xml:space="preserve">for more in-depth analysis and potential policy intervention. </w:t>
      </w:r>
    </w:p>
    <w:p w14:paraId="79F66D94" w14:textId="09E4415B" w:rsidR="00576625" w:rsidRDefault="00576625" w:rsidP="00576625">
      <w:r>
        <w:t>This comparison is typically presented on a map,</w:t>
      </w:r>
      <w:r w:rsidRPr="00072D3D">
        <w:t xml:space="preserve"> </w:t>
      </w:r>
      <w:r>
        <w:t xml:space="preserve">with coloured shading representing areas with a lower- or higher- than average mortality rate. This comparison can also be presented as a table or figure, listing or visually representing each geographic region and their corresponding values. The regions used for comparison </w:t>
      </w:r>
      <w:r w:rsidR="00523713">
        <w:t xml:space="preserve">often </w:t>
      </w:r>
      <w:r>
        <w:t>reflect those relevant to health policymakers, such as Primary Health Networks (PHNs)</w:t>
      </w:r>
      <w:r w:rsidR="00A12595">
        <w:t>.</w:t>
      </w:r>
      <w:r>
        <w:t xml:space="preserve"> </w:t>
      </w:r>
    </w:p>
    <w:p w14:paraId="7DD6CEAF" w14:textId="2E161999" w:rsidR="00576625" w:rsidRDefault="00576625" w:rsidP="00576625">
      <w:r>
        <w:t>An example map published by the National Health Performance Authority is provided below, showing variation in rates of potentially avoidable deaths across Medicare Locals</w:t>
      </w:r>
      <w:r w:rsidR="00C830A1">
        <w:t xml:space="preserve"> (now superseded by PHNs)</w:t>
      </w:r>
      <w:r>
        <w:t xml:space="preserve"> in Australia.</w:t>
      </w:r>
      <w:hyperlink w:anchor="_ENREF_17" w:tooltip="NHPA, 2013 #2078" w:history="1">
        <w:r w:rsidR="0094762C">
          <w:fldChar w:fldCharType="begin"/>
        </w:r>
        <w:r w:rsidR="0094762C">
          <w:instrText xml:space="preserve"> ADDIN EN.CITE &lt;EndNote&gt;&lt;Cite&gt;&lt;Author&gt;NHPA&lt;/Author&gt;&lt;Year&gt;2013&lt;/Year&gt;&lt;RecNum&gt;2078&lt;/RecNum&gt;&lt;DisplayText&gt;&lt;style face="superscript"&gt;17&lt;/style&gt;&lt;/DisplayText&gt;&lt;record&gt;&lt;rec-number&gt;2078&lt;/rec-number&gt;&lt;foreign-keys&gt;&lt;key app="EN" db-id="rpzwzaaags0r0pe95aixvrsiw02a5psfsd5f" timestamp="1463707055"&gt;2078&lt;/key&gt;&lt;/foreign-keys&gt;&lt;ref-type name="Report"&gt;27&lt;/ref-type&gt;&lt;contributors&gt;&lt;authors&gt;&lt;author&gt;NHPA&lt;/author&gt;&lt;/authors&gt;&lt;/contributors&gt;&lt;titles&gt;&lt;title&gt;Healthy Communities: Avoidable deaths and life expectancies in 2009–2011&lt;/title&gt;&lt;/titles&gt;&lt;dates&gt;&lt;year&gt;2013&lt;/year&gt;&lt;/dates&gt;&lt;publisher&gt;National Health Performance Authority&lt;/publisher&gt;&lt;urls&gt;&lt;/urls&gt;&lt;/record&gt;&lt;/Cite&gt;&lt;/EndNote&gt;</w:instrText>
        </w:r>
        <w:r w:rsidR="0094762C">
          <w:fldChar w:fldCharType="separate"/>
        </w:r>
        <w:r w:rsidR="0094762C" w:rsidRPr="0094762C">
          <w:rPr>
            <w:noProof/>
            <w:vertAlign w:val="superscript"/>
          </w:rPr>
          <w:t>17</w:t>
        </w:r>
        <w:r w:rsidR="0094762C">
          <w:fldChar w:fldCharType="end"/>
        </w:r>
      </w:hyperlink>
      <w:r>
        <w:t xml:space="preserve"> In this map, areas coloured in light yellow have the lowest age-standardised rates of mortality</w:t>
      </w:r>
      <w:r w:rsidR="00B84EEA">
        <w:t xml:space="preserve"> (between 96-130 deaths per 100 </w:t>
      </w:r>
      <w:r>
        <w:t>000 population), and the areas coloured in dark red have the highest rates of mortality (between</w:t>
      </w:r>
      <w:r w:rsidR="00B84EEA">
        <w:t xml:space="preserve"> 182-316 deaths per 100 </w:t>
      </w:r>
      <w:r>
        <w:t>000 population). The colour gradient in between represents the gradient from areas with the lowest- to the highest- rates of mortality. This map shows large variation in patterns of mortality, with areas near major cities and in the south-eastern parts of Australia tending to have the lowest rates of potentially avoidable deaths, and areas in central</w:t>
      </w:r>
      <w:r w:rsidR="006D242F">
        <w:t xml:space="preserve">, northern and </w:t>
      </w:r>
      <w:proofErr w:type="gramStart"/>
      <w:r w:rsidR="006D242F">
        <w:t>western</w:t>
      </w:r>
      <w:proofErr w:type="gramEnd"/>
      <w:r>
        <w:t xml:space="preserve"> Australia tending to have the highest rates of </w:t>
      </w:r>
      <w:r w:rsidR="006D242F">
        <w:t>mortality</w:t>
      </w:r>
      <w:r>
        <w:t xml:space="preserve">.   </w:t>
      </w:r>
    </w:p>
    <w:p w14:paraId="34C3FC72" w14:textId="6E2CB7B1" w:rsidR="00576625" w:rsidRPr="004B319C" w:rsidRDefault="00576625" w:rsidP="00576625">
      <w:r w:rsidRPr="004B319C">
        <w:t xml:space="preserve">Figure 1: Example figure, </w:t>
      </w:r>
      <w:r w:rsidR="006D242F" w:rsidRPr="004B319C">
        <w:t xml:space="preserve">number of potentially avoidable deaths per 100,000 people, age-standardised, </w:t>
      </w:r>
      <w:proofErr w:type="gramStart"/>
      <w:r w:rsidR="006D242F" w:rsidRPr="004B319C">
        <w:t>2009</w:t>
      </w:r>
      <w:proofErr w:type="gramEnd"/>
      <w:r w:rsidR="006D242F" w:rsidRPr="004B319C">
        <w:t>-2011</w:t>
      </w:r>
      <w:r w:rsidRPr="004B319C">
        <w:t xml:space="preserve">. (Source: National Health Performance Authority).  </w:t>
      </w:r>
    </w:p>
    <w:p w14:paraId="0AFE6426" w14:textId="77092F83" w:rsidR="001454D0" w:rsidRDefault="001454D0" w:rsidP="001454D0">
      <w:bookmarkStart w:id="13" w:name="_Toc450663412"/>
      <w:bookmarkStart w:id="14" w:name="_Toc450727210"/>
      <w:r>
        <w:rPr>
          <w:noProof/>
          <w:lang w:eastAsia="en-AU"/>
        </w:rPr>
        <w:drawing>
          <wp:inline distT="0" distB="0" distL="0" distR="0" wp14:anchorId="017A997C" wp14:editId="723818E4">
            <wp:extent cx="5219700" cy="3612526"/>
            <wp:effectExtent l="0" t="0" r="0" b="6985"/>
            <wp:docPr id="16" name="Picture 16" descr="Map of Australia showing PADs by state and territory." title="PADs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28285"/>
                    <a:stretch/>
                  </pic:blipFill>
                  <pic:spPr bwMode="auto">
                    <a:xfrm>
                      <a:off x="0" y="0"/>
                      <a:ext cx="5223331" cy="3615039"/>
                    </a:xfrm>
                    <a:prstGeom prst="rect">
                      <a:avLst/>
                    </a:prstGeom>
                    <a:ln>
                      <a:noFill/>
                    </a:ln>
                    <a:extLst>
                      <a:ext uri="{53640926-AAD7-44D8-BBD7-CCE9431645EC}">
                        <a14:shadowObscured xmlns:a14="http://schemas.microsoft.com/office/drawing/2010/main"/>
                      </a:ext>
                    </a:extLst>
                  </pic:spPr>
                </pic:pic>
              </a:graphicData>
            </a:graphic>
          </wp:inline>
        </w:drawing>
      </w:r>
    </w:p>
    <w:p w14:paraId="6303FDE4" w14:textId="1DD1635C" w:rsidR="009A1461" w:rsidRDefault="004B59C9" w:rsidP="009E3492">
      <w:pPr>
        <w:pStyle w:val="Heading3"/>
      </w:pPr>
      <w:bookmarkStart w:id="15" w:name="_Toc452129038"/>
      <w:bookmarkStart w:id="16" w:name="_Toc454532367"/>
      <w:bookmarkStart w:id="17" w:name="_Toc474329560"/>
      <w:bookmarkEnd w:id="13"/>
      <w:bookmarkEnd w:id="14"/>
      <w:r>
        <w:lastRenderedPageBreak/>
        <w:t>Other factors to consider</w:t>
      </w:r>
      <w:bookmarkEnd w:id="15"/>
      <w:bookmarkEnd w:id="16"/>
      <w:bookmarkEnd w:id="17"/>
    </w:p>
    <w:p w14:paraId="6F1D3138" w14:textId="5D9B17CF" w:rsidR="009A1461" w:rsidRDefault="009274D2" w:rsidP="009A1461">
      <w:r>
        <w:t>M</w:t>
      </w:r>
      <w:r w:rsidR="009A1461">
        <w:t>any factors influence pe</w:t>
      </w:r>
      <w:r w:rsidR="008528A6">
        <w:t>oples</w:t>
      </w:r>
      <w:r w:rsidR="009A1461">
        <w:t xml:space="preserve">’ risk of mortality, </w:t>
      </w:r>
      <w:r>
        <w:t>including</w:t>
      </w:r>
      <w:r w:rsidR="009A1461">
        <w:t xml:space="preserve"> age, </w:t>
      </w:r>
      <w:r w:rsidR="002E314F">
        <w:t>socioeconomic sta</w:t>
      </w:r>
      <w:r w:rsidR="003F4DDD">
        <w:t>t</w:t>
      </w:r>
      <w:r w:rsidR="002E314F">
        <w:t xml:space="preserve">us, </w:t>
      </w:r>
      <w:r w:rsidR="009A1461">
        <w:t xml:space="preserve">lifestyle risk factors, chronic conditions, ability to afford care and remoteness from services. Some of the geographic variation in potentially avoidable deaths may reflect </w:t>
      </w:r>
      <w:r w:rsidR="00574008">
        <w:t xml:space="preserve">differences in these factors between </w:t>
      </w:r>
      <w:r w:rsidR="009A1461">
        <w:t>population</w:t>
      </w:r>
      <w:r w:rsidR="00574008">
        <w:t>s</w:t>
      </w:r>
      <w:r w:rsidR="004357B1">
        <w:t xml:space="preserve">. </w:t>
      </w:r>
      <w:r w:rsidR="00574008">
        <w:t xml:space="preserve">Although some of these </w:t>
      </w:r>
      <w:r w:rsidR="004357B1">
        <w:t xml:space="preserve">factors </w:t>
      </w:r>
      <w:r w:rsidR="003F4DDD">
        <w:t>reflect relevant aspects of the healthcare system</w:t>
      </w:r>
      <w:r w:rsidR="004357B1">
        <w:t xml:space="preserve">, </w:t>
      </w:r>
      <w:r w:rsidR="002D7F4A">
        <w:t>their influence</w:t>
      </w:r>
      <w:r w:rsidR="004357B1">
        <w:t xml:space="preserve"> make</w:t>
      </w:r>
      <w:r w:rsidR="002D7F4A">
        <w:t>s</w:t>
      </w:r>
      <w:r w:rsidR="004357B1">
        <w:t xml:space="preserve"> it difficult to identify the contributions of specific changes in practice (such as new effective treatments) or policy (such as introduction of new models of care)</w:t>
      </w:r>
      <w:r w:rsidR="00C32B2E">
        <w:t>.</w:t>
      </w:r>
      <w:r w:rsidR="003F4DDD">
        <w:t xml:space="preserve"> </w:t>
      </w:r>
    </w:p>
    <w:p w14:paraId="4DF6179F" w14:textId="6154BE3F" w:rsidR="009A1461" w:rsidRDefault="009A1461" w:rsidP="00330641">
      <w:r>
        <w:t>Almost all reporting of potentially avoidable deaths presents age-standardised rates or</w:t>
      </w:r>
      <w:r w:rsidR="000F62A3">
        <w:t xml:space="preserve"> PYLL</w:t>
      </w:r>
      <w:r>
        <w:t xml:space="preserve">, which takes into account the fact that some areas have an older population </w:t>
      </w:r>
      <w:r w:rsidR="009274D2">
        <w:t>with a</w:t>
      </w:r>
      <w:r>
        <w:t xml:space="preserve"> greater risk of mortality. However, the </w:t>
      </w:r>
      <w:r w:rsidR="00A12595">
        <w:t>impacts of other population characteristics, such as variations in socioeconomic status, are</w:t>
      </w:r>
      <w:r w:rsidR="009274D2">
        <w:t xml:space="preserve"> </w:t>
      </w:r>
      <w:r>
        <w:t>usually</w:t>
      </w:r>
      <w:r w:rsidR="00A12595">
        <w:t xml:space="preserve"> not</w:t>
      </w:r>
      <w:r>
        <w:t xml:space="preserve"> accounted for</w:t>
      </w:r>
      <w:r w:rsidR="002E314F">
        <w:t>.</w:t>
      </w:r>
    </w:p>
    <w:p w14:paraId="74F5065A" w14:textId="3FFCBD7B" w:rsidR="009A1461" w:rsidRDefault="009A1461" w:rsidP="009A1461">
      <w:r>
        <w:t xml:space="preserve">Some reports partially account for this issue by presenting potentially </w:t>
      </w:r>
      <w:r w:rsidR="00EC4C6A">
        <w:t>avoidable deaths</w:t>
      </w:r>
      <w:r>
        <w:t xml:space="preserve"> by geographic areas classified into ‘peer groups‘, </w:t>
      </w:r>
      <w:r w:rsidR="002D3FE4">
        <w:t xml:space="preserve">stratified </w:t>
      </w:r>
      <w:r>
        <w:t xml:space="preserve">to allow fairer comparisons between similar areas, such as those of equivalent </w:t>
      </w:r>
      <w:r w:rsidR="00C55868">
        <w:t>socioeconomic</w:t>
      </w:r>
      <w:r>
        <w:t xml:space="preserve"> status or remoteness from services centres. An example of such reporting is provided in Appendix 2.  </w:t>
      </w:r>
    </w:p>
    <w:p w14:paraId="12379712" w14:textId="4ABA9EAE" w:rsidR="009A1461" w:rsidRDefault="009A1461" w:rsidP="009A1461">
      <w:r>
        <w:t xml:space="preserve">A review is warranted if the potentially avoidable </w:t>
      </w:r>
      <w:r w:rsidR="00EC4C6A">
        <w:t>deaths</w:t>
      </w:r>
      <w:r>
        <w:t xml:space="preserve"> </w:t>
      </w:r>
      <w:r w:rsidR="009D1073">
        <w:t xml:space="preserve">mortality rate </w:t>
      </w:r>
      <w:r>
        <w:t>in an area is found to be high. This may be in comparison to all other areas being reported, a benchmark or expected value, or other comparable areas with similar characteristics.</w:t>
      </w:r>
      <w:r w:rsidR="00383C8F" w:rsidRPr="00383C8F">
        <w:t xml:space="preserve"> </w:t>
      </w:r>
      <w:r w:rsidR="00383C8F">
        <w:t xml:space="preserve">Review of areas with low </w:t>
      </w:r>
      <w:r w:rsidR="0063062E">
        <w:t xml:space="preserve">rates of </w:t>
      </w:r>
      <w:r w:rsidR="00383C8F">
        <w:t>potentially avoidable death</w:t>
      </w:r>
      <w:r w:rsidR="0063062E">
        <w:t>s</w:t>
      </w:r>
      <w:r w:rsidR="00383C8F">
        <w:t xml:space="preserve"> may help </w:t>
      </w:r>
      <w:r w:rsidR="0063062E">
        <w:t>to identify</w:t>
      </w:r>
      <w:r w:rsidR="00383C8F">
        <w:t xml:space="preserve"> successful intervention strategies, or possibl</w:t>
      </w:r>
      <w:r w:rsidR="0063062E">
        <w:t>y</w:t>
      </w:r>
      <w:r w:rsidR="00383C8F">
        <w:t xml:space="preserve"> unexpected data issues.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Ds comparison by geographic regions "/>
        <w:tblDescription w:val="Summary of PADs by geographic regions."/>
      </w:tblPr>
      <w:tblGrid>
        <w:gridCol w:w="9242"/>
      </w:tblGrid>
      <w:tr w:rsidR="009A7B8D" w:rsidRPr="009A7B8D" w14:paraId="4B3BC8A2" w14:textId="77777777" w:rsidTr="008211F5">
        <w:tc>
          <w:tcPr>
            <w:tcW w:w="9242" w:type="dxa"/>
            <w:shd w:val="clear" w:color="auto" w:fill="79A8AC"/>
          </w:tcPr>
          <w:p w14:paraId="6FAC9778" w14:textId="24CEBECD" w:rsidR="009A7B8D" w:rsidRPr="00502408" w:rsidRDefault="000412E9" w:rsidP="009A7B8D">
            <w:pPr>
              <w:pStyle w:val="NoSpacing"/>
              <w:spacing w:before="120" w:after="120"/>
              <w:rPr>
                <w:b/>
                <w:color w:val="FFFFFF" w:themeColor="background1"/>
                <w:sz w:val="26"/>
                <w:szCs w:val="26"/>
                <w:highlight w:val="yellow"/>
              </w:rPr>
            </w:pPr>
            <w:r>
              <w:rPr>
                <w:b/>
                <w:color w:val="FFFFFF" w:themeColor="background1"/>
                <w:sz w:val="26"/>
                <w:szCs w:val="26"/>
              </w:rPr>
              <w:t xml:space="preserve">Box 3: </w:t>
            </w:r>
            <w:r w:rsidR="009A7B8D" w:rsidRPr="009D1073">
              <w:rPr>
                <w:b/>
                <w:color w:val="FFFFFF" w:themeColor="background1"/>
                <w:sz w:val="26"/>
                <w:szCs w:val="26"/>
              </w:rPr>
              <w:t>Comparison between geographic regions</w:t>
            </w:r>
          </w:p>
        </w:tc>
      </w:tr>
      <w:tr w:rsidR="009A7B8D" w:rsidRPr="009A7B8D" w14:paraId="59E9E949" w14:textId="77777777" w:rsidTr="008211F5">
        <w:tc>
          <w:tcPr>
            <w:tcW w:w="9242" w:type="dxa"/>
            <w:shd w:val="clear" w:color="auto" w:fill="D9E6E7"/>
          </w:tcPr>
          <w:p w14:paraId="42AB2D15" w14:textId="745033D6" w:rsidR="00502408" w:rsidRPr="00BC1A9B" w:rsidRDefault="00502408" w:rsidP="000412E9">
            <w:pPr>
              <w:pStyle w:val="ListParagraph"/>
              <w:numPr>
                <w:ilvl w:val="0"/>
                <w:numId w:val="18"/>
              </w:numPr>
              <w:spacing w:before="120" w:after="120" w:line="276" w:lineRule="auto"/>
            </w:pPr>
            <w:r w:rsidRPr="00BC1A9B">
              <w:t xml:space="preserve">Comparisons </w:t>
            </w:r>
            <w:r>
              <w:t xml:space="preserve">of population-based </w:t>
            </w:r>
            <w:r w:rsidR="009D1073">
              <w:t>mortality</w:t>
            </w:r>
            <w:r>
              <w:t xml:space="preserve"> rates or </w:t>
            </w:r>
            <w:r w:rsidR="009D1073">
              <w:t>person years of life lost</w:t>
            </w:r>
            <w:r>
              <w:t xml:space="preserve"> </w:t>
            </w:r>
            <w:r w:rsidRPr="00BC1A9B">
              <w:t xml:space="preserve">between geographic regions </w:t>
            </w:r>
            <w:r>
              <w:t xml:space="preserve">are used to identify areas with </w:t>
            </w:r>
            <w:r w:rsidR="00523713">
              <w:t xml:space="preserve">relative </w:t>
            </w:r>
            <w:r>
              <w:t xml:space="preserve">high </w:t>
            </w:r>
            <w:r w:rsidR="009D1073">
              <w:t>mortality due to potentially avoidable deaths</w:t>
            </w:r>
            <w:r w:rsidRPr="00BC1A9B">
              <w:t>.</w:t>
            </w:r>
          </w:p>
          <w:p w14:paraId="3BED686E" w14:textId="71A3394C" w:rsidR="00502408" w:rsidRPr="00BC1A9B" w:rsidRDefault="00502408" w:rsidP="000412E9">
            <w:pPr>
              <w:pStyle w:val="ListParagraph"/>
              <w:numPr>
                <w:ilvl w:val="0"/>
                <w:numId w:val="18"/>
              </w:numPr>
              <w:spacing w:before="120" w:after="120" w:line="276" w:lineRule="auto"/>
            </w:pPr>
            <w:r w:rsidRPr="00BC1A9B">
              <w:t xml:space="preserve">Some of the geographic variation in </w:t>
            </w:r>
            <w:r w:rsidR="009D1073">
              <w:t>mortality</w:t>
            </w:r>
            <w:r w:rsidRPr="00BC1A9B">
              <w:t xml:space="preserve"> </w:t>
            </w:r>
            <w:r>
              <w:t>is</w:t>
            </w:r>
            <w:r w:rsidRPr="00BC1A9B">
              <w:t xml:space="preserve"> likely to reflect differences in the </w:t>
            </w:r>
            <w:r w:rsidR="00523713">
              <w:t xml:space="preserve">characteristics of the </w:t>
            </w:r>
            <w:r w:rsidRPr="00BC1A9B">
              <w:t xml:space="preserve">population, such as </w:t>
            </w:r>
            <w:r w:rsidR="00C55868">
              <w:t>socioeconomic</w:t>
            </w:r>
            <w:r w:rsidR="002E314F">
              <w:t xml:space="preserve"> </w:t>
            </w:r>
            <w:r w:rsidR="00523713">
              <w:t>status</w:t>
            </w:r>
            <w:r w:rsidRPr="00BC1A9B">
              <w:t>.</w:t>
            </w:r>
          </w:p>
          <w:p w14:paraId="1DCC09B9" w14:textId="528F39F7" w:rsidR="00502408" w:rsidRPr="00BC1A9B" w:rsidRDefault="00502408" w:rsidP="000412E9">
            <w:pPr>
              <w:pStyle w:val="ListParagraph"/>
              <w:numPr>
                <w:ilvl w:val="0"/>
                <w:numId w:val="18"/>
              </w:numPr>
              <w:spacing w:before="120" w:after="120" w:line="276" w:lineRule="auto"/>
            </w:pPr>
            <w:r w:rsidRPr="00BC1A9B">
              <w:t xml:space="preserve">Where available, comparison between regions with similar </w:t>
            </w:r>
            <w:r w:rsidR="00C55868">
              <w:t>socioeconomic</w:t>
            </w:r>
            <w:r w:rsidRPr="00BC1A9B">
              <w:t xml:space="preserve"> and remoteness characteristics can help </w:t>
            </w:r>
            <w:r>
              <w:t xml:space="preserve">to </w:t>
            </w:r>
            <w:r w:rsidRPr="00BC1A9B">
              <w:t xml:space="preserve">identify if </w:t>
            </w:r>
            <w:r w:rsidR="009D1073">
              <w:t xml:space="preserve">mortality from </w:t>
            </w:r>
            <w:r w:rsidRPr="00BC1A9B">
              <w:t xml:space="preserve">potentially </w:t>
            </w:r>
            <w:r w:rsidR="009D1073">
              <w:t>avoidable deaths</w:t>
            </w:r>
            <w:r w:rsidRPr="00BC1A9B">
              <w:t xml:space="preserve"> </w:t>
            </w:r>
            <w:r w:rsidR="009D1073">
              <w:t>is</w:t>
            </w:r>
            <w:r w:rsidRPr="00BC1A9B">
              <w:t xml:space="preserve"> higher than </w:t>
            </w:r>
            <w:r w:rsidR="00523713">
              <w:t xml:space="preserve">would be </w:t>
            </w:r>
            <w:r w:rsidRPr="00BC1A9B">
              <w:t>expected.</w:t>
            </w:r>
          </w:p>
          <w:p w14:paraId="20F45EEA" w14:textId="1223A39E" w:rsidR="009A7B8D" w:rsidRPr="009A7B8D" w:rsidRDefault="00502408" w:rsidP="000412E9">
            <w:pPr>
              <w:pStyle w:val="ListParagraph"/>
              <w:numPr>
                <w:ilvl w:val="0"/>
                <w:numId w:val="18"/>
              </w:numPr>
              <w:spacing w:before="120" w:after="120" w:line="276" w:lineRule="auto"/>
            </w:pPr>
            <w:r w:rsidRPr="00BC1A9B">
              <w:t xml:space="preserve">Areas with a high </w:t>
            </w:r>
            <w:r w:rsidR="008528A6">
              <w:t xml:space="preserve">rate </w:t>
            </w:r>
            <w:r w:rsidR="009D1073">
              <w:t xml:space="preserve">of </w:t>
            </w:r>
            <w:r w:rsidRPr="00BC1A9B">
              <w:t xml:space="preserve">potentially </w:t>
            </w:r>
            <w:r w:rsidR="00E363B0">
              <w:t>avoidable deaths</w:t>
            </w:r>
            <w:r w:rsidRPr="00BC1A9B">
              <w:t xml:space="preserve"> </w:t>
            </w:r>
            <w:r w:rsidR="00E7621D">
              <w:t>warrant</w:t>
            </w:r>
            <w:r w:rsidRPr="00BC1A9B">
              <w:t xml:space="preserve"> further review.</w:t>
            </w:r>
          </w:p>
        </w:tc>
      </w:tr>
    </w:tbl>
    <w:p w14:paraId="7DA76AC9" w14:textId="77777777" w:rsidR="009A7B8D" w:rsidRDefault="009A7B8D" w:rsidP="00700CB9"/>
    <w:p w14:paraId="1AB895FC" w14:textId="77777777" w:rsidR="00EF2AC8" w:rsidRPr="00EF2AC8" w:rsidRDefault="00EF2AC8" w:rsidP="009A7B8D">
      <w:pPr>
        <w:rPr>
          <w:sz w:val="20"/>
          <w:szCs w:val="20"/>
        </w:rPr>
      </w:pPr>
    </w:p>
    <w:p w14:paraId="365EACDB" w14:textId="77777777" w:rsidR="00906CAE" w:rsidRDefault="00906CAE">
      <w:pPr>
        <w:spacing w:after="200"/>
        <w:rPr>
          <w:rFonts w:asciiTheme="majorHAnsi" w:eastAsiaTheme="majorEastAsia" w:hAnsiTheme="majorHAnsi" w:cstheme="majorBidi"/>
          <w:b/>
          <w:bCs/>
          <w:sz w:val="26"/>
          <w:szCs w:val="26"/>
        </w:rPr>
      </w:pPr>
      <w:r>
        <w:br w:type="page"/>
      </w:r>
    </w:p>
    <w:p w14:paraId="691A0BE6" w14:textId="1513697A" w:rsidR="008628FB" w:rsidRDefault="00664762" w:rsidP="008628FB">
      <w:pPr>
        <w:pStyle w:val="Heading2"/>
      </w:pPr>
      <w:bookmarkStart w:id="18" w:name="_Toc474329561"/>
      <w:r w:rsidRPr="00B06E71">
        <w:lastRenderedPageBreak/>
        <w:t>3</w:t>
      </w:r>
      <w:r w:rsidR="008628FB" w:rsidRPr="00B06E71">
        <w:t>.</w:t>
      </w:r>
      <w:r w:rsidRPr="00B06E71">
        <w:t>2</w:t>
      </w:r>
      <w:r w:rsidR="008628FB" w:rsidRPr="00B06E71">
        <w:t xml:space="preserve"> </w:t>
      </w:r>
      <w:r w:rsidR="00B06E71" w:rsidRPr="00B06E71">
        <w:t xml:space="preserve">Breakdowns by </w:t>
      </w:r>
      <w:r w:rsidR="00B06E71" w:rsidRPr="0064373D">
        <w:t>c</w:t>
      </w:r>
      <w:r w:rsidR="006F045C" w:rsidRPr="0064373D">
        <w:t>ause of death</w:t>
      </w:r>
      <w:r w:rsidR="00B06E71" w:rsidRPr="0064373D">
        <w:t xml:space="preserve"> and</w:t>
      </w:r>
      <w:r w:rsidR="00B06E71" w:rsidRPr="00B06E71">
        <w:t xml:space="preserve"> population subgroups</w:t>
      </w:r>
      <w:bookmarkEnd w:id="18"/>
      <w:r w:rsidR="00B06E71" w:rsidRPr="00B06E71">
        <w:t xml:space="preserve"> </w:t>
      </w:r>
    </w:p>
    <w:p w14:paraId="46788A88" w14:textId="1A0096D1" w:rsidR="00E570C6" w:rsidRDefault="00E570C6" w:rsidP="00E570C6">
      <w:r>
        <w:t>To help inform interventions to reduce potentially avoidable</w:t>
      </w:r>
      <w:r w:rsidR="00CA13A5">
        <w:t xml:space="preserve"> dea</w:t>
      </w:r>
      <w:r>
        <w:t xml:space="preserve">ths, more detailed information </w:t>
      </w:r>
      <w:r w:rsidR="00661775">
        <w:t>by</w:t>
      </w:r>
      <w:r>
        <w:t xml:space="preserve"> </w:t>
      </w:r>
      <w:r w:rsidRPr="0064373D">
        <w:t>c</w:t>
      </w:r>
      <w:r w:rsidR="006F045C" w:rsidRPr="0064373D">
        <w:t xml:space="preserve">ause of death </w:t>
      </w:r>
      <w:r>
        <w:t>and/or population subgroups is often provided. This may be for the country</w:t>
      </w:r>
      <w:r w:rsidR="002E314F">
        <w:t xml:space="preserve"> or state or territory</w:t>
      </w:r>
      <w:r>
        <w:t xml:space="preserve"> as a whole, or separately for each geographic region.</w:t>
      </w:r>
      <w:r w:rsidR="00BE770A">
        <w:t xml:space="preserve"> Some reports group several years of data together to increase the stability of rates when reporting for small geographic regions or population subgroups.</w:t>
      </w:r>
    </w:p>
    <w:p w14:paraId="19676258" w14:textId="3E4F2C51" w:rsidR="00E570C6" w:rsidRPr="00502408" w:rsidRDefault="00E570C6" w:rsidP="00E570C6">
      <w:r w:rsidRPr="00502408">
        <w:t xml:space="preserve">It is common for </w:t>
      </w:r>
      <w:r w:rsidR="00EE2E42" w:rsidRPr="00502408">
        <w:t xml:space="preserve">rates of potentially avoidable deaths to be </w:t>
      </w:r>
      <w:r w:rsidR="00661775">
        <w:t>presented by</w:t>
      </w:r>
      <w:r w:rsidRPr="00502408">
        <w:t xml:space="preserve"> the </w:t>
      </w:r>
      <w:r w:rsidR="00EE2E42" w:rsidRPr="00502408">
        <w:t>causes of death</w:t>
      </w:r>
      <w:r w:rsidRPr="00502408">
        <w:t xml:space="preserve">, either by groups of conditions (e.g. treatable, preventable) or by specific types of conditions (e.g. </w:t>
      </w:r>
      <w:r w:rsidR="00EE2E42" w:rsidRPr="00502408">
        <w:t>diabetes, cancer, transport accidents</w:t>
      </w:r>
      <w:r w:rsidRPr="00502408">
        <w:t xml:space="preserve">). </w:t>
      </w:r>
      <w:r w:rsidR="006F045C" w:rsidRPr="00502408">
        <w:t>An e</w:t>
      </w:r>
      <w:r w:rsidRPr="00502408">
        <w:t xml:space="preserve">xample of such reporting </w:t>
      </w:r>
      <w:r w:rsidR="006F045C" w:rsidRPr="00502408">
        <w:t>is</w:t>
      </w:r>
      <w:r w:rsidRPr="00502408">
        <w:t xml:space="preserve"> presented in Appendix 3.</w:t>
      </w:r>
      <w:r w:rsidR="006F045C" w:rsidRPr="00502408">
        <w:t xml:space="preserve"> However, the large number of causes of deaths included in the indicator, and the small number of deaths which occur for some of these causes, may limit the extent </w:t>
      </w:r>
      <w:r w:rsidR="0064373D" w:rsidRPr="00502408">
        <w:t xml:space="preserve">of this </w:t>
      </w:r>
      <w:r w:rsidR="006F045C" w:rsidRPr="00502408">
        <w:t xml:space="preserve">reporting. </w:t>
      </w:r>
    </w:p>
    <w:p w14:paraId="2E3482C4" w14:textId="544F2271" w:rsidR="00E570C6" w:rsidRDefault="00E570C6" w:rsidP="00E570C6">
      <w:r>
        <w:t xml:space="preserve">Deaths </w:t>
      </w:r>
      <w:r w:rsidR="006F045C">
        <w:t xml:space="preserve">may </w:t>
      </w:r>
      <w:r>
        <w:t xml:space="preserve">also be broken down according to age groups and Indigenous status. Indigenous people in Australia have historically poorer health than other Australians, including higher rates of potentially avoidable deaths. The National Healthcare Agreement </w:t>
      </w:r>
      <w:r w:rsidRPr="0064373D">
        <w:t>recommends</w:t>
      </w:r>
      <w:r>
        <w:t xml:space="preserve"> that rates of potentially avoidable deaths in Australia should be reported by Indigenous status,</w:t>
      </w:r>
      <w:hyperlink w:anchor="_ENREF_1" w:tooltip="AIHW, 2016 #2071" w:history="1">
        <w:r w:rsidR="0094762C">
          <w:fldChar w:fldCharType="begin"/>
        </w:r>
        <w:r w:rsidR="0094762C">
          <w:instrText xml:space="preserve"> ADDIN EN.CITE &lt;EndNote&gt;&lt;Cite&gt;&lt;Author&gt;AIHW&lt;/Author&gt;&lt;Year&gt;2016&lt;/Year&gt;&lt;RecNum&gt;2071&lt;/RecNum&gt;&lt;DisplayText&gt;&lt;style face="superscript"&gt;1&lt;/style&gt;&lt;/DisplayText&gt;&lt;record&gt;&lt;rec-number&gt;2071&lt;/rec-number&gt;&lt;foreign-keys&gt;&lt;key app="EN" db-id="rpzwzaaags0r0pe95aixvrsiw02a5psfsd5f" timestamp="1463621965"&gt;2071&lt;/key&gt;&lt;/foreign-keys&gt;&lt;ref-type name="Web Page"&gt;12&lt;/ref-type&gt;&lt;contributors&gt;&lt;authors&gt;&lt;author&gt;AIHW&lt;/author&gt;&lt;/authors&gt;&lt;/contributors&gt;&lt;titles&gt;&lt;title&gt;National Healthcare Agreement: PI 16 – Potentially avoidable deaths, 2016&lt;/title&gt;&lt;/titles&gt;&lt;number&gt;19/05/2016&lt;/number&gt;&lt;dates&gt;&lt;year&gt;2016&lt;/year&gt;&lt;/dates&gt;&lt;urls&gt;&lt;related-urls&gt;&lt;url&gt;http://meteor.aihw.gov.au/content/index.phtml/itemId/598750&lt;/url&gt;&lt;/related-urls&gt;&lt;/urls&gt;&lt;/record&gt;&lt;/Cite&gt;&lt;/EndNote&gt;</w:instrText>
        </w:r>
        <w:r w:rsidR="0094762C">
          <w:fldChar w:fldCharType="separate"/>
        </w:r>
        <w:r w:rsidR="0094762C" w:rsidRPr="0064373D">
          <w:rPr>
            <w:noProof/>
            <w:vertAlign w:val="superscript"/>
          </w:rPr>
          <w:t>1</w:t>
        </w:r>
        <w:r w:rsidR="0094762C">
          <w:fldChar w:fldCharType="end"/>
        </w:r>
      </w:hyperlink>
      <w:r>
        <w:t xml:space="preserve"> and disparities between Indigenous and non-Indigenous Australians are reported as part of the Aboriginal and Torres Strait Islander Health Performance Framework.</w:t>
      </w:r>
      <w:hyperlink w:anchor="_ENREF_24" w:tooltip="AIHW, 2015 #2055" w:history="1">
        <w:r w:rsidR="0094762C">
          <w:fldChar w:fldCharType="begin"/>
        </w:r>
        <w:r w:rsidR="0094762C">
          <w:instrText xml:space="preserve"> ADDIN EN.CITE &lt;EndNote&gt;&lt;Cite&gt;&lt;Author&gt;AIHW&lt;/Author&gt;&lt;Year&gt;2015&lt;/Year&gt;&lt;RecNum&gt;2055&lt;/RecNum&gt;&lt;DisplayText&gt;&lt;style face="superscript"&gt;24&lt;/style&gt;&lt;/DisplayText&gt;&lt;record&gt;&lt;rec-number&gt;2055&lt;/rec-number&gt;&lt;foreign-keys&gt;&lt;key app="EN" db-id="rpzwzaaags0r0pe95aixvrsiw02a5psfsd5f" timestamp="1463031770"&gt;2055&lt;/key&gt;&lt;/foreign-keys&gt;&lt;ref-type name="Report"&gt;27&lt;/ref-type&gt;&lt;contributors&gt;&lt;authors&gt;&lt;author&gt;AIHW&lt;/author&gt;&lt;/authors&gt;&lt;/contributors&gt;&lt;titles&gt;&lt;title&gt;Aboriginal and Torres Strait Islander health performance framework 2014 report: detailed analyses&lt;/title&gt;&lt;/titles&gt;&lt;number&gt;Cat. no. IHW 167&lt;/number&gt;&lt;dates&gt;&lt;year&gt;2015&lt;/year&gt;&lt;/dates&gt;&lt;publisher&gt;Australian Institute of Health and Welfare&lt;/publisher&gt;&lt;urls&gt;&lt;related-urls&gt;&lt;url&gt;http://www.aihw.gov.au/publication-detail/?id=60129550779&lt;/url&gt;&lt;/related-urls&gt;&lt;/urls&gt;&lt;access-date&gt;12/05/2016&lt;/access-date&gt;&lt;/record&gt;&lt;/Cite&gt;&lt;/EndNote&gt;</w:instrText>
        </w:r>
        <w:r w:rsidR="0094762C">
          <w:fldChar w:fldCharType="separate"/>
        </w:r>
        <w:r w:rsidR="0094762C" w:rsidRPr="0094762C">
          <w:rPr>
            <w:noProof/>
            <w:vertAlign w:val="superscript"/>
          </w:rPr>
          <w:t>24</w:t>
        </w:r>
        <w:r w:rsidR="0094762C">
          <w:fldChar w:fldCharType="end"/>
        </w:r>
      </w:hyperlink>
      <w:r>
        <w:t xml:space="preserve"> However, </w:t>
      </w:r>
      <w:r w:rsidR="00E16364">
        <w:t xml:space="preserve">variation in the quality of data on Indigenous identification restricts reporting </w:t>
      </w:r>
      <w:r w:rsidR="0064373D">
        <w:t xml:space="preserve">across states. The </w:t>
      </w:r>
      <w:r w:rsidR="00E16364">
        <w:t>small number of deaths which occur</w:t>
      </w:r>
      <w:r w:rsidR="0064373D">
        <w:t xml:space="preserve"> </w:t>
      </w:r>
      <w:r w:rsidR="006F045C">
        <w:t xml:space="preserve">within smaller </w:t>
      </w:r>
      <w:r>
        <w:t>geographic areas</w:t>
      </w:r>
      <w:r w:rsidR="0064373D">
        <w:t>, as well as some demographic groups (such as Indigenous people), often mean several years of data</w:t>
      </w:r>
      <w:r w:rsidR="0019616E">
        <w:t xml:space="preserve"> (e.g. five years)</w:t>
      </w:r>
      <w:r w:rsidR="0064373D">
        <w:t xml:space="preserve"> are combined so the rates are more statistically reliable. </w:t>
      </w:r>
      <w:r>
        <w:t xml:space="preserve">An example of reporting by Indigenous status is </w:t>
      </w:r>
      <w:r w:rsidRPr="008F68AB">
        <w:t>presented</w:t>
      </w:r>
      <w:r>
        <w:t xml:space="preserve"> </w:t>
      </w:r>
      <w:r w:rsidRPr="008F68AB">
        <w:t>in Appendix 3.</w:t>
      </w:r>
    </w:p>
    <w:p w14:paraId="2F8966E8" w14:textId="030F2804" w:rsidR="00E570C6" w:rsidRDefault="00E570C6" w:rsidP="00E570C6">
      <w:r w:rsidRPr="00060670">
        <w:t xml:space="preserve">Breakdowns of potentially </w:t>
      </w:r>
      <w:r>
        <w:t>avoidable deaths</w:t>
      </w:r>
      <w:r w:rsidRPr="00060670">
        <w:t xml:space="preserve"> can convey different types of </w:t>
      </w:r>
      <w:r w:rsidR="00970A9F">
        <w:t>information. Looking at</w:t>
      </w:r>
      <w:r>
        <w:t xml:space="preserve"> how the deaths are distributed can help identify where the greatest burden of preventable mortality lies in a population, and what targeted priority areas should be.</w:t>
      </w:r>
    </w:p>
    <w:p w14:paraId="453D939E" w14:textId="07CFB78B" w:rsidR="00E570C6" w:rsidRPr="000A6D33" w:rsidRDefault="00E570C6" w:rsidP="00E570C6">
      <w:r>
        <w:t xml:space="preserve">Comparing the profile of </w:t>
      </w:r>
      <w:r w:rsidR="00CA13A5">
        <w:t xml:space="preserve">potentially avoidable deaths </w:t>
      </w:r>
      <w:r>
        <w:t xml:space="preserve">in one region to other similar regions, or to a state or national average, can help identify if the profile is different to what might be expected. For example, if a region has a particularly high </w:t>
      </w:r>
      <w:r w:rsidR="00CA13A5">
        <w:t xml:space="preserve">mortality </w:t>
      </w:r>
      <w:r>
        <w:t xml:space="preserve">rate </w:t>
      </w:r>
      <w:r w:rsidR="00CA13A5">
        <w:t xml:space="preserve">for </w:t>
      </w:r>
      <w:r>
        <w:t xml:space="preserve">one </w:t>
      </w:r>
      <w:r w:rsidR="0064373D">
        <w:t>cause</w:t>
      </w:r>
      <w:r>
        <w:t xml:space="preserve"> when compared to the Australian total, this may indicate a potential problem area which needs to be addressed even if it comprises a relatively small proportion of the total </w:t>
      </w:r>
      <w:r w:rsidR="00F84B6D">
        <w:t>number of deaths.</w:t>
      </w:r>
      <w:r>
        <w:t xml:space="preserve"> Conversely, if a region has a particularly low </w:t>
      </w:r>
      <w:r w:rsidR="00A12595">
        <w:t xml:space="preserve">relative </w:t>
      </w:r>
      <w:r w:rsidR="00F84B6D">
        <w:t>mortality rate for</w:t>
      </w:r>
      <w:r>
        <w:t xml:space="preserve"> one </w:t>
      </w:r>
      <w:r w:rsidR="0064373D">
        <w:t>cause</w:t>
      </w:r>
      <w:r>
        <w:t xml:space="preserve">, this might </w:t>
      </w:r>
      <w:r w:rsidR="0064373D">
        <w:t>reflect the implementation of a successful policy within the region.</w:t>
      </w:r>
    </w:p>
    <w:p w14:paraId="79EC5DE6" w14:textId="0109D766" w:rsidR="00E570C6" w:rsidRDefault="0064373D" w:rsidP="00E570C6">
      <w:r>
        <w:t>P</w:t>
      </w:r>
      <w:r w:rsidR="00E570C6">
        <w:t xml:space="preserve">opulation subgroups </w:t>
      </w:r>
      <w:r>
        <w:t xml:space="preserve">or causes of death </w:t>
      </w:r>
      <w:r w:rsidR="00E570C6">
        <w:t xml:space="preserve">that have the </w:t>
      </w:r>
      <w:r w:rsidR="00F84B6D">
        <w:t xml:space="preserve">highest rates </w:t>
      </w:r>
      <w:r w:rsidR="00E570C6">
        <w:t xml:space="preserve">of potentially </w:t>
      </w:r>
      <w:r w:rsidR="00F84B6D">
        <w:t xml:space="preserve">avoidable deaths </w:t>
      </w:r>
      <w:r w:rsidR="00E570C6">
        <w:t>should be the focus for targeted policies. A review may be warranted if a c</w:t>
      </w:r>
      <w:r>
        <w:t xml:space="preserve">ause of death </w:t>
      </w:r>
      <w:r w:rsidR="00E570C6">
        <w:t xml:space="preserve">or population subgroup has a </w:t>
      </w:r>
      <w:r w:rsidR="00A12595">
        <w:t>relatively</w:t>
      </w:r>
      <w:r w:rsidR="00E570C6">
        <w:t xml:space="preserve"> higher </w:t>
      </w:r>
      <w:r w:rsidR="00F84B6D">
        <w:t>rate</w:t>
      </w:r>
      <w:r w:rsidR="00E570C6">
        <w:t xml:space="preserve"> than expected. </w:t>
      </w:r>
    </w:p>
    <w:p w14:paraId="7F0F30A4" w14:textId="790BA628" w:rsidR="006A11F6" w:rsidRDefault="00C03D18" w:rsidP="008628FB">
      <w:r>
        <w:t xml:space="preserve"> </w:t>
      </w:r>
    </w:p>
    <w:p w14:paraId="095F0811" w14:textId="77777777" w:rsidR="00E60D86" w:rsidRDefault="00E60D86" w:rsidP="008628FB"/>
    <w:p w14:paraId="028DE1F9" w14:textId="77777777" w:rsidR="00502408" w:rsidRDefault="00502408" w:rsidP="008628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Ds breakdown by cause of death and population subgroups"/>
        <w:tblDescription w:val="Summary of PADs by cause of death and population."/>
      </w:tblPr>
      <w:tblGrid>
        <w:gridCol w:w="9242"/>
      </w:tblGrid>
      <w:tr w:rsidR="009A7B8D" w:rsidRPr="009A7B8D" w14:paraId="0743D9FF" w14:textId="77777777" w:rsidTr="008211F5">
        <w:tc>
          <w:tcPr>
            <w:tcW w:w="9242" w:type="dxa"/>
            <w:shd w:val="clear" w:color="auto" w:fill="79A8AC"/>
          </w:tcPr>
          <w:p w14:paraId="25F01AE0" w14:textId="67100F30" w:rsidR="009A7B8D" w:rsidRPr="009A7B8D" w:rsidRDefault="000412E9" w:rsidP="00502408">
            <w:pPr>
              <w:pStyle w:val="NoSpacing"/>
              <w:spacing w:before="120" w:after="120"/>
              <w:rPr>
                <w:b/>
                <w:color w:val="FFFFFF" w:themeColor="background1"/>
                <w:sz w:val="26"/>
                <w:szCs w:val="26"/>
              </w:rPr>
            </w:pPr>
            <w:r>
              <w:rPr>
                <w:b/>
                <w:color w:val="FFFFFF" w:themeColor="background1"/>
                <w:sz w:val="26"/>
                <w:szCs w:val="26"/>
              </w:rPr>
              <w:lastRenderedPageBreak/>
              <w:t xml:space="preserve">Box 4: </w:t>
            </w:r>
            <w:r w:rsidR="004726FA">
              <w:rPr>
                <w:b/>
                <w:color w:val="FFFFFF" w:themeColor="background1"/>
                <w:sz w:val="26"/>
                <w:szCs w:val="26"/>
              </w:rPr>
              <w:t>Breakdown by c</w:t>
            </w:r>
            <w:r w:rsidR="00502408">
              <w:rPr>
                <w:b/>
                <w:color w:val="FFFFFF" w:themeColor="background1"/>
                <w:sz w:val="26"/>
                <w:szCs w:val="26"/>
              </w:rPr>
              <w:t>ause of death</w:t>
            </w:r>
            <w:r w:rsidR="004726FA">
              <w:rPr>
                <w:b/>
                <w:color w:val="FFFFFF" w:themeColor="background1"/>
                <w:sz w:val="26"/>
                <w:szCs w:val="26"/>
              </w:rPr>
              <w:t xml:space="preserve"> and population subgroup</w:t>
            </w:r>
            <w:r w:rsidR="00502408">
              <w:rPr>
                <w:b/>
                <w:color w:val="FFFFFF" w:themeColor="background1"/>
                <w:sz w:val="26"/>
                <w:szCs w:val="26"/>
              </w:rPr>
              <w:t>s</w:t>
            </w:r>
            <w:r w:rsidR="004726FA">
              <w:rPr>
                <w:b/>
                <w:color w:val="FFFFFF" w:themeColor="background1"/>
                <w:sz w:val="26"/>
                <w:szCs w:val="26"/>
              </w:rPr>
              <w:t xml:space="preserve"> </w:t>
            </w:r>
          </w:p>
        </w:tc>
      </w:tr>
      <w:tr w:rsidR="009A7B8D" w:rsidRPr="009A7B8D" w14:paraId="16D8E7F3" w14:textId="77777777" w:rsidTr="008211F5">
        <w:tc>
          <w:tcPr>
            <w:tcW w:w="9242" w:type="dxa"/>
            <w:shd w:val="clear" w:color="auto" w:fill="D9E6E7"/>
          </w:tcPr>
          <w:p w14:paraId="4F30D1D7" w14:textId="5955D06D" w:rsidR="00502408" w:rsidRPr="000412E9" w:rsidRDefault="00502408" w:rsidP="000412E9">
            <w:pPr>
              <w:pStyle w:val="ListParagraph"/>
              <w:numPr>
                <w:ilvl w:val="0"/>
                <w:numId w:val="19"/>
              </w:numPr>
              <w:spacing w:before="120" w:after="120"/>
            </w:pPr>
            <w:r w:rsidRPr="000412E9">
              <w:t xml:space="preserve">Breakdowns of potentially avoidable deaths by cause </w:t>
            </w:r>
            <w:r w:rsidR="00BE5776">
              <w:t>of death or population subgroup</w:t>
            </w:r>
            <w:r w:rsidRPr="000412E9">
              <w:t xml:space="preserve"> can help to identify priorities for targeted policy interventions.</w:t>
            </w:r>
          </w:p>
          <w:p w14:paraId="1EEF174C" w14:textId="71991B20" w:rsidR="00502408" w:rsidRPr="000412E9" w:rsidRDefault="00502408" w:rsidP="000412E9">
            <w:pPr>
              <w:pStyle w:val="ListParagraph"/>
              <w:numPr>
                <w:ilvl w:val="0"/>
                <w:numId w:val="19"/>
              </w:numPr>
              <w:spacing w:before="120" w:after="120"/>
            </w:pPr>
            <w:r w:rsidRPr="000412E9">
              <w:t xml:space="preserve">Potentially avoidable deaths are sometimes presented </w:t>
            </w:r>
            <w:r w:rsidR="00633012" w:rsidRPr="000412E9">
              <w:t>by</w:t>
            </w:r>
            <w:r w:rsidRPr="000412E9">
              <w:t xml:space="preserve"> cause of death, as well as </w:t>
            </w:r>
            <w:r w:rsidR="00A12595" w:rsidRPr="000412E9">
              <w:t>by</w:t>
            </w:r>
            <w:r w:rsidRPr="000412E9">
              <w:t xml:space="preserve"> age and Indigenous status.   </w:t>
            </w:r>
          </w:p>
          <w:p w14:paraId="555D918E" w14:textId="1FEF44D5" w:rsidR="00502408" w:rsidRPr="000412E9" w:rsidRDefault="00502408" w:rsidP="000412E9">
            <w:pPr>
              <w:pStyle w:val="ListParagraph"/>
              <w:numPr>
                <w:ilvl w:val="0"/>
                <w:numId w:val="19"/>
              </w:numPr>
              <w:spacing w:before="120" w:after="120"/>
            </w:pPr>
            <w:r w:rsidRPr="000412E9">
              <w:t>Causes of death with the highest mortality indicate priority areas to target improvement.</w:t>
            </w:r>
          </w:p>
          <w:p w14:paraId="2A18DCBC" w14:textId="1DEE8DD5" w:rsidR="009A7B8D" w:rsidRPr="000412E9" w:rsidRDefault="00502408" w:rsidP="000412E9">
            <w:pPr>
              <w:pStyle w:val="ListParagraph"/>
              <w:numPr>
                <w:ilvl w:val="0"/>
                <w:numId w:val="19"/>
              </w:numPr>
              <w:spacing w:before="120" w:after="120"/>
            </w:pPr>
            <w:r w:rsidRPr="000412E9">
              <w:t>Causes of death with a higher than expected mortality</w:t>
            </w:r>
            <w:r w:rsidR="009275A2">
              <w:t xml:space="preserve"> rate</w:t>
            </w:r>
            <w:r w:rsidRPr="000412E9">
              <w:t xml:space="preserve"> </w:t>
            </w:r>
            <w:r w:rsidR="00661775" w:rsidRPr="000412E9">
              <w:t>may</w:t>
            </w:r>
            <w:r w:rsidRPr="000412E9">
              <w:t xml:space="preserve"> indicate potential areas for review.</w:t>
            </w:r>
          </w:p>
        </w:tc>
      </w:tr>
    </w:tbl>
    <w:p w14:paraId="3BE3B2B5" w14:textId="77777777" w:rsidR="00DA4FE8" w:rsidRDefault="00DA4FE8">
      <w:pPr>
        <w:spacing w:after="200"/>
        <w:rPr>
          <w:rFonts w:asciiTheme="minorHAnsi" w:eastAsiaTheme="majorEastAsia" w:hAnsiTheme="minorHAnsi" w:cstheme="minorHAnsi"/>
          <w:b/>
          <w:bCs/>
          <w:sz w:val="26"/>
          <w:szCs w:val="26"/>
        </w:rPr>
      </w:pPr>
      <w:r>
        <w:br w:type="page"/>
      </w:r>
    </w:p>
    <w:p w14:paraId="294BA817" w14:textId="0AFB9B5E" w:rsidR="00F20C52" w:rsidRDefault="008765AC" w:rsidP="00D42F7E">
      <w:pPr>
        <w:pStyle w:val="Heading2"/>
      </w:pPr>
      <w:bookmarkStart w:id="19" w:name="_Toc474329562"/>
      <w:r>
        <w:lastRenderedPageBreak/>
        <w:t>3</w:t>
      </w:r>
      <w:r w:rsidR="00F20C52">
        <w:t>.</w:t>
      </w:r>
      <w:r w:rsidR="00664762">
        <w:t>3</w:t>
      </w:r>
      <w:r w:rsidR="00F20C52">
        <w:t xml:space="preserve"> Trends </w:t>
      </w:r>
      <w:r w:rsidR="00E454D8">
        <w:t xml:space="preserve">in potentially </w:t>
      </w:r>
      <w:r w:rsidR="004726FA">
        <w:t>avoidable deaths</w:t>
      </w:r>
      <w:bookmarkEnd w:id="19"/>
    </w:p>
    <w:p w14:paraId="77987952" w14:textId="37248717" w:rsidR="00F84B6D" w:rsidRDefault="00F84B6D" w:rsidP="00F84B6D">
      <w:r>
        <w:t xml:space="preserve">Trends in potentially avoidable deaths, usually presented as age-standardised population-based mortality rates by year, can be used to monitor changes to evaluate the impact of policies or identify emerging problems. Trends can be presented as an overall figure over time, or broken down by area, type of condition or Indigenous status of the population. </w:t>
      </w:r>
      <w:r w:rsidR="002222EC">
        <w:t>An e</w:t>
      </w:r>
      <w:r>
        <w:t xml:space="preserve">xample of reporting of time trends </w:t>
      </w:r>
      <w:r w:rsidR="002222EC">
        <w:t>is</w:t>
      </w:r>
      <w:r>
        <w:t xml:space="preserve"> presented</w:t>
      </w:r>
      <w:r w:rsidRPr="000A6D33">
        <w:t xml:space="preserve"> in Appendix </w:t>
      </w:r>
      <w:r w:rsidR="0019616E">
        <w:t>4</w:t>
      </w:r>
      <w:r>
        <w:t>.</w:t>
      </w:r>
    </w:p>
    <w:p w14:paraId="2F7325AB" w14:textId="6C58854F" w:rsidR="00F84B6D" w:rsidRDefault="00F84B6D" w:rsidP="00F84B6D">
      <w:r>
        <w:t xml:space="preserve">An increasing trend in potentially </w:t>
      </w:r>
      <w:r w:rsidR="00BF7AD8">
        <w:t xml:space="preserve">avoidable deaths </w:t>
      </w:r>
      <w:r>
        <w:t xml:space="preserve">may indicate that </w:t>
      </w:r>
      <w:r w:rsidR="00BF7AD8">
        <w:t>mortality</w:t>
      </w:r>
      <w:r w:rsidR="00C30228">
        <w:t xml:space="preserve"> rates</w:t>
      </w:r>
      <w:r w:rsidR="00BF7AD8">
        <w:t xml:space="preserve"> </w:t>
      </w:r>
      <w:r w:rsidR="00C30228">
        <w:t>are</w:t>
      </w:r>
      <w:r>
        <w:t xml:space="preserve"> increasing and is an issue requiring further investigation. A decreasing trend may indicate that </w:t>
      </w:r>
      <w:r w:rsidR="00BF7AD8">
        <w:t xml:space="preserve">mortality </w:t>
      </w:r>
      <w:r>
        <w:t xml:space="preserve">is decreasing, which may be the result of changes in </w:t>
      </w:r>
      <w:r w:rsidRPr="0019616E">
        <w:t>the effective management of health conditions</w:t>
      </w:r>
      <w:r w:rsidR="009275A2">
        <w:t xml:space="preserve">, </w:t>
      </w:r>
      <w:r w:rsidRPr="0019616E">
        <w:t xml:space="preserve">changes in the way services </w:t>
      </w:r>
      <w:r w:rsidR="0019616E" w:rsidRPr="0019616E">
        <w:t>have been</w:t>
      </w:r>
      <w:r w:rsidRPr="0019616E">
        <w:t xml:space="preserve"> provided</w:t>
      </w:r>
      <w:r w:rsidR="009275A2">
        <w:t xml:space="preserve"> or a decrease in disease incidence</w:t>
      </w:r>
      <w:r w:rsidRPr="0019616E">
        <w:t>.</w:t>
      </w:r>
    </w:p>
    <w:p w14:paraId="6F78D3BB" w14:textId="2698CF22" w:rsidR="00F84B6D" w:rsidRDefault="00F84B6D" w:rsidP="00F84B6D">
      <w:r>
        <w:t xml:space="preserve">When looking at trends, care should be taken not to over-interpret small changes. Fluctuations can emerge as a result of even a small number of events, particularly in small populations where </w:t>
      </w:r>
      <w:r w:rsidR="00BF7AD8">
        <w:t xml:space="preserve">even </w:t>
      </w:r>
      <w:r>
        <w:t xml:space="preserve">a single </w:t>
      </w:r>
      <w:r w:rsidR="00BF7AD8">
        <w:t xml:space="preserve">death </w:t>
      </w:r>
      <w:r>
        <w:t>can heavily influence the po</w:t>
      </w:r>
      <w:r w:rsidR="0019616E">
        <w:t xml:space="preserve">pulation-based rate. </w:t>
      </w:r>
      <w:r>
        <w:t>These fluctuations mean that changes in rates will not always move in a direct manner, such as in a straight line, and more attention should be paid to longer</w:t>
      </w:r>
      <w:r w:rsidR="008528A6">
        <w:t>-</w:t>
      </w:r>
      <w:r>
        <w:t xml:space="preserve">term trends over several years than small differences between two years. </w:t>
      </w:r>
      <w:r w:rsidR="00AD355A">
        <w:t>Some reports group several years of data together to increase the stability of rates when reporting for small geographic regions or population subgroups.</w:t>
      </w:r>
    </w:p>
    <w:p w14:paraId="65CDB72F" w14:textId="77777777" w:rsidR="007037B3" w:rsidRDefault="007037B3" w:rsidP="009E3492">
      <w:pPr>
        <w:pStyle w:val="Heading3"/>
      </w:pPr>
      <w:bookmarkStart w:id="20" w:name="_Toc450663417"/>
      <w:bookmarkStart w:id="21" w:name="_Toc450727215"/>
      <w:bookmarkStart w:id="22" w:name="_Toc451867242"/>
      <w:bookmarkStart w:id="23" w:name="_Toc451954247"/>
      <w:bookmarkStart w:id="24" w:name="_Toc452129043"/>
      <w:bookmarkStart w:id="25" w:name="_Toc454532370"/>
      <w:bookmarkStart w:id="26" w:name="_Toc474329563"/>
      <w:r w:rsidRPr="00CC5E56">
        <w:t>Limitations</w:t>
      </w:r>
      <w:bookmarkEnd w:id="20"/>
      <w:bookmarkEnd w:id="21"/>
      <w:bookmarkEnd w:id="22"/>
      <w:bookmarkEnd w:id="23"/>
      <w:bookmarkEnd w:id="24"/>
      <w:bookmarkEnd w:id="25"/>
      <w:bookmarkEnd w:id="26"/>
    </w:p>
    <w:p w14:paraId="553746D8" w14:textId="059DF46E" w:rsidR="001E1AE7" w:rsidRDefault="002222EC" w:rsidP="002222EC">
      <w:r>
        <w:t xml:space="preserve">Changes in potentially avoidable deaths over time may reflect factors other than changes in the provision of health care. </w:t>
      </w:r>
      <w:r w:rsidR="008528A6">
        <w:t>T</w:t>
      </w:r>
      <w:r w:rsidR="001E1AE7">
        <w:t>hese</w:t>
      </w:r>
      <w:r>
        <w:t xml:space="preserve"> factors may include technical issues, such as changes </w:t>
      </w:r>
      <w:r w:rsidR="00BE770A">
        <w:t>in data quality of Indigenous identification, which can influence trends and disparities in causes of death</w:t>
      </w:r>
      <w:r w:rsidR="008C3612">
        <w:t xml:space="preserve"> between Indigenous and non-Indigenous Australians</w:t>
      </w:r>
      <w:r>
        <w:t>.</w:t>
      </w:r>
      <w:hyperlink w:anchor="_ENREF_25" w:tooltip="ABS, 2015 #2096" w:history="1">
        <w:r w:rsidR="0094762C">
          <w:fldChar w:fldCharType="begin"/>
        </w:r>
        <w:r w:rsidR="0094762C">
          <w:instrText xml:space="preserve"> ADDIN EN.CITE &lt;EndNote&gt;&lt;Cite&gt;&lt;Author&gt;ABS&lt;/Author&gt;&lt;Year&gt;2015&lt;/Year&gt;&lt;RecNum&gt;2096&lt;/RecNum&gt;&lt;DisplayText&gt;&lt;style face="superscript"&gt;25&lt;/style&gt;&lt;/DisplayText&gt;&lt;record&gt;&lt;rec-number&gt;2096&lt;/rec-number&gt;&lt;foreign-keys&gt;&lt;key app="EN" db-id="rpzwzaaags0r0pe95aixvrsiw02a5psfsd5f" timestamp="1464326889"&gt;2096&lt;/key&gt;&lt;/foreign-keys&gt;&lt;ref-type name="Web Page"&gt;12&lt;/ref-type&gt;&lt;contributors&gt;&lt;authors&gt;&lt;author&gt;ABS&lt;/author&gt;&lt;/authors&gt;&lt;/contributors&gt;&lt;titles&gt;&lt;title&gt;3303.0 - Causes of death, Australia, 2013, Deaths of Aboriginal and Torres Strait Islander persons&lt;/title&gt;&lt;/titles&gt;&lt;dates&gt;&lt;year&gt;2015&lt;/year&gt;&lt;/dates&gt;&lt;urls&gt;&lt;related-urls&gt;&lt;url&gt;http://www.abs.gov.au/ausstats/abs@.nsf/Lookup/by%20Subject/3303.0~2013~Main%20Features~Deaths%20of%20Aboriginal%20and%20Torres%20Strait%20Islander%20Persons~10005#&lt;/url&gt;&lt;/related-urls&gt;&lt;/urls&gt;&lt;access-date&gt;27/05/2016&lt;/access-date&gt;&lt;/record&gt;&lt;/Cite&gt;&lt;/EndNote&gt;</w:instrText>
        </w:r>
        <w:r w:rsidR="0094762C">
          <w:fldChar w:fldCharType="separate"/>
        </w:r>
        <w:r w:rsidR="0094762C" w:rsidRPr="0094762C">
          <w:rPr>
            <w:noProof/>
            <w:vertAlign w:val="superscript"/>
          </w:rPr>
          <w:t>25</w:t>
        </w:r>
        <w:r w:rsidR="0094762C">
          <w:fldChar w:fldCharType="end"/>
        </w:r>
      </w:hyperlink>
      <w:r>
        <w:t xml:space="preserve"> </w:t>
      </w:r>
      <w:r w:rsidR="001E1AE7">
        <w:t xml:space="preserve">These factors may also include changes in disease </w:t>
      </w:r>
      <w:r w:rsidR="008528A6">
        <w:t xml:space="preserve">incidence </w:t>
      </w:r>
      <w:r w:rsidR="001E1AE7">
        <w:t>- which would lead to a change in corresponding deaths for that condition without any potential change in the quality of treatment or care provided</w:t>
      </w:r>
      <w:r w:rsidR="00B1134D">
        <w:t xml:space="preserve"> for those with disease</w:t>
      </w:r>
      <w:r w:rsidR="001E1AE7">
        <w:t>.</w:t>
      </w:r>
    </w:p>
    <w:p w14:paraId="4BA10CD3" w14:textId="33D9914E" w:rsidR="001E1AE7" w:rsidRDefault="001E1AE7" w:rsidP="002222EC">
      <w:r>
        <w:t xml:space="preserve">The strongest limitation when interpreting time trends in potentially avoidable deaths is changes in </w:t>
      </w:r>
      <w:r w:rsidR="00B1134D">
        <w:t xml:space="preserve">the </w:t>
      </w:r>
      <w:r>
        <w:t xml:space="preserve">causes of death included in the indicator. While the indicator is reviewed and updated </w:t>
      </w:r>
      <w:r w:rsidR="00CC5E56">
        <w:t xml:space="preserve">by health policymakers </w:t>
      </w:r>
      <w:r>
        <w:t xml:space="preserve">to help minimise potential data quality issues and keep it relevant to the current health care system, </w:t>
      </w:r>
      <w:r w:rsidR="00807248">
        <w:t xml:space="preserve">the development of new treatments, intervention and screening could mean that an avoidable cause of death today may not have been </w:t>
      </w:r>
      <w:r>
        <w:t xml:space="preserve">avoidable in the recent past. </w:t>
      </w:r>
      <w:r w:rsidR="00CC5E56">
        <w:t xml:space="preserve">Therefore, comparing trends over time using a current definition may be incorrectly counting some deaths in the past as ‘avoidable’. Conversely, comparing trends using changing definitions over time can be misleading if there are considerable changes to the </w:t>
      </w:r>
      <w:r w:rsidR="005B2553">
        <w:t xml:space="preserve">number and </w:t>
      </w:r>
      <w:r w:rsidR="00CC5E56">
        <w:t xml:space="preserve">scope of causes </w:t>
      </w:r>
      <w:r w:rsidR="005B2553">
        <w:t xml:space="preserve">of death </w:t>
      </w:r>
      <w:r w:rsidR="00CC5E56">
        <w:t>which are included</w:t>
      </w:r>
      <w:r w:rsidR="005B2553">
        <w:t xml:space="preserve"> in the indicator</w:t>
      </w:r>
      <w:r w:rsidR="00CC5E56">
        <w:t>.</w:t>
      </w:r>
    </w:p>
    <w:p w14:paraId="057D2914" w14:textId="3CA81A8E" w:rsidR="002222EC" w:rsidRDefault="002222EC" w:rsidP="002222EC">
      <w:r>
        <w:t xml:space="preserve">These </w:t>
      </w:r>
      <w:r w:rsidR="00CC5E56">
        <w:t xml:space="preserve">issues </w:t>
      </w:r>
      <w:r>
        <w:t>are monitored by health policymakers, and the indicator is reviewed and revised to help minimise their impact. However, some changes may not be able to be fully accounted for. Care should always be taken when viewing trends to look for these data limitations, interpret the data with caution, and utilise local knowledge of what is happening within a particular local area to inform interpretation of the trends. In some cases the changes in data quality may be too great to allow for meaningful comparisons over time, and time trends may not be reported.</w:t>
      </w:r>
    </w:p>
    <w:p w14:paraId="5D848924" w14:textId="65B5DD2B" w:rsidR="00BF7AD8" w:rsidRDefault="00BF7AD8" w:rsidP="00BF7AD8">
      <w:r>
        <w:lastRenderedPageBreak/>
        <w:t>A review is warranted if there is an increasing trend in potentially avoidable deaths over time.</w:t>
      </w:r>
      <w:r w:rsidR="0033319C" w:rsidRPr="0033319C">
        <w:t xml:space="preserve"> </w:t>
      </w:r>
      <w:r w:rsidR="0033319C">
        <w:t xml:space="preserve">Examination of decreasing trends may help </w:t>
      </w:r>
      <w:r w:rsidR="0063062E">
        <w:t>identify</w:t>
      </w:r>
      <w:r w:rsidR="0033319C">
        <w:t xml:space="preserve"> where successful intervention strategies have been introduced.  </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Ds over time"/>
        <w:tblDescription w:val="Summary of PADs trends over time."/>
      </w:tblPr>
      <w:tblGrid>
        <w:gridCol w:w="9242"/>
      </w:tblGrid>
      <w:tr w:rsidR="009A7B8D" w:rsidRPr="009A7B8D" w14:paraId="4EEADD6B" w14:textId="77777777" w:rsidTr="009A7B8D">
        <w:tc>
          <w:tcPr>
            <w:tcW w:w="9242" w:type="dxa"/>
            <w:shd w:val="clear" w:color="auto" w:fill="79A8AC"/>
          </w:tcPr>
          <w:p w14:paraId="69070F82" w14:textId="6728B2E3" w:rsidR="009A7B8D" w:rsidRPr="009A7B8D" w:rsidRDefault="000412E9" w:rsidP="009A7B8D">
            <w:pPr>
              <w:pStyle w:val="NoSpacing"/>
              <w:spacing w:before="120" w:after="120"/>
              <w:rPr>
                <w:b/>
                <w:color w:val="FFFFFF" w:themeColor="background1"/>
                <w:sz w:val="26"/>
                <w:szCs w:val="26"/>
              </w:rPr>
            </w:pPr>
            <w:r>
              <w:rPr>
                <w:b/>
                <w:color w:val="FFFFFF" w:themeColor="background1"/>
                <w:sz w:val="26"/>
                <w:szCs w:val="26"/>
              </w:rPr>
              <w:t xml:space="preserve">Box 5: </w:t>
            </w:r>
            <w:r w:rsidR="009A7B8D" w:rsidRPr="009A7B8D">
              <w:rPr>
                <w:b/>
                <w:color w:val="FFFFFF" w:themeColor="background1"/>
                <w:sz w:val="26"/>
                <w:szCs w:val="26"/>
              </w:rPr>
              <w:t xml:space="preserve">Trends over time </w:t>
            </w:r>
          </w:p>
        </w:tc>
      </w:tr>
      <w:tr w:rsidR="009A7B8D" w:rsidRPr="009A7B8D" w14:paraId="08303FD2" w14:textId="77777777" w:rsidTr="009A7B8D">
        <w:tc>
          <w:tcPr>
            <w:tcW w:w="9242" w:type="dxa"/>
            <w:shd w:val="clear" w:color="auto" w:fill="D9E6E7"/>
          </w:tcPr>
          <w:p w14:paraId="539034E0" w14:textId="77777777" w:rsidR="005B2553" w:rsidRDefault="00CC5E56" w:rsidP="000412E9">
            <w:pPr>
              <w:pStyle w:val="NoSpacing"/>
              <w:numPr>
                <w:ilvl w:val="0"/>
                <w:numId w:val="20"/>
              </w:numPr>
              <w:spacing w:before="120" w:line="276" w:lineRule="auto"/>
            </w:pPr>
            <w:r w:rsidRPr="009A7B8D">
              <w:t xml:space="preserve">Trends can be used to monitor changes in </w:t>
            </w:r>
            <w:r>
              <w:t>mortality from</w:t>
            </w:r>
            <w:r w:rsidRPr="009A7B8D">
              <w:t xml:space="preserve"> potentially </w:t>
            </w:r>
            <w:r>
              <w:t xml:space="preserve">avoidable deaths </w:t>
            </w:r>
            <w:r w:rsidRPr="009A7B8D">
              <w:t xml:space="preserve">over time. </w:t>
            </w:r>
          </w:p>
          <w:p w14:paraId="5D92ED81" w14:textId="508B463B" w:rsidR="005B2553" w:rsidRDefault="005B2553" w:rsidP="000412E9">
            <w:pPr>
              <w:pStyle w:val="NoSpacing"/>
              <w:numPr>
                <w:ilvl w:val="0"/>
                <w:numId w:val="20"/>
              </w:numPr>
              <w:spacing w:line="276" w:lineRule="auto"/>
            </w:pPr>
            <w:r>
              <w:t xml:space="preserve">Interpretation of trends may be limited if there have been improvements in treatment over time, and thus the deaths that would be considered truly ‘avoidable’. </w:t>
            </w:r>
          </w:p>
          <w:p w14:paraId="6EED91D6" w14:textId="0A122D23" w:rsidR="00CC5E56" w:rsidRDefault="00CC5E56" w:rsidP="000412E9">
            <w:pPr>
              <w:pStyle w:val="NoSpacing"/>
              <w:numPr>
                <w:ilvl w:val="0"/>
                <w:numId w:val="20"/>
              </w:numPr>
              <w:spacing w:line="276" w:lineRule="auto"/>
            </w:pPr>
            <w:r w:rsidRPr="009A7B8D">
              <w:t>Trends may not be reported if there are concerns about poor data quality limiting comparability over time.</w:t>
            </w:r>
          </w:p>
          <w:p w14:paraId="2B08B5B9" w14:textId="0CF2B5A8" w:rsidR="009A7B8D" w:rsidRPr="009A7B8D" w:rsidRDefault="00FD1582" w:rsidP="006A1DF3">
            <w:pPr>
              <w:pStyle w:val="NoSpacing"/>
              <w:numPr>
                <w:ilvl w:val="0"/>
                <w:numId w:val="20"/>
              </w:numPr>
              <w:spacing w:after="120" w:line="276" w:lineRule="auto"/>
              <w:rPr>
                <w:rFonts w:ascii="Arial" w:hAnsi="Arial" w:cs="Arial"/>
              </w:rPr>
            </w:pPr>
            <w:r>
              <w:t xml:space="preserve">A review may be warranted </w:t>
            </w:r>
            <w:r w:rsidR="00CC5E56" w:rsidRPr="009A7B8D">
              <w:t xml:space="preserve">if trends reveal an increase in </w:t>
            </w:r>
            <w:r w:rsidR="006A1DF3">
              <w:t>rates</w:t>
            </w:r>
            <w:r w:rsidR="00CC5E56" w:rsidRPr="009A7B8D">
              <w:t xml:space="preserve"> of potentially preventable </w:t>
            </w:r>
            <w:r w:rsidR="00B1134D">
              <w:t>deaths</w:t>
            </w:r>
            <w:r w:rsidR="00B1134D" w:rsidRPr="009A7B8D">
              <w:t xml:space="preserve"> </w:t>
            </w:r>
            <w:r w:rsidR="00CC5E56" w:rsidRPr="009A7B8D">
              <w:t>over time.</w:t>
            </w:r>
          </w:p>
        </w:tc>
      </w:tr>
    </w:tbl>
    <w:p w14:paraId="11EF5257" w14:textId="77777777" w:rsidR="00F9248F" w:rsidRDefault="00F9248F" w:rsidP="00F9248F">
      <w:pPr>
        <w:pStyle w:val="ListParagraph"/>
        <w:spacing w:before="120" w:after="120"/>
        <w:ind w:left="360"/>
      </w:pPr>
    </w:p>
    <w:p w14:paraId="3E0D04F3" w14:textId="77777777" w:rsidR="009A7B8D" w:rsidRDefault="009A7B8D" w:rsidP="00E454D8"/>
    <w:p w14:paraId="1C2FA917" w14:textId="77777777" w:rsidR="00DA4FE8" w:rsidRDefault="00DA4FE8">
      <w:pPr>
        <w:spacing w:after="200"/>
        <w:rPr>
          <w:rFonts w:asciiTheme="minorHAnsi" w:eastAsiaTheme="majorEastAsia" w:hAnsiTheme="minorHAnsi" w:cstheme="minorHAnsi"/>
          <w:b/>
          <w:bCs/>
          <w:sz w:val="28"/>
          <w:szCs w:val="28"/>
        </w:rPr>
      </w:pPr>
      <w:r>
        <w:br w:type="page"/>
      </w:r>
    </w:p>
    <w:p w14:paraId="374E6527" w14:textId="36525994" w:rsidR="00F4253B" w:rsidRDefault="00664762" w:rsidP="00F4253B">
      <w:pPr>
        <w:pStyle w:val="Heading1"/>
      </w:pPr>
      <w:bookmarkStart w:id="27" w:name="_Toc474329564"/>
      <w:r>
        <w:lastRenderedPageBreak/>
        <w:t>4</w:t>
      </w:r>
      <w:r w:rsidR="00061908">
        <w:t xml:space="preserve">. </w:t>
      </w:r>
      <w:r w:rsidR="00B63941">
        <w:t xml:space="preserve">Further </w:t>
      </w:r>
      <w:bookmarkStart w:id="28" w:name="_Toc450663420"/>
      <w:r w:rsidR="00F4253B">
        <w:t>resources</w:t>
      </w:r>
      <w:bookmarkEnd w:id="28"/>
      <w:bookmarkEnd w:id="27"/>
    </w:p>
    <w:p w14:paraId="42BDBF67" w14:textId="496C68D3" w:rsidR="00C70E88" w:rsidRDefault="009E02C1" w:rsidP="007E5134">
      <w:r>
        <w:t xml:space="preserve">The potentially avoidable deaths indicator </w:t>
      </w:r>
      <w:r w:rsidR="00B1134D">
        <w:t>comprises</w:t>
      </w:r>
      <w:r>
        <w:t xml:space="preserve"> a range of conditions </w:t>
      </w:r>
      <w:r w:rsidR="00B1134D">
        <w:t xml:space="preserve">that </w:t>
      </w:r>
      <w:r>
        <w:t xml:space="preserve">may be preventable or treatable through different means within the health care system. As there is no single </w:t>
      </w:r>
      <w:r w:rsidR="00B1134D">
        <w:t xml:space="preserve">principle </w:t>
      </w:r>
      <w:r w:rsidR="007B6362">
        <w:t xml:space="preserve">that characterises </w:t>
      </w:r>
      <w:r>
        <w:t xml:space="preserve">the mechanisms </w:t>
      </w:r>
      <w:r w:rsidR="00B1134D">
        <w:t>by which</w:t>
      </w:r>
      <w:r>
        <w:t xml:space="preserve"> mortality for the</w:t>
      </w:r>
      <w:r w:rsidR="00B1134D">
        <w:t>se</w:t>
      </w:r>
      <w:r>
        <w:t xml:space="preserve"> causes can be avoided, policymakers need to utilise their experience and knowledge at the local level to better understand the priorit</w:t>
      </w:r>
      <w:r w:rsidR="00C70E88">
        <w:t xml:space="preserve">y areas and </w:t>
      </w:r>
      <w:r>
        <w:t>issues</w:t>
      </w:r>
      <w:r w:rsidR="00C70E88">
        <w:t xml:space="preserve"> faced within their region.</w:t>
      </w:r>
    </w:p>
    <w:p w14:paraId="0715CF76" w14:textId="7C7BE0C0" w:rsidR="001A21C0" w:rsidRDefault="00C70E88" w:rsidP="007E5134">
      <w:r>
        <w:t xml:space="preserve">Some </w:t>
      </w:r>
      <w:r w:rsidR="005876CB">
        <w:t xml:space="preserve">international </w:t>
      </w:r>
      <w:r>
        <w:t>organisations</w:t>
      </w:r>
      <w:r w:rsidR="005876CB">
        <w:t xml:space="preserve"> are supplementing </w:t>
      </w:r>
      <w:r w:rsidR="0011520E">
        <w:t xml:space="preserve">broad indicators of avoidable mortality with more </w:t>
      </w:r>
      <w:r w:rsidR="005876CB">
        <w:t>detailed profile</w:t>
      </w:r>
      <w:r w:rsidR="0011520E">
        <w:t>s of individual causes of death</w:t>
      </w:r>
      <w:r w:rsidR="007B6E64">
        <w:t>.</w:t>
      </w:r>
      <w:hyperlink w:anchor="_ENREF_20" w:tooltip="England, 2015 #2086" w:history="1">
        <w:r w:rsidR="0094762C">
          <w:fldChar w:fldCharType="begin"/>
        </w:r>
        <w:r w:rsidR="0094762C">
          <w:instrText xml:space="preserve"> ADDIN EN.CITE &lt;EndNote&gt;&lt;Cite&gt;&lt;Author&gt;England&lt;/Author&gt;&lt;Year&gt;2015&lt;/Year&gt;&lt;RecNum&gt;2086&lt;/RecNum&gt;&lt;DisplayText&gt;&lt;style face="superscript"&gt;20&lt;/style&gt;&lt;/DisplayText&gt;&lt;record&gt;&lt;rec-number&gt;2086&lt;/rec-number&gt;&lt;foreign-keys&gt;&lt;key app="EN" db-id="rpzwzaaags0r0pe95aixvrsiw02a5psfsd5f" timestamp="1464068622"&gt;2086&lt;/key&gt;&lt;/foreign-keys&gt;&lt;ref-type name="Report"&gt;27&lt;/ref-type&gt;&lt;contributors&gt;&lt;authors&gt;&lt;author&gt;NHS England&lt;/author&gt;&lt;/authors&gt;&lt;/contributors&gt;&lt;titles&gt;&lt;title&gt;CCG Outcomes Indicator Set 2015/16: Technical Guidance &lt;/title&gt;&lt;/titles&gt;&lt;dates&gt;&lt;year&gt;2015&lt;/year&gt;&lt;/dates&gt;&lt;urls&gt;&lt;related-urls&gt;&lt;url&gt;https://www.england.nhs.uk/resources/resources-for-ccgs/ccg-out-tool/ccg-ois/&lt;/url&gt;&lt;/related-urls&gt;&lt;/urls&gt;&lt;access-date&gt;24/05/2016&lt;/access-date&gt;&lt;/record&gt;&lt;/Cite&gt;&lt;/EndNote&gt;</w:instrText>
        </w:r>
        <w:r w:rsidR="0094762C">
          <w:fldChar w:fldCharType="separate"/>
        </w:r>
        <w:r w:rsidR="0094762C" w:rsidRPr="0094762C">
          <w:rPr>
            <w:noProof/>
            <w:vertAlign w:val="superscript"/>
          </w:rPr>
          <w:t>20</w:t>
        </w:r>
        <w:r w:rsidR="0094762C">
          <w:fldChar w:fldCharType="end"/>
        </w:r>
      </w:hyperlink>
      <w:r w:rsidR="0011520E">
        <w:t xml:space="preserve"> Similar information is being reported in Australia for leading causes of premature mortality,</w:t>
      </w:r>
      <w:hyperlink w:anchor="_ENREF_26" w:tooltip="AIHW, 2015 #2085" w:history="1">
        <w:r w:rsidR="0094762C">
          <w:fldChar w:fldCharType="begin"/>
        </w:r>
        <w:r w:rsidR="0094762C">
          <w:instrText xml:space="preserve"> ADDIN EN.CITE &lt;EndNote&gt;&lt;Cite&gt;&lt;Author&gt;AIHW&lt;/Author&gt;&lt;Year&gt;2015&lt;/Year&gt;&lt;RecNum&gt;2085&lt;/RecNum&gt;&lt;DisplayText&gt;&lt;style face="superscript"&gt;26&lt;/style&gt;&lt;/DisplayText&gt;&lt;record&gt;&lt;rec-number&gt;2085&lt;/rec-number&gt;&lt;foreign-keys&gt;&lt;key app="EN" db-id="rpzwzaaags0r0pe95aixvrsiw02a5psfsd5f" timestamp="1464066231"&gt;2085&lt;/key&gt;&lt;/foreign-keys&gt;&lt;ref-type name="Web Page"&gt;12&lt;/ref-type&gt;&lt;contributors&gt;&lt;authors&gt;&lt;author&gt;AIHW&lt;/author&gt;&lt;/authors&gt;&lt;/contributors&gt;&lt;titles&gt;&lt;title&gt;Premature mortality in Australia 1997–2012&lt;/title&gt;&lt;/titles&gt;&lt;volume&gt;2016&lt;/volume&gt;&lt;number&gt;24/05/2016&lt;/number&gt;&lt;dates&gt;&lt;year&gt;2015&lt;/year&gt;&lt;/dates&gt;&lt;publisher&gt;Australian Institute of Health and Welfare&lt;/publisher&gt;&lt;urls&gt;&lt;related-urls&gt;&lt;url&gt;http://www.aihw.gov.au/deaths/premature-mortality/&lt;/url&gt;&lt;/related-urls&gt;&lt;/urls&gt;&lt;/record&gt;&lt;/Cite&gt;&lt;/EndNote&gt;</w:instrText>
        </w:r>
        <w:r w:rsidR="0094762C">
          <w:fldChar w:fldCharType="separate"/>
        </w:r>
        <w:r w:rsidR="0094762C" w:rsidRPr="0094762C">
          <w:rPr>
            <w:noProof/>
            <w:vertAlign w:val="superscript"/>
          </w:rPr>
          <w:t>26</w:t>
        </w:r>
        <w:r w:rsidR="0094762C">
          <w:fldChar w:fldCharType="end"/>
        </w:r>
      </w:hyperlink>
      <w:r w:rsidR="0011520E">
        <w:t xml:space="preserve"> </w:t>
      </w:r>
      <w:r w:rsidR="00C360ED">
        <w:t xml:space="preserve">as well as reports on disease prevalence and </w:t>
      </w:r>
      <w:r w:rsidR="003636AC">
        <w:t xml:space="preserve">cancer survival, </w:t>
      </w:r>
      <w:r w:rsidR="00C360ED">
        <w:t>which</w:t>
      </w:r>
      <w:r w:rsidR="000412E9">
        <w:t>,</w:t>
      </w:r>
      <w:r w:rsidR="0011520E">
        <w:t xml:space="preserve"> where available</w:t>
      </w:r>
      <w:r w:rsidR="000412E9">
        <w:t>,</w:t>
      </w:r>
      <w:r w:rsidR="0011520E">
        <w:t xml:space="preserve"> can help </w:t>
      </w:r>
      <w:r w:rsidR="00B1134D">
        <w:t xml:space="preserve">to </w:t>
      </w:r>
      <w:r w:rsidR="001A21C0">
        <w:t xml:space="preserve">inform on trends, disparities, and possible interventions for these leading causes of death. </w:t>
      </w:r>
    </w:p>
    <w:p w14:paraId="202747F8" w14:textId="48871E50" w:rsidR="001A21C0" w:rsidRDefault="001A21C0" w:rsidP="001A21C0">
      <w:r>
        <w:t>Further information on potentially avoidable deaths in Australia is available in the following reports.</w:t>
      </w:r>
    </w:p>
    <w:p w14:paraId="686C1F9C" w14:textId="77777777" w:rsidR="00E60D86" w:rsidRDefault="00E60D86" w:rsidP="00AA07F8">
      <w:pPr>
        <w:pStyle w:val="ListParagraph"/>
        <w:numPr>
          <w:ilvl w:val="0"/>
          <w:numId w:val="28"/>
        </w:numPr>
      </w:pPr>
      <w:r>
        <w:t xml:space="preserve">Australian Bureau of Statistics, 2016. Causes of Death. ABS Cat. No. 3303.0. Canberra, ABS. Available at </w:t>
      </w:r>
      <w:hyperlink r:id="rId22" w:history="1">
        <w:r w:rsidRPr="00B309A3">
          <w:rPr>
            <w:rStyle w:val="Hyperlink"/>
          </w:rPr>
          <w:t>http://www.abs.gov.au/ausstats/abs@.nsf/Lookup/by%20Subject/3303.0~2014~Main%20Features~Potentially%20Avoidable%20Mortality%20~10043</w:t>
        </w:r>
      </w:hyperlink>
      <w:r>
        <w:t xml:space="preserve"> </w:t>
      </w:r>
    </w:p>
    <w:p w14:paraId="3FF5B5E5" w14:textId="76C2E5A7" w:rsidR="00600A9B" w:rsidRPr="006F5518" w:rsidRDefault="00600A9B" w:rsidP="00AA07F8">
      <w:pPr>
        <w:pStyle w:val="ListParagraph"/>
        <w:numPr>
          <w:ilvl w:val="0"/>
          <w:numId w:val="28"/>
        </w:numPr>
        <w:rPr>
          <w:rStyle w:val="Hyperlink"/>
          <w:color w:val="auto"/>
          <w:u w:val="none"/>
        </w:rPr>
      </w:pPr>
      <w:r>
        <w:t xml:space="preserve">Australian Institute of Health and Welfare, 2016. </w:t>
      </w:r>
      <w:r w:rsidRPr="006F5518">
        <w:rPr>
          <w:i/>
        </w:rPr>
        <w:t xml:space="preserve">PI 18-Selected potentially </w:t>
      </w:r>
      <w:r>
        <w:rPr>
          <w:i/>
        </w:rPr>
        <w:t>avoidable deaths</w:t>
      </w:r>
      <w:r w:rsidRPr="002E0D53">
        <w:t xml:space="preserve">. Available at </w:t>
      </w:r>
      <w:hyperlink r:id="rId23" w:history="1">
        <w:r w:rsidRPr="00C21EFA">
          <w:rPr>
            <w:rStyle w:val="Hyperlink"/>
          </w:rPr>
          <w:t>http://meteor.aihw.gov.au/content/index.phtml/itemId/598750</w:t>
        </w:r>
      </w:hyperlink>
      <w:r>
        <w:t xml:space="preserve"> </w:t>
      </w:r>
    </w:p>
    <w:p w14:paraId="074E0B4F" w14:textId="77777777" w:rsidR="00600A9B" w:rsidRPr="003E23B0" w:rsidRDefault="00600A9B" w:rsidP="00AA07F8">
      <w:pPr>
        <w:pStyle w:val="ListParagraph"/>
        <w:numPr>
          <w:ilvl w:val="0"/>
          <w:numId w:val="28"/>
        </w:numPr>
      </w:pPr>
      <w:r w:rsidRPr="003E23B0">
        <w:t xml:space="preserve">Australian Institute of Health and Welfare, 2015. </w:t>
      </w:r>
      <w:r w:rsidRPr="005B2553">
        <w:rPr>
          <w:i/>
        </w:rPr>
        <w:t>Aboriginal and Torres Strait Islander Health Performance Framework 2014 report: detailed analyses</w:t>
      </w:r>
      <w:r w:rsidRPr="003E23B0">
        <w:t xml:space="preserve">. Cat. </w:t>
      </w:r>
      <w:proofErr w:type="gramStart"/>
      <w:r w:rsidRPr="003E23B0">
        <w:t>no</w:t>
      </w:r>
      <w:proofErr w:type="gramEnd"/>
      <w:r w:rsidRPr="003E23B0">
        <w:t>. 167. Canberra, AIHW.</w:t>
      </w:r>
    </w:p>
    <w:p w14:paraId="1A3B6745" w14:textId="2DF13493" w:rsidR="00C20B42" w:rsidRDefault="00600A9B" w:rsidP="00AA07F8">
      <w:pPr>
        <w:pStyle w:val="ListParagraph"/>
        <w:numPr>
          <w:ilvl w:val="0"/>
          <w:numId w:val="28"/>
        </w:numPr>
      </w:pPr>
      <w:r>
        <w:t xml:space="preserve">Australian Institute of Health and Welfare, 2015. </w:t>
      </w:r>
      <w:r w:rsidRPr="005B2553">
        <w:rPr>
          <w:i/>
        </w:rPr>
        <w:t>Premature mortality in Australia 1997–2012</w:t>
      </w:r>
      <w:r>
        <w:t xml:space="preserve">. Available at: </w:t>
      </w:r>
      <w:hyperlink r:id="rId24" w:history="1">
        <w:r w:rsidRPr="00C21EFA">
          <w:rPr>
            <w:rStyle w:val="Hyperlink"/>
          </w:rPr>
          <w:t>http://www.aihw.gov.au/deaths/premature-mortality/</w:t>
        </w:r>
      </w:hyperlink>
      <w:r>
        <w:t xml:space="preserve"> </w:t>
      </w:r>
    </w:p>
    <w:p w14:paraId="7E2EA2E9" w14:textId="7A3242E9" w:rsidR="00600A9B" w:rsidRPr="000D5ABE" w:rsidRDefault="00600A9B" w:rsidP="00AA07F8">
      <w:pPr>
        <w:pStyle w:val="ListParagraph"/>
        <w:numPr>
          <w:ilvl w:val="0"/>
          <w:numId w:val="28"/>
        </w:numPr>
      </w:pPr>
      <w:proofErr w:type="spellStart"/>
      <w:r>
        <w:t>Health</w:t>
      </w:r>
      <w:r w:rsidRPr="000D5ABE">
        <w:t>Stats</w:t>
      </w:r>
      <w:proofErr w:type="spellEnd"/>
      <w:r w:rsidRPr="000D5ABE">
        <w:t xml:space="preserve"> NSW, 201</w:t>
      </w:r>
      <w:r>
        <w:t>6</w:t>
      </w:r>
      <w:r w:rsidRPr="000D5ABE">
        <w:t xml:space="preserve">. </w:t>
      </w:r>
      <w:r w:rsidRPr="005B2553">
        <w:rPr>
          <w:i/>
        </w:rPr>
        <w:t>Potentially avoidable deaths</w:t>
      </w:r>
      <w:r w:rsidRPr="000D5ABE">
        <w:t xml:space="preserve">. Available at </w:t>
      </w:r>
      <w:hyperlink r:id="rId25" w:history="1">
        <w:r w:rsidR="00E91EEE" w:rsidRPr="00C21EFA">
          <w:rPr>
            <w:rStyle w:val="Hyperlink"/>
          </w:rPr>
          <w:t>http://www.healthstats.nsw.gov.au/Indicatorgroup/indicatorViewList?code=avo&amp;topic=topic_avodth&amp;name=Potentially%20avoidable%20deathsTopic</w:t>
        </w:r>
      </w:hyperlink>
      <w:r w:rsidR="00E91EEE">
        <w:t xml:space="preserve"> </w:t>
      </w:r>
    </w:p>
    <w:p w14:paraId="5E2CB2B6" w14:textId="2968F5E7" w:rsidR="00600A9B" w:rsidRPr="003E23B0" w:rsidRDefault="00600A9B" w:rsidP="00AA07F8">
      <w:pPr>
        <w:pStyle w:val="ListParagraph"/>
        <w:numPr>
          <w:ilvl w:val="0"/>
          <w:numId w:val="28"/>
        </w:numPr>
      </w:pPr>
      <w:r w:rsidRPr="003E23B0">
        <w:t>National Health Performance Authority, 201</w:t>
      </w:r>
      <w:r>
        <w:t>3</w:t>
      </w:r>
      <w:r w:rsidRPr="003E23B0">
        <w:t xml:space="preserve">, </w:t>
      </w:r>
      <w:r w:rsidRPr="003E23B0">
        <w:rPr>
          <w:i/>
        </w:rPr>
        <w:t xml:space="preserve">Healthy Communities: </w:t>
      </w:r>
      <w:r>
        <w:rPr>
          <w:i/>
        </w:rPr>
        <w:t>Avoidable deaths and life expectancies in 2009-2011</w:t>
      </w:r>
      <w:r w:rsidRPr="003E23B0">
        <w:rPr>
          <w:i/>
        </w:rPr>
        <w:t>.</w:t>
      </w:r>
    </w:p>
    <w:p w14:paraId="61D434A8" w14:textId="5ACF4E54" w:rsidR="00600A9B" w:rsidRDefault="00600A9B" w:rsidP="00AA07F8">
      <w:pPr>
        <w:pStyle w:val="ListParagraph"/>
        <w:numPr>
          <w:ilvl w:val="0"/>
          <w:numId w:val="28"/>
        </w:numPr>
      </w:pPr>
      <w:r w:rsidRPr="002E0D53">
        <w:t>Public Health Information Development Unit</w:t>
      </w:r>
      <w:r>
        <w:t>, 2006.</w:t>
      </w:r>
      <w:r w:rsidRPr="002E0D53">
        <w:t xml:space="preserve"> </w:t>
      </w:r>
      <w:r w:rsidRPr="005B2553">
        <w:rPr>
          <w:i/>
        </w:rPr>
        <w:t>Australian and New Zealand atlas of avoidable mortality</w:t>
      </w:r>
      <w:r>
        <w:t>. The University of Adelaide</w:t>
      </w:r>
    </w:p>
    <w:p w14:paraId="3F52925C" w14:textId="77777777" w:rsidR="00C830A1" w:rsidRPr="00C830A1" w:rsidRDefault="00C830A1" w:rsidP="00AA07F8">
      <w:pPr>
        <w:pStyle w:val="ListParagraph"/>
        <w:numPr>
          <w:ilvl w:val="0"/>
          <w:numId w:val="28"/>
        </w:numPr>
      </w:pPr>
      <w:r w:rsidRPr="00C830A1">
        <w:t xml:space="preserve">SCRGSP (Steering Committee for the Review of Government Service Provision) 2016, </w:t>
      </w:r>
      <w:r w:rsidRPr="00C830A1">
        <w:rPr>
          <w:i/>
          <w:iCs/>
        </w:rPr>
        <w:t>Report on Government Services 2016</w:t>
      </w:r>
      <w:r w:rsidRPr="00C830A1">
        <w:t>, Productivity Commission, Canberra.</w:t>
      </w:r>
    </w:p>
    <w:p w14:paraId="0BA82F9F" w14:textId="3300C356" w:rsidR="007E5134" w:rsidRDefault="007E5134" w:rsidP="007E5134"/>
    <w:p w14:paraId="4E3790DF" w14:textId="77777777" w:rsidR="007E5134" w:rsidRDefault="007E5134" w:rsidP="00E60D86"/>
    <w:p w14:paraId="1E0DF5A1" w14:textId="77777777" w:rsidR="00AF61B2" w:rsidRDefault="00AF61B2">
      <w:pPr>
        <w:spacing w:after="200"/>
        <w:rPr>
          <w:rFonts w:asciiTheme="minorHAnsi" w:eastAsiaTheme="majorEastAsia" w:hAnsiTheme="minorHAnsi" w:cstheme="minorHAnsi"/>
          <w:b/>
          <w:bCs/>
          <w:sz w:val="26"/>
          <w:szCs w:val="26"/>
        </w:rPr>
      </w:pPr>
      <w:r>
        <w:br w:type="page"/>
      </w:r>
    </w:p>
    <w:p w14:paraId="558B628E" w14:textId="2019E0A6" w:rsidR="008E1ABD" w:rsidRPr="00F4253B" w:rsidRDefault="00AF61B2" w:rsidP="00AF61B2">
      <w:pPr>
        <w:pStyle w:val="Heading1"/>
        <w:rPr>
          <w:rFonts w:asciiTheme="majorHAnsi" w:hAnsiTheme="majorHAnsi" w:cstheme="majorBidi"/>
        </w:rPr>
      </w:pPr>
      <w:bookmarkStart w:id="29" w:name="_Toc474329565"/>
      <w:r>
        <w:lastRenderedPageBreak/>
        <w:t xml:space="preserve">5. </w:t>
      </w:r>
      <w:r w:rsidR="006A783C">
        <w:t>References</w:t>
      </w:r>
      <w:bookmarkEnd w:id="29"/>
    </w:p>
    <w:p w14:paraId="6AE53298" w14:textId="319CD834" w:rsidR="0094762C" w:rsidRPr="0094762C" w:rsidRDefault="00C360ED" w:rsidP="00845A23">
      <w:pPr>
        <w:pStyle w:val="EndNoteBibliography"/>
        <w:numPr>
          <w:ilvl w:val="0"/>
          <w:numId w:val="11"/>
        </w:numPr>
        <w:spacing w:after="0" w:line="276" w:lineRule="auto"/>
        <w:ind w:left="360"/>
        <w:jc w:val="left"/>
      </w:pPr>
      <w:r>
        <w:rPr>
          <w:rFonts w:asciiTheme="minorHAnsi" w:eastAsiaTheme="majorEastAsia" w:hAnsiTheme="minorHAnsi" w:cstheme="minorHAnsi"/>
          <w:b/>
          <w:bCs/>
          <w:sz w:val="28"/>
          <w:szCs w:val="28"/>
        </w:rPr>
        <w:fldChar w:fldCharType="begin"/>
      </w:r>
      <w:r>
        <w:rPr>
          <w:rFonts w:asciiTheme="minorHAnsi" w:eastAsiaTheme="majorEastAsia" w:hAnsiTheme="minorHAnsi" w:cstheme="minorHAnsi"/>
          <w:b/>
          <w:bCs/>
          <w:sz w:val="28"/>
          <w:szCs w:val="28"/>
        </w:rPr>
        <w:instrText xml:space="preserve"> ADDIN EN.REFLIST </w:instrText>
      </w:r>
      <w:r>
        <w:rPr>
          <w:rFonts w:asciiTheme="minorHAnsi" w:eastAsiaTheme="majorEastAsia" w:hAnsiTheme="minorHAnsi" w:cstheme="minorHAnsi"/>
          <w:b/>
          <w:bCs/>
          <w:sz w:val="28"/>
          <w:szCs w:val="28"/>
        </w:rPr>
        <w:fldChar w:fldCharType="separate"/>
      </w:r>
      <w:bookmarkStart w:id="30" w:name="_ENREF_1"/>
      <w:r w:rsidR="0094762C" w:rsidRPr="0094762C">
        <w:t>A</w:t>
      </w:r>
      <w:r w:rsidR="00BC4B60">
        <w:t xml:space="preserve">ustralian </w:t>
      </w:r>
      <w:r w:rsidR="0094762C" w:rsidRPr="0094762C">
        <w:t>I</w:t>
      </w:r>
      <w:r w:rsidR="00BC4B60">
        <w:t xml:space="preserve">nstitute of </w:t>
      </w:r>
      <w:r w:rsidR="0094762C" w:rsidRPr="0094762C">
        <w:t>H</w:t>
      </w:r>
      <w:r w:rsidR="00BC4B60">
        <w:t xml:space="preserve">ealth and </w:t>
      </w:r>
      <w:r w:rsidR="0094762C" w:rsidRPr="0094762C">
        <w:t>W</w:t>
      </w:r>
      <w:r w:rsidR="00BC4B60">
        <w:t>elfare</w:t>
      </w:r>
      <w:r w:rsidR="0094762C" w:rsidRPr="0094762C">
        <w:t xml:space="preserve">. National Healthcare Agreement: PI 16 – Potentially avoidable deaths, 2016. 2016. Available at: </w:t>
      </w:r>
      <w:hyperlink r:id="rId26" w:history="1">
        <w:r w:rsidR="0094762C" w:rsidRPr="0094762C">
          <w:rPr>
            <w:rStyle w:val="Hyperlink"/>
          </w:rPr>
          <w:t>http://meteor.aihw.gov.au/content/index.phtml/itemId/598750</w:t>
        </w:r>
      </w:hyperlink>
      <w:r w:rsidR="0094762C" w:rsidRPr="0094762C">
        <w:t xml:space="preserve">. Accessed </w:t>
      </w:r>
      <w:r w:rsidR="00BC4B60">
        <w:t>May 2016</w:t>
      </w:r>
      <w:r w:rsidR="0094762C" w:rsidRPr="0094762C">
        <w:t xml:space="preserve">, </w:t>
      </w:r>
      <w:bookmarkEnd w:id="30"/>
    </w:p>
    <w:p w14:paraId="28D4CA8D" w14:textId="65C46A35" w:rsidR="0094762C" w:rsidRPr="0094762C" w:rsidRDefault="00F04FF1" w:rsidP="00845A23">
      <w:pPr>
        <w:pStyle w:val="EndNoteBibliography"/>
        <w:numPr>
          <w:ilvl w:val="0"/>
          <w:numId w:val="11"/>
        </w:numPr>
        <w:spacing w:after="0" w:line="276" w:lineRule="auto"/>
        <w:ind w:left="360"/>
        <w:jc w:val="left"/>
      </w:pPr>
      <w:bookmarkStart w:id="31" w:name="_ENREF_2"/>
      <w:r>
        <w:t>Council of Australian G</w:t>
      </w:r>
      <w:r w:rsidR="00BC4B60">
        <w:t>overnments (COAG).</w:t>
      </w:r>
      <w:r w:rsidR="0094762C" w:rsidRPr="0094762C">
        <w:t xml:space="preserve"> Intergovernmental Agreement (IGA) on Federal Financial Relations: Schedule F National Healthcare Agreement. 2008. Available at: </w:t>
      </w:r>
      <w:hyperlink r:id="rId27" w:history="1">
        <w:r w:rsidR="0094762C" w:rsidRPr="0094762C">
          <w:rPr>
            <w:rStyle w:val="Hyperlink"/>
          </w:rPr>
          <w:t>http://www.federalfinancialrelations.gov.au/content/national_agreements.aspx</w:t>
        </w:r>
      </w:hyperlink>
      <w:r w:rsidR="0094762C" w:rsidRPr="0094762C">
        <w:t xml:space="preserve">. Accessed March 2013, </w:t>
      </w:r>
      <w:bookmarkEnd w:id="31"/>
    </w:p>
    <w:p w14:paraId="5D6E1990" w14:textId="19E03C3B" w:rsidR="0094762C" w:rsidRPr="0094762C" w:rsidRDefault="0094762C" w:rsidP="00845A23">
      <w:pPr>
        <w:pStyle w:val="EndNoteBibliography"/>
        <w:numPr>
          <w:ilvl w:val="0"/>
          <w:numId w:val="11"/>
        </w:numPr>
        <w:spacing w:after="0" w:line="276" w:lineRule="auto"/>
        <w:ind w:left="360"/>
        <w:jc w:val="left"/>
      </w:pPr>
      <w:bookmarkStart w:id="32" w:name="_ENREF_3"/>
      <w:r w:rsidRPr="0094762C">
        <w:t>N</w:t>
      </w:r>
      <w:r w:rsidR="00BC4B60">
        <w:t xml:space="preserve">ational </w:t>
      </w:r>
      <w:r w:rsidRPr="0094762C">
        <w:t>H</w:t>
      </w:r>
      <w:r w:rsidR="00BC4B60">
        <w:t xml:space="preserve">ealth </w:t>
      </w:r>
      <w:r w:rsidRPr="0094762C">
        <w:t>P</w:t>
      </w:r>
      <w:r w:rsidR="00BC4B60">
        <w:t xml:space="preserve">erformance </w:t>
      </w:r>
      <w:r w:rsidRPr="0094762C">
        <w:t>A</w:t>
      </w:r>
      <w:r w:rsidR="00BC4B60">
        <w:t>uthority</w:t>
      </w:r>
      <w:r w:rsidRPr="0094762C">
        <w:t xml:space="preserve">. National health reform performance and accountability framework. 2015. Available at: </w:t>
      </w:r>
      <w:hyperlink r:id="rId28" w:history="1">
        <w:r w:rsidRPr="0094762C">
          <w:rPr>
            <w:rStyle w:val="Hyperlink"/>
          </w:rPr>
          <w:t>http://www.nhpa.gov.au/internet/nhpa/publishing.nsf/content/paf</w:t>
        </w:r>
        <w:bookmarkEnd w:id="32"/>
      </w:hyperlink>
      <w:r w:rsidR="00BC4B60">
        <w:t>. Accessed May 2016</w:t>
      </w:r>
    </w:p>
    <w:p w14:paraId="620DCFF4" w14:textId="714381EC" w:rsidR="0094762C" w:rsidRPr="0094762C" w:rsidRDefault="0094762C" w:rsidP="00845A23">
      <w:pPr>
        <w:pStyle w:val="EndNoteBibliography"/>
        <w:numPr>
          <w:ilvl w:val="0"/>
          <w:numId w:val="11"/>
        </w:numPr>
        <w:spacing w:after="0" w:line="276" w:lineRule="auto"/>
        <w:ind w:left="360"/>
        <w:jc w:val="left"/>
      </w:pPr>
      <w:bookmarkStart w:id="33" w:name="_ENREF_4"/>
      <w:r w:rsidRPr="0094762C">
        <w:t>Rutstein DD, Berenberg W, Chalmers TC, et al. Measuring the quality of medical care. A clinical method. N Engl J Med 1976;294:582-588</w:t>
      </w:r>
      <w:bookmarkEnd w:id="33"/>
    </w:p>
    <w:p w14:paraId="42E91405" w14:textId="7EBA45B8" w:rsidR="0094762C" w:rsidRPr="0094762C" w:rsidRDefault="0094762C" w:rsidP="00845A23">
      <w:pPr>
        <w:pStyle w:val="EndNoteBibliography"/>
        <w:numPr>
          <w:ilvl w:val="0"/>
          <w:numId w:val="11"/>
        </w:numPr>
        <w:spacing w:after="0" w:line="276" w:lineRule="auto"/>
        <w:ind w:left="360"/>
        <w:jc w:val="left"/>
      </w:pPr>
      <w:bookmarkStart w:id="34" w:name="_ENREF_5"/>
      <w:r w:rsidRPr="0094762C">
        <w:t>Charlton JRH, Silver R, Hartley RM, et al. Geographical Variation in Mortality from Conditions Amenable to Medical Intervention in England and Wales. The Lancet 1983;321:691-696</w:t>
      </w:r>
      <w:bookmarkEnd w:id="34"/>
    </w:p>
    <w:p w14:paraId="2202B76F" w14:textId="5D72E475" w:rsidR="0094762C" w:rsidRPr="0094762C" w:rsidRDefault="0094762C" w:rsidP="00845A23">
      <w:pPr>
        <w:pStyle w:val="EndNoteBibliography"/>
        <w:numPr>
          <w:ilvl w:val="0"/>
          <w:numId w:val="11"/>
        </w:numPr>
        <w:spacing w:after="0" w:line="276" w:lineRule="auto"/>
        <w:ind w:left="360"/>
        <w:jc w:val="left"/>
      </w:pPr>
      <w:bookmarkStart w:id="35" w:name="_ENREF_6"/>
      <w:r w:rsidRPr="0094762C">
        <w:t xml:space="preserve">Mackenbach JP. The contribution of medical care to mortality decline: McKeown revisited. Journal of </w:t>
      </w:r>
      <w:r w:rsidR="00BC4B60">
        <w:t>C</w:t>
      </w:r>
      <w:r w:rsidRPr="0094762C">
        <w:t xml:space="preserve">linical </w:t>
      </w:r>
      <w:r w:rsidR="00BC4B60">
        <w:t>E</w:t>
      </w:r>
      <w:r w:rsidRPr="0094762C">
        <w:t>pidemiology 1996;49:1207-1213</w:t>
      </w:r>
      <w:bookmarkEnd w:id="35"/>
    </w:p>
    <w:p w14:paraId="0FC4C218" w14:textId="612C9D51" w:rsidR="0094762C" w:rsidRPr="0094762C" w:rsidRDefault="0094762C" w:rsidP="00845A23">
      <w:pPr>
        <w:pStyle w:val="EndNoteBibliography"/>
        <w:numPr>
          <w:ilvl w:val="0"/>
          <w:numId w:val="11"/>
        </w:numPr>
        <w:spacing w:after="0" w:line="276" w:lineRule="auto"/>
        <w:ind w:left="360"/>
        <w:jc w:val="left"/>
      </w:pPr>
      <w:bookmarkStart w:id="36" w:name="_ENREF_7"/>
      <w:r w:rsidRPr="0094762C">
        <w:t>Tobias M, Jackson G. Avoidable mortality in New Zealand, 1981-97. Aust N Z J Public Health 2001;25:12-20</w:t>
      </w:r>
      <w:bookmarkEnd w:id="36"/>
    </w:p>
    <w:p w14:paraId="16B0BBB2" w14:textId="4B84E9F0" w:rsidR="0094762C" w:rsidRPr="0094762C" w:rsidRDefault="0094762C" w:rsidP="00845A23">
      <w:pPr>
        <w:pStyle w:val="EndNoteBibliography"/>
        <w:numPr>
          <w:ilvl w:val="0"/>
          <w:numId w:val="11"/>
        </w:numPr>
        <w:spacing w:after="0" w:line="276" w:lineRule="auto"/>
        <w:ind w:left="360"/>
        <w:jc w:val="left"/>
      </w:pPr>
      <w:bookmarkStart w:id="37" w:name="_ENREF_8"/>
      <w:r w:rsidRPr="0094762C">
        <w:t>Poikolainen K. The Effect of Health Services on Mortality: Decline in Death Rates from Amenable and Non-Amenable Causes in Finland, 1969-81. The Lancet 1986;327:199-202</w:t>
      </w:r>
      <w:bookmarkEnd w:id="37"/>
    </w:p>
    <w:p w14:paraId="24AD98FF" w14:textId="3F617E0A" w:rsidR="0094762C" w:rsidRPr="0094762C" w:rsidRDefault="0094762C" w:rsidP="00845A23">
      <w:pPr>
        <w:pStyle w:val="EndNoteBibliography"/>
        <w:numPr>
          <w:ilvl w:val="0"/>
          <w:numId w:val="11"/>
        </w:numPr>
        <w:spacing w:after="0" w:line="276" w:lineRule="auto"/>
        <w:ind w:left="360"/>
        <w:jc w:val="left"/>
      </w:pPr>
      <w:bookmarkStart w:id="38" w:name="_ENREF_9"/>
      <w:r w:rsidRPr="0094762C">
        <w:t xml:space="preserve">Westerling R. Indicators of "avoidable" mortality in health administrative areas in Sweden 1974-1985. Scandinavian </w:t>
      </w:r>
      <w:r w:rsidR="00BC4B60">
        <w:t>J</w:t>
      </w:r>
      <w:r w:rsidRPr="0094762C">
        <w:t xml:space="preserve">ournal of </w:t>
      </w:r>
      <w:r w:rsidR="00BC4B60">
        <w:t>S</w:t>
      </w:r>
      <w:r w:rsidRPr="0094762C">
        <w:t xml:space="preserve">ocial </w:t>
      </w:r>
      <w:r w:rsidR="00BC4B60">
        <w:t>M</w:t>
      </w:r>
      <w:r w:rsidRPr="0094762C">
        <w:t>edicine 1993;21:176-187</w:t>
      </w:r>
      <w:bookmarkEnd w:id="38"/>
    </w:p>
    <w:p w14:paraId="41769133" w14:textId="4FADAB6F" w:rsidR="0094762C" w:rsidRPr="0094762C" w:rsidRDefault="0094762C" w:rsidP="00845A23">
      <w:pPr>
        <w:pStyle w:val="EndNoteBibliography"/>
        <w:numPr>
          <w:ilvl w:val="0"/>
          <w:numId w:val="11"/>
        </w:numPr>
        <w:spacing w:after="0" w:line="276" w:lineRule="auto"/>
        <w:ind w:left="360"/>
        <w:jc w:val="left"/>
      </w:pPr>
      <w:bookmarkStart w:id="39" w:name="_ENREF_10"/>
      <w:r w:rsidRPr="0094762C">
        <w:t>Nolte E, Scholz R, Shkolnikov V, et al. The contribution of medical care to changing life expectancy in Germany and Poland. Soc Sci Med 2002;55:1905-1921</w:t>
      </w:r>
      <w:bookmarkEnd w:id="39"/>
    </w:p>
    <w:p w14:paraId="00D96F60" w14:textId="21AFC5A2" w:rsidR="0094762C" w:rsidRPr="0094762C" w:rsidRDefault="0094762C" w:rsidP="00845A23">
      <w:pPr>
        <w:pStyle w:val="EndNoteBibliography"/>
        <w:numPr>
          <w:ilvl w:val="0"/>
          <w:numId w:val="11"/>
        </w:numPr>
        <w:spacing w:after="0" w:line="276" w:lineRule="auto"/>
        <w:ind w:left="360"/>
        <w:jc w:val="left"/>
      </w:pPr>
      <w:bookmarkStart w:id="40" w:name="_ENREF_11"/>
      <w:r w:rsidRPr="0094762C">
        <w:t>Simonato L, Ballard T, Bellini P, et al. Avoidable mortality in Europe 1955-1994: a plea for prevention. J Epidemiol Community Health 1998;52:624-630</w:t>
      </w:r>
      <w:bookmarkEnd w:id="40"/>
    </w:p>
    <w:p w14:paraId="78A7787B" w14:textId="0331D484" w:rsidR="0094762C" w:rsidRPr="0094762C" w:rsidRDefault="0094762C" w:rsidP="00845A23">
      <w:pPr>
        <w:pStyle w:val="EndNoteBibliography"/>
        <w:numPr>
          <w:ilvl w:val="0"/>
          <w:numId w:val="11"/>
        </w:numPr>
        <w:spacing w:after="0" w:line="276" w:lineRule="auto"/>
        <w:ind w:left="360"/>
        <w:jc w:val="left"/>
      </w:pPr>
      <w:bookmarkStart w:id="41" w:name="_ENREF_12"/>
      <w:r w:rsidRPr="0094762C">
        <w:t xml:space="preserve">AMIEHS. Avoidable mortality in the European Union: Towards better indicators for the </w:t>
      </w:r>
      <w:r w:rsidRPr="00BC4B60">
        <w:t>effectiveness of health systems. Volume 1: Final report. 2011</w:t>
      </w:r>
      <w:bookmarkEnd w:id="41"/>
      <w:r w:rsidR="00BC4B60" w:rsidRPr="00BC4B60">
        <w:t xml:space="preserve">. Available at </w:t>
      </w:r>
      <w:r w:rsidR="00BC4B60" w:rsidRPr="00BC4B60">
        <w:rPr>
          <w:rFonts w:asciiTheme="minorHAnsi" w:hAnsiTheme="minorHAnsi" w:cstheme="minorHAnsi"/>
        </w:rPr>
        <w:t>http://amiehs.lshtm.ac.uk. Accessed May 2016</w:t>
      </w:r>
      <w:r w:rsidR="00BC4B60">
        <w:rPr>
          <w:rFonts w:asciiTheme="minorHAnsi" w:hAnsiTheme="minorHAnsi" w:cstheme="minorHAnsi"/>
          <w:sz w:val="20"/>
          <w:szCs w:val="20"/>
        </w:rPr>
        <w:t xml:space="preserve"> </w:t>
      </w:r>
    </w:p>
    <w:p w14:paraId="2968026D" w14:textId="713B2364" w:rsidR="0094762C" w:rsidRPr="0094762C" w:rsidRDefault="0094762C" w:rsidP="00845A23">
      <w:pPr>
        <w:pStyle w:val="EndNoteBibliography"/>
        <w:numPr>
          <w:ilvl w:val="0"/>
          <w:numId w:val="11"/>
        </w:numPr>
        <w:spacing w:after="0" w:line="276" w:lineRule="auto"/>
        <w:ind w:left="360"/>
        <w:jc w:val="left"/>
      </w:pPr>
      <w:bookmarkStart w:id="42" w:name="_ENREF_13"/>
      <w:r w:rsidRPr="0094762C">
        <w:t>Gay JJ, Paris V, Devaux M, et al. Mortality Amenable to Health Care in 31 OECD Countries: Estimates and Methodological Issues.  OECD Health Working Papers, No 55</w:t>
      </w:r>
      <w:r w:rsidR="00BC4B60">
        <w:t xml:space="preserve">, </w:t>
      </w:r>
      <w:r w:rsidRPr="0094762C">
        <w:t>2011</w:t>
      </w:r>
      <w:bookmarkEnd w:id="42"/>
    </w:p>
    <w:p w14:paraId="124E50F3" w14:textId="3FA52923" w:rsidR="0094762C" w:rsidRPr="0094762C" w:rsidRDefault="0094762C" w:rsidP="00845A23">
      <w:pPr>
        <w:pStyle w:val="EndNoteBibliography"/>
        <w:numPr>
          <w:ilvl w:val="0"/>
          <w:numId w:val="11"/>
        </w:numPr>
        <w:spacing w:after="0" w:line="276" w:lineRule="auto"/>
        <w:ind w:left="360"/>
        <w:jc w:val="left"/>
      </w:pPr>
      <w:bookmarkStart w:id="43" w:name="_ENREF_14"/>
      <w:r w:rsidRPr="0094762C">
        <w:t>Holland WW. European Community atlas of 'avoidable death'. Oxford: Oxford University Press; 1988</w:t>
      </w:r>
      <w:bookmarkEnd w:id="43"/>
    </w:p>
    <w:p w14:paraId="348D88F4" w14:textId="2F00830B" w:rsidR="0094762C" w:rsidRPr="0094762C" w:rsidRDefault="0094762C" w:rsidP="00845A23">
      <w:pPr>
        <w:pStyle w:val="EndNoteBibliography"/>
        <w:numPr>
          <w:ilvl w:val="0"/>
          <w:numId w:val="11"/>
        </w:numPr>
        <w:spacing w:after="0" w:line="276" w:lineRule="auto"/>
        <w:ind w:left="360"/>
        <w:jc w:val="left"/>
      </w:pPr>
      <w:bookmarkStart w:id="44" w:name="_ENREF_15"/>
      <w:r w:rsidRPr="0094762C">
        <w:t>Nolte E, McKee M. Does health care save lives? Avoidable mortality revisited. London: The Nuffield Trust; 2004</w:t>
      </w:r>
      <w:bookmarkEnd w:id="44"/>
    </w:p>
    <w:p w14:paraId="0887BF2E" w14:textId="40675198" w:rsidR="0094762C" w:rsidRPr="0094762C" w:rsidRDefault="0094762C" w:rsidP="00845A23">
      <w:pPr>
        <w:pStyle w:val="EndNoteBibliography"/>
        <w:numPr>
          <w:ilvl w:val="0"/>
          <w:numId w:val="11"/>
        </w:numPr>
        <w:spacing w:after="0" w:line="276" w:lineRule="auto"/>
        <w:ind w:left="360"/>
        <w:jc w:val="left"/>
      </w:pPr>
      <w:bookmarkStart w:id="45" w:name="_ENREF_16"/>
      <w:r w:rsidRPr="0094762C">
        <w:t>Page A, Tobias M, Glover J, et al. Australian and New Zealand atlas of avoidable mortality. Adelaide: PHIDU, University of Adelaide.; 2006</w:t>
      </w:r>
      <w:bookmarkEnd w:id="45"/>
    </w:p>
    <w:p w14:paraId="26232FB6" w14:textId="46B39B0D" w:rsidR="0094762C" w:rsidRPr="0094762C" w:rsidRDefault="0094762C" w:rsidP="00845A23">
      <w:pPr>
        <w:pStyle w:val="EndNoteBibliography"/>
        <w:numPr>
          <w:ilvl w:val="0"/>
          <w:numId w:val="11"/>
        </w:numPr>
        <w:spacing w:after="0" w:line="276" w:lineRule="auto"/>
        <w:ind w:left="360"/>
        <w:jc w:val="left"/>
      </w:pPr>
      <w:bookmarkStart w:id="46" w:name="_ENREF_17"/>
      <w:r w:rsidRPr="0094762C">
        <w:t>N</w:t>
      </w:r>
      <w:r w:rsidR="00BC4B60">
        <w:t xml:space="preserve">ational </w:t>
      </w:r>
      <w:r w:rsidRPr="0094762C">
        <w:t>H</w:t>
      </w:r>
      <w:r w:rsidR="00BC4B60">
        <w:t xml:space="preserve">ealth </w:t>
      </w:r>
      <w:r w:rsidRPr="0094762C">
        <w:t>P</w:t>
      </w:r>
      <w:r w:rsidR="00BC4B60">
        <w:t xml:space="preserve">erformance </w:t>
      </w:r>
      <w:r w:rsidRPr="0094762C">
        <w:t>A</w:t>
      </w:r>
      <w:r w:rsidR="00BC4B60">
        <w:t>uthority</w:t>
      </w:r>
      <w:r w:rsidRPr="0094762C">
        <w:t>. Healthy Communities: Avoidable deaths and life expectancies in 2009–2011. National Health Performance Authority; 2013</w:t>
      </w:r>
      <w:bookmarkEnd w:id="46"/>
    </w:p>
    <w:p w14:paraId="6498AD63" w14:textId="56992A0C" w:rsidR="0094762C" w:rsidRPr="0094762C" w:rsidRDefault="0094762C" w:rsidP="00845A23">
      <w:pPr>
        <w:pStyle w:val="EndNoteBibliography"/>
        <w:numPr>
          <w:ilvl w:val="0"/>
          <w:numId w:val="11"/>
        </w:numPr>
        <w:spacing w:after="0" w:line="276" w:lineRule="auto"/>
        <w:ind w:left="360"/>
        <w:jc w:val="left"/>
      </w:pPr>
      <w:bookmarkStart w:id="47" w:name="_ENREF_18"/>
      <w:r w:rsidRPr="0094762C">
        <w:t>N</w:t>
      </w:r>
      <w:r w:rsidR="00BC4B60">
        <w:t xml:space="preserve">ew </w:t>
      </w:r>
      <w:r w:rsidRPr="0094762C">
        <w:t>Z</w:t>
      </w:r>
      <w:r w:rsidR="00BC4B60">
        <w:t xml:space="preserve">ealand </w:t>
      </w:r>
      <w:r w:rsidRPr="0094762C">
        <w:t>M</w:t>
      </w:r>
      <w:r w:rsidR="00BC4B60">
        <w:t>inistry of Health</w:t>
      </w:r>
      <w:r w:rsidRPr="0094762C">
        <w:t>. Saving Lives: Amenable Mortality in New Zealand, 1996–2006. Wellington: New Zealand Ministry of Health; 2010</w:t>
      </w:r>
      <w:bookmarkEnd w:id="47"/>
    </w:p>
    <w:p w14:paraId="37EA8A32" w14:textId="5DE17659" w:rsidR="0094762C" w:rsidRPr="0094762C" w:rsidRDefault="0094762C" w:rsidP="00845A23">
      <w:pPr>
        <w:pStyle w:val="EndNoteBibliography"/>
        <w:numPr>
          <w:ilvl w:val="0"/>
          <w:numId w:val="11"/>
        </w:numPr>
        <w:spacing w:after="0" w:line="276" w:lineRule="auto"/>
        <w:ind w:left="360"/>
        <w:jc w:val="left"/>
      </w:pPr>
      <w:bookmarkStart w:id="48" w:name="_ENREF_19"/>
      <w:r w:rsidRPr="0094762C">
        <w:lastRenderedPageBreak/>
        <w:t>C</w:t>
      </w:r>
      <w:r w:rsidR="00BD38C6">
        <w:t xml:space="preserve">anadian </w:t>
      </w:r>
      <w:r w:rsidRPr="0094762C">
        <w:t>I</w:t>
      </w:r>
      <w:r w:rsidR="00BD38C6">
        <w:t xml:space="preserve">nstiutute for </w:t>
      </w:r>
      <w:r w:rsidRPr="0094762C">
        <w:t>H</w:t>
      </w:r>
      <w:r w:rsidR="00BD38C6">
        <w:t xml:space="preserve">ealth </w:t>
      </w:r>
      <w:r w:rsidRPr="0094762C">
        <w:t>I</w:t>
      </w:r>
      <w:r w:rsidR="00BD38C6">
        <w:t>nformation</w:t>
      </w:r>
      <w:r w:rsidRPr="0094762C">
        <w:t xml:space="preserve">. Avoidable deaths. 2016. Available at: </w:t>
      </w:r>
      <w:hyperlink r:id="rId29" w:history="1">
        <w:r w:rsidRPr="0094762C">
          <w:rPr>
            <w:rStyle w:val="Hyperlink"/>
          </w:rPr>
          <w:t>http://indicatorlibrary.cihi.ca/pages/viewpage.action?pageId=1114195</w:t>
        </w:r>
        <w:bookmarkEnd w:id="48"/>
      </w:hyperlink>
      <w:r w:rsidR="00BD38C6">
        <w:t xml:space="preserve"> Accessed May 2016</w:t>
      </w:r>
    </w:p>
    <w:p w14:paraId="78954C0B" w14:textId="46CF7610" w:rsidR="0094762C" w:rsidRPr="0094762C" w:rsidRDefault="00BD38C6" w:rsidP="00845A23">
      <w:pPr>
        <w:pStyle w:val="EndNoteBibliography"/>
        <w:numPr>
          <w:ilvl w:val="0"/>
          <w:numId w:val="11"/>
        </w:numPr>
        <w:spacing w:after="0" w:line="276" w:lineRule="auto"/>
        <w:ind w:left="360"/>
        <w:jc w:val="left"/>
      </w:pPr>
      <w:bookmarkStart w:id="49" w:name="_ENREF_20"/>
      <w:r>
        <w:t xml:space="preserve">NHS </w:t>
      </w:r>
      <w:r w:rsidR="0094762C" w:rsidRPr="0094762C">
        <w:t>England. CCG Outcomes Indicator Set 2015/16: Technical Guidance 2015</w:t>
      </w:r>
      <w:bookmarkEnd w:id="49"/>
    </w:p>
    <w:p w14:paraId="37C1004B" w14:textId="64DB4FD3" w:rsidR="0094762C" w:rsidRPr="0094762C" w:rsidRDefault="00BD38C6" w:rsidP="00845A23">
      <w:pPr>
        <w:pStyle w:val="EndNoteBibliography"/>
        <w:numPr>
          <w:ilvl w:val="0"/>
          <w:numId w:val="11"/>
        </w:numPr>
        <w:spacing w:after="0" w:line="276" w:lineRule="auto"/>
        <w:ind w:left="360"/>
        <w:jc w:val="left"/>
      </w:pPr>
      <w:bookmarkStart w:id="50" w:name="_ENREF_21"/>
      <w:r>
        <w:t xml:space="preserve">Office for National Statistics. </w:t>
      </w:r>
      <w:r w:rsidR="0094762C" w:rsidRPr="0094762C">
        <w:t>Avoidable mortality in England and Wales, 2013. Office for National Statistics; 2015</w:t>
      </w:r>
      <w:bookmarkEnd w:id="50"/>
    </w:p>
    <w:p w14:paraId="615759B9" w14:textId="1A3F74E5" w:rsidR="0094762C" w:rsidRPr="0094762C" w:rsidRDefault="0094762C" w:rsidP="00845A23">
      <w:pPr>
        <w:pStyle w:val="EndNoteBibliography"/>
        <w:numPr>
          <w:ilvl w:val="0"/>
          <w:numId w:val="11"/>
        </w:numPr>
        <w:spacing w:after="0" w:line="276" w:lineRule="auto"/>
        <w:ind w:left="360"/>
        <w:jc w:val="left"/>
      </w:pPr>
      <w:bookmarkStart w:id="51" w:name="_ENREF_22"/>
      <w:r w:rsidRPr="0094762C">
        <w:t>A</w:t>
      </w:r>
      <w:r w:rsidR="00BD38C6">
        <w:t xml:space="preserve">ustralian </w:t>
      </w:r>
      <w:r w:rsidRPr="0094762C">
        <w:t>B</w:t>
      </w:r>
      <w:r w:rsidR="00BD38C6">
        <w:t>ureau of Statistics</w:t>
      </w:r>
      <w:r w:rsidRPr="0094762C">
        <w:t xml:space="preserve">. 3303.0 - Causes of death, Australia, 2013, Technical Note 1. 2015. Available at: </w:t>
      </w:r>
      <w:hyperlink r:id="rId30" w:history="1">
        <w:r w:rsidRPr="0094762C">
          <w:rPr>
            <w:rStyle w:val="Hyperlink"/>
          </w:rPr>
          <w:t>http://www.abs.gov.au/ausstats/abs@.nsf/Lookup/3303.0Technical+Note12013</w:t>
        </w:r>
        <w:bookmarkEnd w:id="51"/>
      </w:hyperlink>
      <w:r w:rsidR="00BD38C6">
        <w:t xml:space="preserve">. Accessed May 2016. </w:t>
      </w:r>
    </w:p>
    <w:p w14:paraId="64EB6AA3" w14:textId="517EFFF9" w:rsidR="0094762C" w:rsidRPr="0094762C" w:rsidRDefault="00BD38C6" w:rsidP="00845A23">
      <w:pPr>
        <w:pStyle w:val="EndNoteBibliography"/>
        <w:numPr>
          <w:ilvl w:val="0"/>
          <w:numId w:val="11"/>
        </w:numPr>
        <w:spacing w:after="0" w:line="276" w:lineRule="auto"/>
        <w:ind w:left="360"/>
        <w:jc w:val="left"/>
      </w:pPr>
      <w:bookmarkStart w:id="52" w:name="_ENREF_23"/>
      <w:r w:rsidRPr="0094762C">
        <w:t>A</w:t>
      </w:r>
      <w:r>
        <w:t xml:space="preserve">ustralian </w:t>
      </w:r>
      <w:r w:rsidRPr="0094762C">
        <w:t>B</w:t>
      </w:r>
      <w:r>
        <w:t>ureau of Statistics.</w:t>
      </w:r>
      <w:r w:rsidR="0094762C" w:rsidRPr="0094762C">
        <w:t xml:space="preserve"> 3303.0 - Causes of death, Australia, 2013, Suicides. 2015. Available at: </w:t>
      </w:r>
      <w:hyperlink r:id="rId31" w:history="1">
        <w:r w:rsidR="0094762C" w:rsidRPr="0094762C">
          <w:rPr>
            <w:rStyle w:val="Hyperlink"/>
          </w:rPr>
          <w:t>http://www.abs.gov.au/ausstats/abs@.nsf/Lookup/by%20Subject/3303.0~2013~Main%20Features~Suicides~10004</w:t>
        </w:r>
        <w:bookmarkEnd w:id="52"/>
      </w:hyperlink>
      <w:r>
        <w:t xml:space="preserve"> Accesses May 2016.</w:t>
      </w:r>
    </w:p>
    <w:p w14:paraId="2488DE3A" w14:textId="661588FF" w:rsidR="0094762C" w:rsidRPr="0094762C" w:rsidRDefault="0094762C" w:rsidP="00845A23">
      <w:pPr>
        <w:pStyle w:val="EndNoteBibliography"/>
        <w:numPr>
          <w:ilvl w:val="0"/>
          <w:numId w:val="11"/>
        </w:numPr>
        <w:spacing w:after="0" w:line="276" w:lineRule="auto"/>
        <w:ind w:left="360"/>
        <w:jc w:val="left"/>
      </w:pPr>
      <w:bookmarkStart w:id="53" w:name="_ENREF_24"/>
      <w:r w:rsidRPr="0094762C">
        <w:t>A</w:t>
      </w:r>
      <w:r w:rsidR="0097781C">
        <w:t xml:space="preserve">ustralian </w:t>
      </w:r>
      <w:r w:rsidRPr="0094762C">
        <w:t>I</w:t>
      </w:r>
      <w:r w:rsidR="0097781C">
        <w:t xml:space="preserve">nstitute of </w:t>
      </w:r>
      <w:r w:rsidRPr="0094762C">
        <w:t>H</w:t>
      </w:r>
      <w:r w:rsidR="0097781C">
        <w:t xml:space="preserve">ealth and </w:t>
      </w:r>
      <w:r w:rsidRPr="0094762C">
        <w:t>W</w:t>
      </w:r>
      <w:r w:rsidR="0097781C">
        <w:t>elfare</w:t>
      </w:r>
      <w:r w:rsidRPr="0094762C">
        <w:t>. Aboriginal and Torres Strait Islander health performance framework 2014 report: detailed analyses. Australian Institute of Health and Welfare; 2015</w:t>
      </w:r>
      <w:bookmarkEnd w:id="53"/>
    </w:p>
    <w:p w14:paraId="48854B74" w14:textId="6FCFAD6B" w:rsidR="0094762C" w:rsidRPr="0094762C" w:rsidRDefault="0094762C" w:rsidP="00845A23">
      <w:pPr>
        <w:pStyle w:val="EndNoteBibliography"/>
        <w:numPr>
          <w:ilvl w:val="0"/>
          <w:numId w:val="11"/>
        </w:numPr>
        <w:spacing w:after="0" w:line="276" w:lineRule="auto"/>
        <w:ind w:left="360"/>
        <w:jc w:val="left"/>
      </w:pPr>
      <w:bookmarkStart w:id="54" w:name="_ENREF_25"/>
      <w:r w:rsidRPr="0094762C">
        <w:t>A</w:t>
      </w:r>
      <w:r w:rsidR="0097781C">
        <w:t xml:space="preserve">ustralian </w:t>
      </w:r>
      <w:r w:rsidRPr="0094762C">
        <w:t>B</w:t>
      </w:r>
      <w:r w:rsidR="0097781C">
        <w:t xml:space="preserve">ureau of </w:t>
      </w:r>
      <w:r w:rsidRPr="0094762C">
        <w:t>S</w:t>
      </w:r>
      <w:r w:rsidR="0097781C">
        <w:t>tatistics</w:t>
      </w:r>
      <w:r w:rsidRPr="0094762C">
        <w:t xml:space="preserve">. 3303.0 - Causes of death, Australia, 2013, Deaths of Aboriginal and Torres Strait Islander persons. 2015. Available at: </w:t>
      </w:r>
      <w:hyperlink r:id="rId32" w:history="1">
        <w:r w:rsidRPr="0094762C">
          <w:rPr>
            <w:rStyle w:val="Hyperlink"/>
          </w:rPr>
          <w:t>http://www.abs.gov.au/ausstats/abs@.nsf/Lookup/by%20Subject/3303.0~2013~Main%20Features~Deaths%20of%20Aboriginal%20and%20Torres%20Strait%20Islander%20Persons~10005#</w:t>
        </w:r>
        <w:bookmarkEnd w:id="54"/>
      </w:hyperlink>
      <w:r w:rsidR="0097781C">
        <w:t xml:space="preserve"> Accessed May 2016.</w:t>
      </w:r>
    </w:p>
    <w:p w14:paraId="1B957F52" w14:textId="0BB68AFC" w:rsidR="0094762C" w:rsidRPr="0094762C" w:rsidRDefault="0094762C" w:rsidP="00845A23">
      <w:pPr>
        <w:pStyle w:val="EndNoteBibliography"/>
        <w:numPr>
          <w:ilvl w:val="0"/>
          <w:numId w:val="11"/>
        </w:numPr>
        <w:spacing w:line="276" w:lineRule="auto"/>
        <w:ind w:left="360"/>
        <w:jc w:val="left"/>
      </w:pPr>
      <w:bookmarkStart w:id="55" w:name="_ENREF_26"/>
      <w:r w:rsidRPr="0094762C">
        <w:t>A</w:t>
      </w:r>
      <w:r w:rsidR="0097781C">
        <w:t xml:space="preserve">ustralian </w:t>
      </w:r>
      <w:r w:rsidRPr="0094762C">
        <w:t>I</w:t>
      </w:r>
      <w:r w:rsidR="0097781C">
        <w:t xml:space="preserve">nstitute of </w:t>
      </w:r>
      <w:r w:rsidRPr="0094762C">
        <w:t>H</w:t>
      </w:r>
      <w:r w:rsidR="0097781C">
        <w:t xml:space="preserve">ealth and </w:t>
      </w:r>
      <w:r w:rsidRPr="0094762C">
        <w:t>W</w:t>
      </w:r>
      <w:r w:rsidR="0097781C">
        <w:t>elfare</w:t>
      </w:r>
      <w:r w:rsidRPr="0094762C">
        <w:t xml:space="preserve">. Premature mortality in Australia 1997–2012. 2015. Available at: </w:t>
      </w:r>
      <w:hyperlink r:id="rId33" w:history="1">
        <w:r w:rsidRPr="0094762C">
          <w:rPr>
            <w:rStyle w:val="Hyperlink"/>
          </w:rPr>
          <w:t>http://www.aihw.gov.au/deaths/premature-mortality/</w:t>
        </w:r>
      </w:hyperlink>
      <w:r w:rsidR="0097781C">
        <w:t>. Accessed May</w:t>
      </w:r>
      <w:r w:rsidRPr="0094762C">
        <w:t xml:space="preserve"> 2016</w:t>
      </w:r>
      <w:bookmarkEnd w:id="55"/>
      <w:r w:rsidR="0097781C">
        <w:t>.</w:t>
      </w:r>
    </w:p>
    <w:p w14:paraId="60DF9EAD" w14:textId="3F89913C" w:rsidR="00C360ED" w:rsidRDefault="00C360ED" w:rsidP="0097781C">
      <w:pPr>
        <w:pStyle w:val="EndNoteBibliography"/>
        <w:spacing w:after="0" w:line="276" w:lineRule="auto"/>
        <w:jc w:val="left"/>
        <w:rPr>
          <w:rFonts w:asciiTheme="minorHAnsi" w:eastAsiaTheme="majorEastAsia" w:hAnsiTheme="minorHAnsi" w:cstheme="minorHAnsi"/>
          <w:b/>
          <w:bCs/>
          <w:sz w:val="28"/>
          <w:szCs w:val="28"/>
        </w:rPr>
      </w:pPr>
      <w:r>
        <w:rPr>
          <w:rFonts w:asciiTheme="minorHAnsi" w:eastAsiaTheme="majorEastAsia" w:hAnsiTheme="minorHAnsi" w:cstheme="minorHAnsi"/>
          <w:b/>
          <w:bCs/>
          <w:sz w:val="28"/>
          <w:szCs w:val="28"/>
        </w:rPr>
        <w:fldChar w:fldCharType="end"/>
      </w:r>
    </w:p>
    <w:p w14:paraId="059ADDD1" w14:textId="2A956CC5" w:rsidR="00F4253B" w:rsidRDefault="00F4253B" w:rsidP="00E5643C">
      <w:pPr>
        <w:pStyle w:val="EndNoteBibliography"/>
      </w:pPr>
      <w:r>
        <w:br w:type="page"/>
      </w:r>
    </w:p>
    <w:p w14:paraId="1CA8AA9E" w14:textId="77777777" w:rsidR="00AE0E8B" w:rsidRDefault="00F4253B" w:rsidP="00F4253B">
      <w:pPr>
        <w:pStyle w:val="Heading1"/>
      </w:pPr>
      <w:bookmarkStart w:id="56" w:name="_Toc474329566"/>
      <w:r>
        <w:lastRenderedPageBreak/>
        <w:t>Appendi</w:t>
      </w:r>
      <w:r w:rsidR="00AE0E8B">
        <w:t>ces</w:t>
      </w:r>
      <w:bookmarkEnd w:id="56"/>
    </w:p>
    <w:p w14:paraId="7DD8C7D6" w14:textId="35ED1F0A" w:rsidR="00D67D28" w:rsidRDefault="00AE0E8B" w:rsidP="00D67D28">
      <w:pPr>
        <w:pStyle w:val="Heading2"/>
      </w:pPr>
      <w:bookmarkStart w:id="57" w:name="_Toc450727220"/>
      <w:bookmarkStart w:id="58" w:name="_Toc474329567"/>
      <w:r>
        <w:t>Appendix</w:t>
      </w:r>
      <w:r w:rsidR="00F4253B">
        <w:t xml:space="preserve"> 1: </w:t>
      </w:r>
      <w:r w:rsidR="008B2BB9">
        <w:t>C</w:t>
      </w:r>
      <w:r w:rsidR="007B6C05">
        <w:t>onditions</w:t>
      </w:r>
      <w:r w:rsidR="008B2BB9">
        <w:t xml:space="preserve"> in the </w:t>
      </w:r>
      <w:r w:rsidR="00F4253B">
        <w:t xml:space="preserve">potentially </w:t>
      </w:r>
      <w:r w:rsidR="004726FA">
        <w:t xml:space="preserve">avoidable deaths </w:t>
      </w:r>
      <w:r w:rsidR="008B2BB9">
        <w:t>indicator</w:t>
      </w:r>
      <w:bookmarkEnd w:id="57"/>
      <w:bookmarkEnd w:id="58"/>
      <w:r w:rsidR="00FC71C8">
        <w:t xml:space="preserve"> </w:t>
      </w:r>
    </w:p>
    <w:p w14:paraId="5D2DDE8A" w14:textId="1C4A1435" w:rsidR="007B6C05" w:rsidRPr="004B319C" w:rsidRDefault="007B6C05" w:rsidP="007B6C05">
      <w:r w:rsidRPr="004B319C">
        <w:t>Causes of death included in the potentially avoidable deaths health performance indicator, as per the specifications for the National Healthcare Agreement in 2016,</w:t>
      </w:r>
      <w:hyperlink w:anchor="_ENREF_1" w:tooltip="AIHW, 2016 #2071" w:history="1">
        <w:r w:rsidR="0094762C" w:rsidRPr="004B319C">
          <w:fldChar w:fldCharType="begin"/>
        </w:r>
        <w:r w:rsidR="0094762C" w:rsidRPr="004B319C">
          <w:instrText xml:space="preserve"> ADDIN EN.CITE &lt;EndNote&gt;&lt;Cite&gt;&lt;Author&gt;AIHW&lt;/Author&gt;&lt;Year&gt;2016&lt;/Year&gt;&lt;RecNum&gt;2071&lt;/RecNum&gt;&lt;DisplayText&gt;&lt;style face="superscript"&gt;1&lt;/style&gt;&lt;/DisplayText&gt;&lt;record&gt;&lt;rec-number&gt;2071&lt;/rec-number&gt;&lt;foreign-keys&gt;&lt;key app="EN" db-id="rpzwzaaags0r0pe95aixvrsiw02a5psfsd5f" timestamp="1463621965"&gt;2071&lt;/key&gt;&lt;/foreign-keys&gt;&lt;ref-type name="Web Page"&gt;12&lt;/ref-type&gt;&lt;contributors&gt;&lt;authors&gt;&lt;author&gt;AIHW&lt;/author&gt;&lt;/authors&gt;&lt;/contributors&gt;&lt;titles&gt;&lt;title&gt;National Healthcare Agreement: PI 16 – Potentially avoidable deaths, 2016&lt;/title&gt;&lt;/titles&gt;&lt;number&gt;19/05/2016&lt;/number&gt;&lt;dates&gt;&lt;year&gt;2016&lt;/year&gt;&lt;/dates&gt;&lt;urls&gt;&lt;related-urls&gt;&lt;url&gt;http://meteor.aihw.gov.au/content/index.phtml/itemId/598750&lt;/url&gt;&lt;/related-urls&gt;&lt;/urls&gt;&lt;/record&gt;&lt;/Cite&gt;&lt;/EndNote&gt;</w:instrText>
        </w:r>
        <w:r w:rsidR="0094762C" w:rsidRPr="004B319C">
          <w:fldChar w:fldCharType="separate"/>
        </w:r>
        <w:r w:rsidR="0094762C" w:rsidRPr="004B319C">
          <w:rPr>
            <w:noProof/>
            <w:vertAlign w:val="superscript"/>
          </w:rPr>
          <w:t>1</w:t>
        </w:r>
        <w:r w:rsidR="0094762C" w:rsidRPr="004B319C">
          <w:fldChar w:fldCharType="end"/>
        </w:r>
      </w:hyperlink>
      <w:r w:rsidRPr="004B319C">
        <w:t xml:space="preserve"> are listed below.</w:t>
      </w:r>
    </w:p>
    <w:tbl>
      <w:tblPr>
        <w:tblStyle w:val="TableGrid"/>
        <w:tblW w:w="0" w:type="auto"/>
        <w:tblLook w:val="04A0" w:firstRow="1" w:lastRow="0" w:firstColumn="1" w:lastColumn="0" w:noHBand="0" w:noVBand="1"/>
        <w:tblCaption w:val="Conditions in the PAD indicator"/>
        <w:tblDescription w:val="Details of the conditions included in the PAD indicator."/>
      </w:tblPr>
      <w:tblGrid>
        <w:gridCol w:w="4621"/>
        <w:gridCol w:w="4621"/>
      </w:tblGrid>
      <w:tr w:rsidR="002E0330" w:rsidRPr="00F314AB" w14:paraId="22BA697F" w14:textId="77777777" w:rsidTr="00D67D28">
        <w:tc>
          <w:tcPr>
            <w:tcW w:w="4621" w:type="dxa"/>
            <w:tcBorders>
              <w:bottom w:val="single" w:sz="4" w:space="0" w:color="auto"/>
            </w:tcBorders>
            <w:shd w:val="clear" w:color="auto" w:fill="auto"/>
          </w:tcPr>
          <w:p w14:paraId="2A3175F0" w14:textId="77777777" w:rsidR="002E0330" w:rsidRPr="00D67D28" w:rsidRDefault="002E0330" w:rsidP="00D67D28">
            <w:pPr>
              <w:pStyle w:val="NoSpacing"/>
              <w:spacing w:before="60" w:line="276" w:lineRule="auto"/>
              <w:rPr>
                <w:rFonts w:cstheme="minorHAnsi"/>
                <w:b/>
                <w:sz w:val="20"/>
                <w:szCs w:val="20"/>
              </w:rPr>
            </w:pPr>
            <w:r w:rsidRPr="00D67D28">
              <w:rPr>
                <w:rFonts w:cstheme="minorHAnsi"/>
                <w:b/>
                <w:sz w:val="20"/>
                <w:szCs w:val="20"/>
              </w:rPr>
              <w:t>Infections</w:t>
            </w:r>
          </w:p>
          <w:p w14:paraId="46864F67" w14:textId="77777777" w:rsidR="002E0330" w:rsidRPr="00F314AB" w:rsidRDefault="002E0330" w:rsidP="000412E9">
            <w:pPr>
              <w:pStyle w:val="NoSpacing"/>
              <w:numPr>
                <w:ilvl w:val="0"/>
                <w:numId w:val="21"/>
              </w:numPr>
              <w:spacing w:before="60" w:line="276" w:lineRule="auto"/>
              <w:rPr>
                <w:rFonts w:cstheme="minorHAnsi"/>
                <w:sz w:val="20"/>
                <w:szCs w:val="20"/>
              </w:rPr>
            </w:pPr>
            <w:r w:rsidRPr="00F314AB">
              <w:rPr>
                <w:rFonts w:cstheme="minorHAnsi"/>
                <w:sz w:val="20"/>
                <w:szCs w:val="20"/>
              </w:rPr>
              <w:t>Selected invasive infections</w:t>
            </w:r>
          </w:p>
          <w:p w14:paraId="29A10CBE" w14:textId="77777777" w:rsidR="002E0330" w:rsidRPr="00F314AB" w:rsidRDefault="002E0330" w:rsidP="000412E9">
            <w:pPr>
              <w:pStyle w:val="NoSpacing"/>
              <w:numPr>
                <w:ilvl w:val="0"/>
                <w:numId w:val="21"/>
              </w:numPr>
              <w:spacing w:before="60" w:line="276" w:lineRule="auto"/>
              <w:rPr>
                <w:rFonts w:cstheme="minorHAnsi"/>
                <w:sz w:val="20"/>
                <w:szCs w:val="20"/>
              </w:rPr>
            </w:pPr>
            <w:r w:rsidRPr="00F314AB">
              <w:rPr>
                <w:rFonts w:cstheme="minorHAnsi"/>
                <w:sz w:val="20"/>
                <w:szCs w:val="20"/>
              </w:rPr>
              <w:t>Viral pneumonia and influenza</w:t>
            </w:r>
          </w:p>
          <w:p w14:paraId="4090F66F" w14:textId="77777777" w:rsidR="002E0330" w:rsidRPr="00F314AB" w:rsidRDefault="002E0330" w:rsidP="000412E9">
            <w:pPr>
              <w:pStyle w:val="NoSpacing"/>
              <w:numPr>
                <w:ilvl w:val="0"/>
                <w:numId w:val="21"/>
              </w:numPr>
              <w:spacing w:before="60" w:line="276" w:lineRule="auto"/>
              <w:rPr>
                <w:rFonts w:cstheme="minorHAnsi"/>
                <w:sz w:val="20"/>
                <w:szCs w:val="20"/>
              </w:rPr>
            </w:pPr>
            <w:r w:rsidRPr="00F314AB">
              <w:rPr>
                <w:rFonts w:cstheme="minorHAnsi"/>
                <w:sz w:val="20"/>
                <w:szCs w:val="20"/>
              </w:rPr>
              <w:t>HIV/AIDS</w:t>
            </w:r>
          </w:p>
          <w:p w14:paraId="144AE016" w14:textId="77777777" w:rsidR="00F314AB" w:rsidRPr="00F314AB" w:rsidRDefault="00F314AB" w:rsidP="00D67D28">
            <w:pPr>
              <w:pStyle w:val="NoSpacing"/>
              <w:pBdr>
                <w:top w:val="single" w:sz="4" w:space="1" w:color="auto"/>
              </w:pBdr>
              <w:spacing w:before="60" w:line="276" w:lineRule="auto"/>
              <w:rPr>
                <w:rFonts w:cstheme="minorHAnsi"/>
                <w:b/>
                <w:sz w:val="20"/>
                <w:szCs w:val="20"/>
              </w:rPr>
            </w:pPr>
            <w:r w:rsidRPr="00F314AB">
              <w:rPr>
                <w:rFonts w:cstheme="minorHAnsi"/>
                <w:b/>
                <w:sz w:val="20"/>
                <w:szCs w:val="20"/>
              </w:rPr>
              <w:t>Cancer</w:t>
            </w:r>
          </w:p>
          <w:p w14:paraId="178364B7" w14:textId="77777777" w:rsidR="00F314AB" w:rsidRPr="00F314AB" w:rsidRDefault="00F314AB" w:rsidP="000412E9">
            <w:pPr>
              <w:pStyle w:val="NoSpacing"/>
              <w:numPr>
                <w:ilvl w:val="0"/>
                <w:numId w:val="22"/>
              </w:numPr>
              <w:spacing w:before="60" w:line="276" w:lineRule="auto"/>
              <w:rPr>
                <w:rFonts w:cstheme="minorHAnsi"/>
                <w:sz w:val="20"/>
                <w:szCs w:val="20"/>
              </w:rPr>
            </w:pPr>
            <w:r w:rsidRPr="00F314AB">
              <w:rPr>
                <w:rFonts w:cstheme="minorHAnsi"/>
                <w:sz w:val="20"/>
                <w:szCs w:val="20"/>
              </w:rPr>
              <w:t>Colorectal</w:t>
            </w:r>
          </w:p>
          <w:p w14:paraId="26BB8737" w14:textId="77777777" w:rsidR="00F314AB" w:rsidRPr="00F314AB" w:rsidRDefault="00F314AB" w:rsidP="000412E9">
            <w:pPr>
              <w:pStyle w:val="NoSpacing"/>
              <w:numPr>
                <w:ilvl w:val="0"/>
                <w:numId w:val="22"/>
              </w:numPr>
              <w:spacing w:before="60" w:line="276" w:lineRule="auto"/>
              <w:rPr>
                <w:rFonts w:cstheme="minorHAnsi"/>
                <w:sz w:val="20"/>
                <w:szCs w:val="20"/>
              </w:rPr>
            </w:pPr>
            <w:r w:rsidRPr="00F314AB">
              <w:rPr>
                <w:rFonts w:cstheme="minorHAnsi"/>
                <w:sz w:val="20"/>
                <w:szCs w:val="20"/>
              </w:rPr>
              <w:t>Skin</w:t>
            </w:r>
          </w:p>
          <w:p w14:paraId="033F0E71" w14:textId="77777777" w:rsidR="00F314AB" w:rsidRPr="00F314AB" w:rsidRDefault="00F314AB" w:rsidP="000412E9">
            <w:pPr>
              <w:pStyle w:val="NoSpacing"/>
              <w:numPr>
                <w:ilvl w:val="0"/>
                <w:numId w:val="22"/>
              </w:numPr>
              <w:spacing w:before="60" w:line="276" w:lineRule="auto"/>
              <w:rPr>
                <w:rFonts w:cstheme="minorHAnsi"/>
                <w:sz w:val="20"/>
                <w:szCs w:val="20"/>
                <w:u w:val="single"/>
              </w:rPr>
            </w:pPr>
            <w:r w:rsidRPr="00F314AB">
              <w:rPr>
                <w:rFonts w:cstheme="minorHAnsi"/>
                <w:sz w:val="20"/>
                <w:szCs w:val="20"/>
              </w:rPr>
              <w:t>Breast</w:t>
            </w:r>
          </w:p>
          <w:p w14:paraId="2519C724" w14:textId="77777777" w:rsidR="00F314AB" w:rsidRPr="00F314AB" w:rsidRDefault="00F314AB" w:rsidP="000412E9">
            <w:pPr>
              <w:pStyle w:val="NoSpacing"/>
              <w:numPr>
                <w:ilvl w:val="0"/>
                <w:numId w:val="22"/>
              </w:numPr>
              <w:spacing w:before="60" w:line="276" w:lineRule="auto"/>
              <w:rPr>
                <w:rFonts w:cstheme="minorHAnsi"/>
                <w:sz w:val="20"/>
                <w:szCs w:val="20"/>
                <w:u w:val="single"/>
              </w:rPr>
            </w:pPr>
            <w:r w:rsidRPr="00F314AB">
              <w:rPr>
                <w:rFonts w:cstheme="minorHAnsi"/>
                <w:sz w:val="20"/>
                <w:szCs w:val="20"/>
              </w:rPr>
              <w:t>Acute lymphoid leukaemia/Acute lymphoblastic leukaemia (limit to 0-44 years)</w:t>
            </w:r>
          </w:p>
          <w:p w14:paraId="68F96B7F" w14:textId="77777777" w:rsidR="00F314AB" w:rsidRPr="00F314AB" w:rsidRDefault="00F314AB" w:rsidP="000412E9">
            <w:pPr>
              <w:pStyle w:val="NoSpacing"/>
              <w:numPr>
                <w:ilvl w:val="0"/>
                <w:numId w:val="22"/>
              </w:numPr>
              <w:spacing w:before="60" w:line="276" w:lineRule="auto"/>
              <w:rPr>
                <w:rFonts w:cstheme="minorHAnsi"/>
                <w:sz w:val="20"/>
                <w:szCs w:val="20"/>
              </w:rPr>
            </w:pPr>
            <w:r w:rsidRPr="00F314AB">
              <w:rPr>
                <w:rFonts w:cstheme="minorHAnsi"/>
                <w:sz w:val="20"/>
                <w:szCs w:val="20"/>
              </w:rPr>
              <w:t>Prostrate</w:t>
            </w:r>
          </w:p>
          <w:p w14:paraId="439DD98D" w14:textId="77777777" w:rsidR="00F314AB" w:rsidRPr="00F314AB" w:rsidRDefault="00F314AB" w:rsidP="000412E9">
            <w:pPr>
              <w:pStyle w:val="NoSpacing"/>
              <w:numPr>
                <w:ilvl w:val="0"/>
                <w:numId w:val="22"/>
              </w:numPr>
              <w:spacing w:before="60" w:line="276" w:lineRule="auto"/>
              <w:rPr>
                <w:rFonts w:cstheme="minorHAnsi"/>
                <w:sz w:val="20"/>
                <w:szCs w:val="20"/>
              </w:rPr>
            </w:pPr>
            <w:r w:rsidRPr="00F314AB">
              <w:rPr>
                <w:rFonts w:cstheme="minorHAnsi"/>
                <w:sz w:val="20"/>
                <w:szCs w:val="20"/>
              </w:rPr>
              <w:t>Kidney</w:t>
            </w:r>
          </w:p>
          <w:p w14:paraId="19AFDE13" w14:textId="77777777" w:rsidR="00F314AB" w:rsidRPr="00F314AB" w:rsidRDefault="00F314AB" w:rsidP="000412E9">
            <w:pPr>
              <w:pStyle w:val="NoSpacing"/>
              <w:numPr>
                <w:ilvl w:val="0"/>
                <w:numId w:val="22"/>
              </w:numPr>
              <w:spacing w:before="60" w:line="276" w:lineRule="auto"/>
              <w:rPr>
                <w:rFonts w:cstheme="minorHAnsi"/>
                <w:sz w:val="20"/>
                <w:szCs w:val="20"/>
              </w:rPr>
            </w:pPr>
            <w:r w:rsidRPr="00F314AB">
              <w:rPr>
                <w:rFonts w:cstheme="minorHAnsi"/>
                <w:sz w:val="20"/>
                <w:szCs w:val="20"/>
              </w:rPr>
              <w:t>Thyroid</w:t>
            </w:r>
          </w:p>
          <w:p w14:paraId="0AE74F4E" w14:textId="77777777" w:rsidR="00F314AB" w:rsidRPr="00F314AB" w:rsidRDefault="00F314AB" w:rsidP="000412E9">
            <w:pPr>
              <w:pStyle w:val="NoSpacing"/>
              <w:numPr>
                <w:ilvl w:val="0"/>
                <w:numId w:val="22"/>
              </w:numPr>
              <w:spacing w:before="60" w:line="276" w:lineRule="auto"/>
              <w:rPr>
                <w:rFonts w:cstheme="minorHAnsi"/>
                <w:sz w:val="20"/>
                <w:szCs w:val="20"/>
              </w:rPr>
            </w:pPr>
            <w:r w:rsidRPr="00F314AB">
              <w:rPr>
                <w:rFonts w:cstheme="minorHAnsi"/>
                <w:sz w:val="20"/>
                <w:szCs w:val="20"/>
              </w:rPr>
              <w:t>Hodgkin's disease</w:t>
            </w:r>
          </w:p>
          <w:p w14:paraId="571761D4" w14:textId="77777777" w:rsidR="00F314AB" w:rsidRPr="00F314AB" w:rsidRDefault="00F314AB" w:rsidP="000412E9">
            <w:pPr>
              <w:pStyle w:val="NoSpacing"/>
              <w:numPr>
                <w:ilvl w:val="0"/>
                <w:numId w:val="22"/>
              </w:numPr>
              <w:spacing w:before="60" w:line="276" w:lineRule="auto"/>
              <w:rPr>
                <w:rFonts w:cstheme="minorHAnsi"/>
                <w:sz w:val="20"/>
                <w:szCs w:val="20"/>
              </w:rPr>
            </w:pPr>
            <w:r w:rsidRPr="00F314AB">
              <w:rPr>
                <w:rFonts w:cstheme="minorHAnsi"/>
                <w:sz w:val="20"/>
                <w:szCs w:val="20"/>
              </w:rPr>
              <w:t>Cervix</w:t>
            </w:r>
          </w:p>
          <w:p w14:paraId="361E8F13" w14:textId="77777777" w:rsidR="00F314AB" w:rsidRPr="00F314AB" w:rsidRDefault="00F314AB" w:rsidP="00D67D28">
            <w:pPr>
              <w:pStyle w:val="NoSpacing"/>
              <w:pBdr>
                <w:top w:val="single" w:sz="4" w:space="1" w:color="auto"/>
                <w:bottom w:val="single" w:sz="4" w:space="1" w:color="auto"/>
              </w:pBdr>
              <w:spacing w:before="60" w:line="276" w:lineRule="auto"/>
              <w:rPr>
                <w:rFonts w:cstheme="minorHAnsi"/>
                <w:b/>
                <w:sz w:val="20"/>
                <w:szCs w:val="20"/>
              </w:rPr>
            </w:pPr>
            <w:r w:rsidRPr="00F314AB">
              <w:rPr>
                <w:rFonts w:cstheme="minorHAnsi"/>
                <w:b/>
                <w:sz w:val="20"/>
                <w:szCs w:val="20"/>
              </w:rPr>
              <w:t>Diabetes</w:t>
            </w:r>
          </w:p>
          <w:p w14:paraId="4D63A73D" w14:textId="77777777" w:rsidR="00F314AB" w:rsidRPr="00F314AB" w:rsidRDefault="00F314AB" w:rsidP="00D67D28">
            <w:pPr>
              <w:pStyle w:val="NoSpacing"/>
              <w:spacing w:before="60" w:line="276" w:lineRule="auto"/>
              <w:rPr>
                <w:rFonts w:cstheme="minorHAnsi"/>
                <w:b/>
                <w:sz w:val="20"/>
                <w:szCs w:val="20"/>
              </w:rPr>
            </w:pPr>
            <w:r w:rsidRPr="00F314AB">
              <w:rPr>
                <w:rFonts w:cstheme="minorHAnsi"/>
                <w:b/>
                <w:sz w:val="20"/>
                <w:szCs w:val="20"/>
              </w:rPr>
              <w:t>Diseases of the circulatory system</w:t>
            </w:r>
          </w:p>
          <w:p w14:paraId="0313B91D" w14:textId="77777777" w:rsidR="00F314AB" w:rsidRPr="00F314AB" w:rsidRDefault="00F314AB" w:rsidP="000412E9">
            <w:pPr>
              <w:pStyle w:val="NoSpacing"/>
              <w:numPr>
                <w:ilvl w:val="0"/>
                <w:numId w:val="23"/>
              </w:numPr>
              <w:spacing w:before="60" w:line="276" w:lineRule="auto"/>
              <w:rPr>
                <w:rFonts w:cstheme="minorHAnsi"/>
                <w:sz w:val="20"/>
                <w:szCs w:val="20"/>
              </w:rPr>
            </w:pPr>
            <w:r w:rsidRPr="00F314AB">
              <w:rPr>
                <w:rFonts w:cstheme="minorHAnsi"/>
                <w:sz w:val="20"/>
                <w:szCs w:val="20"/>
              </w:rPr>
              <w:t>Rheumatic and other valvular heart disease</w:t>
            </w:r>
          </w:p>
          <w:p w14:paraId="4C5B0BD6" w14:textId="77777777" w:rsidR="00F314AB" w:rsidRDefault="00F314AB" w:rsidP="000412E9">
            <w:pPr>
              <w:pStyle w:val="NoSpacing"/>
              <w:numPr>
                <w:ilvl w:val="0"/>
                <w:numId w:val="23"/>
              </w:numPr>
              <w:spacing w:before="60" w:line="276" w:lineRule="auto"/>
              <w:rPr>
                <w:rFonts w:cstheme="minorHAnsi"/>
                <w:sz w:val="20"/>
                <w:szCs w:val="20"/>
              </w:rPr>
            </w:pPr>
            <w:r w:rsidRPr="00F314AB">
              <w:rPr>
                <w:rFonts w:cstheme="minorHAnsi"/>
                <w:sz w:val="20"/>
                <w:szCs w:val="20"/>
              </w:rPr>
              <w:t>Hypertensive heart and renal disease</w:t>
            </w:r>
          </w:p>
          <w:p w14:paraId="782C2C5E" w14:textId="5BE1F140" w:rsidR="00F314AB" w:rsidRPr="00F314AB" w:rsidRDefault="00F314AB" w:rsidP="000412E9">
            <w:pPr>
              <w:pStyle w:val="NoSpacing"/>
              <w:numPr>
                <w:ilvl w:val="0"/>
                <w:numId w:val="23"/>
              </w:numPr>
              <w:spacing w:before="60" w:line="276" w:lineRule="auto"/>
              <w:rPr>
                <w:rFonts w:cstheme="minorHAnsi"/>
                <w:sz w:val="20"/>
                <w:szCs w:val="20"/>
              </w:rPr>
            </w:pPr>
            <w:r w:rsidRPr="00F314AB">
              <w:rPr>
                <w:rFonts w:cstheme="minorHAnsi"/>
                <w:sz w:val="20"/>
                <w:szCs w:val="20"/>
              </w:rPr>
              <w:t>Pulmonary embolism</w:t>
            </w:r>
          </w:p>
          <w:p w14:paraId="51AEFB32" w14:textId="77777777" w:rsidR="00F314AB" w:rsidRPr="00F314AB" w:rsidRDefault="00F314AB" w:rsidP="000412E9">
            <w:pPr>
              <w:pStyle w:val="NoSpacing"/>
              <w:numPr>
                <w:ilvl w:val="0"/>
                <w:numId w:val="23"/>
              </w:numPr>
              <w:spacing w:before="60" w:line="276" w:lineRule="auto"/>
              <w:rPr>
                <w:rFonts w:cstheme="minorHAnsi"/>
                <w:sz w:val="20"/>
                <w:szCs w:val="20"/>
              </w:rPr>
            </w:pPr>
            <w:r w:rsidRPr="00F314AB">
              <w:rPr>
                <w:rFonts w:cstheme="minorHAnsi"/>
                <w:sz w:val="20"/>
                <w:szCs w:val="20"/>
              </w:rPr>
              <w:t>Ischaemic heart disease</w:t>
            </w:r>
          </w:p>
          <w:p w14:paraId="6DA8D4B6" w14:textId="77777777" w:rsidR="00F314AB" w:rsidRDefault="00F314AB" w:rsidP="000412E9">
            <w:pPr>
              <w:pStyle w:val="NoSpacing"/>
              <w:numPr>
                <w:ilvl w:val="0"/>
                <w:numId w:val="23"/>
              </w:numPr>
              <w:spacing w:before="60" w:line="276" w:lineRule="auto"/>
              <w:rPr>
                <w:rFonts w:cstheme="minorHAnsi"/>
                <w:sz w:val="20"/>
                <w:szCs w:val="20"/>
              </w:rPr>
            </w:pPr>
            <w:r w:rsidRPr="00F314AB">
              <w:rPr>
                <w:rFonts w:cstheme="minorHAnsi"/>
                <w:sz w:val="20"/>
                <w:szCs w:val="20"/>
              </w:rPr>
              <w:t>Cerebrovascular diseases</w:t>
            </w:r>
          </w:p>
          <w:p w14:paraId="110ABB8E" w14:textId="00F53DD0" w:rsidR="00F314AB" w:rsidRPr="00F314AB" w:rsidRDefault="00F314AB" w:rsidP="000412E9">
            <w:pPr>
              <w:pStyle w:val="NoSpacing"/>
              <w:numPr>
                <w:ilvl w:val="0"/>
                <w:numId w:val="23"/>
              </w:numPr>
              <w:spacing w:before="60" w:line="276" w:lineRule="auto"/>
              <w:rPr>
                <w:rFonts w:cstheme="minorHAnsi"/>
                <w:sz w:val="20"/>
                <w:szCs w:val="20"/>
              </w:rPr>
            </w:pPr>
            <w:r w:rsidRPr="00F314AB">
              <w:rPr>
                <w:rFonts w:cstheme="minorHAnsi"/>
                <w:sz w:val="20"/>
                <w:szCs w:val="20"/>
              </w:rPr>
              <w:t>Heart failure</w:t>
            </w:r>
          </w:p>
          <w:p w14:paraId="63C9DF7F" w14:textId="77777777" w:rsidR="00F314AB" w:rsidRPr="00F314AB" w:rsidRDefault="00F314AB" w:rsidP="00D67D28">
            <w:pPr>
              <w:pStyle w:val="NoSpacing"/>
              <w:pBdr>
                <w:top w:val="single" w:sz="4" w:space="1" w:color="auto"/>
              </w:pBdr>
              <w:spacing w:before="60" w:line="276" w:lineRule="auto"/>
              <w:rPr>
                <w:rFonts w:cstheme="minorHAnsi"/>
                <w:b/>
                <w:sz w:val="20"/>
                <w:szCs w:val="20"/>
              </w:rPr>
            </w:pPr>
            <w:r w:rsidRPr="00F314AB">
              <w:rPr>
                <w:rFonts w:cstheme="minorHAnsi"/>
                <w:b/>
                <w:sz w:val="20"/>
                <w:szCs w:val="20"/>
              </w:rPr>
              <w:t>Diseases of the genitourinary system</w:t>
            </w:r>
          </w:p>
          <w:p w14:paraId="1C6562C4" w14:textId="77777777" w:rsidR="00F314AB" w:rsidRPr="00F314AB" w:rsidRDefault="00F314AB" w:rsidP="000412E9">
            <w:pPr>
              <w:pStyle w:val="NoSpacing"/>
              <w:numPr>
                <w:ilvl w:val="0"/>
                <w:numId w:val="24"/>
              </w:numPr>
              <w:spacing w:before="60" w:line="276" w:lineRule="auto"/>
              <w:rPr>
                <w:rFonts w:cstheme="minorHAnsi"/>
                <w:sz w:val="20"/>
                <w:szCs w:val="20"/>
              </w:rPr>
            </w:pPr>
            <w:r w:rsidRPr="00F314AB">
              <w:rPr>
                <w:rFonts w:cstheme="minorHAnsi"/>
                <w:sz w:val="20"/>
                <w:szCs w:val="20"/>
              </w:rPr>
              <w:t>Renal failure</w:t>
            </w:r>
          </w:p>
          <w:p w14:paraId="788ABE5C" w14:textId="77777777" w:rsidR="00F314AB" w:rsidRPr="00F314AB" w:rsidRDefault="00F314AB" w:rsidP="00D67D28">
            <w:pPr>
              <w:pStyle w:val="NoSpacing"/>
              <w:pBdr>
                <w:top w:val="single" w:sz="4" w:space="1" w:color="auto"/>
              </w:pBdr>
              <w:spacing w:before="60" w:line="276" w:lineRule="auto"/>
              <w:rPr>
                <w:rFonts w:cstheme="minorHAnsi"/>
                <w:b/>
                <w:sz w:val="20"/>
                <w:szCs w:val="20"/>
              </w:rPr>
            </w:pPr>
            <w:r w:rsidRPr="00F314AB">
              <w:rPr>
                <w:rFonts w:cstheme="minorHAnsi"/>
                <w:b/>
                <w:sz w:val="20"/>
                <w:szCs w:val="20"/>
              </w:rPr>
              <w:t>Diseases of the respiratory system</w:t>
            </w:r>
          </w:p>
          <w:p w14:paraId="7DB5C25C" w14:textId="77777777" w:rsidR="00F314AB" w:rsidRPr="00F314AB" w:rsidRDefault="00F314AB" w:rsidP="000412E9">
            <w:pPr>
              <w:pStyle w:val="NoSpacing"/>
              <w:numPr>
                <w:ilvl w:val="0"/>
                <w:numId w:val="25"/>
              </w:numPr>
              <w:spacing w:before="60" w:line="276" w:lineRule="auto"/>
              <w:rPr>
                <w:rFonts w:cstheme="minorHAnsi"/>
                <w:sz w:val="20"/>
                <w:szCs w:val="20"/>
              </w:rPr>
            </w:pPr>
            <w:r w:rsidRPr="00F314AB">
              <w:rPr>
                <w:rFonts w:cstheme="minorHAnsi"/>
                <w:sz w:val="20"/>
                <w:szCs w:val="20"/>
              </w:rPr>
              <w:t>COPD</w:t>
            </w:r>
          </w:p>
          <w:p w14:paraId="0D8E7AEE" w14:textId="77777777" w:rsidR="00F314AB" w:rsidRPr="00F314AB" w:rsidRDefault="00F314AB" w:rsidP="000412E9">
            <w:pPr>
              <w:pStyle w:val="NoSpacing"/>
              <w:numPr>
                <w:ilvl w:val="0"/>
                <w:numId w:val="25"/>
              </w:numPr>
              <w:spacing w:before="60" w:line="276" w:lineRule="auto"/>
              <w:rPr>
                <w:rFonts w:cstheme="minorHAnsi"/>
                <w:sz w:val="20"/>
                <w:szCs w:val="20"/>
              </w:rPr>
            </w:pPr>
            <w:r w:rsidRPr="00F314AB">
              <w:rPr>
                <w:rFonts w:cstheme="minorHAnsi"/>
                <w:sz w:val="20"/>
                <w:szCs w:val="20"/>
              </w:rPr>
              <w:t>Asthma</w:t>
            </w:r>
          </w:p>
          <w:p w14:paraId="59B8ECA8" w14:textId="77777777" w:rsidR="00F314AB" w:rsidRPr="00F314AB" w:rsidRDefault="00F314AB" w:rsidP="00D67D28">
            <w:pPr>
              <w:pStyle w:val="NoSpacing"/>
              <w:pBdr>
                <w:top w:val="single" w:sz="4" w:space="1" w:color="auto"/>
              </w:pBdr>
              <w:spacing w:before="60" w:line="276" w:lineRule="auto"/>
              <w:rPr>
                <w:rFonts w:cstheme="minorHAnsi"/>
                <w:b/>
                <w:sz w:val="20"/>
                <w:szCs w:val="20"/>
              </w:rPr>
            </w:pPr>
            <w:r w:rsidRPr="00F314AB">
              <w:rPr>
                <w:rFonts w:cstheme="minorHAnsi"/>
                <w:b/>
                <w:sz w:val="20"/>
                <w:szCs w:val="20"/>
              </w:rPr>
              <w:t>Diseases of the digestive system:</w:t>
            </w:r>
          </w:p>
          <w:p w14:paraId="2D7746D6" w14:textId="77777777" w:rsidR="00F314AB" w:rsidRPr="00F314AB" w:rsidRDefault="00F314AB" w:rsidP="00845A23">
            <w:pPr>
              <w:pStyle w:val="NoSpacing"/>
              <w:numPr>
                <w:ilvl w:val="0"/>
                <w:numId w:val="9"/>
              </w:numPr>
              <w:spacing w:before="60" w:line="276" w:lineRule="auto"/>
              <w:rPr>
                <w:rFonts w:cstheme="minorHAnsi"/>
                <w:sz w:val="20"/>
                <w:szCs w:val="20"/>
              </w:rPr>
            </w:pPr>
            <w:r w:rsidRPr="00F314AB">
              <w:rPr>
                <w:rFonts w:cstheme="minorHAnsi"/>
                <w:sz w:val="20"/>
                <w:szCs w:val="20"/>
              </w:rPr>
              <w:t>Peptic ulcer disease</w:t>
            </w:r>
          </w:p>
          <w:p w14:paraId="51C22DFC" w14:textId="77777777" w:rsidR="00F314AB" w:rsidRPr="00F314AB" w:rsidRDefault="00F314AB" w:rsidP="00D67D28">
            <w:pPr>
              <w:pStyle w:val="NoSpacing"/>
              <w:pBdr>
                <w:top w:val="single" w:sz="4" w:space="1" w:color="auto"/>
              </w:pBdr>
              <w:spacing w:before="60" w:line="276" w:lineRule="auto"/>
              <w:rPr>
                <w:rFonts w:cstheme="minorHAnsi"/>
                <w:b/>
                <w:sz w:val="20"/>
                <w:szCs w:val="20"/>
              </w:rPr>
            </w:pPr>
            <w:r w:rsidRPr="00F314AB">
              <w:rPr>
                <w:rFonts w:cstheme="minorHAnsi"/>
                <w:b/>
                <w:sz w:val="20"/>
                <w:szCs w:val="20"/>
              </w:rPr>
              <w:t>Maternal &amp; infant causes</w:t>
            </w:r>
          </w:p>
          <w:p w14:paraId="229FE16D" w14:textId="77777777" w:rsidR="00F314AB" w:rsidRPr="00F314AB" w:rsidRDefault="00F314AB" w:rsidP="00845A23">
            <w:pPr>
              <w:pStyle w:val="NoSpacing"/>
              <w:numPr>
                <w:ilvl w:val="0"/>
                <w:numId w:val="9"/>
              </w:numPr>
              <w:spacing w:before="60" w:line="276" w:lineRule="auto"/>
              <w:rPr>
                <w:rFonts w:cstheme="minorHAnsi"/>
                <w:sz w:val="20"/>
                <w:szCs w:val="20"/>
              </w:rPr>
            </w:pPr>
            <w:r w:rsidRPr="00F314AB">
              <w:rPr>
                <w:rFonts w:cstheme="minorHAnsi"/>
                <w:sz w:val="20"/>
                <w:szCs w:val="20"/>
              </w:rPr>
              <w:t>Complications of the perinatal period</w:t>
            </w:r>
          </w:p>
          <w:p w14:paraId="4B5FE1E0" w14:textId="77777777" w:rsidR="00F314AB" w:rsidRPr="00F314AB" w:rsidRDefault="00F314AB" w:rsidP="00D67D28">
            <w:pPr>
              <w:pStyle w:val="NoSpacing"/>
              <w:pBdr>
                <w:top w:val="single" w:sz="4" w:space="1" w:color="auto"/>
              </w:pBdr>
              <w:spacing w:before="60" w:line="276" w:lineRule="auto"/>
              <w:rPr>
                <w:rFonts w:cstheme="minorHAnsi"/>
                <w:b/>
                <w:sz w:val="20"/>
                <w:szCs w:val="20"/>
              </w:rPr>
            </w:pPr>
            <w:r w:rsidRPr="00F314AB">
              <w:rPr>
                <w:rFonts w:cstheme="minorHAnsi"/>
                <w:b/>
                <w:sz w:val="20"/>
                <w:szCs w:val="20"/>
              </w:rPr>
              <w:t>Other conditions</w:t>
            </w:r>
          </w:p>
          <w:p w14:paraId="2272A533" w14:textId="3869219F" w:rsidR="00F314AB" w:rsidRPr="00F314AB" w:rsidRDefault="00F314AB" w:rsidP="00845A23">
            <w:pPr>
              <w:pStyle w:val="NoSpacing"/>
              <w:numPr>
                <w:ilvl w:val="0"/>
                <w:numId w:val="9"/>
              </w:numPr>
              <w:spacing w:before="60" w:line="276" w:lineRule="auto"/>
              <w:rPr>
                <w:rFonts w:cstheme="minorHAnsi"/>
                <w:sz w:val="20"/>
                <w:szCs w:val="20"/>
              </w:rPr>
            </w:pPr>
            <w:r w:rsidRPr="00F314AB">
              <w:rPr>
                <w:rFonts w:cstheme="minorHAnsi"/>
                <w:sz w:val="20"/>
                <w:szCs w:val="20"/>
              </w:rPr>
              <w:t>Complications of pregnancy, labour or the puerperium</w:t>
            </w:r>
          </w:p>
        </w:tc>
        <w:tc>
          <w:tcPr>
            <w:tcW w:w="4621" w:type="dxa"/>
          </w:tcPr>
          <w:p w14:paraId="233856A4" w14:textId="77777777" w:rsidR="002E0330" w:rsidRPr="00F314AB" w:rsidRDefault="002E0330" w:rsidP="00D67D28">
            <w:pPr>
              <w:pStyle w:val="NoSpacing"/>
              <w:spacing w:before="60" w:line="276" w:lineRule="auto"/>
              <w:rPr>
                <w:rFonts w:cstheme="minorHAnsi"/>
                <w:b/>
                <w:sz w:val="20"/>
                <w:szCs w:val="20"/>
              </w:rPr>
            </w:pPr>
            <w:r w:rsidRPr="00F314AB">
              <w:rPr>
                <w:rFonts w:cstheme="minorHAnsi"/>
                <w:b/>
                <w:sz w:val="20"/>
                <w:szCs w:val="20"/>
              </w:rPr>
              <w:t>Selected external causes of morbidity and mortality</w:t>
            </w:r>
          </w:p>
          <w:p w14:paraId="4360A57F" w14:textId="77777777" w:rsidR="002E0330" w:rsidRPr="00F314AB" w:rsidRDefault="002E0330" w:rsidP="000412E9">
            <w:pPr>
              <w:pStyle w:val="NoSpacing"/>
              <w:numPr>
                <w:ilvl w:val="0"/>
                <w:numId w:val="26"/>
              </w:numPr>
              <w:spacing w:before="60" w:line="276" w:lineRule="auto"/>
              <w:rPr>
                <w:rFonts w:cstheme="minorHAnsi"/>
                <w:sz w:val="20"/>
                <w:szCs w:val="20"/>
              </w:rPr>
            </w:pPr>
            <w:r w:rsidRPr="00F314AB">
              <w:rPr>
                <w:rFonts w:cstheme="minorHAnsi"/>
                <w:sz w:val="20"/>
                <w:szCs w:val="20"/>
              </w:rPr>
              <w:t>Falls</w:t>
            </w:r>
          </w:p>
          <w:p w14:paraId="6DB9E3C2" w14:textId="7FF65189" w:rsidR="002E0330" w:rsidRPr="00F314AB" w:rsidRDefault="002E0330" w:rsidP="000412E9">
            <w:pPr>
              <w:pStyle w:val="NoSpacing"/>
              <w:numPr>
                <w:ilvl w:val="0"/>
                <w:numId w:val="26"/>
              </w:numPr>
              <w:spacing w:before="60" w:line="276" w:lineRule="auto"/>
              <w:rPr>
                <w:rFonts w:cstheme="minorHAnsi"/>
                <w:sz w:val="20"/>
                <w:szCs w:val="20"/>
              </w:rPr>
            </w:pPr>
            <w:r w:rsidRPr="00F314AB">
              <w:rPr>
                <w:rFonts w:cstheme="minorHAnsi"/>
                <w:sz w:val="20"/>
                <w:szCs w:val="20"/>
              </w:rPr>
              <w:t xml:space="preserve">Fires and burns </w:t>
            </w:r>
          </w:p>
          <w:p w14:paraId="0F637587" w14:textId="27A2FA72" w:rsidR="002E0330" w:rsidRPr="00F314AB" w:rsidRDefault="002E0330" w:rsidP="000412E9">
            <w:pPr>
              <w:pStyle w:val="NoSpacing"/>
              <w:numPr>
                <w:ilvl w:val="0"/>
                <w:numId w:val="26"/>
              </w:numPr>
              <w:spacing w:before="60" w:line="276" w:lineRule="auto"/>
              <w:rPr>
                <w:rFonts w:cstheme="minorHAnsi"/>
                <w:sz w:val="20"/>
                <w:szCs w:val="20"/>
              </w:rPr>
            </w:pPr>
            <w:r w:rsidRPr="00F314AB">
              <w:rPr>
                <w:rFonts w:cstheme="minorHAnsi"/>
                <w:sz w:val="20"/>
                <w:szCs w:val="20"/>
              </w:rPr>
              <w:t xml:space="preserve">Suicide and self-inflicted injuries </w:t>
            </w:r>
          </w:p>
          <w:p w14:paraId="75A06CAB" w14:textId="77777777" w:rsidR="002E0330" w:rsidRPr="00F314AB" w:rsidRDefault="002E0330" w:rsidP="000412E9">
            <w:pPr>
              <w:pStyle w:val="NoSpacing"/>
              <w:numPr>
                <w:ilvl w:val="0"/>
                <w:numId w:val="26"/>
              </w:numPr>
              <w:spacing w:before="60" w:line="276" w:lineRule="auto"/>
              <w:rPr>
                <w:rFonts w:cstheme="minorHAnsi"/>
                <w:sz w:val="20"/>
                <w:szCs w:val="20"/>
              </w:rPr>
            </w:pPr>
            <w:r w:rsidRPr="00F314AB">
              <w:rPr>
                <w:rFonts w:cstheme="minorHAnsi"/>
                <w:sz w:val="20"/>
                <w:szCs w:val="20"/>
              </w:rPr>
              <w:t>Misadventures to patients during surgical and medical care</w:t>
            </w:r>
          </w:p>
          <w:p w14:paraId="2675D7E8" w14:textId="77777777" w:rsidR="002E0330" w:rsidRPr="00F314AB" w:rsidRDefault="002E0330" w:rsidP="000412E9">
            <w:pPr>
              <w:pStyle w:val="NoSpacing"/>
              <w:numPr>
                <w:ilvl w:val="0"/>
                <w:numId w:val="26"/>
              </w:numPr>
              <w:spacing w:before="60" w:line="276" w:lineRule="auto"/>
              <w:rPr>
                <w:rFonts w:cstheme="minorHAnsi"/>
                <w:sz w:val="20"/>
                <w:szCs w:val="20"/>
              </w:rPr>
            </w:pPr>
            <w:r w:rsidRPr="00F314AB">
              <w:rPr>
                <w:rFonts w:cstheme="minorHAnsi"/>
                <w:sz w:val="20"/>
                <w:szCs w:val="20"/>
              </w:rPr>
              <w:t>Medical devices associated with adverse incidents in diagnostic and therapeutic use</w:t>
            </w:r>
          </w:p>
          <w:p w14:paraId="5207D0E6" w14:textId="77777777" w:rsidR="002E0330" w:rsidRPr="00F314AB" w:rsidRDefault="002E0330" w:rsidP="000412E9">
            <w:pPr>
              <w:pStyle w:val="NoSpacing"/>
              <w:numPr>
                <w:ilvl w:val="0"/>
                <w:numId w:val="26"/>
              </w:numPr>
              <w:spacing w:before="60" w:line="276" w:lineRule="auto"/>
              <w:rPr>
                <w:rFonts w:cstheme="minorHAnsi"/>
                <w:sz w:val="20"/>
                <w:szCs w:val="20"/>
              </w:rPr>
            </w:pPr>
            <w:r w:rsidRPr="00F314AB">
              <w:rPr>
                <w:rFonts w:cstheme="minorHAnsi"/>
                <w:sz w:val="20"/>
                <w:szCs w:val="20"/>
              </w:rPr>
              <w:t>Surgical and other medical procedures as the cause of abnormal reaction of the patient, or of later complication, without mention of misadventure at the time of the procedure</w:t>
            </w:r>
          </w:p>
          <w:p w14:paraId="10E5DD47" w14:textId="77777777" w:rsidR="00F314AB" w:rsidRPr="00F314AB" w:rsidRDefault="00F314AB" w:rsidP="00D67D28">
            <w:pPr>
              <w:pStyle w:val="NoSpacing"/>
              <w:pBdr>
                <w:top w:val="single" w:sz="4" w:space="1" w:color="auto"/>
              </w:pBdr>
              <w:spacing w:before="60" w:line="276" w:lineRule="auto"/>
              <w:rPr>
                <w:rFonts w:cstheme="minorHAnsi"/>
                <w:b/>
                <w:sz w:val="20"/>
                <w:szCs w:val="20"/>
              </w:rPr>
            </w:pPr>
            <w:r w:rsidRPr="00F314AB">
              <w:rPr>
                <w:rFonts w:cstheme="minorHAnsi"/>
                <w:b/>
                <w:sz w:val="20"/>
                <w:szCs w:val="20"/>
              </w:rPr>
              <w:t>Other external causes of morbidity and mortality</w:t>
            </w:r>
          </w:p>
          <w:p w14:paraId="5D66987A" w14:textId="646BE6EB" w:rsidR="00F314AB" w:rsidRPr="00F314AB" w:rsidRDefault="00D67D28" w:rsidP="001D45D0">
            <w:pPr>
              <w:pStyle w:val="NoSpacing"/>
              <w:numPr>
                <w:ilvl w:val="0"/>
                <w:numId w:val="27"/>
              </w:numPr>
              <w:spacing w:before="60"/>
              <w:ind w:left="357" w:hanging="357"/>
              <w:rPr>
                <w:rFonts w:cstheme="minorHAnsi"/>
                <w:sz w:val="20"/>
                <w:szCs w:val="20"/>
              </w:rPr>
            </w:pPr>
            <w:r>
              <w:rPr>
                <w:rFonts w:cstheme="minorHAnsi"/>
                <w:sz w:val="20"/>
                <w:szCs w:val="20"/>
              </w:rPr>
              <w:t>Transport accidents</w:t>
            </w:r>
          </w:p>
          <w:p w14:paraId="43F45630" w14:textId="1E477444"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 xml:space="preserve">Exposure </w:t>
            </w:r>
            <w:r w:rsidR="00D67D28">
              <w:rPr>
                <w:rFonts w:cstheme="minorHAnsi"/>
                <w:sz w:val="20"/>
                <w:szCs w:val="20"/>
              </w:rPr>
              <w:t>to inanimate mechanical forces</w:t>
            </w:r>
          </w:p>
          <w:p w14:paraId="0F9B4F6D" w14:textId="549581FE"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Exposur</w:t>
            </w:r>
            <w:r w:rsidR="00D67D28">
              <w:rPr>
                <w:rFonts w:cstheme="minorHAnsi"/>
                <w:sz w:val="20"/>
                <w:szCs w:val="20"/>
              </w:rPr>
              <w:t>e to animate mechanical forces</w:t>
            </w:r>
          </w:p>
          <w:p w14:paraId="5442AFDC" w14:textId="75633152"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Acci</w:t>
            </w:r>
            <w:r w:rsidR="00D67D28">
              <w:rPr>
                <w:rFonts w:cstheme="minorHAnsi"/>
                <w:sz w:val="20"/>
                <w:szCs w:val="20"/>
              </w:rPr>
              <w:t>dental drowning and submersion</w:t>
            </w:r>
          </w:p>
          <w:p w14:paraId="1D616BA8" w14:textId="01A378BD"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Other a</w:t>
            </w:r>
            <w:r w:rsidR="00D67D28">
              <w:rPr>
                <w:rFonts w:cstheme="minorHAnsi"/>
                <w:sz w:val="20"/>
                <w:szCs w:val="20"/>
              </w:rPr>
              <w:t>ccidental threats to breathing</w:t>
            </w:r>
          </w:p>
          <w:p w14:paraId="3D6BD29D" w14:textId="06261A77"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Exposure to electric current, radiation and extreme ambien</w:t>
            </w:r>
            <w:r w:rsidR="00D67D28">
              <w:rPr>
                <w:rFonts w:cstheme="minorHAnsi"/>
                <w:sz w:val="20"/>
                <w:szCs w:val="20"/>
              </w:rPr>
              <w:t>t air temperature and pressure</w:t>
            </w:r>
          </w:p>
          <w:p w14:paraId="6C7BAEEB" w14:textId="552B6F2E"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Contac</w:t>
            </w:r>
            <w:r w:rsidR="00D67D28">
              <w:rPr>
                <w:rFonts w:cstheme="minorHAnsi"/>
                <w:sz w:val="20"/>
                <w:szCs w:val="20"/>
              </w:rPr>
              <w:t>t with heat and hot substances</w:t>
            </w:r>
          </w:p>
          <w:p w14:paraId="56886D4A" w14:textId="12719599" w:rsidR="00D67D28"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Contact with venomous animals and plant</w:t>
            </w:r>
            <w:r w:rsidR="00D67D28">
              <w:rPr>
                <w:rFonts w:cstheme="minorHAnsi"/>
                <w:sz w:val="20"/>
                <w:szCs w:val="20"/>
              </w:rPr>
              <w:t>s</w:t>
            </w:r>
          </w:p>
          <w:p w14:paraId="5FF25E10" w14:textId="7C819657" w:rsidR="00F314AB" w:rsidRPr="00F314AB" w:rsidRDefault="00D67D28" w:rsidP="001D45D0">
            <w:pPr>
              <w:pStyle w:val="NoSpacing"/>
              <w:numPr>
                <w:ilvl w:val="0"/>
                <w:numId w:val="27"/>
              </w:numPr>
              <w:spacing w:before="60"/>
              <w:ind w:left="357" w:hanging="357"/>
              <w:rPr>
                <w:rFonts w:cstheme="minorHAnsi"/>
                <w:sz w:val="20"/>
                <w:szCs w:val="20"/>
              </w:rPr>
            </w:pPr>
            <w:r>
              <w:rPr>
                <w:rFonts w:cstheme="minorHAnsi"/>
                <w:sz w:val="20"/>
                <w:szCs w:val="20"/>
              </w:rPr>
              <w:t>Exposure to forces of nature</w:t>
            </w:r>
          </w:p>
          <w:p w14:paraId="700F6CD8" w14:textId="246A18B7"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Accidental poisoning by and</w:t>
            </w:r>
            <w:r w:rsidR="00D67D28">
              <w:rPr>
                <w:rFonts w:cstheme="minorHAnsi"/>
                <w:sz w:val="20"/>
                <w:szCs w:val="20"/>
              </w:rPr>
              <w:t xml:space="preserve"> exposure to noxious substance</w:t>
            </w:r>
          </w:p>
          <w:p w14:paraId="1ACF7CED" w14:textId="791CDADC"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Over</w:t>
            </w:r>
            <w:r w:rsidR="00D67D28">
              <w:rPr>
                <w:rFonts w:cstheme="minorHAnsi"/>
                <w:sz w:val="20"/>
                <w:szCs w:val="20"/>
              </w:rPr>
              <w:t>exertion, travel and privation</w:t>
            </w:r>
          </w:p>
          <w:p w14:paraId="24F85D80" w14:textId="434BFD27"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Accidental exposure t</w:t>
            </w:r>
            <w:r w:rsidR="00D67D28">
              <w:rPr>
                <w:rFonts w:cstheme="minorHAnsi"/>
                <w:sz w:val="20"/>
                <w:szCs w:val="20"/>
              </w:rPr>
              <w:t>o other and unspecified factors</w:t>
            </w:r>
          </w:p>
          <w:p w14:paraId="6727C353" w14:textId="1542EF90"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Assault</w:t>
            </w:r>
          </w:p>
          <w:p w14:paraId="7B7D4075" w14:textId="7A2F48CB" w:rsidR="00F314AB" w:rsidRPr="00F314AB" w:rsidRDefault="00D67D28" w:rsidP="001D45D0">
            <w:pPr>
              <w:pStyle w:val="NoSpacing"/>
              <w:numPr>
                <w:ilvl w:val="0"/>
                <w:numId w:val="27"/>
              </w:numPr>
              <w:spacing w:before="60"/>
              <w:ind w:left="357" w:hanging="357"/>
              <w:rPr>
                <w:rFonts w:cstheme="minorHAnsi"/>
                <w:sz w:val="20"/>
                <w:szCs w:val="20"/>
              </w:rPr>
            </w:pPr>
            <w:r>
              <w:rPr>
                <w:rFonts w:cstheme="minorHAnsi"/>
                <w:sz w:val="20"/>
                <w:szCs w:val="20"/>
              </w:rPr>
              <w:t>Event of undetermined intent</w:t>
            </w:r>
            <w:r w:rsidR="00F314AB" w:rsidRPr="00F314AB">
              <w:rPr>
                <w:rFonts w:cstheme="minorHAnsi"/>
                <w:sz w:val="20"/>
                <w:szCs w:val="20"/>
              </w:rPr>
              <w:t xml:space="preserve"> </w:t>
            </w:r>
          </w:p>
          <w:p w14:paraId="0F1ECBA2" w14:textId="5DE920A4"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Legal inter</w:t>
            </w:r>
            <w:r w:rsidR="00D67D28">
              <w:rPr>
                <w:rFonts w:cstheme="minorHAnsi"/>
                <w:sz w:val="20"/>
                <w:szCs w:val="20"/>
              </w:rPr>
              <w:t>ventions and operations of war</w:t>
            </w:r>
          </w:p>
          <w:p w14:paraId="2B76B462" w14:textId="3AF35DFF"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Drugs, medicaments and biological substances causing adv</w:t>
            </w:r>
            <w:r w:rsidR="00D67D28">
              <w:rPr>
                <w:rFonts w:cstheme="minorHAnsi"/>
                <w:sz w:val="20"/>
                <w:szCs w:val="20"/>
              </w:rPr>
              <w:t>erse effects in therapeutic use</w:t>
            </w:r>
          </w:p>
          <w:p w14:paraId="11E89575" w14:textId="03F2E5BA" w:rsidR="00F314AB" w:rsidRPr="00F314AB" w:rsidRDefault="00F314AB" w:rsidP="001D45D0">
            <w:pPr>
              <w:pStyle w:val="NoSpacing"/>
              <w:numPr>
                <w:ilvl w:val="0"/>
                <w:numId w:val="27"/>
              </w:numPr>
              <w:spacing w:before="60"/>
              <w:ind w:left="357" w:hanging="357"/>
              <w:rPr>
                <w:rFonts w:cstheme="minorHAnsi"/>
                <w:sz w:val="20"/>
                <w:szCs w:val="20"/>
              </w:rPr>
            </w:pPr>
            <w:r w:rsidRPr="00F314AB">
              <w:rPr>
                <w:rFonts w:cstheme="minorHAnsi"/>
                <w:sz w:val="20"/>
                <w:szCs w:val="20"/>
              </w:rPr>
              <w:t>Sequelae of external causes of morbidity and mortality</w:t>
            </w:r>
          </w:p>
        </w:tc>
      </w:tr>
    </w:tbl>
    <w:p w14:paraId="704D6FFE" w14:textId="4126C05F" w:rsidR="00F4253B" w:rsidRDefault="00F4253B" w:rsidP="00AE0E8B">
      <w:pPr>
        <w:pStyle w:val="Heading2"/>
      </w:pPr>
      <w:bookmarkStart w:id="59" w:name="_Toc450663423"/>
      <w:bookmarkStart w:id="60" w:name="_Toc450727221"/>
      <w:bookmarkStart w:id="61" w:name="_Toc474329568"/>
      <w:r>
        <w:lastRenderedPageBreak/>
        <w:t>Appendix 2</w:t>
      </w:r>
      <w:r w:rsidR="008B2BB9">
        <w:t>: Example of comparisons between geographic regions using peer grouping to make fairer comparisons</w:t>
      </w:r>
      <w:bookmarkEnd w:id="59"/>
      <w:bookmarkEnd w:id="60"/>
      <w:bookmarkEnd w:id="61"/>
      <w:r w:rsidR="008B2BB9">
        <w:t xml:space="preserve"> </w:t>
      </w:r>
    </w:p>
    <w:p w14:paraId="4876703C" w14:textId="0C93364E" w:rsidR="001454D0" w:rsidRPr="004B319C" w:rsidRDefault="001454D0" w:rsidP="00C830A1">
      <w:pPr>
        <w:spacing w:after="200"/>
      </w:pPr>
      <w:r w:rsidRPr="004B319C">
        <w:rPr>
          <w:noProof/>
          <w:lang w:eastAsia="en-AU"/>
        </w:rPr>
        <w:t>Figure A2.</w:t>
      </w:r>
      <w:r w:rsidR="00C830A1" w:rsidRPr="004B319C">
        <w:rPr>
          <w:noProof/>
          <w:lang w:eastAsia="en-AU"/>
        </w:rPr>
        <w:t>1</w:t>
      </w:r>
      <w:r w:rsidRPr="004B319C">
        <w:rPr>
          <w:noProof/>
          <w:lang w:eastAsia="en-AU"/>
        </w:rPr>
        <w:t xml:space="preserve">: Potentially avoidable deaths, treatable and preventable, age-standardised, by Medicare Local catchment, 2009-2011. </w:t>
      </w:r>
      <w:r w:rsidRPr="004B319C">
        <w:rPr>
          <w:i/>
          <w:noProof/>
          <w:lang w:eastAsia="en-AU"/>
        </w:rPr>
        <w:t>Source: National Health Performance Authority 2013, Healthy Communities: Avoidable deaths and life expectancies in 2009-2011, page 7</w:t>
      </w:r>
    </w:p>
    <w:p w14:paraId="6EFCF32C" w14:textId="5EBDEF71" w:rsidR="001454D0" w:rsidRDefault="001454D0" w:rsidP="00F4253B">
      <w:r>
        <w:rPr>
          <w:noProof/>
          <w:lang w:eastAsia="en-AU"/>
        </w:rPr>
        <w:drawing>
          <wp:inline distT="0" distB="0" distL="0" distR="0" wp14:anchorId="3797B6CA" wp14:editId="481AB88C">
            <wp:extent cx="5731510" cy="7175410"/>
            <wp:effectExtent l="0" t="0" r="2540" b="6985"/>
            <wp:docPr id="8" name="Picture 8" descr="Graphical presentation of PADs by medicare local." title="Comparisons of PADs between geographic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7175410"/>
                    </a:xfrm>
                    <a:prstGeom prst="rect">
                      <a:avLst/>
                    </a:prstGeom>
                  </pic:spPr>
                </pic:pic>
              </a:graphicData>
            </a:graphic>
          </wp:inline>
        </w:drawing>
      </w:r>
    </w:p>
    <w:p w14:paraId="58D1DAA2" w14:textId="77777777" w:rsidR="00F4253B" w:rsidRDefault="00F4253B" w:rsidP="00F4253B">
      <w:pPr>
        <w:spacing w:after="200"/>
        <w:rPr>
          <w:rFonts w:asciiTheme="minorHAnsi" w:eastAsiaTheme="majorEastAsia" w:hAnsiTheme="minorHAnsi" w:cstheme="minorHAnsi"/>
          <w:b/>
          <w:bCs/>
          <w:sz w:val="28"/>
          <w:szCs w:val="28"/>
        </w:rPr>
      </w:pPr>
      <w:r>
        <w:br w:type="page"/>
      </w:r>
    </w:p>
    <w:p w14:paraId="05BD5CBC" w14:textId="3A175FD5" w:rsidR="00F4253B" w:rsidRDefault="00F4253B" w:rsidP="00AE0E8B">
      <w:pPr>
        <w:pStyle w:val="Heading2"/>
      </w:pPr>
      <w:bookmarkStart w:id="62" w:name="_Toc450663424"/>
      <w:bookmarkStart w:id="63" w:name="_Toc450727222"/>
      <w:bookmarkStart w:id="64" w:name="_Toc474329569"/>
      <w:r w:rsidRPr="00827B1A">
        <w:lastRenderedPageBreak/>
        <w:t>Appendix 3</w:t>
      </w:r>
      <w:r w:rsidR="008B2BB9" w:rsidRPr="00827B1A">
        <w:t>: Examples of breakdown</w:t>
      </w:r>
      <w:r w:rsidR="00EF7480" w:rsidRPr="00827B1A">
        <w:t xml:space="preserve"> of potentially </w:t>
      </w:r>
      <w:r w:rsidR="00C27E46" w:rsidRPr="00827B1A">
        <w:t>avoidable deaths</w:t>
      </w:r>
      <w:r w:rsidR="00EF7480" w:rsidRPr="00827B1A">
        <w:t xml:space="preserve"> </w:t>
      </w:r>
      <w:r w:rsidR="00180CAD">
        <w:t xml:space="preserve">by conditions - </w:t>
      </w:r>
      <w:r w:rsidR="00827B1A">
        <w:t>sex</w:t>
      </w:r>
      <w:r w:rsidR="009B2661" w:rsidRPr="00827B1A">
        <w:t xml:space="preserve">, age and </w:t>
      </w:r>
      <w:bookmarkEnd w:id="62"/>
      <w:bookmarkEnd w:id="63"/>
      <w:r w:rsidR="009B2661" w:rsidRPr="00827B1A">
        <w:t>Indigenous status</w:t>
      </w:r>
      <w:bookmarkEnd w:id="64"/>
      <w:r w:rsidR="008B2BB9">
        <w:t xml:space="preserve"> </w:t>
      </w:r>
    </w:p>
    <w:p w14:paraId="45C39896" w14:textId="77777777" w:rsidR="00827B1A" w:rsidRDefault="00827B1A">
      <w:pPr>
        <w:spacing w:after="200"/>
      </w:pPr>
    </w:p>
    <w:p w14:paraId="711CAEE4" w14:textId="3D507A17" w:rsidR="009B2661" w:rsidRDefault="00480452">
      <w:pPr>
        <w:spacing w:after="200"/>
        <w:rPr>
          <w:color w:val="526F70"/>
        </w:rPr>
      </w:pPr>
      <w:r w:rsidRPr="004B319C">
        <w:t>Figure A3.</w:t>
      </w:r>
      <w:r w:rsidR="001454D0" w:rsidRPr="004B319C">
        <w:t>1</w:t>
      </w:r>
      <w:r w:rsidRPr="004B319C">
        <w:t xml:space="preserve">: </w:t>
      </w:r>
      <w:r w:rsidR="001454D0" w:rsidRPr="004B319C">
        <w:t>Average number of potentially treatable and preventable deaths per year by cause and sex in Australia, 2009-2011</w:t>
      </w:r>
      <w:r w:rsidRPr="004B319C">
        <w:t xml:space="preserve">. </w:t>
      </w:r>
      <w:r w:rsidRPr="004B319C">
        <w:rPr>
          <w:i/>
        </w:rPr>
        <w:t>Source: National Health Performance Authority 201</w:t>
      </w:r>
      <w:r w:rsidR="001454D0" w:rsidRPr="004B319C">
        <w:rPr>
          <w:i/>
        </w:rPr>
        <w:t>3</w:t>
      </w:r>
      <w:r w:rsidRPr="004B319C">
        <w:rPr>
          <w:i/>
        </w:rPr>
        <w:t xml:space="preserve">, Healthy Communities: </w:t>
      </w:r>
      <w:r w:rsidR="001454D0" w:rsidRPr="004B319C">
        <w:rPr>
          <w:i/>
        </w:rPr>
        <w:t>Avoidable deaths and life expectancies in 2009-2011</w:t>
      </w:r>
      <w:r w:rsidRPr="004B319C">
        <w:rPr>
          <w:i/>
        </w:rPr>
        <w:t xml:space="preserve">, page </w:t>
      </w:r>
      <w:r w:rsidR="001454D0" w:rsidRPr="004B319C">
        <w:rPr>
          <w:i/>
        </w:rPr>
        <w:t>4</w:t>
      </w:r>
      <w:r>
        <w:rPr>
          <w:noProof/>
          <w:lang w:eastAsia="en-AU"/>
        </w:rPr>
        <w:drawing>
          <wp:inline distT="0" distB="0" distL="0" distR="0" wp14:anchorId="33E1B07D" wp14:editId="4445ED8F">
            <wp:extent cx="5731510" cy="6427742"/>
            <wp:effectExtent l="0" t="0" r="2540" b="0"/>
            <wp:docPr id="6" name="Picture 6" descr="Table showing the numbers and percentage of PADs by condition and gender." title="Breakdown of PADs by conditions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6427742"/>
                    </a:xfrm>
                    <a:prstGeom prst="rect">
                      <a:avLst/>
                    </a:prstGeom>
                  </pic:spPr>
                </pic:pic>
              </a:graphicData>
            </a:graphic>
          </wp:inline>
        </w:drawing>
      </w:r>
      <w:r w:rsidR="009B2661">
        <w:rPr>
          <w:color w:val="526F70"/>
        </w:rPr>
        <w:br w:type="page"/>
      </w:r>
    </w:p>
    <w:p w14:paraId="74FF715D" w14:textId="493518BE" w:rsidR="00600A9B" w:rsidRDefault="00600A9B">
      <w:pPr>
        <w:spacing w:after="200"/>
        <w:rPr>
          <w:color w:val="526F70"/>
        </w:rPr>
      </w:pPr>
      <w:r w:rsidRPr="004B319C">
        <w:lastRenderedPageBreak/>
        <w:t xml:space="preserve">Figure A3.2: Potentially avoidable deaths, persons aged </w:t>
      </w:r>
      <w:proofErr w:type="gramStart"/>
      <w:r w:rsidRPr="004B319C">
        <w:t>under</w:t>
      </w:r>
      <w:proofErr w:type="gramEnd"/>
      <w:r w:rsidRPr="004B319C">
        <w:t xml:space="preserve"> 75 years: 2012-2013, NSW.</w:t>
      </w:r>
      <w:r w:rsidR="00E40E0D" w:rsidRPr="004B319C">
        <w:t xml:space="preserve"> </w:t>
      </w:r>
      <w:r w:rsidR="00E40E0D" w:rsidRPr="004B319C">
        <w:rPr>
          <w:i/>
        </w:rPr>
        <w:t xml:space="preserve">Source: Centre for Epidemiology and Evidence. </w:t>
      </w:r>
      <w:proofErr w:type="spellStart"/>
      <w:r w:rsidR="00E40E0D" w:rsidRPr="004B319C">
        <w:rPr>
          <w:i/>
        </w:rPr>
        <w:t>HealthStats</w:t>
      </w:r>
      <w:proofErr w:type="spellEnd"/>
      <w:r w:rsidR="00E40E0D" w:rsidRPr="004B319C">
        <w:rPr>
          <w:i/>
        </w:rPr>
        <w:t xml:space="preserve"> NSW. Sydney: NSW Ministry of Health. Available at: www.healthstats.nsw.gov.au. Accessed 24/05/2016</w:t>
      </w:r>
      <w:r>
        <w:rPr>
          <w:noProof/>
          <w:color w:val="526F70"/>
          <w:lang w:eastAsia="en-AU"/>
        </w:rPr>
        <w:drawing>
          <wp:inline distT="0" distB="0" distL="0" distR="0" wp14:anchorId="6066C24F" wp14:editId="1ABA08F4">
            <wp:extent cx="5730240" cy="4754880"/>
            <wp:effectExtent l="0" t="0" r="3810" b="7620"/>
            <wp:docPr id="17" name="Picture 17" descr="Chart showing rates of PADs by age group up to 75 years." title="PADs by persons under 7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3019466\Downloads\bod_avodth_age.tif"/>
                    <pic:cNvPicPr>
                      <a:picLocks noChangeAspect="1" noChangeArrowheads="1" noCrop="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240" cy="4754880"/>
                    </a:xfrm>
                    <a:prstGeom prst="rect">
                      <a:avLst/>
                    </a:prstGeom>
                    <a:noFill/>
                    <a:ln>
                      <a:noFill/>
                    </a:ln>
                  </pic:spPr>
                </pic:pic>
              </a:graphicData>
            </a:graphic>
          </wp:inline>
        </w:drawing>
      </w:r>
      <w:r w:rsidR="00AE2100">
        <w:rPr>
          <w:color w:val="222222"/>
          <w:sz w:val="20"/>
          <w:szCs w:val="20"/>
        </w:rPr>
        <w:t xml:space="preserve">LL/UL 95%CI = lower and upper limits of the 95% confidence interval for the point estimates are displayed </w:t>
      </w:r>
      <w:r>
        <w:rPr>
          <w:color w:val="526F70"/>
        </w:rPr>
        <w:br w:type="page"/>
      </w:r>
    </w:p>
    <w:p w14:paraId="52859822" w14:textId="77B4FA9E" w:rsidR="009B2661" w:rsidRPr="004B319C" w:rsidRDefault="009B2661" w:rsidP="009B2661">
      <w:r w:rsidRPr="004B319C">
        <w:lastRenderedPageBreak/>
        <w:t xml:space="preserve">Figure A3.3: Age-standardised mortality rates, rate ratios and rate differences for avoidable causes of death, Indigenous and non-Indigenous Australians aged 0-74, NSW, Qld, WA, SA and NT, 1998-2012. </w:t>
      </w:r>
      <w:r w:rsidRPr="004B319C">
        <w:rPr>
          <w:i/>
        </w:rPr>
        <w:t>Source: Australian Institute of Health and Welfare 2015. Aboriginal and Torres Strait Islander Health Performance Framework 2014 report: detailed analy</w:t>
      </w:r>
      <w:r w:rsidR="00C27E46" w:rsidRPr="004B319C">
        <w:rPr>
          <w:i/>
        </w:rPr>
        <w:t xml:space="preserve">ses. Cat. No. </w:t>
      </w:r>
      <w:proofErr w:type="gramStart"/>
      <w:r w:rsidR="00C27E46" w:rsidRPr="004B319C">
        <w:rPr>
          <w:i/>
        </w:rPr>
        <w:t>IHW 167.</w:t>
      </w:r>
      <w:proofErr w:type="gramEnd"/>
      <w:r w:rsidR="00C27E46" w:rsidRPr="004B319C">
        <w:rPr>
          <w:i/>
        </w:rPr>
        <w:t xml:space="preserve"> Page 966</w:t>
      </w:r>
    </w:p>
    <w:p w14:paraId="0E25A5C7" w14:textId="061A2634" w:rsidR="000A6D33" w:rsidRDefault="00C27E46" w:rsidP="00F4253B">
      <w:pPr>
        <w:spacing w:after="200"/>
      </w:pPr>
      <w:r>
        <w:rPr>
          <w:noProof/>
          <w:lang w:eastAsia="en-AU"/>
        </w:rPr>
        <w:drawing>
          <wp:inline distT="0" distB="0" distL="0" distR="0" wp14:anchorId="343858CE" wp14:editId="0C419CBE">
            <wp:extent cx="5731510" cy="7468721"/>
            <wp:effectExtent l="0" t="0" r="2540" b="0"/>
            <wp:docPr id="1" name="Picture 1" descr="Charts showing PAD by indigenous status.&#10;" title="Rates of PAD by indigenou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7468721"/>
                    </a:xfrm>
                    <a:prstGeom prst="rect">
                      <a:avLst/>
                    </a:prstGeom>
                  </pic:spPr>
                </pic:pic>
              </a:graphicData>
            </a:graphic>
          </wp:inline>
        </w:drawing>
      </w:r>
    </w:p>
    <w:p w14:paraId="2FA939F5" w14:textId="7780C4D2" w:rsidR="000A6D33" w:rsidRDefault="000A6D33" w:rsidP="00AE0E8B">
      <w:pPr>
        <w:pStyle w:val="Heading2"/>
      </w:pPr>
      <w:bookmarkStart w:id="65" w:name="_Toc450663425"/>
      <w:bookmarkStart w:id="66" w:name="_Toc450727223"/>
      <w:bookmarkStart w:id="67" w:name="_Toc474329570"/>
      <w:r>
        <w:lastRenderedPageBreak/>
        <w:t xml:space="preserve">Appendix </w:t>
      </w:r>
      <w:r w:rsidR="00480452">
        <w:t>4</w:t>
      </w:r>
      <w:r>
        <w:t xml:space="preserve">: Examples of </w:t>
      </w:r>
      <w:bookmarkEnd w:id="65"/>
      <w:bookmarkEnd w:id="66"/>
      <w:r w:rsidR="00480452">
        <w:t>time trends</w:t>
      </w:r>
      <w:bookmarkEnd w:id="67"/>
    </w:p>
    <w:p w14:paraId="10AF7625" w14:textId="57623143" w:rsidR="00AE0E8B" w:rsidRPr="004B319C" w:rsidRDefault="00480452" w:rsidP="00480452">
      <w:pPr>
        <w:rPr>
          <w:i/>
        </w:rPr>
      </w:pPr>
      <w:r w:rsidRPr="004B319C">
        <w:t xml:space="preserve">A4.1: Potentially avoidable deaths, persons aged </w:t>
      </w:r>
      <w:proofErr w:type="gramStart"/>
      <w:r w:rsidRPr="004B319C">
        <w:t>under</w:t>
      </w:r>
      <w:proofErr w:type="gramEnd"/>
      <w:r w:rsidRPr="004B319C">
        <w:t xml:space="preserve"> 75 years: Comparison by LHD, NSW 2001-2002 to 2012-2013. </w:t>
      </w:r>
      <w:r w:rsidR="00E40E0D" w:rsidRPr="004B319C">
        <w:rPr>
          <w:i/>
        </w:rPr>
        <w:t xml:space="preserve">Source: Centre for Epidemiology and Evidence. </w:t>
      </w:r>
      <w:proofErr w:type="spellStart"/>
      <w:r w:rsidR="00E40E0D" w:rsidRPr="004B319C">
        <w:rPr>
          <w:i/>
        </w:rPr>
        <w:t>HealthStats</w:t>
      </w:r>
      <w:proofErr w:type="spellEnd"/>
      <w:r w:rsidR="00E40E0D" w:rsidRPr="004B319C">
        <w:rPr>
          <w:i/>
        </w:rPr>
        <w:t xml:space="preserve"> NSW. Sydney: NSW Ministry of Health. Available at: www.healthstats.nsw.gov.au. Accessed 24/05/2016</w:t>
      </w:r>
    </w:p>
    <w:p w14:paraId="0DFDEAE5" w14:textId="420A388E" w:rsidR="00480452" w:rsidRDefault="00480452" w:rsidP="00AE0E8B">
      <w:pPr>
        <w:spacing w:after="200"/>
        <w:rPr>
          <w:rFonts w:asciiTheme="minorHAnsi" w:eastAsiaTheme="majorEastAsia" w:hAnsiTheme="minorHAnsi" w:cstheme="minorHAnsi"/>
          <w:b/>
          <w:bCs/>
          <w:sz w:val="28"/>
          <w:szCs w:val="28"/>
        </w:rPr>
      </w:pPr>
      <w:r>
        <w:rPr>
          <w:rFonts w:asciiTheme="minorHAnsi" w:eastAsiaTheme="majorEastAsia" w:hAnsiTheme="minorHAnsi" w:cstheme="minorHAnsi"/>
          <w:b/>
          <w:bCs/>
          <w:noProof/>
          <w:sz w:val="28"/>
          <w:szCs w:val="28"/>
          <w:lang w:eastAsia="en-AU"/>
        </w:rPr>
        <w:drawing>
          <wp:inline distT="0" distB="0" distL="0" distR="0" wp14:anchorId="4ECD0D4F" wp14:editId="283707AC">
            <wp:extent cx="5725160" cy="4754880"/>
            <wp:effectExtent l="0" t="0" r="8890" b="7620"/>
            <wp:docPr id="5" name="Picture 5" descr="Chart of PADs - time trend by Local Health District." title="PADs by time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3019466\Downloads\bod_avodth_comparison.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5160" cy="4754880"/>
                    </a:xfrm>
                    <a:prstGeom prst="rect">
                      <a:avLst/>
                    </a:prstGeom>
                    <a:noFill/>
                    <a:ln>
                      <a:noFill/>
                    </a:ln>
                  </pic:spPr>
                </pic:pic>
              </a:graphicData>
            </a:graphic>
          </wp:inline>
        </w:drawing>
      </w:r>
    </w:p>
    <w:p w14:paraId="766D9F08" w14:textId="19F9BBE6" w:rsidR="0097781C" w:rsidRDefault="0097781C">
      <w:pPr>
        <w:spacing w:after="200"/>
        <w:rPr>
          <w:rFonts w:asciiTheme="minorHAnsi" w:eastAsiaTheme="majorEastAsia" w:hAnsiTheme="minorHAnsi" w:cstheme="minorHAnsi"/>
          <w:b/>
          <w:bCs/>
          <w:sz w:val="28"/>
          <w:szCs w:val="28"/>
        </w:rPr>
      </w:pPr>
      <w:r>
        <w:rPr>
          <w:rFonts w:asciiTheme="minorHAnsi" w:eastAsiaTheme="majorEastAsia" w:hAnsiTheme="minorHAnsi" w:cstheme="minorHAnsi"/>
          <w:b/>
          <w:bCs/>
          <w:sz w:val="28"/>
          <w:szCs w:val="28"/>
        </w:rPr>
        <w:br w:type="page"/>
      </w:r>
    </w:p>
    <w:p w14:paraId="475BD80F" w14:textId="77777777" w:rsidR="0097781C" w:rsidRDefault="0097781C" w:rsidP="00AE0E8B">
      <w:pPr>
        <w:spacing w:after="200"/>
        <w:rPr>
          <w:rFonts w:asciiTheme="minorHAnsi" w:eastAsiaTheme="majorEastAsia" w:hAnsiTheme="minorHAnsi" w:cstheme="minorHAnsi"/>
          <w:b/>
          <w:bCs/>
          <w:sz w:val="28"/>
          <w:szCs w:val="28"/>
        </w:rPr>
        <w:sectPr w:rsidR="0097781C" w:rsidSect="00FF2688">
          <w:headerReference w:type="default" r:id="rId39"/>
          <w:pgSz w:w="11906" w:h="16838"/>
          <w:pgMar w:top="1440" w:right="1440" w:bottom="1440" w:left="1440" w:header="708" w:footer="708" w:gutter="0"/>
          <w:cols w:space="708"/>
          <w:docGrid w:linePitch="360"/>
        </w:sectPr>
      </w:pPr>
    </w:p>
    <w:p w14:paraId="714B84FB" w14:textId="10DA520A" w:rsidR="0061029D" w:rsidRDefault="0061029D" w:rsidP="00AE0E8B">
      <w:pPr>
        <w:spacing w:after="200"/>
        <w:rPr>
          <w:rFonts w:asciiTheme="minorHAnsi" w:eastAsiaTheme="majorEastAsia" w:hAnsiTheme="minorHAnsi" w:cstheme="minorHAnsi"/>
          <w:b/>
          <w:bCs/>
          <w:sz w:val="28"/>
          <w:szCs w:val="28"/>
        </w:rPr>
      </w:pPr>
    </w:p>
    <w:p w14:paraId="3096D432" w14:textId="77777777" w:rsidR="0061029D" w:rsidRDefault="0061029D" w:rsidP="00AE0E8B">
      <w:pPr>
        <w:spacing w:after="200"/>
        <w:rPr>
          <w:rFonts w:asciiTheme="minorHAnsi" w:eastAsiaTheme="majorEastAsia" w:hAnsiTheme="minorHAnsi" w:cstheme="minorHAnsi"/>
          <w:b/>
          <w:bCs/>
          <w:sz w:val="28"/>
          <w:szCs w:val="28"/>
        </w:rPr>
      </w:pPr>
    </w:p>
    <w:p w14:paraId="685E0293" w14:textId="77777777" w:rsidR="00A50476" w:rsidRPr="002A1D78" w:rsidRDefault="00A50476" w:rsidP="00A50476">
      <w:pPr>
        <w:spacing w:before="8760" w:after="0" w:line="240" w:lineRule="auto"/>
        <w:rPr>
          <w:rFonts w:eastAsia="Times New Roman"/>
          <w:b/>
          <w:szCs w:val="20"/>
          <w:lang w:eastAsia="en-AU"/>
        </w:rPr>
      </w:pPr>
      <w:r w:rsidRPr="002A1D78">
        <w:rPr>
          <w:rFonts w:eastAsia="Times New Roman"/>
          <w:b/>
          <w:szCs w:val="20"/>
          <w:lang w:eastAsia="en-AU"/>
        </w:rPr>
        <w:t>Australian Commission on Safety and Quality in Health Care</w:t>
      </w:r>
    </w:p>
    <w:p w14:paraId="7995C247" w14:textId="77777777" w:rsidR="00A50476" w:rsidRPr="002A1D78" w:rsidRDefault="00A50476" w:rsidP="00A50476">
      <w:pPr>
        <w:spacing w:before="720" w:after="0" w:line="240" w:lineRule="auto"/>
        <w:contextualSpacing/>
        <w:rPr>
          <w:rFonts w:eastAsia="Times New Roman"/>
          <w:szCs w:val="20"/>
          <w:lang w:eastAsia="en-AU"/>
        </w:rPr>
      </w:pPr>
    </w:p>
    <w:p w14:paraId="014B07D2" w14:textId="77777777" w:rsidR="00A50476" w:rsidRPr="002A1D78" w:rsidRDefault="00A50476" w:rsidP="00A50476">
      <w:pPr>
        <w:spacing w:before="720" w:after="0" w:line="240" w:lineRule="auto"/>
        <w:contextualSpacing/>
        <w:rPr>
          <w:rFonts w:eastAsia="Times New Roman"/>
          <w:szCs w:val="20"/>
          <w:lang w:eastAsia="en-AU"/>
        </w:rPr>
      </w:pPr>
      <w:r w:rsidRPr="002A1D78">
        <w:rPr>
          <w:rFonts w:eastAsia="Times New Roman"/>
          <w:szCs w:val="20"/>
          <w:lang w:eastAsia="en-AU"/>
        </w:rPr>
        <w:t>Level 5, 255 Elizabeth Street, Sydney NSW 2001</w:t>
      </w:r>
    </w:p>
    <w:p w14:paraId="3677B7AA" w14:textId="77777777" w:rsidR="00A50476" w:rsidRPr="002A1D78" w:rsidRDefault="00A50476" w:rsidP="00A50476">
      <w:pPr>
        <w:spacing w:after="0" w:line="240" w:lineRule="auto"/>
        <w:contextualSpacing/>
        <w:rPr>
          <w:rFonts w:eastAsia="Times New Roman"/>
          <w:szCs w:val="20"/>
          <w:lang w:eastAsia="en-AU"/>
        </w:rPr>
      </w:pPr>
      <w:r w:rsidRPr="002A1D78">
        <w:rPr>
          <w:rFonts w:eastAsia="Times New Roman"/>
          <w:szCs w:val="20"/>
          <w:lang w:eastAsia="en-AU"/>
        </w:rPr>
        <w:t>GPO Box 5480, Sydney NSW 2001</w:t>
      </w:r>
    </w:p>
    <w:p w14:paraId="29CDCD53" w14:textId="77777777" w:rsidR="00A50476" w:rsidRPr="002A1D78" w:rsidRDefault="00A50476" w:rsidP="00A50476">
      <w:pPr>
        <w:spacing w:after="0" w:line="240" w:lineRule="auto"/>
        <w:contextualSpacing/>
        <w:rPr>
          <w:rFonts w:eastAsia="Times New Roman"/>
          <w:szCs w:val="20"/>
          <w:lang w:eastAsia="en-AU"/>
        </w:rPr>
      </w:pPr>
    </w:p>
    <w:p w14:paraId="574AC2EA" w14:textId="77777777" w:rsidR="00A50476" w:rsidRPr="002A1D78" w:rsidRDefault="00A50476" w:rsidP="00A50476">
      <w:pPr>
        <w:spacing w:after="0" w:line="240" w:lineRule="auto"/>
        <w:contextualSpacing/>
        <w:rPr>
          <w:rFonts w:eastAsia="Times New Roman"/>
          <w:szCs w:val="20"/>
          <w:lang w:eastAsia="en-AU"/>
        </w:rPr>
      </w:pPr>
      <w:r w:rsidRPr="002A1D78">
        <w:rPr>
          <w:rFonts w:eastAsia="Times New Roman"/>
          <w:szCs w:val="20"/>
          <w:lang w:eastAsia="en-AU"/>
        </w:rPr>
        <w:t xml:space="preserve">Phone: (02) 9126 3600 </w:t>
      </w:r>
    </w:p>
    <w:p w14:paraId="6A247C13" w14:textId="77777777" w:rsidR="00A50476" w:rsidRPr="002A1D78" w:rsidRDefault="00A50476" w:rsidP="00A50476">
      <w:pPr>
        <w:spacing w:after="0" w:line="240" w:lineRule="auto"/>
        <w:contextualSpacing/>
        <w:rPr>
          <w:rFonts w:eastAsia="Times New Roman"/>
          <w:szCs w:val="20"/>
          <w:lang w:eastAsia="en-AU"/>
        </w:rPr>
      </w:pPr>
      <w:r w:rsidRPr="002A1D78">
        <w:rPr>
          <w:rFonts w:eastAsia="Times New Roman"/>
          <w:szCs w:val="20"/>
          <w:lang w:eastAsia="en-AU"/>
        </w:rPr>
        <w:t>Fax: (02) 9126 3613</w:t>
      </w:r>
    </w:p>
    <w:p w14:paraId="14B8C26A" w14:textId="77777777" w:rsidR="00A50476" w:rsidRPr="002A1D78" w:rsidRDefault="00A50476" w:rsidP="00A50476">
      <w:pPr>
        <w:spacing w:after="0" w:line="240" w:lineRule="auto"/>
        <w:contextualSpacing/>
        <w:rPr>
          <w:rFonts w:eastAsia="Times New Roman"/>
          <w:szCs w:val="20"/>
          <w:lang w:eastAsia="en-AU"/>
        </w:rPr>
      </w:pPr>
    </w:p>
    <w:p w14:paraId="0F072A5D" w14:textId="77777777" w:rsidR="00A50476" w:rsidRPr="002A1D78" w:rsidRDefault="00A50476" w:rsidP="00A50476">
      <w:pPr>
        <w:spacing w:after="0" w:line="240" w:lineRule="auto"/>
        <w:contextualSpacing/>
        <w:rPr>
          <w:rFonts w:eastAsia="Times New Roman"/>
          <w:szCs w:val="20"/>
          <w:lang w:eastAsia="en-AU"/>
        </w:rPr>
      </w:pPr>
      <w:r w:rsidRPr="002A1D78">
        <w:rPr>
          <w:rFonts w:eastAsia="Times New Roman"/>
          <w:szCs w:val="20"/>
          <w:lang w:eastAsia="en-AU"/>
        </w:rPr>
        <w:t xml:space="preserve">Email: mail@safetyandquality.gov.au </w:t>
      </w:r>
    </w:p>
    <w:p w14:paraId="20F0DAB3" w14:textId="77777777" w:rsidR="00A50476" w:rsidRPr="002A1D78" w:rsidRDefault="00A50476" w:rsidP="00A50476">
      <w:pPr>
        <w:spacing w:after="60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A1D78">
        <w:rPr>
          <w:rFonts w:eastAsia="Times New Roman"/>
          <w:szCs w:val="20"/>
          <w:lang w:eastAsia="en-AU"/>
        </w:rPr>
        <w:t>Website: www.safetyandquality.gov.au</w:t>
      </w:r>
      <w:r w:rsidRPr="002A1D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302BF3F" w14:textId="77777777" w:rsidR="00A50476" w:rsidRPr="002A1D78" w:rsidRDefault="00A50476" w:rsidP="00A50476">
      <w:pPr>
        <w:spacing w:after="60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B6FB2E6" w14:textId="77777777" w:rsidR="00A50476" w:rsidRPr="002A1D78" w:rsidRDefault="00A50476" w:rsidP="00A50476">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72EE151" w14:textId="77777777" w:rsidR="00A50476" w:rsidRPr="002A1D78" w:rsidRDefault="00A50476" w:rsidP="00A50476">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C86D05E" w14:textId="77777777" w:rsidR="00A50476" w:rsidRPr="002A1D78" w:rsidRDefault="00A50476" w:rsidP="00A50476">
      <w:pPr>
        <w:spacing w:after="0" w:line="240" w:lineRule="auto"/>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AF48E39" w14:textId="77777777" w:rsidR="00A50476" w:rsidRPr="002A1D78" w:rsidRDefault="00A50476" w:rsidP="00A50476">
      <w:pPr>
        <w:spacing w:before="240" w:after="0" w:line="240" w:lineRule="auto"/>
        <w:ind w:hanging="142"/>
        <w:rPr>
          <w:rFonts w:eastAsia="Times New Roman"/>
          <w:szCs w:val="20"/>
          <w:lang w:eastAsia="en-AU"/>
        </w:rPr>
      </w:pPr>
      <w:r>
        <w:rPr>
          <w:noProof/>
          <w:lang w:eastAsia="en-AU"/>
        </w:rPr>
        <w:drawing>
          <wp:inline distT="0" distB="0" distL="0" distR="0" wp14:anchorId="69506ABE" wp14:editId="4D1BEA11">
            <wp:extent cx="4080767" cy="57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eadom\AppData\Local\Microsoft\Windows\Temporary Internet Files\Content.Outlook\UYYIQJ06\back-cover.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080767" cy="576000"/>
                    </a:xfrm>
                    <a:prstGeom prst="rect">
                      <a:avLst/>
                    </a:prstGeom>
                    <a:noFill/>
                    <a:ln>
                      <a:noFill/>
                    </a:ln>
                  </pic:spPr>
                </pic:pic>
              </a:graphicData>
            </a:graphic>
          </wp:inline>
        </w:drawing>
      </w:r>
      <w:r w:rsidRPr="002A1D78">
        <w:rPr>
          <w:rFonts w:eastAsia="Times New Roman" w:cs="Times New Roman"/>
          <w:szCs w:val="20"/>
          <w:lang w:eastAsia="en-AU"/>
        </w:rPr>
        <w:fldChar w:fldCharType="begin"/>
      </w:r>
      <w:r w:rsidRPr="002A1D78">
        <w:rPr>
          <w:rFonts w:eastAsia="Times New Roman" w:cs="Times New Roman"/>
          <w:szCs w:val="20"/>
          <w:lang w:eastAsia="en-AU"/>
        </w:rPr>
        <w:instrText xml:space="preserve"> QUOTE  \* Caps  \* MERGEFORMAT </w:instrText>
      </w:r>
      <w:r w:rsidRPr="002A1D78">
        <w:rPr>
          <w:rFonts w:eastAsia="Times New Roman" w:cs="Times New Roman"/>
          <w:szCs w:val="20"/>
          <w:lang w:eastAsia="en-AU"/>
        </w:rPr>
        <w:fldChar w:fldCharType="end"/>
      </w:r>
      <w:r w:rsidRPr="002A1D78">
        <w:rPr>
          <w:rFonts w:eastAsia="Times New Roman" w:cs="Times New Roman"/>
          <w:szCs w:val="20"/>
          <w:lang w:eastAsia="en-AU"/>
        </w:rPr>
        <w:fldChar w:fldCharType="begin"/>
      </w:r>
      <w:r w:rsidRPr="002A1D78">
        <w:rPr>
          <w:rFonts w:eastAsia="Times New Roman" w:cs="Times New Roman"/>
          <w:szCs w:val="20"/>
          <w:lang w:eastAsia="en-AU"/>
        </w:rPr>
        <w:instrText xml:space="preserve"> INFO  Comments  \* MERGEFORMAT </w:instrText>
      </w:r>
      <w:r w:rsidRPr="002A1D78">
        <w:rPr>
          <w:rFonts w:eastAsia="Times New Roman" w:cs="Times New Roman"/>
          <w:szCs w:val="20"/>
          <w:lang w:eastAsia="en-AU"/>
        </w:rPr>
        <w:fldChar w:fldCharType="end"/>
      </w:r>
      <w:r w:rsidRPr="002A1D78">
        <w:rPr>
          <w:rFonts w:eastAsia="Times New Roman" w:cs="Times New Roman"/>
          <w:szCs w:val="20"/>
          <w:lang w:eastAsia="en-AU"/>
        </w:rPr>
        <w:fldChar w:fldCharType="begin"/>
      </w:r>
      <w:r w:rsidRPr="002A1D78">
        <w:rPr>
          <w:rFonts w:eastAsia="Times New Roman" w:cs="Times New Roman"/>
          <w:szCs w:val="20"/>
          <w:lang w:eastAsia="en-AU"/>
        </w:rPr>
        <w:instrText xml:space="preserve"> SUBJECT   \* MERGEFORMAT </w:instrText>
      </w:r>
      <w:r w:rsidRPr="002A1D78">
        <w:rPr>
          <w:rFonts w:eastAsia="Times New Roman" w:cs="Times New Roman"/>
          <w:szCs w:val="20"/>
          <w:lang w:eastAsia="en-AU"/>
        </w:rPr>
        <w:fldChar w:fldCharType="end"/>
      </w:r>
    </w:p>
    <w:p w14:paraId="42B2D3C1" w14:textId="4EA978A0" w:rsidR="00F4253B" w:rsidRPr="00AE0E8B" w:rsidRDefault="00F4253B" w:rsidP="00AE0E8B">
      <w:pPr>
        <w:spacing w:after="200"/>
        <w:rPr>
          <w:rFonts w:asciiTheme="minorHAnsi" w:eastAsiaTheme="majorEastAsia" w:hAnsiTheme="minorHAnsi" w:cstheme="minorHAnsi"/>
          <w:b/>
          <w:bCs/>
          <w:sz w:val="28"/>
          <w:szCs w:val="28"/>
        </w:rPr>
      </w:pPr>
    </w:p>
    <w:sectPr w:rsidR="00F4253B" w:rsidRPr="00AE0E8B" w:rsidSect="00EA450A">
      <w:headerReference w:type="even" r:id="rId41"/>
      <w:headerReference w:type="default" r:id="rId42"/>
      <w:headerReference w:type="first" r:id="rId43"/>
      <w:footerReference w:type="first" r:id="rId44"/>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EA74FA" w15:done="0"/>
  <w15:commentEx w15:paraId="3A55EF7B" w15:done="0"/>
  <w15:commentEx w15:paraId="78DC5733" w15:done="0"/>
  <w15:commentEx w15:paraId="37327508" w15:done="0"/>
  <w15:commentEx w15:paraId="10B1DC7F" w15:done="0"/>
  <w15:commentEx w15:paraId="1B06F978" w15:done="0"/>
  <w15:commentEx w15:paraId="4A110CA9" w15:done="0"/>
  <w15:commentEx w15:paraId="54DA0EA6" w15:done="0"/>
  <w15:commentEx w15:paraId="6D826A7B" w15:done="0"/>
  <w15:commentEx w15:paraId="64763716" w15:done="0"/>
  <w15:commentEx w15:paraId="463FC51D" w15:done="0"/>
  <w15:commentEx w15:paraId="30DC40C4" w15:done="0"/>
  <w15:commentEx w15:paraId="2D9961B7" w15:done="0"/>
  <w15:commentEx w15:paraId="1F2A2460" w15:done="0"/>
  <w15:commentEx w15:paraId="67EFD1C2" w15:done="0"/>
  <w15:commentEx w15:paraId="5909D261" w15:done="0"/>
  <w15:commentEx w15:paraId="4CB42B30" w15:done="0"/>
  <w15:commentEx w15:paraId="1D30908C" w15:done="0"/>
  <w15:commentEx w15:paraId="0D269125" w15:done="0"/>
  <w15:commentEx w15:paraId="2990085A" w15:done="0"/>
  <w15:commentEx w15:paraId="1AC43417" w15:done="0"/>
  <w15:commentEx w15:paraId="06AEE59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7A3F9" w14:textId="77777777" w:rsidR="00CE0E54" w:rsidRDefault="00CE0E54" w:rsidP="00595909">
      <w:r>
        <w:separator/>
      </w:r>
    </w:p>
  </w:endnote>
  <w:endnote w:type="continuationSeparator" w:id="0">
    <w:p w14:paraId="4068EBA2" w14:textId="77777777" w:rsidR="00CE0E54" w:rsidRDefault="00CE0E54" w:rsidP="00595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ommet">
    <w:altName w:val="Arial"/>
    <w:panose1 w:val="00000000000000000000"/>
    <w:charset w:val="00"/>
    <w:family w:val="modern"/>
    <w:notTrueType/>
    <w:pitch w:val="variable"/>
    <w:sig w:usb0="00000001" w:usb1="5000005B" w:usb2="00000000" w:usb3="00000000" w:csb0="00000193"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ight">
    <w:altName w:val="Helvetica 45 Light"/>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3A327" w14:textId="0BB4267F" w:rsidR="00CE0E54" w:rsidRDefault="00CE0E54" w:rsidP="008933A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E3A23" w14:textId="0B6A3CE2" w:rsidR="00CE0E54" w:rsidRPr="00323132" w:rsidRDefault="00CE0E54" w:rsidP="00323132">
    <w:pPr>
      <w:pStyle w:val="Footer"/>
    </w:pPr>
    <w:r w:rsidRPr="00323132">
      <w:rPr>
        <w:noProof/>
        <w:lang w:eastAsia="en-AU"/>
      </w:rPr>
      <mc:AlternateContent>
        <mc:Choice Requires="wps">
          <w:drawing>
            <wp:anchor distT="0" distB="0" distL="114300" distR="114300" simplePos="0" relativeHeight="251658752" behindDoc="0" locked="0" layoutInCell="1" allowOverlap="1" wp14:anchorId="2283F1F2" wp14:editId="49A7F2F9">
              <wp:simplePos x="0" y="0"/>
              <wp:positionH relativeFrom="column">
                <wp:posOffset>4580846</wp:posOffset>
              </wp:positionH>
              <wp:positionV relativeFrom="paragraph">
                <wp:posOffset>-109220</wp:posOffset>
              </wp:positionV>
              <wp:extent cx="1133475" cy="23495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34950"/>
                      </a:xfrm>
                      <a:prstGeom prst="rect">
                        <a:avLst/>
                      </a:prstGeom>
                      <a:solidFill>
                        <a:srgbClr val="FFFFFF"/>
                      </a:solidFill>
                      <a:ln w="9525">
                        <a:noFill/>
                        <a:miter lim="800000"/>
                        <a:headEnd/>
                        <a:tailEnd/>
                      </a:ln>
                    </wps:spPr>
                    <wps:txbx>
                      <w:txbxContent>
                        <w:p w14:paraId="006AEEAB" w14:textId="77777777" w:rsidR="00CE0E54" w:rsidRPr="00001C93" w:rsidRDefault="00CE0E54" w:rsidP="00323132">
                          <w:pPr>
                            <w:spacing w:after="0"/>
                            <w:jc w:val="right"/>
                            <w:rPr>
                              <w:sz w:val="16"/>
                              <w:szCs w:val="16"/>
                            </w:rPr>
                          </w:pPr>
                          <w:r w:rsidRPr="00001C93">
                            <w:rPr>
                              <w:sz w:val="16"/>
                              <w:szCs w:val="16"/>
                            </w:rPr>
                            <w:fldChar w:fldCharType="begin"/>
                          </w:r>
                          <w:r w:rsidRPr="00001C93">
                            <w:rPr>
                              <w:sz w:val="16"/>
                              <w:szCs w:val="16"/>
                            </w:rPr>
                            <w:instrText xml:space="preserve"> PAGE   \* MERGEFORMAT </w:instrText>
                          </w:r>
                          <w:r w:rsidRPr="00001C93">
                            <w:rPr>
                              <w:sz w:val="16"/>
                              <w:szCs w:val="16"/>
                            </w:rPr>
                            <w:fldChar w:fldCharType="separate"/>
                          </w:r>
                          <w:r>
                            <w:rPr>
                              <w:noProof/>
                              <w:sz w:val="16"/>
                              <w:szCs w:val="16"/>
                            </w:rPr>
                            <w:t>2</w:t>
                          </w:r>
                          <w:r w:rsidRPr="00001C93">
                            <w:rPr>
                              <w:noProof/>
                              <w:sz w:val="16"/>
                              <w:szCs w:val="16"/>
                            </w:rPr>
                            <w:fldChar w:fldCharType="end"/>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0.7pt;margin-top:-8.6pt;width:89.25pt;height:18.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" stroked="f">
              <v:textbox style="mso-fit-shape-to-text:t" inset="0,,0">
                <w:txbxContent>
                  <w:p w14:paraId="006AEEAB" w14:textId="77777777" w:rsidR="00CE0E54" w:rsidRPr="00001C93" w:rsidRDefault="00CE0E54" w:rsidP="00323132">
                    <w:pPr>
                      <w:spacing w:after="0"/>
                      <w:jc w:val="right"/>
                      <w:rPr>
                        <w:sz w:val="16"/>
                        <w:szCs w:val="16"/>
                      </w:rPr>
                    </w:pPr>
                    <w:r w:rsidRPr="00001C93">
                      <w:rPr>
                        <w:sz w:val="16"/>
                        <w:szCs w:val="16"/>
                      </w:rPr>
                      <w:fldChar w:fldCharType="begin"/>
                    </w:r>
                    <w:r w:rsidRPr="00001C93">
                      <w:rPr>
                        <w:sz w:val="16"/>
                        <w:szCs w:val="16"/>
                      </w:rPr>
                      <w:instrText xml:space="preserve"> PAGE   \* MERGEFORMAT </w:instrText>
                    </w:r>
                    <w:r w:rsidRPr="00001C93">
                      <w:rPr>
                        <w:sz w:val="16"/>
                        <w:szCs w:val="16"/>
                      </w:rPr>
                      <w:fldChar w:fldCharType="separate"/>
                    </w:r>
                    <w:r>
                      <w:rPr>
                        <w:noProof/>
                        <w:sz w:val="16"/>
                        <w:szCs w:val="16"/>
                      </w:rPr>
                      <w:t>2</w:t>
                    </w:r>
                    <w:r w:rsidRPr="00001C93">
                      <w:rPr>
                        <w:noProof/>
                        <w:sz w:val="16"/>
                        <w:szCs w:val="16"/>
                      </w:rPr>
                      <w:fldChar w:fldCharType="end"/>
                    </w:r>
                  </w:p>
                </w:txbxContent>
              </v:textbox>
            </v:shape>
          </w:pict>
        </mc:Fallback>
      </mc:AlternateContent>
    </w:r>
    <w:r w:rsidRPr="00323132">
      <w:rPr>
        <w:noProof/>
        <w:lang w:eastAsia="en-AU"/>
      </w:rPr>
      <w:drawing>
        <wp:anchor distT="0" distB="0" distL="114300" distR="114300" simplePos="0" relativeHeight="251655680" behindDoc="1" locked="0" layoutInCell="1" allowOverlap="1" wp14:anchorId="7C6CBA2F" wp14:editId="69B3BBBC">
          <wp:simplePos x="0" y="0"/>
          <wp:positionH relativeFrom="column">
            <wp:posOffset>-128270</wp:posOffset>
          </wp:positionH>
          <wp:positionV relativeFrom="paragraph">
            <wp:posOffset>-151765</wp:posOffset>
          </wp:positionV>
          <wp:extent cx="5864400" cy="46800"/>
          <wp:effectExtent l="0" t="0" r="0" b="0"/>
          <wp:wrapNone/>
          <wp:docPr id="348" name="lines.jpg" descr="/Users/andyraubinger/Downloads/UNS049 Report Style - AW S3V1/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s.jpg"/>
                  <pic:cNvPicPr/>
                </pic:nvPicPr>
                <pic:blipFill rotWithShape="1">
                  <a:blip r:embed="rId1"/>
                  <a:srcRect t="3" r="10010" b="-20008"/>
                  <a:stretch/>
                </pic:blipFill>
                <pic:spPr bwMode="auto">
                  <a:xfrm>
                    <a:off x="0" y="0"/>
                    <a:ext cx="5864400" cy="4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3132">
      <w:rPr>
        <w:noProof/>
        <w:lang w:eastAsia="en-AU"/>
      </w:rPr>
      <mc:AlternateContent>
        <mc:Choice Requires="wps">
          <w:drawing>
            <wp:anchor distT="0" distB="0" distL="114300" distR="114300" simplePos="0" relativeHeight="251657728" behindDoc="0" locked="0" layoutInCell="1" allowOverlap="1" wp14:anchorId="16AC6D1C" wp14:editId="6FE280AB">
              <wp:simplePos x="0" y="0"/>
              <wp:positionH relativeFrom="column">
                <wp:posOffset>1162050</wp:posOffset>
              </wp:positionH>
              <wp:positionV relativeFrom="paragraph">
                <wp:posOffset>-109220</wp:posOffset>
              </wp:positionV>
              <wp:extent cx="3981450" cy="2349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34950"/>
                      </a:xfrm>
                      <a:prstGeom prst="rect">
                        <a:avLst/>
                      </a:prstGeom>
                      <a:solidFill>
                        <a:srgbClr val="FFFFFF"/>
                      </a:solidFill>
                      <a:ln w="9525">
                        <a:noFill/>
                        <a:miter lim="800000"/>
                        <a:headEnd/>
                        <a:tailEnd/>
                      </a:ln>
                    </wps:spPr>
                    <wps:txbx>
                      <w:txbxContent>
                        <w:p w14:paraId="00D8DB14" w14:textId="77777777" w:rsidR="00CE0E54" w:rsidRPr="00DC0BA0" w:rsidRDefault="00CE0E54" w:rsidP="00323132">
                          <w:pPr>
                            <w:spacing w:after="0"/>
                            <w:rPr>
                              <w:rFonts w:asciiTheme="minorHAnsi" w:hAnsiTheme="minorHAnsi" w:cstheme="minorHAnsi"/>
                            </w:rPr>
                          </w:pPr>
                          <w:r w:rsidRPr="00DC0BA0">
                            <w:rPr>
                              <w:rFonts w:asciiTheme="minorHAnsi" w:eastAsia="Calibri" w:hAnsiTheme="minorHAnsi" w:cstheme="minorHAnsi"/>
                              <w:color w:val="231F20"/>
                              <w:sz w:val="16"/>
                            </w:rPr>
                            <w:t>Centre for Big Data Research in Health, UNSW Australia</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91.5pt;margin-top:-8.6pt;width:313.5pt;height:18.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" stroked="f">
              <v:textbox style="mso-fit-shape-to-text:t" inset="0,,0">
                <w:txbxContent>
                  <w:p w14:paraId="00D8DB14" w14:textId="77777777" w:rsidR="00CE0E54" w:rsidRPr="00DC0BA0" w:rsidRDefault="00CE0E54" w:rsidP="00323132">
                    <w:pPr>
                      <w:spacing w:after="0"/>
                      <w:rPr>
                        <w:rFonts w:asciiTheme="minorHAnsi" w:hAnsiTheme="minorHAnsi" w:cstheme="minorHAnsi"/>
                      </w:rPr>
                    </w:pPr>
                    <w:r w:rsidRPr="00DC0BA0">
                      <w:rPr>
                        <w:rFonts w:asciiTheme="minorHAnsi" w:eastAsia="Calibri" w:hAnsiTheme="minorHAnsi" w:cstheme="minorHAnsi"/>
                        <w:color w:val="231F20"/>
                        <w:sz w:val="16"/>
                      </w:rPr>
                      <w:t>Centre for Big Data Research in Health, UNSW Australia</w:t>
                    </w:r>
                  </w:p>
                </w:txbxContent>
              </v:textbox>
            </v:shape>
          </w:pict>
        </mc:Fallback>
      </mc:AlternateContent>
    </w:r>
    <w:r w:rsidRPr="00323132">
      <w:rPr>
        <w:noProof/>
        <w:lang w:eastAsia="en-AU"/>
      </w:rPr>
      <mc:AlternateContent>
        <mc:Choice Requires="wps">
          <w:drawing>
            <wp:anchor distT="0" distB="0" distL="114300" distR="114300" simplePos="0" relativeHeight="251656704" behindDoc="0" locked="0" layoutInCell="1" allowOverlap="1" wp14:anchorId="5F6F147C" wp14:editId="2072CADA">
              <wp:simplePos x="0" y="0"/>
              <wp:positionH relativeFrom="column">
                <wp:posOffset>-123825</wp:posOffset>
              </wp:positionH>
              <wp:positionV relativeFrom="paragraph">
                <wp:posOffset>-109220</wp:posOffset>
              </wp:positionV>
              <wp:extent cx="1133475" cy="23495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34950"/>
                      </a:xfrm>
                      <a:prstGeom prst="rect">
                        <a:avLst/>
                      </a:prstGeom>
                      <a:solidFill>
                        <a:srgbClr val="FFFFFF"/>
                      </a:solidFill>
                      <a:ln w="9525">
                        <a:noFill/>
                        <a:miter lim="800000"/>
                        <a:headEnd/>
                        <a:tailEnd/>
                      </a:ln>
                    </wps:spPr>
                    <wps:txbx>
                      <w:txbxContent>
                        <w:p w14:paraId="6B492E22" w14:textId="77777777" w:rsidR="00CE0E54" w:rsidRPr="00DC0BA0" w:rsidRDefault="00CE0E54" w:rsidP="00323132">
                          <w:pPr>
                            <w:spacing w:after="0"/>
                            <w:rPr>
                              <w:rFonts w:asciiTheme="minorHAnsi" w:hAnsiTheme="minorHAnsi" w:cstheme="minorHAnsi"/>
                            </w:rPr>
                          </w:pPr>
                          <w:r w:rsidRPr="00DC0BA0">
                            <w:rPr>
                              <w:rFonts w:asciiTheme="minorHAnsi" w:eastAsia="Calibri" w:hAnsiTheme="minorHAnsi" w:cstheme="minorHAnsi"/>
                              <w:color w:val="231F20"/>
                              <w:sz w:val="16"/>
                            </w:rPr>
                            <w:t>2015</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9.75pt;margin-top:-8.6pt;width:89.25pt;height:18.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" stroked="f">
              <v:textbox style="mso-fit-shape-to-text:t" inset="0,,0">
                <w:txbxContent>
                  <w:p w14:paraId="6B492E22" w14:textId="77777777" w:rsidR="00CE0E54" w:rsidRPr="00DC0BA0" w:rsidRDefault="00CE0E54" w:rsidP="00323132">
                    <w:pPr>
                      <w:spacing w:after="0"/>
                      <w:rPr>
                        <w:rFonts w:asciiTheme="minorHAnsi" w:hAnsiTheme="minorHAnsi" w:cstheme="minorHAnsi"/>
                      </w:rPr>
                    </w:pPr>
                    <w:r w:rsidRPr="00DC0BA0">
                      <w:rPr>
                        <w:rFonts w:asciiTheme="minorHAnsi" w:eastAsia="Calibri" w:hAnsiTheme="minorHAnsi" w:cstheme="minorHAnsi"/>
                        <w:color w:val="231F20"/>
                        <w:sz w:val="16"/>
                      </w:rPr>
                      <w:t>2015</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4EAF3" w14:textId="74B3EC24" w:rsidR="00CE0E54" w:rsidRDefault="00CE0E54" w:rsidP="008933A8">
    <w:pPr>
      <w:pStyle w:val="Footer"/>
      <w:jc w:val="right"/>
    </w:pPr>
    <w:r>
      <w:fldChar w:fldCharType="begin"/>
    </w:r>
    <w:r>
      <w:instrText xml:space="preserve"> PAGE   \* MERGEFORMAT </w:instrText>
    </w:r>
    <w:r>
      <w:fldChar w:fldCharType="separate"/>
    </w:r>
    <w:r w:rsidR="0076471F">
      <w:rPr>
        <w:noProof/>
      </w:rPr>
      <w:t>24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5EB56" w14:textId="3A5D7A8F" w:rsidR="00CE0E54" w:rsidRPr="00323132" w:rsidRDefault="00CE0E54" w:rsidP="00323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8817B" w14:textId="77777777" w:rsidR="00CE0E54" w:rsidRDefault="00CE0E54" w:rsidP="00595909">
      <w:r>
        <w:separator/>
      </w:r>
    </w:p>
  </w:footnote>
  <w:footnote w:type="continuationSeparator" w:id="0">
    <w:p w14:paraId="136A596C" w14:textId="77777777" w:rsidR="00CE0E54" w:rsidRDefault="00CE0E54" w:rsidP="00595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3B9B3" w14:textId="21DAA08C" w:rsidR="00CE0E54" w:rsidRDefault="00CE0E54" w:rsidP="00595909">
    <w:pPr>
      <w:pStyle w:val="Header"/>
    </w:pPr>
  </w:p>
  <w:p w14:paraId="41E7B476" w14:textId="77777777" w:rsidR="00CE0E54" w:rsidRPr="00360215" w:rsidRDefault="00CE0E54" w:rsidP="00595909">
    <w:pPr>
      <w:pStyle w:val="Header"/>
    </w:pPr>
  </w:p>
  <w:p w14:paraId="7102E1B0" w14:textId="77777777" w:rsidR="00CE0E54" w:rsidRDefault="00CE0E54" w:rsidP="005959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37ABB" w14:textId="6495913C" w:rsidR="00CE0E54" w:rsidRPr="00402CF0" w:rsidRDefault="00CE0E54" w:rsidP="00402C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0DE80" w14:textId="43FE2727" w:rsidR="00CE0E54" w:rsidRDefault="00CE0E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09745" w14:textId="0830CF13" w:rsidR="00CE0E54" w:rsidRDefault="00CE0E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03252" w14:textId="4E5F95AF" w:rsidR="00CE0E54" w:rsidRDefault="00CE0E54" w:rsidP="00595909">
    <w:pPr>
      <w:pStyle w:val="Header"/>
    </w:pPr>
  </w:p>
  <w:p w14:paraId="76D75904" w14:textId="77777777" w:rsidR="00CE0E54" w:rsidRPr="00360215" w:rsidRDefault="00CE0E54" w:rsidP="00595909">
    <w:pPr>
      <w:pStyle w:val="Header"/>
    </w:pPr>
  </w:p>
  <w:p w14:paraId="3E7EE2F8" w14:textId="77777777" w:rsidR="00CE0E54" w:rsidRDefault="00CE0E54" w:rsidP="005959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469"/>
    <w:multiLevelType w:val="hybridMultilevel"/>
    <w:tmpl w:val="BAFE5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8DB592F"/>
    <w:multiLevelType w:val="hybridMultilevel"/>
    <w:tmpl w:val="3C8291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F02881"/>
    <w:multiLevelType w:val="hybridMultilevel"/>
    <w:tmpl w:val="51160D8A"/>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22099A"/>
    <w:multiLevelType w:val="hybridMultilevel"/>
    <w:tmpl w:val="EFC631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3FD0B13"/>
    <w:multiLevelType w:val="hybridMultilevel"/>
    <w:tmpl w:val="38E6446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7CE7B56"/>
    <w:multiLevelType w:val="hybridMultilevel"/>
    <w:tmpl w:val="BA5E29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BBB128C"/>
    <w:multiLevelType w:val="hybridMultilevel"/>
    <w:tmpl w:val="BE9024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1D05271"/>
    <w:multiLevelType w:val="hybridMultilevel"/>
    <w:tmpl w:val="13504648"/>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705D37"/>
    <w:multiLevelType w:val="hybridMultilevel"/>
    <w:tmpl w:val="C59C7E54"/>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2D15FCB"/>
    <w:multiLevelType w:val="hybridMultilevel"/>
    <w:tmpl w:val="829AF688"/>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D206E35"/>
    <w:multiLevelType w:val="hybridMultilevel"/>
    <w:tmpl w:val="4DAAD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223197B"/>
    <w:multiLevelType w:val="hybridMultilevel"/>
    <w:tmpl w:val="50B8F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28251B0"/>
    <w:multiLevelType w:val="hybridMultilevel"/>
    <w:tmpl w:val="1A9E7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2F525BD"/>
    <w:multiLevelType w:val="hybridMultilevel"/>
    <w:tmpl w:val="E8720A58"/>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742184"/>
    <w:multiLevelType w:val="hybridMultilevel"/>
    <w:tmpl w:val="ECAE9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B8A548A"/>
    <w:multiLevelType w:val="hybridMultilevel"/>
    <w:tmpl w:val="DAD4732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4C924D6"/>
    <w:multiLevelType w:val="hybridMultilevel"/>
    <w:tmpl w:val="CA4AF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4FA6BDE"/>
    <w:multiLevelType w:val="hybridMultilevel"/>
    <w:tmpl w:val="E6C81B8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E9153C9"/>
    <w:multiLevelType w:val="hybridMultilevel"/>
    <w:tmpl w:val="3F4493E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2070C2F"/>
    <w:multiLevelType w:val="hybridMultilevel"/>
    <w:tmpl w:val="20E2C6E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7E96077"/>
    <w:multiLevelType w:val="hybridMultilevel"/>
    <w:tmpl w:val="EA24204A"/>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A5404D4"/>
    <w:multiLevelType w:val="hybridMultilevel"/>
    <w:tmpl w:val="F2E6F4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BA64157"/>
    <w:multiLevelType w:val="hybridMultilevel"/>
    <w:tmpl w:val="D5022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FAF01BF"/>
    <w:multiLevelType w:val="hybridMultilevel"/>
    <w:tmpl w:val="70ACD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2451E18"/>
    <w:multiLevelType w:val="hybridMultilevel"/>
    <w:tmpl w:val="73C61126"/>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89F4FF9"/>
    <w:multiLevelType w:val="multilevel"/>
    <w:tmpl w:val="24E4A35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9FE6021"/>
    <w:multiLevelType w:val="hybridMultilevel"/>
    <w:tmpl w:val="6BC6F426"/>
    <w:lvl w:ilvl="0" w:tplc="18DAE660">
      <w:start w:val="1"/>
      <w:numFmt w:val="bullet"/>
      <w:lvlText w:val=""/>
      <w:lvlJc w:val="left"/>
      <w:pPr>
        <w:ind w:left="720" w:hanging="360"/>
      </w:pPr>
      <w:rPr>
        <w:rFonts w:ascii="Wingdings" w:hAnsi="Wingding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AB43080"/>
    <w:multiLevelType w:val="hybridMultilevel"/>
    <w:tmpl w:val="A8C2A7B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27"/>
  </w:num>
  <w:num w:numId="3">
    <w:abstractNumId w:val="8"/>
  </w:num>
  <w:num w:numId="4">
    <w:abstractNumId w:val="26"/>
  </w:num>
  <w:num w:numId="5">
    <w:abstractNumId w:val="15"/>
  </w:num>
  <w:num w:numId="6">
    <w:abstractNumId w:val="17"/>
  </w:num>
  <w:num w:numId="7">
    <w:abstractNumId w:val="4"/>
  </w:num>
  <w:num w:numId="8">
    <w:abstractNumId w:val="9"/>
  </w:num>
  <w:num w:numId="9">
    <w:abstractNumId w:val="6"/>
  </w:num>
  <w:num w:numId="10">
    <w:abstractNumId w:val="19"/>
  </w:num>
  <w:num w:numId="11">
    <w:abstractNumId w:val="21"/>
  </w:num>
  <w:num w:numId="12">
    <w:abstractNumId w:val="18"/>
  </w:num>
  <w:num w:numId="13">
    <w:abstractNumId w:val="24"/>
  </w:num>
  <w:num w:numId="14">
    <w:abstractNumId w:val="7"/>
  </w:num>
  <w:num w:numId="15">
    <w:abstractNumId w:val="16"/>
  </w:num>
  <w:num w:numId="16">
    <w:abstractNumId w:val="13"/>
  </w:num>
  <w:num w:numId="17">
    <w:abstractNumId w:val="20"/>
  </w:num>
  <w:num w:numId="18">
    <w:abstractNumId w:val="2"/>
  </w:num>
  <w:num w:numId="19">
    <w:abstractNumId w:val="10"/>
  </w:num>
  <w:num w:numId="20">
    <w:abstractNumId w:val="3"/>
  </w:num>
  <w:num w:numId="21">
    <w:abstractNumId w:val="14"/>
  </w:num>
  <w:num w:numId="22">
    <w:abstractNumId w:val="0"/>
  </w:num>
  <w:num w:numId="23">
    <w:abstractNumId w:val="23"/>
  </w:num>
  <w:num w:numId="24">
    <w:abstractNumId w:val="22"/>
  </w:num>
  <w:num w:numId="25">
    <w:abstractNumId w:val="5"/>
  </w:num>
  <w:num w:numId="26">
    <w:abstractNumId w:val="1"/>
  </w:num>
  <w:num w:numId="27">
    <w:abstractNumId w:val="11"/>
  </w:num>
  <w:num w:numId="28">
    <w:abstractNumId w:val="12"/>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as Mills">
    <w15:presenceInfo w15:providerId="Windows Live" w15:userId="6f35a8a7d665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strokecolor="#ffd700">
      <v:stroke color="#ffd700" weight="4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edical Care (superscript amend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pzwzaaags0r0pe95aixvrsiw02a5psfsd5f&quot;&gt;Primary UNSW library&lt;record-ids&gt;&lt;item&gt;1643&lt;/item&gt;&lt;item&gt;2051&lt;/item&gt;&lt;item&gt;2055&lt;/item&gt;&lt;item&gt;2071&lt;/item&gt;&lt;item&gt;2072&lt;/item&gt;&lt;item&gt;2073&lt;/item&gt;&lt;item&gt;2074&lt;/item&gt;&lt;item&gt;2075&lt;/item&gt;&lt;item&gt;2076&lt;/item&gt;&lt;item&gt;2077&lt;/item&gt;&lt;item&gt;2078&lt;/item&gt;&lt;item&gt;2080&lt;/item&gt;&lt;item&gt;2082&lt;/item&gt;&lt;item&gt;2085&lt;/item&gt;&lt;item&gt;2086&lt;/item&gt;&lt;item&gt;2087&lt;/item&gt;&lt;item&gt;2088&lt;/item&gt;&lt;item&gt;2089&lt;/item&gt;&lt;item&gt;2090&lt;/item&gt;&lt;item&gt;2091&lt;/item&gt;&lt;item&gt;2092&lt;/item&gt;&lt;item&gt;2093&lt;/item&gt;&lt;item&gt;2094&lt;/item&gt;&lt;item&gt;2095&lt;/item&gt;&lt;item&gt;2096&lt;/item&gt;&lt;item&gt;2126&lt;/item&gt;&lt;/record-ids&gt;&lt;/item&gt;&lt;/Libraries&gt;"/>
  </w:docVars>
  <w:rsids>
    <w:rsidRoot w:val="000854E4"/>
    <w:rsid w:val="00001C93"/>
    <w:rsid w:val="00005E41"/>
    <w:rsid w:val="00013918"/>
    <w:rsid w:val="00015D2D"/>
    <w:rsid w:val="00016640"/>
    <w:rsid w:val="00022D17"/>
    <w:rsid w:val="000267FB"/>
    <w:rsid w:val="000301CA"/>
    <w:rsid w:val="00040347"/>
    <w:rsid w:val="000412E9"/>
    <w:rsid w:val="0004193A"/>
    <w:rsid w:val="00041F73"/>
    <w:rsid w:val="00042D35"/>
    <w:rsid w:val="00043D8A"/>
    <w:rsid w:val="00047704"/>
    <w:rsid w:val="00053F16"/>
    <w:rsid w:val="00054153"/>
    <w:rsid w:val="00060670"/>
    <w:rsid w:val="00060F42"/>
    <w:rsid w:val="00061908"/>
    <w:rsid w:val="00071F75"/>
    <w:rsid w:val="00072D3D"/>
    <w:rsid w:val="000822B9"/>
    <w:rsid w:val="000854E4"/>
    <w:rsid w:val="00086764"/>
    <w:rsid w:val="0009209C"/>
    <w:rsid w:val="00094CD3"/>
    <w:rsid w:val="00095FA2"/>
    <w:rsid w:val="000A2988"/>
    <w:rsid w:val="000A6D33"/>
    <w:rsid w:val="000A7D55"/>
    <w:rsid w:val="000B4781"/>
    <w:rsid w:val="000B52CA"/>
    <w:rsid w:val="000B7EC7"/>
    <w:rsid w:val="000C7242"/>
    <w:rsid w:val="000D00EC"/>
    <w:rsid w:val="000D1883"/>
    <w:rsid w:val="000D2DB4"/>
    <w:rsid w:val="000E1A66"/>
    <w:rsid w:val="000E56E9"/>
    <w:rsid w:val="000F62A3"/>
    <w:rsid w:val="00105ADF"/>
    <w:rsid w:val="00112239"/>
    <w:rsid w:val="0011520E"/>
    <w:rsid w:val="001203C6"/>
    <w:rsid w:val="00141C61"/>
    <w:rsid w:val="0014331C"/>
    <w:rsid w:val="001454D0"/>
    <w:rsid w:val="00146F79"/>
    <w:rsid w:val="00150054"/>
    <w:rsid w:val="0015334A"/>
    <w:rsid w:val="0017148C"/>
    <w:rsid w:val="00180CAD"/>
    <w:rsid w:val="001859C9"/>
    <w:rsid w:val="00186264"/>
    <w:rsid w:val="0018753A"/>
    <w:rsid w:val="00193CEC"/>
    <w:rsid w:val="00194D98"/>
    <w:rsid w:val="0019616E"/>
    <w:rsid w:val="001A21C0"/>
    <w:rsid w:val="001A2B8D"/>
    <w:rsid w:val="001A3CDA"/>
    <w:rsid w:val="001A577D"/>
    <w:rsid w:val="001A5FD9"/>
    <w:rsid w:val="001A6475"/>
    <w:rsid w:val="001B125D"/>
    <w:rsid w:val="001B628F"/>
    <w:rsid w:val="001C3120"/>
    <w:rsid w:val="001C3A2D"/>
    <w:rsid w:val="001C5924"/>
    <w:rsid w:val="001C6382"/>
    <w:rsid w:val="001C71FB"/>
    <w:rsid w:val="001D2258"/>
    <w:rsid w:val="001D45D0"/>
    <w:rsid w:val="001D4F77"/>
    <w:rsid w:val="001D63A4"/>
    <w:rsid w:val="001E1AE7"/>
    <w:rsid w:val="001E223A"/>
    <w:rsid w:val="001E3C27"/>
    <w:rsid w:val="001F194C"/>
    <w:rsid w:val="001F35CB"/>
    <w:rsid w:val="001F41D6"/>
    <w:rsid w:val="001F7507"/>
    <w:rsid w:val="001F7D2D"/>
    <w:rsid w:val="002046A6"/>
    <w:rsid w:val="0021069C"/>
    <w:rsid w:val="0021095D"/>
    <w:rsid w:val="00220576"/>
    <w:rsid w:val="002222EC"/>
    <w:rsid w:val="002244B9"/>
    <w:rsid w:val="00224AB1"/>
    <w:rsid w:val="00231368"/>
    <w:rsid w:val="00231938"/>
    <w:rsid w:val="00232626"/>
    <w:rsid w:val="00235838"/>
    <w:rsid w:val="002363C8"/>
    <w:rsid w:val="00242D75"/>
    <w:rsid w:val="00244B8A"/>
    <w:rsid w:val="002466FD"/>
    <w:rsid w:val="00251FDD"/>
    <w:rsid w:val="00255192"/>
    <w:rsid w:val="00255333"/>
    <w:rsid w:val="00261459"/>
    <w:rsid w:val="0026701D"/>
    <w:rsid w:val="00273C68"/>
    <w:rsid w:val="00276086"/>
    <w:rsid w:val="00277FD4"/>
    <w:rsid w:val="00284060"/>
    <w:rsid w:val="002855BF"/>
    <w:rsid w:val="00286559"/>
    <w:rsid w:val="00293138"/>
    <w:rsid w:val="00293479"/>
    <w:rsid w:val="0029365D"/>
    <w:rsid w:val="00294778"/>
    <w:rsid w:val="00295DD0"/>
    <w:rsid w:val="002A56B5"/>
    <w:rsid w:val="002A766B"/>
    <w:rsid w:val="002A7C9D"/>
    <w:rsid w:val="002B44F4"/>
    <w:rsid w:val="002B7D92"/>
    <w:rsid w:val="002C4201"/>
    <w:rsid w:val="002D1A11"/>
    <w:rsid w:val="002D3335"/>
    <w:rsid w:val="002D3FE4"/>
    <w:rsid w:val="002D5B91"/>
    <w:rsid w:val="002D67CE"/>
    <w:rsid w:val="002D7F4A"/>
    <w:rsid w:val="002E0330"/>
    <w:rsid w:val="002E12F7"/>
    <w:rsid w:val="002E1B1F"/>
    <w:rsid w:val="002E1B5A"/>
    <w:rsid w:val="002E2641"/>
    <w:rsid w:val="002E314F"/>
    <w:rsid w:val="002E7DDE"/>
    <w:rsid w:val="002F0FDE"/>
    <w:rsid w:val="002F13BB"/>
    <w:rsid w:val="002F2893"/>
    <w:rsid w:val="002F3F2D"/>
    <w:rsid w:val="002F7CEC"/>
    <w:rsid w:val="0030057B"/>
    <w:rsid w:val="00301651"/>
    <w:rsid w:val="00301BD3"/>
    <w:rsid w:val="0030643E"/>
    <w:rsid w:val="00306DDD"/>
    <w:rsid w:val="00310559"/>
    <w:rsid w:val="003120C7"/>
    <w:rsid w:val="00312712"/>
    <w:rsid w:val="003175DD"/>
    <w:rsid w:val="00317B4C"/>
    <w:rsid w:val="00323132"/>
    <w:rsid w:val="00323DAB"/>
    <w:rsid w:val="00324EB3"/>
    <w:rsid w:val="003258EA"/>
    <w:rsid w:val="00330641"/>
    <w:rsid w:val="00330ADB"/>
    <w:rsid w:val="00331449"/>
    <w:rsid w:val="0033319C"/>
    <w:rsid w:val="00334234"/>
    <w:rsid w:val="0034059B"/>
    <w:rsid w:val="00340B45"/>
    <w:rsid w:val="003452E6"/>
    <w:rsid w:val="00351332"/>
    <w:rsid w:val="00352C8D"/>
    <w:rsid w:val="00355114"/>
    <w:rsid w:val="0035637D"/>
    <w:rsid w:val="0035650F"/>
    <w:rsid w:val="003568A9"/>
    <w:rsid w:val="00360215"/>
    <w:rsid w:val="00363138"/>
    <w:rsid w:val="003636AC"/>
    <w:rsid w:val="0037280A"/>
    <w:rsid w:val="003800D2"/>
    <w:rsid w:val="00383C8F"/>
    <w:rsid w:val="00390DB0"/>
    <w:rsid w:val="0039375C"/>
    <w:rsid w:val="00395328"/>
    <w:rsid w:val="0039786A"/>
    <w:rsid w:val="003A02A4"/>
    <w:rsid w:val="003A0855"/>
    <w:rsid w:val="003A0CB2"/>
    <w:rsid w:val="003A1F83"/>
    <w:rsid w:val="003A76A6"/>
    <w:rsid w:val="003A7965"/>
    <w:rsid w:val="003B1B8B"/>
    <w:rsid w:val="003B3A82"/>
    <w:rsid w:val="003B5788"/>
    <w:rsid w:val="003C0BE7"/>
    <w:rsid w:val="003C4ABE"/>
    <w:rsid w:val="003C5799"/>
    <w:rsid w:val="003D3E90"/>
    <w:rsid w:val="003D3EB6"/>
    <w:rsid w:val="003D57A7"/>
    <w:rsid w:val="003E37CC"/>
    <w:rsid w:val="003E6FF3"/>
    <w:rsid w:val="003F4DDD"/>
    <w:rsid w:val="003F62D8"/>
    <w:rsid w:val="00402CF0"/>
    <w:rsid w:val="004060F5"/>
    <w:rsid w:val="00406388"/>
    <w:rsid w:val="00413B9D"/>
    <w:rsid w:val="004145AE"/>
    <w:rsid w:val="00431459"/>
    <w:rsid w:val="00433CF6"/>
    <w:rsid w:val="004347F2"/>
    <w:rsid w:val="004357B1"/>
    <w:rsid w:val="0044107C"/>
    <w:rsid w:val="00442515"/>
    <w:rsid w:val="004426EF"/>
    <w:rsid w:val="00443F55"/>
    <w:rsid w:val="00445D3D"/>
    <w:rsid w:val="00450AED"/>
    <w:rsid w:val="004510DA"/>
    <w:rsid w:val="00452913"/>
    <w:rsid w:val="00454FF2"/>
    <w:rsid w:val="00457820"/>
    <w:rsid w:val="004606DE"/>
    <w:rsid w:val="0046148E"/>
    <w:rsid w:val="004626DE"/>
    <w:rsid w:val="00462DDA"/>
    <w:rsid w:val="0046375B"/>
    <w:rsid w:val="00464765"/>
    <w:rsid w:val="004726FA"/>
    <w:rsid w:val="00473925"/>
    <w:rsid w:val="00475DC1"/>
    <w:rsid w:val="00480452"/>
    <w:rsid w:val="00492F1F"/>
    <w:rsid w:val="004939ED"/>
    <w:rsid w:val="0049666D"/>
    <w:rsid w:val="004A1713"/>
    <w:rsid w:val="004A3B35"/>
    <w:rsid w:val="004A43D7"/>
    <w:rsid w:val="004A4EB8"/>
    <w:rsid w:val="004B319C"/>
    <w:rsid w:val="004B3614"/>
    <w:rsid w:val="004B4715"/>
    <w:rsid w:val="004B4AB3"/>
    <w:rsid w:val="004B59C9"/>
    <w:rsid w:val="004B664D"/>
    <w:rsid w:val="004D1F0E"/>
    <w:rsid w:val="004D262F"/>
    <w:rsid w:val="004E7214"/>
    <w:rsid w:val="004F3D3A"/>
    <w:rsid w:val="004F44E7"/>
    <w:rsid w:val="004F49C1"/>
    <w:rsid w:val="004F69F6"/>
    <w:rsid w:val="0050015D"/>
    <w:rsid w:val="005003C6"/>
    <w:rsid w:val="00500AF9"/>
    <w:rsid w:val="00500FCC"/>
    <w:rsid w:val="00502408"/>
    <w:rsid w:val="00504399"/>
    <w:rsid w:val="005046EB"/>
    <w:rsid w:val="00512FEC"/>
    <w:rsid w:val="00513F4E"/>
    <w:rsid w:val="005144EC"/>
    <w:rsid w:val="00523713"/>
    <w:rsid w:val="0052675D"/>
    <w:rsid w:val="00544561"/>
    <w:rsid w:val="00551EEC"/>
    <w:rsid w:val="00553549"/>
    <w:rsid w:val="005602FB"/>
    <w:rsid w:val="0056042D"/>
    <w:rsid w:val="005608A5"/>
    <w:rsid w:val="005641DF"/>
    <w:rsid w:val="005671EF"/>
    <w:rsid w:val="00572CEC"/>
    <w:rsid w:val="00574008"/>
    <w:rsid w:val="0057506E"/>
    <w:rsid w:val="00576625"/>
    <w:rsid w:val="00576BF6"/>
    <w:rsid w:val="00577088"/>
    <w:rsid w:val="00584F03"/>
    <w:rsid w:val="00585456"/>
    <w:rsid w:val="005876CB"/>
    <w:rsid w:val="00592259"/>
    <w:rsid w:val="00592EA6"/>
    <w:rsid w:val="00595909"/>
    <w:rsid w:val="005961A3"/>
    <w:rsid w:val="005A60EF"/>
    <w:rsid w:val="005A71D7"/>
    <w:rsid w:val="005B1A4E"/>
    <w:rsid w:val="005B2553"/>
    <w:rsid w:val="005B43DC"/>
    <w:rsid w:val="005B6C02"/>
    <w:rsid w:val="005C01B9"/>
    <w:rsid w:val="005C09DB"/>
    <w:rsid w:val="005C1A35"/>
    <w:rsid w:val="005C38B1"/>
    <w:rsid w:val="005C5992"/>
    <w:rsid w:val="005D2ED3"/>
    <w:rsid w:val="005D5A5A"/>
    <w:rsid w:val="005D6488"/>
    <w:rsid w:val="005F0924"/>
    <w:rsid w:val="005F1845"/>
    <w:rsid w:val="005F423E"/>
    <w:rsid w:val="005F51C5"/>
    <w:rsid w:val="00600A9B"/>
    <w:rsid w:val="00600E6E"/>
    <w:rsid w:val="00607813"/>
    <w:rsid w:val="0061029D"/>
    <w:rsid w:val="00622470"/>
    <w:rsid w:val="00623CBA"/>
    <w:rsid w:val="00626E05"/>
    <w:rsid w:val="00627F0E"/>
    <w:rsid w:val="0063062E"/>
    <w:rsid w:val="006322CE"/>
    <w:rsid w:val="006324F7"/>
    <w:rsid w:val="00632B6A"/>
    <w:rsid w:val="00633012"/>
    <w:rsid w:val="00633A23"/>
    <w:rsid w:val="00633EE4"/>
    <w:rsid w:val="006351F3"/>
    <w:rsid w:val="0064373D"/>
    <w:rsid w:val="006509D7"/>
    <w:rsid w:val="00655CDF"/>
    <w:rsid w:val="00657149"/>
    <w:rsid w:val="006608EC"/>
    <w:rsid w:val="00660B43"/>
    <w:rsid w:val="00661775"/>
    <w:rsid w:val="00664762"/>
    <w:rsid w:val="0066494E"/>
    <w:rsid w:val="00667339"/>
    <w:rsid w:val="00667E89"/>
    <w:rsid w:val="00670945"/>
    <w:rsid w:val="00675354"/>
    <w:rsid w:val="00676C41"/>
    <w:rsid w:val="00685B20"/>
    <w:rsid w:val="00692D56"/>
    <w:rsid w:val="0069741B"/>
    <w:rsid w:val="006A11F6"/>
    <w:rsid w:val="006A1DF3"/>
    <w:rsid w:val="006A5F2E"/>
    <w:rsid w:val="006A76D0"/>
    <w:rsid w:val="006A783C"/>
    <w:rsid w:val="006B23B9"/>
    <w:rsid w:val="006B39E4"/>
    <w:rsid w:val="006B5B60"/>
    <w:rsid w:val="006B7CF7"/>
    <w:rsid w:val="006D242F"/>
    <w:rsid w:val="006D3DDF"/>
    <w:rsid w:val="006D4DD4"/>
    <w:rsid w:val="006E1D51"/>
    <w:rsid w:val="006E5382"/>
    <w:rsid w:val="006E5460"/>
    <w:rsid w:val="006E6ED4"/>
    <w:rsid w:val="006F045C"/>
    <w:rsid w:val="006F7569"/>
    <w:rsid w:val="00700CB9"/>
    <w:rsid w:val="00701086"/>
    <w:rsid w:val="007037B3"/>
    <w:rsid w:val="00703D03"/>
    <w:rsid w:val="007047B2"/>
    <w:rsid w:val="0071166B"/>
    <w:rsid w:val="007126B0"/>
    <w:rsid w:val="00715A91"/>
    <w:rsid w:val="00717A5E"/>
    <w:rsid w:val="00717F77"/>
    <w:rsid w:val="007213AE"/>
    <w:rsid w:val="00722209"/>
    <w:rsid w:val="0072365F"/>
    <w:rsid w:val="00725843"/>
    <w:rsid w:val="00731C73"/>
    <w:rsid w:val="00733D05"/>
    <w:rsid w:val="00734767"/>
    <w:rsid w:val="007353AC"/>
    <w:rsid w:val="0073750F"/>
    <w:rsid w:val="00742C7B"/>
    <w:rsid w:val="007506AF"/>
    <w:rsid w:val="007525FE"/>
    <w:rsid w:val="0075391F"/>
    <w:rsid w:val="00753F83"/>
    <w:rsid w:val="00754216"/>
    <w:rsid w:val="00760811"/>
    <w:rsid w:val="0076219D"/>
    <w:rsid w:val="00762967"/>
    <w:rsid w:val="0076471F"/>
    <w:rsid w:val="00766B8E"/>
    <w:rsid w:val="00766F8A"/>
    <w:rsid w:val="00767EE3"/>
    <w:rsid w:val="007703EE"/>
    <w:rsid w:val="00771C65"/>
    <w:rsid w:val="007727EC"/>
    <w:rsid w:val="007736DD"/>
    <w:rsid w:val="0077533C"/>
    <w:rsid w:val="00776BBB"/>
    <w:rsid w:val="0077740C"/>
    <w:rsid w:val="007777B9"/>
    <w:rsid w:val="007814B6"/>
    <w:rsid w:val="00781D86"/>
    <w:rsid w:val="007822FF"/>
    <w:rsid w:val="007833EE"/>
    <w:rsid w:val="00784D9F"/>
    <w:rsid w:val="0079033A"/>
    <w:rsid w:val="00794CA3"/>
    <w:rsid w:val="00796883"/>
    <w:rsid w:val="00797506"/>
    <w:rsid w:val="007A08D2"/>
    <w:rsid w:val="007A1CAC"/>
    <w:rsid w:val="007A3287"/>
    <w:rsid w:val="007A45FB"/>
    <w:rsid w:val="007A5371"/>
    <w:rsid w:val="007A56FE"/>
    <w:rsid w:val="007A5F84"/>
    <w:rsid w:val="007B0156"/>
    <w:rsid w:val="007B4204"/>
    <w:rsid w:val="007B6362"/>
    <w:rsid w:val="007B6C05"/>
    <w:rsid w:val="007B6E64"/>
    <w:rsid w:val="007B77F2"/>
    <w:rsid w:val="007C04BD"/>
    <w:rsid w:val="007C05A3"/>
    <w:rsid w:val="007C32AA"/>
    <w:rsid w:val="007E0B38"/>
    <w:rsid w:val="007E4CB7"/>
    <w:rsid w:val="007E5134"/>
    <w:rsid w:val="007E7D17"/>
    <w:rsid w:val="007F4F46"/>
    <w:rsid w:val="007F69E9"/>
    <w:rsid w:val="007F7E6D"/>
    <w:rsid w:val="008019E4"/>
    <w:rsid w:val="00802850"/>
    <w:rsid w:val="00806F06"/>
    <w:rsid w:val="00807248"/>
    <w:rsid w:val="00812077"/>
    <w:rsid w:val="00812882"/>
    <w:rsid w:val="00820DA6"/>
    <w:rsid w:val="00820DAA"/>
    <w:rsid w:val="00820F1D"/>
    <w:rsid w:val="008211F5"/>
    <w:rsid w:val="00822C44"/>
    <w:rsid w:val="00823512"/>
    <w:rsid w:val="00824116"/>
    <w:rsid w:val="00825B44"/>
    <w:rsid w:val="00827B1A"/>
    <w:rsid w:val="00830A74"/>
    <w:rsid w:val="00830F65"/>
    <w:rsid w:val="008410EE"/>
    <w:rsid w:val="008458FA"/>
    <w:rsid w:val="00845A23"/>
    <w:rsid w:val="0084647B"/>
    <w:rsid w:val="00850BC5"/>
    <w:rsid w:val="008528A6"/>
    <w:rsid w:val="008541F7"/>
    <w:rsid w:val="00854CCB"/>
    <w:rsid w:val="008553EA"/>
    <w:rsid w:val="00857A13"/>
    <w:rsid w:val="00861AE3"/>
    <w:rsid w:val="008628FB"/>
    <w:rsid w:val="008652B4"/>
    <w:rsid w:val="00873822"/>
    <w:rsid w:val="008765AC"/>
    <w:rsid w:val="008820C7"/>
    <w:rsid w:val="00890187"/>
    <w:rsid w:val="008928C7"/>
    <w:rsid w:val="008933A8"/>
    <w:rsid w:val="008974A8"/>
    <w:rsid w:val="008A0A62"/>
    <w:rsid w:val="008A2565"/>
    <w:rsid w:val="008A34D6"/>
    <w:rsid w:val="008A3ECA"/>
    <w:rsid w:val="008B0581"/>
    <w:rsid w:val="008B2BB0"/>
    <w:rsid w:val="008B2BB9"/>
    <w:rsid w:val="008B45B3"/>
    <w:rsid w:val="008B4E32"/>
    <w:rsid w:val="008C0830"/>
    <w:rsid w:val="008C16D0"/>
    <w:rsid w:val="008C3612"/>
    <w:rsid w:val="008C5BC3"/>
    <w:rsid w:val="008C71C5"/>
    <w:rsid w:val="008D1679"/>
    <w:rsid w:val="008D4996"/>
    <w:rsid w:val="008D4FB0"/>
    <w:rsid w:val="008E1ABD"/>
    <w:rsid w:val="008E2B45"/>
    <w:rsid w:val="008E3F49"/>
    <w:rsid w:val="008F47F9"/>
    <w:rsid w:val="008F68AB"/>
    <w:rsid w:val="008F70ED"/>
    <w:rsid w:val="0090168B"/>
    <w:rsid w:val="009035CA"/>
    <w:rsid w:val="00903FB4"/>
    <w:rsid w:val="0090476F"/>
    <w:rsid w:val="00906CAE"/>
    <w:rsid w:val="009152EC"/>
    <w:rsid w:val="00915D60"/>
    <w:rsid w:val="009210C3"/>
    <w:rsid w:val="009274D2"/>
    <w:rsid w:val="009275A2"/>
    <w:rsid w:val="009343C6"/>
    <w:rsid w:val="00946711"/>
    <w:rsid w:val="00947040"/>
    <w:rsid w:val="0094762C"/>
    <w:rsid w:val="00950385"/>
    <w:rsid w:val="0095217A"/>
    <w:rsid w:val="00954F0D"/>
    <w:rsid w:val="00956EF6"/>
    <w:rsid w:val="0095754A"/>
    <w:rsid w:val="00962161"/>
    <w:rsid w:val="00963B90"/>
    <w:rsid w:val="00970A9F"/>
    <w:rsid w:val="00970D87"/>
    <w:rsid w:val="00974DE2"/>
    <w:rsid w:val="00975AE5"/>
    <w:rsid w:val="0097781C"/>
    <w:rsid w:val="009820CC"/>
    <w:rsid w:val="00982B5B"/>
    <w:rsid w:val="0098712F"/>
    <w:rsid w:val="00987A02"/>
    <w:rsid w:val="009916EB"/>
    <w:rsid w:val="0099307A"/>
    <w:rsid w:val="00993861"/>
    <w:rsid w:val="00995C8E"/>
    <w:rsid w:val="00996155"/>
    <w:rsid w:val="009A1461"/>
    <w:rsid w:val="009A1ED4"/>
    <w:rsid w:val="009A44E2"/>
    <w:rsid w:val="009A5556"/>
    <w:rsid w:val="009A70E2"/>
    <w:rsid w:val="009A7B8D"/>
    <w:rsid w:val="009B1633"/>
    <w:rsid w:val="009B2661"/>
    <w:rsid w:val="009B2B47"/>
    <w:rsid w:val="009B32AD"/>
    <w:rsid w:val="009C0BA9"/>
    <w:rsid w:val="009C2732"/>
    <w:rsid w:val="009C42A7"/>
    <w:rsid w:val="009C568B"/>
    <w:rsid w:val="009C626C"/>
    <w:rsid w:val="009D1073"/>
    <w:rsid w:val="009D3193"/>
    <w:rsid w:val="009D754D"/>
    <w:rsid w:val="009E02C1"/>
    <w:rsid w:val="009E3492"/>
    <w:rsid w:val="009E3FEF"/>
    <w:rsid w:val="009E51F7"/>
    <w:rsid w:val="009F0E5C"/>
    <w:rsid w:val="00A01420"/>
    <w:rsid w:val="00A01D41"/>
    <w:rsid w:val="00A01ED2"/>
    <w:rsid w:val="00A06B62"/>
    <w:rsid w:val="00A07AE7"/>
    <w:rsid w:val="00A07FEC"/>
    <w:rsid w:val="00A12595"/>
    <w:rsid w:val="00A12612"/>
    <w:rsid w:val="00A15492"/>
    <w:rsid w:val="00A22A94"/>
    <w:rsid w:val="00A30F55"/>
    <w:rsid w:val="00A37FDB"/>
    <w:rsid w:val="00A42161"/>
    <w:rsid w:val="00A50476"/>
    <w:rsid w:val="00A52274"/>
    <w:rsid w:val="00A541E1"/>
    <w:rsid w:val="00A613AF"/>
    <w:rsid w:val="00A618B3"/>
    <w:rsid w:val="00A66ABB"/>
    <w:rsid w:val="00A67A25"/>
    <w:rsid w:val="00A770A5"/>
    <w:rsid w:val="00A83DBA"/>
    <w:rsid w:val="00A868A0"/>
    <w:rsid w:val="00A90058"/>
    <w:rsid w:val="00A96501"/>
    <w:rsid w:val="00AA07F8"/>
    <w:rsid w:val="00AA0E96"/>
    <w:rsid w:val="00AA1DD7"/>
    <w:rsid w:val="00AA6CA6"/>
    <w:rsid w:val="00AB60AE"/>
    <w:rsid w:val="00AC40AB"/>
    <w:rsid w:val="00AC7B4B"/>
    <w:rsid w:val="00AD01B0"/>
    <w:rsid w:val="00AD063E"/>
    <w:rsid w:val="00AD17A7"/>
    <w:rsid w:val="00AD355A"/>
    <w:rsid w:val="00AD3DB5"/>
    <w:rsid w:val="00AD7078"/>
    <w:rsid w:val="00AD776F"/>
    <w:rsid w:val="00AE0E8B"/>
    <w:rsid w:val="00AE2100"/>
    <w:rsid w:val="00AE5F51"/>
    <w:rsid w:val="00AF2823"/>
    <w:rsid w:val="00AF48CA"/>
    <w:rsid w:val="00AF61B2"/>
    <w:rsid w:val="00B01F33"/>
    <w:rsid w:val="00B038AC"/>
    <w:rsid w:val="00B042BB"/>
    <w:rsid w:val="00B06432"/>
    <w:rsid w:val="00B06E71"/>
    <w:rsid w:val="00B07164"/>
    <w:rsid w:val="00B07E70"/>
    <w:rsid w:val="00B107B2"/>
    <w:rsid w:val="00B1134D"/>
    <w:rsid w:val="00B15817"/>
    <w:rsid w:val="00B21D55"/>
    <w:rsid w:val="00B22217"/>
    <w:rsid w:val="00B2292A"/>
    <w:rsid w:val="00B22D99"/>
    <w:rsid w:val="00B23EDF"/>
    <w:rsid w:val="00B241E9"/>
    <w:rsid w:val="00B249BF"/>
    <w:rsid w:val="00B25A95"/>
    <w:rsid w:val="00B335CE"/>
    <w:rsid w:val="00B4692A"/>
    <w:rsid w:val="00B46F52"/>
    <w:rsid w:val="00B56854"/>
    <w:rsid w:val="00B63941"/>
    <w:rsid w:val="00B667EA"/>
    <w:rsid w:val="00B667F7"/>
    <w:rsid w:val="00B728AF"/>
    <w:rsid w:val="00B72B27"/>
    <w:rsid w:val="00B72DC7"/>
    <w:rsid w:val="00B73147"/>
    <w:rsid w:val="00B743E0"/>
    <w:rsid w:val="00B77533"/>
    <w:rsid w:val="00B778AA"/>
    <w:rsid w:val="00B80B79"/>
    <w:rsid w:val="00B81DC4"/>
    <w:rsid w:val="00B84EEA"/>
    <w:rsid w:val="00B9240C"/>
    <w:rsid w:val="00BA1B8D"/>
    <w:rsid w:val="00BA37DF"/>
    <w:rsid w:val="00BA6E8B"/>
    <w:rsid w:val="00BB5EB0"/>
    <w:rsid w:val="00BB6F9B"/>
    <w:rsid w:val="00BC1A9B"/>
    <w:rsid w:val="00BC4B60"/>
    <w:rsid w:val="00BD38C6"/>
    <w:rsid w:val="00BD3B4A"/>
    <w:rsid w:val="00BE1915"/>
    <w:rsid w:val="00BE1DB0"/>
    <w:rsid w:val="00BE5776"/>
    <w:rsid w:val="00BE5A74"/>
    <w:rsid w:val="00BE6DE3"/>
    <w:rsid w:val="00BE770A"/>
    <w:rsid w:val="00BF68BE"/>
    <w:rsid w:val="00BF77F2"/>
    <w:rsid w:val="00BF7AD8"/>
    <w:rsid w:val="00C01CDF"/>
    <w:rsid w:val="00C034DB"/>
    <w:rsid w:val="00C03D18"/>
    <w:rsid w:val="00C04C19"/>
    <w:rsid w:val="00C20B42"/>
    <w:rsid w:val="00C22AFB"/>
    <w:rsid w:val="00C262F1"/>
    <w:rsid w:val="00C26714"/>
    <w:rsid w:val="00C27E46"/>
    <w:rsid w:val="00C30228"/>
    <w:rsid w:val="00C30598"/>
    <w:rsid w:val="00C31877"/>
    <w:rsid w:val="00C32B2E"/>
    <w:rsid w:val="00C35ABA"/>
    <w:rsid w:val="00C35FBD"/>
    <w:rsid w:val="00C360ED"/>
    <w:rsid w:val="00C36E00"/>
    <w:rsid w:val="00C46680"/>
    <w:rsid w:val="00C55868"/>
    <w:rsid w:val="00C55C20"/>
    <w:rsid w:val="00C62143"/>
    <w:rsid w:val="00C6654D"/>
    <w:rsid w:val="00C7015D"/>
    <w:rsid w:val="00C70E88"/>
    <w:rsid w:val="00C74BC8"/>
    <w:rsid w:val="00C761CF"/>
    <w:rsid w:val="00C76334"/>
    <w:rsid w:val="00C830A1"/>
    <w:rsid w:val="00C90C28"/>
    <w:rsid w:val="00C919D8"/>
    <w:rsid w:val="00C92ADE"/>
    <w:rsid w:val="00C96C10"/>
    <w:rsid w:val="00C97B17"/>
    <w:rsid w:val="00CA13A5"/>
    <w:rsid w:val="00CA76E9"/>
    <w:rsid w:val="00CB27CA"/>
    <w:rsid w:val="00CB61D1"/>
    <w:rsid w:val="00CB726B"/>
    <w:rsid w:val="00CC0C1F"/>
    <w:rsid w:val="00CC36F3"/>
    <w:rsid w:val="00CC5C38"/>
    <w:rsid w:val="00CC5E56"/>
    <w:rsid w:val="00CC7612"/>
    <w:rsid w:val="00CD1435"/>
    <w:rsid w:val="00CD7E00"/>
    <w:rsid w:val="00CE036C"/>
    <w:rsid w:val="00CE0E54"/>
    <w:rsid w:val="00CE3954"/>
    <w:rsid w:val="00CE55E5"/>
    <w:rsid w:val="00CE624E"/>
    <w:rsid w:val="00CE70B5"/>
    <w:rsid w:val="00CF239B"/>
    <w:rsid w:val="00CF5BFF"/>
    <w:rsid w:val="00D00617"/>
    <w:rsid w:val="00D11E66"/>
    <w:rsid w:val="00D140A0"/>
    <w:rsid w:val="00D160BF"/>
    <w:rsid w:val="00D22118"/>
    <w:rsid w:val="00D24D50"/>
    <w:rsid w:val="00D26483"/>
    <w:rsid w:val="00D32670"/>
    <w:rsid w:val="00D327DD"/>
    <w:rsid w:val="00D34630"/>
    <w:rsid w:val="00D40C02"/>
    <w:rsid w:val="00D42186"/>
    <w:rsid w:val="00D42F7E"/>
    <w:rsid w:val="00D466D2"/>
    <w:rsid w:val="00D46DD9"/>
    <w:rsid w:val="00D52FE7"/>
    <w:rsid w:val="00D53906"/>
    <w:rsid w:val="00D63356"/>
    <w:rsid w:val="00D67D28"/>
    <w:rsid w:val="00D721B4"/>
    <w:rsid w:val="00D729D1"/>
    <w:rsid w:val="00D72D62"/>
    <w:rsid w:val="00D8633A"/>
    <w:rsid w:val="00D86F40"/>
    <w:rsid w:val="00DA26AB"/>
    <w:rsid w:val="00DA2B30"/>
    <w:rsid w:val="00DA398F"/>
    <w:rsid w:val="00DA4FE8"/>
    <w:rsid w:val="00DA5E93"/>
    <w:rsid w:val="00DA754A"/>
    <w:rsid w:val="00DC0BA0"/>
    <w:rsid w:val="00DC16BD"/>
    <w:rsid w:val="00DC1E28"/>
    <w:rsid w:val="00DE5A7A"/>
    <w:rsid w:val="00DE7B7C"/>
    <w:rsid w:val="00E017CF"/>
    <w:rsid w:val="00E03EA5"/>
    <w:rsid w:val="00E161F2"/>
    <w:rsid w:val="00E16364"/>
    <w:rsid w:val="00E2023E"/>
    <w:rsid w:val="00E204D3"/>
    <w:rsid w:val="00E20FF9"/>
    <w:rsid w:val="00E23741"/>
    <w:rsid w:val="00E23AC1"/>
    <w:rsid w:val="00E27893"/>
    <w:rsid w:val="00E30457"/>
    <w:rsid w:val="00E30A1A"/>
    <w:rsid w:val="00E33AA6"/>
    <w:rsid w:val="00E3497C"/>
    <w:rsid w:val="00E363B0"/>
    <w:rsid w:val="00E36AD3"/>
    <w:rsid w:val="00E401A5"/>
    <w:rsid w:val="00E40E0D"/>
    <w:rsid w:val="00E440B2"/>
    <w:rsid w:val="00E454D8"/>
    <w:rsid w:val="00E45C7B"/>
    <w:rsid w:val="00E53667"/>
    <w:rsid w:val="00E5643C"/>
    <w:rsid w:val="00E570C6"/>
    <w:rsid w:val="00E578FD"/>
    <w:rsid w:val="00E60D86"/>
    <w:rsid w:val="00E61560"/>
    <w:rsid w:val="00E62199"/>
    <w:rsid w:val="00E6303A"/>
    <w:rsid w:val="00E63E06"/>
    <w:rsid w:val="00E671FA"/>
    <w:rsid w:val="00E72915"/>
    <w:rsid w:val="00E729BD"/>
    <w:rsid w:val="00E74F3C"/>
    <w:rsid w:val="00E75451"/>
    <w:rsid w:val="00E7621D"/>
    <w:rsid w:val="00E77AEF"/>
    <w:rsid w:val="00E803E4"/>
    <w:rsid w:val="00E87ECA"/>
    <w:rsid w:val="00E91EEE"/>
    <w:rsid w:val="00E941D6"/>
    <w:rsid w:val="00EA30EF"/>
    <w:rsid w:val="00EA450A"/>
    <w:rsid w:val="00EA5E41"/>
    <w:rsid w:val="00EA6CEA"/>
    <w:rsid w:val="00EB1961"/>
    <w:rsid w:val="00EB1F2A"/>
    <w:rsid w:val="00EC24C8"/>
    <w:rsid w:val="00EC4C6A"/>
    <w:rsid w:val="00EC4FD3"/>
    <w:rsid w:val="00EC6BE6"/>
    <w:rsid w:val="00ED0F47"/>
    <w:rsid w:val="00ED304E"/>
    <w:rsid w:val="00ED7027"/>
    <w:rsid w:val="00ED7A0B"/>
    <w:rsid w:val="00EE2508"/>
    <w:rsid w:val="00EE2E42"/>
    <w:rsid w:val="00EE2FE9"/>
    <w:rsid w:val="00EE4316"/>
    <w:rsid w:val="00EE5301"/>
    <w:rsid w:val="00EE7455"/>
    <w:rsid w:val="00EF2AC8"/>
    <w:rsid w:val="00EF367C"/>
    <w:rsid w:val="00EF4CE8"/>
    <w:rsid w:val="00EF7480"/>
    <w:rsid w:val="00EF7944"/>
    <w:rsid w:val="00F02D79"/>
    <w:rsid w:val="00F04FF1"/>
    <w:rsid w:val="00F0594E"/>
    <w:rsid w:val="00F05C9A"/>
    <w:rsid w:val="00F06F71"/>
    <w:rsid w:val="00F073D7"/>
    <w:rsid w:val="00F07848"/>
    <w:rsid w:val="00F1121D"/>
    <w:rsid w:val="00F17570"/>
    <w:rsid w:val="00F201B3"/>
    <w:rsid w:val="00F20C52"/>
    <w:rsid w:val="00F20FA4"/>
    <w:rsid w:val="00F233C1"/>
    <w:rsid w:val="00F24069"/>
    <w:rsid w:val="00F27C74"/>
    <w:rsid w:val="00F314AB"/>
    <w:rsid w:val="00F3354E"/>
    <w:rsid w:val="00F34656"/>
    <w:rsid w:val="00F36ABA"/>
    <w:rsid w:val="00F409B9"/>
    <w:rsid w:val="00F418DF"/>
    <w:rsid w:val="00F4253B"/>
    <w:rsid w:val="00F4354B"/>
    <w:rsid w:val="00F43CBE"/>
    <w:rsid w:val="00F56D45"/>
    <w:rsid w:val="00F60B1F"/>
    <w:rsid w:val="00F6301C"/>
    <w:rsid w:val="00F6525F"/>
    <w:rsid w:val="00F65F31"/>
    <w:rsid w:val="00F679BC"/>
    <w:rsid w:val="00F84B6D"/>
    <w:rsid w:val="00F86C4A"/>
    <w:rsid w:val="00F90AE9"/>
    <w:rsid w:val="00F9248F"/>
    <w:rsid w:val="00F93485"/>
    <w:rsid w:val="00F94347"/>
    <w:rsid w:val="00F945DA"/>
    <w:rsid w:val="00F96F4B"/>
    <w:rsid w:val="00FA2029"/>
    <w:rsid w:val="00FA21D7"/>
    <w:rsid w:val="00FA3EC5"/>
    <w:rsid w:val="00FA66ED"/>
    <w:rsid w:val="00FA6DBB"/>
    <w:rsid w:val="00FA6FD9"/>
    <w:rsid w:val="00FB12DB"/>
    <w:rsid w:val="00FB2E54"/>
    <w:rsid w:val="00FB3CA6"/>
    <w:rsid w:val="00FB4373"/>
    <w:rsid w:val="00FC4285"/>
    <w:rsid w:val="00FC56CB"/>
    <w:rsid w:val="00FC71C8"/>
    <w:rsid w:val="00FD1582"/>
    <w:rsid w:val="00FE2F7F"/>
    <w:rsid w:val="00FE4029"/>
    <w:rsid w:val="00FE4270"/>
    <w:rsid w:val="00FF2688"/>
    <w:rsid w:val="00FF44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strokecolor="#ffd700">
      <v:stroke color="#ffd700" weight="4pt"/>
    </o:shapedefaults>
    <o:shapelayout v:ext="edit">
      <o:idmap v:ext="edit" data="1"/>
    </o:shapelayout>
  </w:shapeDefaults>
  <w:decimalSymbol w:val="."/>
  <w:listSeparator w:val=","/>
  <w14:docId w14:val="52A6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909"/>
    <w:pPr>
      <w:spacing w:after="240"/>
    </w:pPr>
  </w:style>
  <w:style w:type="paragraph" w:styleId="Heading1">
    <w:name w:val="heading 1"/>
    <w:basedOn w:val="Normal"/>
    <w:next w:val="Normal"/>
    <w:link w:val="Heading1Char"/>
    <w:uiPriority w:val="9"/>
    <w:qFormat/>
    <w:rsid w:val="00D42F7E"/>
    <w:pPr>
      <w:keepNext/>
      <w:keepLines/>
      <w:pBdr>
        <w:bottom w:val="single" w:sz="4" w:space="1" w:color="auto"/>
      </w:pBdr>
      <w:outlineLvl w:val="0"/>
    </w:pPr>
    <w:rPr>
      <w:rFonts w:asciiTheme="minorHAnsi" w:eastAsiaTheme="majorEastAsia" w:hAnsiTheme="minorHAnsi" w:cstheme="minorHAnsi"/>
      <w:b/>
      <w:bCs/>
      <w:sz w:val="28"/>
      <w:szCs w:val="28"/>
    </w:rPr>
  </w:style>
  <w:style w:type="paragraph" w:styleId="Heading2">
    <w:name w:val="heading 2"/>
    <w:basedOn w:val="Normal"/>
    <w:next w:val="Normal"/>
    <w:link w:val="Heading2Char"/>
    <w:uiPriority w:val="9"/>
    <w:unhideWhenUsed/>
    <w:qFormat/>
    <w:rsid w:val="00D42F7E"/>
    <w:pPr>
      <w:keepNext/>
      <w:keepLines/>
      <w:spacing w:before="200" w:after="0"/>
      <w:outlineLvl w:val="1"/>
    </w:pPr>
    <w:rPr>
      <w:rFonts w:asciiTheme="minorHAnsi" w:eastAsiaTheme="majorEastAsia" w:hAnsiTheme="minorHAnsi" w:cstheme="minorHAnsi"/>
      <w:b/>
      <w:bCs/>
      <w:sz w:val="26"/>
      <w:szCs w:val="26"/>
    </w:rPr>
  </w:style>
  <w:style w:type="paragraph" w:styleId="Heading3">
    <w:name w:val="heading 3"/>
    <w:basedOn w:val="Normal"/>
    <w:next w:val="Normal"/>
    <w:link w:val="Heading3Char"/>
    <w:uiPriority w:val="9"/>
    <w:unhideWhenUsed/>
    <w:qFormat/>
    <w:rsid w:val="009E3492"/>
    <w:pPr>
      <w:keepNext/>
      <w:keepLines/>
      <w:spacing w:before="200" w:after="0"/>
      <w:outlineLvl w:val="2"/>
    </w:pPr>
    <w:rPr>
      <w:rFonts w:asciiTheme="minorHAnsi" w:eastAsiaTheme="majorEastAsia" w:hAnsiTheme="minorHAnsi"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F7E"/>
    <w:rPr>
      <w:rFonts w:asciiTheme="minorHAnsi" w:eastAsiaTheme="majorEastAsia" w:hAnsiTheme="minorHAnsi" w:cstheme="minorHAnsi"/>
      <w:b/>
      <w:bCs/>
      <w:sz w:val="28"/>
      <w:szCs w:val="28"/>
    </w:rPr>
  </w:style>
  <w:style w:type="character" w:customStyle="1" w:styleId="Heading2Char">
    <w:name w:val="Heading 2 Char"/>
    <w:basedOn w:val="DefaultParagraphFont"/>
    <w:link w:val="Heading2"/>
    <w:uiPriority w:val="9"/>
    <w:rsid w:val="00D42F7E"/>
    <w:rPr>
      <w:rFonts w:asciiTheme="minorHAnsi" w:eastAsiaTheme="majorEastAsia" w:hAnsiTheme="minorHAnsi" w:cstheme="minorHAnsi"/>
      <w:b/>
      <w:bCs/>
      <w:sz w:val="26"/>
      <w:szCs w:val="26"/>
    </w:rPr>
  </w:style>
  <w:style w:type="character" w:customStyle="1" w:styleId="Heading3Char">
    <w:name w:val="Heading 3 Char"/>
    <w:basedOn w:val="DefaultParagraphFont"/>
    <w:link w:val="Heading3"/>
    <w:uiPriority w:val="9"/>
    <w:rsid w:val="009E3492"/>
    <w:rPr>
      <w:rFonts w:asciiTheme="minorHAnsi" w:eastAsiaTheme="majorEastAsia" w:hAnsiTheme="minorHAnsi" w:cstheme="minorHAnsi"/>
      <w:b/>
      <w:bCs/>
    </w:rPr>
  </w:style>
  <w:style w:type="paragraph" w:styleId="Title">
    <w:name w:val="Title"/>
    <w:basedOn w:val="Normal"/>
    <w:next w:val="Normal"/>
    <w:link w:val="Title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E63E06"/>
    <w:rPr>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iPriority w:val="99"/>
    <w:unhideWhenUsed/>
    <w:rsid w:val="00360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215"/>
  </w:style>
  <w:style w:type="paragraph" w:styleId="BalloonText">
    <w:name w:val="Balloon Text"/>
    <w:basedOn w:val="Normal"/>
    <w:link w:val="BalloonTextChar"/>
    <w:uiPriority w:val="99"/>
    <w:semiHidden/>
    <w:unhideWhenUsed/>
    <w:rsid w:val="00360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215"/>
    <w:rPr>
      <w:rFonts w:ascii="Tahoma" w:hAnsi="Tahoma" w:cs="Tahoma"/>
      <w:sz w:val="16"/>
      <w:szCs w:val="16"/>
    </w:rPr>
  </w:style>
  <w:style w:type="paragraph" w:styleId="Footer">
    <w:name w:val="footer"/>
    <w:basedOn w:val="Normal"/>
    <w:link w:val="FooterChar"/>
    <w:uiPriority w:val="99"/>
    <w:unhideWhenUsed/>
    <w:rsid w:val="00360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215"/>
  </w:style>
  <w:style w:type="paragraph" w:customStyle="1" w:styleId="Footeroption">
    <w:name w:val="Footer option"/>
    <w:basedOn w:val="NoSpacing"/>
    <w:rsid w:val="00360215"/>
    <w:rPr>
      <w:color w:val="595959" w:themeColor="text1" w:themeTint="A6"/>
      <w:sz w:val="16"/>
    </w:rPr>
  </w:style>
  <w:style w:type="paragraph" w:styleId="NoSpacing">
    <w:name w:val="No Spacing"/>
    <w:uiPriority w:val="1"/>
    <w:qFormat/>
    <w:rsid w:val="00360215"/>
    <w:pPr>
      <w:spacing w:after="0" w:line="240" w:lineRule="auto"/>
    </w:pPr>
  </w:style>
  <w:style w:type="character" w:styleId="Hyperlink">
    <w:name w:val="Hyperlink"/>
    <w:basedOn w:val="DefaultParagraphFont"/>
    <w:uiPriority w:val="99"/>
    <w:unhideWhenUsed/>
    <w:rsid w:val="00956EF6"/>
    <w:rPr>
      <w:color w:val="0000FF" w:themeColor="hyperlink"/>
      <w:u w:val="single"/>
    </w:rPr>
  </w:style>
  <w:style w:type="character" w:styleId="CommentReference">
    <w:name w:val="annotation reference"/>
    <w:basedOn w:val="DefaultParagraphFont"/>
    <w:uiPriority w:val="99"/>
    <w:semiHidden/>
    <w:unhideWhenUsed/>
    <w:rsid w:val="00956EF6"/>
    <w:rPr>
      <w:sz w:val="16"/>
      <w:szCs w:val="16"/>
    </w:rPr>
  </w:style>
  <w:style w:type="paragraph" w:styleId="CommentText">
    <w:name w:val="annotation text"/>
    <w:basedOn w:val="Normal"/>
    <w:link w:val="CommentTextChar"/>
    <w:uiPriority w:val="99"/>
    <w:unhideWhenUsed/>
    <w:rsid w:val="00956EF6"/>
    <w:pPr>
      <w:spacing w:after="20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956EF6"/>
    <w:rPr>
      <w:rFonts w:asciiTheme="minorHAnsi" w:hAnsiTheme="minorHAnsi" w:cstheme="minorBidi"/>
      <w:sz w:val="20"/>
      <w:szCs w:val="20"/>
    </w:rPr>
  </w:style>
  <w:style w:type="paragraph" w:customStyle="1" w:styleId="EndNoteBibliographyTitle">
    <w:name w:val="EndNote Bibliography Title"/>
    <w:basedOn w:val="Normal"/>
    <w:link w:val="EndNoteBibliographyTitleChar"/>
    <w:rsid w:val="00595909"/>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595909"/>
    <w:rPr>
      <w:noProof/>
      <w:lang w:val="en-US"/>
    </w:rPr>
  </w:style>
  <w:style w:type="paragraph" w:customStyle="1" w:styleId="EndNoteBibliography">
    <w:name w:val="EndNote Bibliography"/>
    <w:basedOn w:val="Normal"/>
    <w:link w:val="EndNoteBibliographyChar"/>
    <w:rsid w:val="00595909"/>
    <w:pPr>
      <w:spacing w:after="200" w:line="240" w:lineRule="auto"/>
      <w:jc w:val="both"/>
    </w:pPr>
    <w:rPr>
      <w:noProof/>
      <w:lang w:val="en-US"/>
    </w:rPr>
  </w:style>
  <w:style w:type="character" w:customStyle="1" w:styleId="EndNoteBibliographyChar">
    <w:name w:val="EndNote Bibliography Char"/>
    <w:basedOn w:val="DefaultParagraphFont"/>
    <w:link w:val="EndNoteBibliography"/>
    <w:rsid w:val="00595909"/>
    <w:rPr>
      <w:noProof/>
      <w:lang w:val="en-US"/>
    </w:rPr>
  </w:style>
  <w:style w:type="character" w:customStyle="1" w:styleId="CommentSubjectChar">
    <w:name w:val="Comment Subject Char"/>
    <w:basedOn w:val="CommentTextChar"/>
    <w:link w:val="CommentSubject"/>
    <w:uiPriority w:val="99"/>
    <w:semiHidden/>
    <w:rsid w:val="00595909"/>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595909"/>
    <w:rPr>
      <w:b/>
      <w:bCs/>
    </w:rPr>
  </w:style>
  <w:style w:type="table" w:styleId="TableGrid">
    <w:name w:val="Table Grid"/>
    <w:basedOn w:val="TableNormal"/>
    <w:uiPriority w:val="59"/>
    <w:rsid w:val="00595909"/>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45C7B"/>
    <w:pPr>
      <w:spacing w:after="0" w:line="240" w:lineRule="auto"/>
    </w:pPr>
  </w:style>
  <w:style w:type="paragraph" w:customStyle="1" w:styleId="BasicParagraph">
    <w:name w:val="[Basic Paragraph]"/>
    <w:basedOn w:val="Normal"/>
    <w:uiPriority w:val="99"/>
    <w:rsid w:val="00323132"/>
    <w:pPr>
      <w:widowControl w:val="0"/>
      <w:autoSpaceDE w:val="0"/>
      <w:autoSpaceDN w:val="0"/>
      <w:adjustRightInd w:val="0"/>
      <w:spacing w:after="0" w:line="288" w:lineRule="auto"/>
      <w:textAlignment w:val="center"/>
    </w:pPr>
    <w:rPr>
      <w:rFonts w:ascii="Times-Roman" w:hAnsi="Times-Roman" w:cs="Times-Roman"/>
      <w:color w:val="000000"/>
      <w:sz w:val="24"/>
      <w:szCs w:val="24"/>
      <w:lang w:val="en-GB"/>
    </w:rPr>
  </w:style>
  <w:style w:type="character" w:customStyle="1" w:styleId="BodyCopy-Orange">
    <w:name w:val="Body Copy - Orange"/>
    <w:uiPriority w:val="99"/>
    <w:rsid w:val="00323132"/>
    <w:rPr>
      <w:rFonts w:ascii="HelveticaNeue-Light" w:hAnsi="HelveticaNeue-Light" w:cs="HelveticaNeue-Light"/>
      <w:color w:val="F47820"/>
      <w:sz w:val="17"/>
      <w:szCs w:val="17"/>
    </w:rPr>
  </w:style>
  <w:style w:type="character" w:styleId="PageNumber">
    <w:name w:val="page number"/>
    <w:basedOn w:val="DefaultParagraphFont"/>
    <w:rsid w:val="005D5A5A"/>
  </w:style>
  <w:style w:type="paragraph" w:styleId="TOCHeading">
    <w:name w:val="TOC Heading"/>
    <w:basedOn w:val="Heading1"/>
    <w:next w:val="Normal"/>
    <w:uiPriority w:val="39"/>
    <w:unhideWhenUsed/>
    <w:qFormat/>
    <w:rsid w:val="00AE0E8B"/>
    <w:pPr>
      <w:pBdr>
        <w:bottom w:val="none" w:sz="0" w:space="0" w:color="auto"/>
      </w:pBdr>
      <w:spacing w:before="480" w:after="0"/>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AE0E8B"/>
    <w:pPr>
      <w:spacing w:after="100"/>
    </w:pPr>
  </w:style>
  <w:style w:type="paragraph" w:styleId="TOC2">
    <w:name w:val="toc 2"/>
    <w:basedOn w:val="Normal"/>
    <w:next w:val="Normal"/>
    <w:autoRedefine/>
    <w:uiPriority w:val="39"/>
    <w:unhideWhenUsed/>
    <w:rsid w:val="00AE0E8B"/>
    <w:pPr>
      <w:spacing w:after="100"/>
      <w:ind w:left="220"/>
    </w:pPr>
  </w:style>
  <w:style w:type="paragraph" w:styleId="TOC3">
    <w:name w:val="toc 3"/>
    <w:basedOn w:val="Normal"/>
    <w:next w:val="Normal"/>
    <w:autoRedefine/>
    <w:uiPriority w:val="39"/>
    <w:unhideWhenUsed/>
    <w:rsid w:val="00AE0E8B"/>
    <w:pPr>
      <w:spacing w:after="100"/>
      <w:ind w:left="440"/>
    </w:pPr>
  </w:style>
  <w:style w:type="character" w:styleId="FollowedHyperlink">
    <w:name w:val="FollowedHyperlink"/>
    <w:basedOn w:val="DefaultParagraphFont"/>
    <w:uiPriority w:val="99"/>
    <w:semiHidden/>
    <w:unhideWhenUsed/>
    <w:rsid w:val="00E60D86"/>
    <w:rPr>
      <w:color w:val="800080" w:themeColor="followedHyperlink"/>
      <w:u w:val="single"/>
    </w:rPr>
  </w:style>
  <w:style w:type="character" w:customStyle="1" w:styleId="apple-converted-space">
    <w:name w:val="apple-converted-space"/>
    <w:basedOn w:val="DefaultParagraphFont"/>
    <w:rsid w:val="002855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909"/>
    <w:pPr>
      <w:spacing w:after="240"/>
    </w:pPr>
  </w:style>
  <w:style w:type="paragraph" w:styleId="Heading1">
    <w:name w:val="heading 1"/>
    <w:basedOn w:val="Normal"/>
    <w:next w:val="Normal"/>
    <w:link w:val="Heading1Char"/>
    <w:uiPriority w:val="9"/>
    <w:qFormat/>
    <w:rsid w:val="00D42F7E"/>
    <w:pPr>
      <w:keepNext/>
      <w:keepLines/>
      <w:pBdr>
        <w:bottom w:val="single" w:sz="4" w:space="1" w:color="auto"/>
      </w:pBdr>
      <w:outlineLvl w:val="0"/>
    </w:pPr>
    <w:rPr>
      <w:rFonts w:asciiTheme="minorHAnsi" w:eastAsiaTheme="majorEastAsia" w:hAnsiTheme="minorHAnsi" w:cstheme="minorHAnsi"/>
      <w:b/>
      <w:bCs/>
      <w:sz w:val="28"/>
      <w:szCs w:val="28"/>
    </w:rPr>
  </w:style>
  <w:style w:type="paragraph" w:styleId="Heading2">
    <w:name w:val="heading 2"/>
    <w:basedOn w:val="Normal"/>
    <w:next w:val="Normal"/>
    <w:link w:val="Heading2Char"/>
    <w:uiPriority w:val="9"/>
    <w:unhideWhenUsed/>
    <w:qFormat/>
    <w:rsid w:val="00D42F7E"/>
    <w:pPr>
      <w:keepNext/>
      <w:keepLines/>
      <w:spacing w:before="200" w:after="0"/>
      <w:outlineLvl w:val="1"/>
    </w:pPr>
    <w:rPr>
      <w:rFonts w:asciiTheme="minorHAnsi" w:eastAsiaTheme="majorEastAsia" w:hAnsiTheme="minorHAnsi" w:cstheme="minorHAnsi"/>
      <w:b/>
      <w:bCs/>
      <w:sz w:val="26"/>
      <w:szCs w:val="26"/>
    </w:rPr>
  </w:style>
  <w:style w:type="paragraph" w:styleId="Heading3">
    <w:name w:val="heading 3"/>
    <w:basedOn w:val="Normal"/>
    <w:next w:val="Normal"/>
    <w:link w:val="Heading3Char"/>
    <w:uiPriority w:val="9"/>
    <w:unhideWhenUsed/>
    <w:qFormat/>
    <w:rsid w:val="009E3492"/>
    <w:pPr>
      <w:keepNext/>
      <w:keepLines/>
      <w:spacing w:before="200" w:after="0"/>
      <w:outlineLvl w:val="2"/>
    </w:pPr>
    <w:rPr>
      <w:rFonts w:asciiTheme="minorHAnsi" w:eastAsiaTheme="majorEastAsia" w:hAnsiTheme="minorHAnsi"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F7E"/>
    <w:rPr>
      <w:rFonts w:asciiTheme="minorHAnsi" w:eastAsiaTheme="majorEastAsia" w:hAnsiTheme="minorHAnsi" w:cstheme="minorHAnsi"/>
      <w:b/>
      <w:bCs/>
      <w:sz w:val="28"/>
      <w:szCs w:val="28"/>
    </w:rPr>
  </w:style>
  <w:style w:type="character" w:customStyle="1" w:styleId="Heading2Char">
    <w:name w:val="Heading 2 Char"/>
    <w:basedOn w:val="DefaultParagraphFont"/>
    <w:link w:val="Heading2"/>
    <w:uiPriority w:val="9"/>
    <w:rsid w:val="00D42F7E"/>
    <w:rPr>
      <w:rFonts w:asciiTheme="minorHAnsi" w:eastAsiaTheme="majorEastAsia" w:hAnsiTheme="minorHAnsi" w:cstheme="minorHAnsi"/>
      <w:b/>
      <w:bCs/>
      <w:sz w:val="26"/>
      <w:szCs w:val="26"/>
    </w:rPr>
  </w:style>
  <w:style w:type="character" w:customStyle="1" w:styleId="Heading3Char">
    <w:name w:val="Heading 3 Char"/>
    <w:basedOn w:val="DefaultParagraphFont"/>
    <w:link w:val="Heading3"/>
    <w:uiPriority w:val="9"/>
    <w:rsid w:val="009E3492"/>
    <w:rPr>
      <w:rFonts w:asciiTheme="minorHAnsi" w:eastAsiaTheme="majorEastAsia" w:hAnsiTheme="minorHAnsi" w:cstheme="minorHAnsi"/>
      <w:b/>
      <w:bCs/>
    </w:rPr>
  </w:style>
  <w:style w:type="paragraph" w:styleId="Title">
    <w:name w:val="Title"/>
    <w:basedOn w:val="Normal"/>
    <w:next w:val="Normal"/>
    <w:link w:val="Title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E63E06"/>
    <w:rPr>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iPriority w:val="99"/>
    <w:unhideWhenUsed/>
    <w:rsid w:val="00360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215"/>
  </w:style>
  <w:style w:type="paragraph" w:styleId="BalloonText">
    <w:name w:val="Balloon Text"/>
    <w:basedOn w:val="Normal"/>
    <w:link w:val="BalloonTextChar"/>
    <w:uiPriority w:val="99"/>
    <w:semiHidden/>
    <w:unhideWhenUsed/>
    <w:rsid w:val="00360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215"/>
    <w:rPr>
      <w:rFonts w:ascii="Tahoma" w:hAnsi="Tahoma" w:cs="Tahoma"/>
      <w:sz w:val="16"/>
      <w:szCs w:val="16"/>
    </w:rPr>
  </w:style>
  <w:style w:type="paragraph" w:styleId="Footer">
    <w:name w:val="footer"/>
    <w:basedOn w:val="Normal"/>
    <w:link w:val="FooterChar"/>
    <w:uiPriority w:val="99"/>
    <w:unhideWhenUsed/>
    <w:rsid w:val="00360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215"/>
  </w:style>
  <w:style w:type="paragraph" w:customStyle="1" w:styleId="Footeroption">
    <w:name w:val="Footer option"/>
    <w:basedOn w:val="NoSpacing"/>
    <w:rsid w:val="00360215"/>
    <w:rPr>
      <w:color w:val="595959" w:themeColor="text1" w:themeTint="A6"/>
      <w:sz w:val="16"/>
    </w:rPr>
  </w:style>
  <w:style w:type="paragraph" w:styleId="NoSpacing">
    <w:name w:val="No Spacing"/>
    <w:uiPriority w:val="1"/>
    <w:qFormat/>
    <w:rsid w:val="00360215"/>
    <w:pPr>
      <w:spacing w:after="0" w:line="240" w:lineRule="auto"/>
    </w:pPr>
  </w:style>
  <w:style w:type="character" w:styleId="Hyperlink">
    <w:name w:val="Hyperlink"/>
    <w:basedOn w:val="DefaultParagraphFont"/>
    <w:uiPriority w:val="99"/>
    <w:unhideWhenUsed/>
    <w:rsid w:val="00956EF6"/>
    <w:rPr>
      <w:color w:val="0000FF" w:themeColor="hyperlink"/>
      <w:u w:val="single"/>
    </w:rPr>
  </w:style>
  <w:style w:type="character" w:styleId="CommentReference">
    <w:name w:val="annotation reference"/>
    <w:basedOn w:val="DefaultParagraphFont"/>
    <w:uiPriority w:val="99"/>
    <w:semiHidden/>
    <w:unhideWhenUsed/>
    <w:rsid w:val="00956EF6"/>
    <w:rPr>
      <w:sz w:val="16"/>
      <w:szCs w:val="16"/>
    </w:rPr>
  </w:style>
  <w:style w:type="paragraph" w:styleId="CommentText">
    <w:name w:val="annotation text"/>
    <w:basedOn w:val="Normal"/>
    <w:link w:val="CommentTextChar"/>
    <w:uiPriority w:val="99"/>
    <w:unhideWhenUsed/>
    <w:rsid w:val="00956EF6"/>
    <w:pPr>
      <w:spacing w:after="20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956EF6"/>
    <w:rPr>
      <w:rFonts w:asciiTheme="minorHAnsi" w:hAnsiTheme="minorHAnsi" w:cstheme="minorBidi"/>
      <w:sz w:val="20"/>
      <w:szCs w:val="20"/>
    </w:rPr>
  </w:style>
  <w:style w:type="paragraph" w:customStyle="1" w:styleId="EndNoteBibliographyTitle">
    <w:name w:val="EndNote Bibliography Title"/>
    <w:basedOn w:val="Normal"/>
    <w:link w:val="EndNoteBibliographyTitleChar"/>
    <w:rsid w:val="00595909"/>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595909"/>
    <w:rPr>
      <w:noProof/>
      <w:lang w:val="en-US"/>
    </w:rPr>
  </w:style>
  <w:style w:type="paragraph" w:customStyle="1" w:styleId="EndNoteBibliography">
    <w:name w:val="EndNote Bibliography"/>
    <w:basedOn w:val="Normal"/>
    <w:link w:val="EndNoteBibliographyChar"/>
    <w:rsid w:val="00595909"/>
    <w:pPr>
      <w:spacing w:after="200" w:line="240" w:lineRule="auto"/>
      <w:jc w:val="both"/>
    </w:pPr>
    <w:rPr>
      <w:noProof/>
      <w:lang w:val="en-US"/>
    </w:rPr>
  </w:style>
  <w:style w:type="character" w:customStyle="1" w:styleId="EndNoteBibliographyChar">
    <w:name w:val="EndNote Bibliography Char"/>
    <w:basedOn w:val="DefaultParagraphFont"/>
    <w:link w:val="EndNoteBibliography"/>
    <w:rsid w:val="00595909"/>
    <w:rPr>
      <w:noProof/>
      <w:lang w:val="en-US"/>
    </w:rPr>
  </w:style>
  <w:style w:type="character" w:customStyle="1" w:styleId="CommentSubjectChar">
    <w:name w:val="Comment Subject Char"/>
    <w:basedOn w:val="CommentTextChar"/>
    <w:link w:val="CommentSubject"/>
    <w:uiPriority w:val="99"/>
    <w:semiHidden/>
    <w:rsid w:val="00595909"/>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595909"/>
    <w:rPr>
      <w:b/>
      <w:bCs/>
    </w:rPr>
  </w:style>
  <w:style w:type="table" w:styleId="TableGrid">
    <w:name w:val="Table Grid"/>
    <w:basedOn w:val="TableNormal"/>
    <w:uiPriority w:val="59"/>
    <w:rsid w:val="00595909"/>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45C7B"/>
    <w:pPr>
      <w:spacing w:after="0" w:line="240" w:lineRule="auto"/>
    </w:pPr>
  </w:style>
  <w:style w:type="paragraph" w:customStyle="1" w:styleId="BasicParagraph">
    <w:name w:val="[Basic Paragraph]"/>
    <w:basedOn w:val="Normal"/>
    <w:uiPriority w:val="99"/>
    <w:rsid w:val="00323132"/>
    <w:pPr>
      <w:widowControl w:val="0"/>
      <w:autoSpaceDE w:val="0"/>
      <w:autoSpaceDN w:val="0"/>
      <w:adjustRightInd w:val="0"/>
      <w:spacing w:after="0" w:line="288" w:lineRule="auto"/>
      <w:textAlignment w:val="center"/>
    </w:pPr>
    <w:rPr>
      <w:rFonts w:ascii="Times-Roman" w:hAnsi="Times-Roman" w:cs="Times-Roman"/>
      <w:color w:val="000000"/>
      <w:sz w:val="24"/>
      <w:szCs w:val="24"/>
      <w:lang w:val="en-GB"/>
    </w:rPr>
  </w:style>
  <w:style w:type="character" w:customStyle="1" w:styleId="BodyCopy-Orange">
    <w:name w:val="Body Copy - Orange"/>
    <w:uiPriority w:val="99"/>
    <w:rsid w:val="00323132"/>
    <w:rPr>
      <w:rFonts w:ascii="HelveticaNeue-Light" w:hAnsi="HelveticaNeue-Light" w:cs="HelveticaNeue-Light"/>
      <w:color w:val="F47820"/>
      <w:sz w:val="17"/>
      <w:szCs w:val="17"/>
    </w:rPr>
  </w:style>
  <w:style w:type="character" w:styleId="PageNumber">
    <w:name w:val="page number"/>
    <w:basedOn w:val="DefaultParagraphFont"/>
    <w:rsid w:val="005D5A5A"/>
  </w:style>
  <w:style w:type="paragraph" w:styleId="TOCHeading">
    <w:name w:val="TOC Heading"/>
    <w:basedOn w:val="Heading1"/>
    <w:next w:val="Normal"/>
    <w:uiPriority w:val="39"/>
    <w:unhideWhenUsed/>
    <w:qFormat/>
    <w:rsid w:val="00AE0E8B"/>
    <w:pPr>
      <w:pBdr>
        <w:bottom w:val="none" w:sz="0" w:space="0" w:color="auto"/>
      </w:pBdr>
      <w:spacing w:before="480" w:after="0"/>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AE0E8B"/>
    <w:pPr>
      <w:spacing w:after="100"/>
    </w:pPr>
  </w:style>
  <w:style w:type="paragraph" w:styleId="TOC2">
    <w:name w:val="toc 2"/>
    <w:basedOn w:val="Normal"/>
    <w:next w:val="Normal"/>
    <w:autoRedefine/>
    <w:uiPriority w:val="39"/>
    <w:unhideWhenUsed/>
    <w:rsid w:val="00AE0E8B"/>
    <w:pPr>
      <w:spacing w:after="100"/>
      <w:ind w:left="220"/>
    </w:pPr>
  </w:style>
  <w:style w:type="paragraph" w:styleId="TOC3">
    <w:name w:val="toc 3"/>
    <w:basedOn w:val="Normal"/>
    <w:next w:val="Normal"/>
    <w:autoRedefine/>
    <w:uiPriority w:val="39"/>
    <w:unhideWhenUsed/>
    <w:rsid w:val="00AE0E8B"/>
    <w:pPr>
      <w:spacing w:after="100"/>
      <w:ind w:left="440"/>
    </w:pPr>
  </w:style>
  <w:style w:type="character" w:styleId="FollowedHyperlink">
    <w:name w:val="FollowedHyperlink"/>
    <w:basedOn w:val="DefaultParagraphFont"/>
    <w:uiPriority w:val="99"/>
    <w:semiHidden/>
    <w:unhideWhenUsed/>
    <w:rsid w:val="00E60D86"/>
    <w:rPr>
      <w:color w:val="800080" w:themeColor="followedHyperlink"/>
      <w:u w:val="single"/>
    </w:rPr>
  </w:style>
  <w:style w:type="character" w:customStyle="1" w:styleId="apple-converted-space">
    <w:name w:val="apple-converted-space"/>
    <w:basedOn w:val="DefaultParagraphFont"/>
    <w:rsid w:val="00285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06009">
      <w:bodyDiv w:val="1"/>
      <w:marLeft w:val="0"/>
      <w:marRight w:val="0"/>
      <w:marTop w:val="0"/>
      <w:marBottom w:val="0"/>
      <w:divBdr>
        <w:top w:val="none" w:sz="0" w:space="0" w:color="auto"/>
        <w:left w:val="none" w:sz="0" w:space="0" w:color="auto"/>
        <w:bottom w:val="none" w:sz="0" w:space="0" w:color="auto"/>
        <w:right w:val="none" w:sz="0" w:space="0" w:color="auto"/>
      </w:divBdr>
    </w:div>
    <w:div w:id="1287665434">
      <w:bodyDiv w:val="1"/>
      <w:marLeft w:val="0"/>
      <w:marRight w:val="0"/>
      <w:marTop w:val="0"/>
      <w:marBottom w:val="0"/>
      <w:divBdr>
        <w:top w:val="none" w:sz="0" w:space="0" w:color="auto"/>
        <w:left w:val="none" w:sz="0" w:space="0" w:color="auto"/>
        <w:bottom w:val="none" w:sz="0" w:space="0" w:color="auto"/>
        <w:right w:val="none" w:sz="0" w:space="0" w:color="auto"/>
      </w:divBdr>
    </w:div>
    <w:div w:id="1496451417">
      <w:bodyDiv w:val="1"/>
      <w:marLeft w:val="0"/>
      <w:marRight w:val="0"/>
      <w:marTop w:val="0"/>
      <w:marBottom w:val="0"/>
      <w:divBdr>
        <w:top w:val="none" w:sz="0" w:space="0" w:color="auto"/>
        <w:left w:val="none" w:sz="0" w:space="0" w:color="auto"/>
        <w:bottom w:val="none" w:sz="0" w:space="0" w:color="auto"/>
        <w:right w:val="none" w:sz="0" w:space="0" w:color="auto"/>
      </w:divBdr>
    </w:div>
    <w:div w:id="1519537829">
      <w:bodyDiv w:val="1"/>
      <w:marLeft w:val="0"/>
      <w:marRight w:val="0"/>
      <w:marTop w:val="0"/>
      <w:marBottom w:val="0"/>
      <w:divBdr>
        <w:top w:val="none" w:sz="0" w:space="0" w:color="auto"/>
        <w:left w:val="none" w:sz="0" w:space="0" w:color="auto"/>
        <w:bottom w:val="none" w:sz="0" w:space="0" w:color="auto"/>
        <w:right w:val="none" w:sz="0" w:space="0" w:color="auto"/>
      </w:divBdr>
    </w:div>
    <w:div w:id="174109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afetyandquality.gov.au" TargetMode="External"/><Relationship Id="rId18" Type="http://schemas.openxmlformats.org/officeDocument/2006/relationships/image" Target="media/image3.jpeg"/><Relationship Id="rId26" Type="http://schemas.openxmlformats.org/officeDocument/2006/relationships/hyperlink" Target="http://meteor.aihw.gov.au/content/index.phtml/itemId/598750"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6.png"/><Relationship Id="rId42" Type="http://schemas.openxmlformats.org/officeDocument/2006/relationships/header" Target="header4.xml"/><Relationship Id="rId50"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www.healthstats.nsw.gov.au/Indicatorgroup/indicatorViewList?code=avo&amp;topic=topic_avodth&amp;name=Potentially%20avoidable%20deathsTopic" TargetMode="External"/><Relationship Id="rId33" Type="http://schemas.openxmlformats.org/officeDocument/2006/relationships/hyperlink" Target="http://www.aihw.gov.au/deaths/premature-mortality/" TargetMode="External"/><Relationship Id="rId38" Type="http://schemas.openxmlformats.org/officeDocument/2006/relationships/image" Target="media/image10.tif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hyperlink" Target="http://indicatorlibrary.cihi.ca/pages/viewpage.action?pageId=1114195"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aihw.gov.au/deaths/premature-mortality/" TargetMode="External"/><Relationship Id="rId32" Type="http://schemas.openxmlformats.org/officeDocument/2006/relationships/hyperlink" Target="http://www.abs.gov.au/ausstats/abs@.nsf/Lookup/by%20Subject/3303.0~2013~Main%20Features~Deaths%20of%20Aboriginal%20and%20Torres%20Strait%20Islander%20Persons~10005" TargetMode="External"/><Relationship Id="rId37" Type="http://schemas.openxmlformats.org/officeDocument/2006/relationships/image" Target="media/image9.png"/><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meteor.aihw.gov.au/content/index.phtml/itemId/598750" TargetMode="External"/><Relationship Id="rId28" Type="http://schemas.openxmlformats.org/officeDocument/2006/relationships/hyperlink" Target="http://www.nhpa.gov.au/internet/nhpa/publishing.nsf/content/paf" TargetMode="External"/><Relationship Id="rId36" Type="http://schemas.openxmlformats.org/officeDocument/2006/relationships/image" Target="media/image8.tiff"/><Relationship Id="rId49"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www.abs.gov.au/ausstats/abs@.nsf/Lookup/by%20Subject/3303.0~2013~Main%20Features~Suicides~10004"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munications@safetyandquality.gov.au" TargetMode="External"/><Relationship Id="rId22" Type="http://schemas.openxmlformats.org/officeDocument/2006/relationships/hyperlink" Target="http://www.abs.gov.au/ausstats/abs@.nsf/Lookup/by%20Subject/3303.0~2014~Main%20Features~Potentially%20Avoidable%20Mortality%20~10043" TargetMode="External"/><Relationship Id="rId27" Type="http://schemas.openxmlformats.org/officeDocument/2006/relationships/hyperlink" Target="http://www.federalfinancialrelations.gov.au/content/national_agreements.aspx" TargetMode="External"/><Relationship Id="rId30" Type="http://schemas.openxmlformats.org/officeDocument/2006/relationships/hyperlink" Target="http://www.abs.gov.au/ausstats/abs@.nsf/Lookup/3303.0Technical+Note12013" TargetMode="External"/><Relationship Id="rId35" Type="http://schemas.openxmlformats.org/officeDocument/2006/relationships/image" Target="media/image7.png"/><Relationship Id="rId43"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B4A1F787F0C441AC878A307E051D262E00A6B57C8B7772114D8085EC91ED69814D" ma:contentTypeVersion="1" ma:contentTypeDescription="AIHW Project Document" ma:contentTypeScope="" ma:versionID="e59be63920fd418887ff008a85346a8a">
  <xsd:schema xmlns:xsd="http://www.w3.org/2001/XMLSchema" xmlns:xs="http://www.w3.org/2001/XMLSchema" xmlns:p="http://schemas.microsoft.com/office/2006/metadata/properties" xmlns:ns2="0fb4eb10-42ce-41f0-85ee-e600ddd01ad0" targetNamespace="http://schemas.microsoft.com/office/2006/metadata/properties" ma:root="true" ma:fieldsID="022247d5f828b24c26b2ecacef1a80de" ns2:_="">
    <xsd:import namespace="0fb4eb10-42ce-41f0-85ee-e600ddd01ad0"/>
    <xsd:element name="properties">
      <xsd:complexType>
        <xsd:sequence>
          <xsd:element name="documentManagement">
            <xsd:complexType>
              <xsd:all>
                <xsd:element ref="ns2:AIHW_PPR_ProjectCategoryLook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4eb10-42ce-41f0-85ee-e600ddd01ad0" elementFormDefault="qualified">
    <xsd:import namespace="http://schemas.microsoft.com/office/2006/documentManagement/types"/>
    <xsd:import namespace="http://schemas.microsoft.com/office/infopath/2007/PartnerControls"/>
    <xsd:element name="AIHW_PPR_ProjectCategoryLookup" ma:index="8" nillable="true" ma:displayName="Category" ma:description="" ma:list="{9bfbaa1c-ea44-4520-aa36-5143b219410a}" ma:internalName="AIHW_PPR_ProjectCategoryLookup" ma:showField="Title" ma:web="{0fb4eb10-42ce-41f0-85ee-e600ddd01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IHW_PPR_ProjectCategoryLookup xmlns="0fb4eb10-42ce-41f0-85ee-e600ddd01ad0"/>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EEF409-CFFB-42F9-8E92-DA3E87E5103E}">
  <ds:schemaRefs>
    <ds:schemaRef ds:uri="http://schemas.microsoft.com/sharepoint/v3/contenttype/forms"/>
  </ds:schemaRefs>
</ds:datastoreItem>
</file>

<file path=customXml/itemProps2.xml><?xml version="1.0" encoding="utf-8"?>
<ds:datastoreItem xmlns:ds="http://schemas.openxmlformats.org/officeDocument/2006/customXml" ds:itemID="{ED0B0BB7-3A5D-4A93-8680-FA4651EDE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4eb10-42ce-41f0-85ee-e600ddd01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1060F4-471B-485D-B045-5AA22467E75C}">
  <ds:schemaRefs>
    <ds:schemaRef ds:uri="http://schemas.microsoft.com/office/2006/metadata/properties"/>
    <ds:schemaRef ds:uri="http://schemas.microsoft.com/office/infopath/2007/PartnerControls"/>
    <ds:schemaRef ds:uri="0fb4eb10-42ce-41f0-85ee-e600ddd01ad0"/>
  </ds:schemaRefs>
</ds:datastoreItem>
</file>

<file path=customXml/itemProps4.xml><?xml version="1.0" encoding="utf-8"?>
<ds:datastoreItem xmlns:ds="http://schemas.openxmlformats.org/officeDocument/2006/customXml" ds:itemID="{BF575592-800C-48DF-88AA-37EF74DEE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10873</Words>
  <Characters>64261</Characters>
  <Application>Microsoft Office Word</Application>
  <DocSecurity>0</DocSecurity>
  <Lines>1428</Lines>
  <Paragraphs>642</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vt:lpstr>Preface </vt:lpstr>
      <vt:lpstr>Contents </vt:lpstr>
      <vt:lpstr>1. Background</vt:lpstr>
      <vt:lpstr>2. Overview of potentially avoidable deaths</vt:lpstr>
      <vt:lpstr>    2.1 Evolution of potentially avoidable deaths as a health performance indicator </vt:lpstr>
      <vt:lpstr>    2.2 Strengths and limitations as a health performance indicator </vt:lpstr>
      <vt:lpstr>3. Using the potentially avoidable deaths indicator</vt:lpstr>
      <vt:lpstr>    3.1 Comparisons between geographic regions</vt:lpstr>
      <vt:lpstr>        Other factors to consider</vt:lpstr>
      <vt:lpstr>    3.2 Breakdowns by cause of death and population subgroups </vt:lpstr>
      <vt:lpstr>    3.3 Trends in potentially avoidable deaths</vt:lpstr>
      <vt:lpstr>        Limitations</vt:lpstr>
      <vt:lpstr>4. Further resources</vt:lpstr>
      <vt:lpstr>5. References</vt:lpstr>
      <vt:lpstr>Appendices</vt:lpstr>
      <vt:lpstr>    Appendix 1: Conditions in the potentially avoidable deaths indicator </vt:lpstr>
      <vt:lpstr>    Appendix 2: Example of comparisons between geographic regions using peer groupin</vt:lpstr>
      <vt:lpstr>    Appendix 3: Examples of breakdown of potentially avoidable deaths by conditions,</vt:lpstr>
      <vt:lpstr>    Appendix 4: Examples of time trends</vt:lpstr>
    </vt:vector>
  </TitlesOfParts>
  <Company>UNSW</Company>
  <LinksUpToDate>false</LinksUpToDate>
  <CharactersWithSpaces>74492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Francis</dc:creator>
  <cp:lastModifiedBy>BARNSLEY, Katherine</cp:lastModifiedBy>
  <cp:revision>2</cp:revision>
  <cp:lastPrinted>2016-06-29T00:32:00Z</cp:lastPrinted>
  <dcterms:created xsi:type="dcterms:W3CDTF">2017-03-15T00:08:00Z</dcterms:created>
  <dcterms:modified xsi:type="dcterms:W3CDTF">2017-03-15T00:08:00Z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0x010100B4A1F787F0C441AC878A307E051D262E00A6B57C8B7772114D8085EC91ED69814D</vt:lpwstr>
  </property>
</Properties>
</file>