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2A32B" w14:textId="12221B67" w:rsidR="00332F50" w:rsidRPr="003A2D00" w:rsidRDefault="00332F50" w:rsidP="00090BC2">
      <w:pPr>
        <w:pStyle w:val="Title"/>
      </w:pPr>
      <w:r w:rsidRPr="003A2D00">
        <w:t>AURA 2016</w:t>
      </w:r>
    </w:p>
    <w:p w14:paraId="2EBFD562" w14:textId="77777777" w:rsidR="00332F50" w:rsidRPr="003A2D00" w:rsidRDefault="00332F50" w:rsidP="00090BC2">
      <w:pPr>
        <w:pStyle w:val="Title"/>
      </w:pPr>
      <w:r w:rsidRPr="003A2D00">
        <w:t>First Australian report on antimicrobial use and resistance in human health</w:t>
      </w:r>
    </w:p>
    <w:p w14:paraId="20B70F3D" w14:textId="498D82A6" w:rsidR="00090BC2" w:rsidRPr="003A2D00" w:rsidRDefault="00332F50" w:rsidP="00090BC2">
      <w:pPr>
        <w:pStyle w:val="Title"/>
      </w:pPr>
      <w:r w:rsidRPr="003A2D00">
        <w:t>Summary report</w:t>
      </w:r>
      <w:r w:rsidR="00090BC2" w:rsidRPr="003A2D00">
        <w:t xml:space="preserve"> </w:t>
      </w:r>
    </w:p>
    <w:p w14:paraId="29D062EB" w14:textId="77777777" w:rsidR="00D20FD9" w:rsidRPr="003A2D00" w:rsidRDefault="00D20FD9" w:rsidP="00D94E34">
      <w:pPr>
        <w:jc w:val="center"/>
      </w:pPr>
    </w:p>
    <w:p w14:paraId="3A6F8DFD" w14:textId="77777777" w:rsidR="00D20FD9" w:rsidRPr="003A2D00" w:rsidRDefault="00D20FD9">
      <w:pPr>
        <w:sectPr w:rsidR="00D20FD9" w:rsidRPr="003A2D00">
          <w:footnotePr>
            <w:numRestart w:val="eachSect"/>
          </w:footnotePr>
          <w:pgSz w:w="11906" w:h="16838" w:code="9"/>
          <w:pgMar w:top="1440" w:right="1440" w:bottom="1440" w:left="1440" w:header="576" w:footer="576" w:gutter="0"/>
          <w:pgNumType w:fmt="lowerRoman"/>
          <w:cols w:space="720"/>
          <w:titlePg/>
        </w:sectPr>
      </w:pPr>
    </w:p>
    <w:p w14:paraId="64A6FAB9" w14:textId="77777777" w:rsidR="00E17195" w:rsidRPr="003A2D00" w:rsidRDefault="00E17195" w:rsidP="00E17195">
      <w:pPr>
        <w:pStyle w:val="ImprintText"/>
      </w:pPr>
      <w:r w:rsidRPr="003A2D00">
        <w:lastRenderedPageBreak/>
        <w:t>© Commonwealth of Australia 2016</w:t>
      </w:r>
    </w:p>
    <w:p w14:paraId="74ED86E9" w14:textId="77777777" w:rsidR="00E17195" w:rsidRPr="003A2D00" w:rsidRDefault="00E17195" w:rsidP="00E17195">
      <w:pPr>
        <w:pStyle w:val="ImprintText"/>
      </w:pPr>
      <w:r w:rsidRPr="003A2D00">
        <w:t>This work is copyright. It may be reproduced in whole or in part for study or training purposes, subject to the inclusion of an acknowledgement of the source.</w:t>
      </w:r>
    </w:p>
    <w:p w14:paraId="575D9493" w14:textId="77777777" w:rsidR="00E17195" w:rsidRPr="003A2D00" w:rsidRDefault="00E17195" w:rsidP="00E17195">
      <w:pPr>
        <w:pStyle w:val="ImprintText"/>
      </w:pPr>
      <w:r w:rsidRPr="003A2D00">
        <w:t>Address requests and inquiries concerning reproduction and rights for purposes other than those indicated above in writing to:</w:t>
      </w:r>
    </w:p>
    <w:p w14:paraId="3C19B607" w14:textId="77777777" w:rsidR="00E17195" w:rsidRPr="003A2D00" w:rsidRDefault="00E17195" w:rsidP="00E17195">
      <w:pPr>
        <w:pStyle w:val="ImprintText"/>
      </w:pPr>
      <w:r w:rsidRPr="003A2D00">
        <w:t>AURA – Commonwealth Programs, Australian Commission on Safety and Quality in Health Care, GPO Box 5480, Sydney NSW 2001</w:t>
      </w:r>
    </w:p>
    <w:p w14:paraId="4168F03A" w14:textId="77777777" w:rsidR="00E17195" w:rsidRPr="003A2D00" w:rsidRDefault="00E17195" w:rsidP="00E17195">
      <w:pPr>
        <w:pStyle w:val="ImprintText"/>
      </w:pPr>
      <w:r w:rsidRPr="003A2D00">
        <w:t xml:space="preserve">Or email </w:t>
      </w:r>
      <w:r w:rsidR="00DF4C70" w:rsidRPr="003A2D00">
        <w:t>AURA</w:t>
      </w:r>
      <w:r w:rsidRPr="003A2D00">
        <w:t>@safetyandquality.gov.au</w:t>
      </w:r>
    </w:p>
    <w:p w14:paraId="71D4B80F" w14:textId="6DEA4DBD" w:rsidR="00E17195" w:rsidRPr="003A2D00" w:rsidRDefault="00E17195" w:rsidP="00E17195">
      <w:pPr>
        <w:pStyle w:val="ImprintText"/>
      </w:pPr>
      <w:r w:rsidRPr="003A2D00">
        <w:t xml:space="preserve">Suggested citation: Australian Commission on Safety and Quality in Health Care (ACSQHC). </w:t>
      </w:r>
      <w:r w:rsidRPr="003A2D00">
        <w:rPr>
          <w:rStyle w:val="Emphasis"/>
        </w:rPr>
        <w:t xml:space="preserve">AURA 2016: </w:t>
      </w:r>
      <w:r w:rsidR="00332F50" w:rsidRPr="003A2D00">
        <w:rPr>
          <w:rStyle w:val="Emphasis"/>
        </w:rPr>
        <w:t xml:space="preserve">first Australian report on antimicrobial use and resistance in human health – </w:t>
      </w:r>
      <w:r w:rsidRPr="003A2D00">
        <w:rPr>
          <w:rStyle w:val="Emphasis"/>
        </w:rPr>
        <w:t>summary</w:t>
      </w:r>
      <w:r w:rsidR="0038236A" w:rsidRPr="003A2D00">
        <w:rPr>
          <w:rStyle w:val="Emphasis"/>
        </w:rPr>
        <w:t xml:space="preserve"> report</w:t>
      </w:r>
      <w:r w:rsidRPr="003A2D00">
        <w:t xml:space="preserve">. Sydney: ACSQHC, 2016. </w:t>
      </w:r>
    </w:p>
    <w:p w14:paraId="08A6133C" w14:textId="77777777" w:rsidR="00E17195" w:rsidRPr="003A2D00" w:rsidRDefault="00E17195" w:rsidP="00E17195">
      <w:pPr>
        <w:pStyle w:val="ImprintText"/>
      </w:pPr>
      <w:r w:rsidRPr="003A2D00">
        <w:t>An online version of this report can be accessed at www.safetyandquality.gov.au.</w:t>
      </w:r>
    </w:p>
    <w:p w14:paraId="663C9AF8" w14:textId="57E10C81" w:rsidR="00E17195" w:rsidRPr="003A2D00" w:rsidRDefault="00E17195" w:rsidP="000C57EE">
      <w:pPr>
        <w:pStyle w:val="ImprintText"/>
      </w:pPr>
      <w:r w:rsidRPr="003A2D00">
        <w:t xml:space="preserve">ISBN: </w:t>
      </w:r>
      <w:r w:rsidR="00090BC2" w:rsidRPr="003A2D00">
        <w:t xml:space="preserve">978-1-925224-47-4 </w:t>
      </w:r>
      <w:r w:rsidRPr="003A2D00">
        <w:t>(</w:t>
      </w:r>
      <w:r w:rsidR="00090BC2" w:rsidRPr="003A2D00">
        <w:t>p</w:t>
      </w:r>
      <w:r w:rsidRPr="003A2D00">
        <w:t xml:space="preserve">rint) </w:t>
      </w:r>
      <w:r w:rsidR="00090BC2" w:rsidRPr="003A2D00">
        <w:t xml:space="preserve">978-1-925224-48-1 </w:t>
      </w:r>
      <w:r w:rsidRPr="003A2D00">
        <w:t>(online)</w:t>
      </w:r>
    </w:p>
    <w:p w14:paraId="3E120272" w14:textId="77777777" w:rsidR="00E17195" w:rsidRPr="003A2D00" w:rsidRDefault="00E17195" w:rsidP="00E17195">
      <w:pPr>
        <w:pStyle w:val="ImprintText"/>
        <w:rPr>
          <w:rStyle w:val="Strong"/>
        </w:rPr>
      </w:pPr>
      <w:r w:rsidRPr="003A2D00">
        <w:rPr>
          <w:rStyle w:val="Strong"/>
        </w:rPr>
        <w:t>Acknowledgements</w:t>
      </w:r>
    </w:p>
    <w:p w14:paraId="53F4ADE6" w14:textId="55681179" w:rsidR="00E17195" w:rsidRPr="003A2D00" w:rsidRDefault="00E17195" w:rsidP="00E17195">
      <w:pPr>
        <w:pStyle w:val="ImprintText"/>
      </w:pPr>
      <w:r w:rsidRPr="003A2D00">
        <w:t xml:space="preserve">Many individuals and organisations gave their time and expertise over an extended period to this report and the Antimicrobial Use and Resistance in Australia (AURA) project, which were conducted by the Commission. In particular, the Commission wishes to thank the Australian Government Department of Health, </w:t>
      </w:r>
      <w:r w:rsidR="0020248C" w:rsidRPr="003A2D00">
        <w:t xml:space="preserve">the states and territories and their public hospitals, contributing private hospitals, </w:t>
      </w:r>
      <w:r w:rsidRPr="003A2D00">
        <w:t xml:space="preserve">the Australian Group on Antimicrobial Resistance, the National Centre for Antimicrobial Stewardship, SA Health, Queensland Health, Pathology Queensland, Sullivan </w:t>
      </w:r>
      <w:proofErr w:type="spellStart"/>
      <w:r w:rsidRPr="003A2D00">
        <w:t>Nicolaides</w:t>
      </w:r>
      <w:proofErr w:type="spellEnd"/>
      <w:r w:rsidRPr="003A2D00">
        <w:t xml:space="preserve"> Pathology, NPS </w:t>
      </w:r>
      <w:proofErr w:type="spellStart"/>
      <w:r w:rsidRPr="003A2D00">
        <w:t>MedicineWise</w:t>
      </w:r>
      <w:proofErr w:type="spellEnd"/>
      <w:r w:rsidRPr="003A2D00">
        <w:t xml:space="preserve">, the National Neisseria Network, the Australian Mycobacterium Reference Laboratory Network and other key experts who have provided their time and considered advice. The involvement and willingness of all concerned to share their experience and expertise </w:t>
      </w:r>
      <w:r w:rsidR="004F5461" w:rsidRPr="003A2D00">
        <w:t>are</w:t>
      </w:r>
      <w:r w:rsidRPr="003A2D00">
        <w:t xml:space="preserve"> greatly appreciated.</w:t>
      </w:r>
    </w:p>
    <w:p w14:paraId="6CC02C44" w14:textId="4AF8680B" w:rsidR="00E17195" w:rsidRPr="003A2D00" w:rsidRDefault="00E17195" w:rsidP="00E17195">
      <w:pPr>
        <w:pStyle w:val="ImprintText"/>
      </w:pPr>
      <w:r w:rsidRPr="003A2D00">
        <w:t xml:space="preserve">Members of the AURA Project Reference Group </w:t>
      </w:r>
      <w:proofErr w:type="gramStart"/>
      <w:r w:rsidR="009529E6" w:rsidRPr="003A2D00">
        <w:t>are</w:t>
      </w:r>
      <w:proofErr w:type="gramEnd"/>
      <w:r w:rsidRPr="003A2D00">
        <w:t xml:space="preserve"> Professor John </w:t>
      </w:r>
      <w:proofErr w:type="spellStart"/>
      <w:r w:rsidRPr="003A2D00">
        <w:t>Turnidge</w:t>
      </w:r>
      <w:proofErr w:type="spellEnd"/>
      <w:r w:rsidRPr="003A2D00">
        <w:t xml:space="preserve">, Dr </w:t>
      </w:r>
      <w:proofErr w:type="spellStart"/>
      <w:r w:rsidRPr="003A2D00">
        <w:t>Phillipa</w:t>
      </w:r>
      <w:proofErr w:type="spellEnd"/>
      <w:r w:rsidRPr="003A2D00">
        <w:t xml:space="preserve"> </w:t>
      </w:r>
      <w:proofErr w:type="spellStart"/>
      <w:r w:rsidRPr="003A2D00">
        <w:t>Binns</w:t>
      </w:r>
      <w:proofErr w:type="spellEnd"/>
      <w:r w:rsidRPr="003A2D00">
        <w:t xml:space="preserve">, Professor Marilyn Cruickshank, Dr Jenny </w:t>
      </w:r>
      <w:proofErr w:type="spellStart"/>
      <w:r w:rsidRPr="003A2D00">
        <w:t>Firman</w:t>
      </w:r>
      <w:proofErr w:type="spellEnd"/>
      <w:r w:rsidRPr="003A2D00">
        <w:t xml:space="preserve">, Ms Aine Heaney, Mr Duncan McKenzie, Adjunct Professor Kathy </w:t>
      </w:r>
      <w:proofErr w:type="spellStart"/>
      <w:r w:rsidRPr="003A2D00">
        <w:t>Meleady</w:t>
      </w:r>
      <w:proofErr w:type="spellEnd"/>
      <w:r w:rsidRPr="003A2D00">
        <w:t xml:space="preserve">, Dr Brett Mitchell, Professor Graeme </w:t>
      </w:r>
      <w:proofErr w:type="spellStart"/>
      <w:r w:rsidRPr="003A2D00">
        <w:t>Nimmo</w:t>
      </w:r>
      <w:proofErr w:type="spellEnd"/>
      <w:r w:rsidRPr="003A2D00">
        <w:t xml:space="preserve">, Dr Alicia </w:t>
      </w:r>
      <w:proofErr w:type="spellStart"/>
      <w:r w:rsidRPr="003A2D00">
        <w:t>Segrave</w:t>
      </w:r>
      <w:proofErr w:type="spellEnd"/>
      <w:r w:rsidRPr="003A2D00">
        <w:t xml:space="preserve">, Professor Karin </w:t>
      </w:r>
      <w:proofErr w:type="spellStart"/>
      <w:r w:rsidRPr="003A2D00">
        <w:t>Thursky</w:t>
      </w:r>
      <w:proofErr w:type="spellEnd"/>
      <w:r w:rsidRPr="003A2D00">
        <w:t xml:space="preserve">, Dr </w:t>
      </w:r>
      <w:proofErr w:type="spellStart"/>
      <w:r w:rsidRPr="003A2D00">
        <w:t>Morgyn</w:t>
      </w:r>
      <w:proofErr w:type="spellEnd"/>
      <w:r w:rsidRPr="003A2D00">
        <w:t xml:space="preserve"> Warner, Professor Roger Wilson and Associate Professor Leon Worth.</w:t>
      </w:r>
    </w:p>
    <w:p w14:paraId="236F1322" w14:textId="77777777" w:rsidR="00E17195" w:rsidRPr="003A2D00" w:rsidRDefault="00E17195" w:rsidP="00E17195">
      <w:pPr>
        <w:pStyle w:val="ImprintText"/>
      </w:pPr>
      <w:r w:rsidRPr="003A2D00">
        <w:t>The members of the Commission’s AURA team are also acknowledged for their significant contribution to the development of the AURA Surveillance System and this report.</w:t>
      </w:r>
    </w:p>
    <w:p w14:paraId="773DBE83" w14:textId="77777777" w:rsidR="00E17195" w:rsidRPr="003A2D00" w:rsidRDefault="00E17195" w:rsidP="00E17195">
      <w:pPr>
        <w:pStyle w:val="ImprintText"/>
        <w:rPr>
          <w:rStyle w:val="Strong"/>
        </w:rPr>
      </w:pPr>
      <w:r w:rsidRPr="003A2D00">
        <w:rPr>
          <w:rStyle w:val="Strong"/>
        </w:rPr>
        <w:t>Disclaimer</w:t>
      </w:r>
    </w:p>
    <w:p w14:paraId="16C2AC84" w14:textId="77777777" w:rsidR="00E17195" w:rsidRPr="003A2D00" w:rsidRDefault="00E17195" w:rsidP="00E17195">
      <w:pPr>
        <w:pStyle w:val="ImprintText"/>
      </w:pPr>
      <w:r w:rsidRPr="003A2D00">
        <w:t xml:space="preserve">This report is based on the best data and evidence available at the time of development. </w:t>
      </w:r>
    </w:p>
    <w:p w14:paraId="4561006C" w14:textId="0B74EEB7" w:rsidR="00DF4C70" w:rsidRPr="003A2D00" w:rsidRDefault="00DF4C70" w:rsidP="00E17195">
      <w:pPr>
        <w:pStyle w:val="ImprintText"/>
      </w:pPr>
      <w:r w:rsidRPr="003A2D00">
        <w:t xml:space="preserve">Edited and </w:t>
      </w:r>
      <w:r w:rsidR="00090BC2" w:rsidRPr="003A2D00">
        <w:t>d</w:t>
      </w:r>
      <w:r w:rsidR="00D94E34" w:rsidRPr="003A2D00">
        <w:t>esigned</w:t>
      </w:r>
      <w:r w:rsidRPr="003A2D00">
        <w:t xml:space="preserve"> by Biotext Pty Ltd</w:t>
      </w:r>
    </w:p>
    <w:p w14:paraId="3559F91D" w14:textId="77777777" w:rsidR="00D20FD9" w:rsidRPr="003A2D00" w:rsidRDefault="00D20FD9" w:rsidP="001D4D1F">
      <w:pPr>
        <w:pStyle w:val="ImprintText"/>
      </w:pPr>
    </w:p>
    <w:p w14:paraId="57B6AB1F" w14:textId="77777777" w:rsidR="00D20FD9" w:rsidRPr="003A2D00" w:rsidRDefault="00D20FD9" w:rsidP="001D4D1F">
      <w:pPr>
        <w:pStyle w:val="ImprintText"/>
        <w:sectPr w:rsidR="00D20FD9" w:rsidRPr="003A2D00">
          <w:footnotePr>
            <w:numRestart w:val="eachSect"/>
          </w:footnotePr>
          <w:pgSz w:w="11906" w:h="16838" w:code="9"/>
          <w:pgMar w:top="1440" w:right="1440" w:bottom="1440" w:left="1440" w:header="576" w:footer="576" w:gutter="0"/>
          <w:pgNumType w:fmt="lowerRoman"/>
          <w:cols w:space="720"/>
          <w:titlePg/>
        </w:sectPr>
      </w:pPr>
    </w:p>
    <w:p w14:paraId="15CF9915" w14:textId="17CC37E9" w:rsidR="00D20FD9" w:rsidRPr="003A2D00" w:rsidRDefault="0048295D" w:rsidP="0020248C">
      <w:pPr>
        <w:pStyle w:val="Heading1"/>
      </w:pPr>
      <w:bookmarkStart w:id="0" w:name="_Toc452639764"/>
      <w:r w:rsidRPr="003A2D00">
        <w:lastRenderedPageBreak/>
        <w:t>Contents</w:t>
      </w:r>
      <w:bookmarkStart w:id="1" w:name="_GoBack"/>
      <w:bookmarkEnd w:id="0"/>
      <w:bookmarkEnd w:id="1"/>
    </w:p>
    <w:p w14:paraId="13B9227F" w14:textId="77777777" w:rsidR="00D4626D" w:rsidRDefault="009529E6">
      <w:pPr>
        <w:pStyle w:val="TOC1"/>
        <w:rPr>
          <w:rFonts w:asciiTheme="minorHAnsi" w:eastAsiaTheme="minorEastAsia" w:hAnsiTheme="minorHAnsi" w:cstheme="minorBidi"/>
          <w:b w:val="0"/>
          <w:bCs w:val="0"/>
          <w:color w:val="auto"/>
          <w:sz w:val="24"/>
          <w:szCs w:val="24"/>
          <w:lang w:val="en-US" w:eastAsia="en-US"/>
        </w:rPr>
      </w:pPr>
      <w:r w:rsidRPr="003A2D00">
        <w:fldChar w:fldCharType="begin"/>
      </w:r>
      <w:r w:rsidRPr="003A2D00">
        <w:instrText xml:space="preserve"> TOC \o "1-2" \h \z \t "BoxName,2" </w:instrText>
      </w:r>
      <w:r w:rsidRPr="003A2D00">
        <w:fldChar w:fldCharType="separate"/>
      </w:r>
      <w:hyperlink w:anchor="_Toc452639764" w:history="1">
        <w:r w:rsidR="00D4626D" w:rsidRPr="00484A29">
          <w:rPr>
            <w:rStyle w:val="Hyperlink"/>
          </w:rPr>
          <w:t>Contents</w:t>
        </w:r>
        <w:r w:rsidR="00D4626D">
          <w:rPr>
            <w:webHidden/>
          </w:rPr>
          <w:tab/>
        </w:r>
        <w:r w:rsidR="00D4626D">
          <w:rPr>
            <w:webHidden/>
          </w:rPr>
          <w:fldChar w:fldCharType="begin"/>
        </w:r>
        <w:r w:rsidR="00D4626D">
          <w:rPr>
            <w:webHidden/>
          </w:rPr>
          <w:instrText xml:space="preserve"> PAGEREF _Toc452639764 \h </w:instrText>
        </w:r>
        <w:r w:rsidR="00D4626D">
          <w:rPr>
            <w:webHidden/>
          </w:rPr>
        </w:r>
        <w:r w:rsidR="00D4626D">
          <w:rPr>
            <w:webHidden/>
          </w:rPr>
          <w:fldChar w:fldCharType="separate"/>
        </w:r>
        <w:r w:rsidR="00D4626D">
          <w:rPr>
            <w:webHidden/>
          </w:rPr>
          <w:t>iii</w:t>
        </w:r>
        <w:r w:rsidR="00D4626D">
          <w:rPr>
            <w:webHidden/>
          </w:rPr>
          <w:fldChar w:fldCharType="end"/>
        </w:r>
      </w:hyperlink>
    </w:p>
    <w:p w14:paraId="406D2187" w14:textId="77777777" w:rsidR="00D4626D" w:rsidRDefault="00D4626D">
      <w:pPr>
        <w:pStyle w:val="TOC1"/>
        <w:rPr>
          <w:rFonts w:asciiTheme="minorHAnsi" w:eastAsiaTheme="minorEastAsia" w:hAnsiTheme="minorHAnsi" w:cstheme="minorBidi"/>
          <w:b w:val="0"/>
          <w:bCs w:val="0"/>
          <w:color w:val="auto"/>
          <w:sz w:val="24"/>
          <w:szCs w:val="24"/>
          <w:lang w:val="en-US" w:eastAsia="en-US"/>
        </w:rPr>
      </w:pPr>
      <w:hyperlink w:anchor="_Toc452639765" w:history="1">
        <w:r w:rsidRPr="00484A29">
          <w:rPr>
            <w:rStyle w:val="Hyperlink"/>
          </w:rPr>
          <w:t>Overview</w:t>
        </w:r>
        <w:r>
          <w:rPr>
            <w:webHidden/>
          </w:rPr>
          <w:tab/>
        </w:r>
        <w:r>
          <w:rPr>
            <w:webHidden/>
          </w:rPr>
          <w:fldChar w:fldCharType="begin"/>
        </w:r>
        <w:r>
          <w:rPr>
            <w:webHidden/>
          </w:rPr>
          <w:instrText xml:space="preserve"> PAGEREF _Toc452639765 \h </w:instrText>
        </w:r>
        <w:r>
          <w:rPr>
            <w:webHidden/>
          </w:rPr>
        </w:r>
        <w:r>
          <w:rPr>
            <w:webHidden/>
          </w:rPr>
          <w:fldChar w:fldCharType="separate"/>
        </w:r>
        <w:r>
          <w:rPr>
            <w:webHidden/>
          </w:rPr>
          <w:t>1</w:t>
        </w:r>
        <w:r>
          <w:rPr>
            <w:webHidden/>
          </w:rPr>
          <w:fldChar w:fldCharType="end"/>
        </w:r>
      </w:hyperlink>
    </w:p>
    <w:p w14:paraId="35AC0525" w14:textId="77777777" w:rsidR="00D4626D" w:rsidRDefault="00D4626D">
      <w:pPr>
        <w:pStyle w:val="TOC2"/>
        <w:rPr>
          <w:rFonts w:asciiTheme="minorHAnsi" w:eastAsiaTheme="minorEastAsia" w:hAnsiTheme="minorHAnsi" w:cstheme="minorBidi"/>
          <w:noProof/>
          <w:color w:val="auto"/>
          <w:sz w:val="24"/>
          <w:szCs w:val="24"/>
          <w:lang w:val="en-US" w:eastAsia="en-US"/>
        </w:rPr>
      </w:pPr>
      <w:hyperlink w:anchor="_Toc452639766" w:history="1">
        <w:r w:rsidRPr="00484A29">
          <w:rPr>
            <w:rStyle w:val="Hyperlink"/>
            <w:noProof/>
          </w:rPr>
          <w:t>What is antimicrobial resistance?</w:t>
        </w:r>
        <w:r>
          <w:rPr>
            <w:noProof/>
            <w:webHidden/>
          </w:rPr>
          <w:tab/>
        </w:r>
        <w:r>
          <w:rPr>
            <w:noProof/>
            <w:webHidden/>
          </w:rPr>
          <w:fldChar w:fldCharType="begin"/>
        </w:r>
        <w:r>
          <w:rPr>
            <w:noProof/>
            <w:webHidden/>
          </w:rPr>
          <w:instrText xml:space="preserve"> PAGEREF _Toc452639766 \h </w:instrText>
        </w:r>
        <w:r>
          <w:rPr>
            <w:noProof/>
            <w:webHidden/>
          </w:rPr>
        </w:r>
        <w:r>
          <w:rPr>
            <w:noProof/>
            <w:webHidden/>
          </w:rPr>
          <w:fldChar w:fldCharType="separate"/>
        </w:r>
        <w:r>
          <w:rPr>
            <w:noProof/>
            <w:webHidden/>
          </w:rPr>
          <w:t>1</w:t>
        </w:r>
        <w:r>
          <w:rPr>
            <w:noProof/>
            <w:webHidden/>
          </w:rPr>
          <w:fldChar w:fldCharType="end"/>
        </w:r>
      </w:hyperlink>
    </w:p>
    <w:p w14:paraId="234E32C3" w14:textId="77777777" w:rsidR="00D4626D" w:rsidRDefault="00D4626D">
      <w:pPr>
        <w:pStyle w:val="TOC2"/>
        <w:rPr>
          <w:rFonts w:asciiTheme="minorHAnsi" w:eastAsiaTheme="minorEastAsia" w:hAnsiTheme="minorHAnsi" w:cstheme="minorBidi"/>
          <w:noProof/>
          <w:color w:val="auto"/>
          <w:sz w:val="24"/>
          <w:szCs w:val="24"/>
          <w:lang w:val="en-US" w:eastAsia="en-US"/>
        </w:rPr>
      </w:pPr>
      <w:hyperlink w:anchor="_Toc452639767" w:history="1">
        <w:r w:rsidRPr="00484A29">
          <w:rPr>
            <w:rStyle w:val="Hyperlink"/>
            <w:noProof/>
          </w:rPr>
          <w:t>Antimicrobial use and appropriateness of prescribing</w:t>
        </w:r>
        <w:r>
          <w:rPr>
            <w:noProof/>
            <w:webHidden/>
          </w:rPr>
          <w:tab/>
        </w:r>
        <w:r>
          <w:rPr>
            <w:noProof/>
            <w:webHidden/>
          </w:rPr>
          <w:fldChar w:fldCharType="begin"/>
        </w:r>
        <w:r>
          <w:rPr>
            <w:noProof/>
            <w:webHidden/>
          </w:rPr>
          <w:instrText xml:space="preserve"> PAGEREF _Toc452639767 \h </w:instrText>
        </w:r>
        <w:r>
          <w:rPr>
            <w:noProof/>
            <w:webHidden/>
          </w:rPr>
        </w:r>
        <w:r>
          <w:rPr>
            <w:noProof/>
            <w:webHidden/>
          </w:rPr>
          <w:fldChar w:fldCharType="separate"/>
        </w:r>
        <w:r>
          <w:rPr>
            <w:noProof/>
            <w:webHidden/>
          </w:rPr>
          <w:t>1</w:t>
        </w:r>
        <w:r>
          <w:rPr>
            <w:noProof/>
            <w:webHidden/>
          </w:rPr>
          <w:fldChar w:fldCharType="end"/>
        </w:r>
      </w:hyperlink>
    </w:p>
    <w:p w14:paraId="09FE1FE9" w14:textId="77777777" w:rsidR="00D4626D" w:rsidRDefault="00D4626D">
      <w:pPr>
        <w:pStyle w:val="TOC2"/>
        <w:rPr>
          <w:rFonts w:asciiTheme="minorHAnsi" w:eastAsiaTheme="minorEastAsia" w:hAnsiTheme="minorHAnsi" w:cstheme="minorBidi"/>
          <w:noProof/>
          <w:color w:val="auto"/>
          <w:sz w:val="24"/>
          <w:szCs w:val="24"/>
          <w:lang w:val="en-US" w:eastAsia="en-US"/>
        </w:rPr>
      </w:pPr>
      <w:hyperlink w:anchor="_Toc452639768" w:history="1">
        <w:r w:rsidRPr="00484A29">
          <w:rPr>
            <w:rStyle w:val="Hyperlink"/>
            <w:noProof/>
          </w:rPr>
          <w:t>Antimicrobial resistance</w:t>
        </w:r>
        <w:r>
          <w:rPr>
            <w:noProof/>
            <w:webHidden/>
          </w:rPr>
          <w:tab/>
        </w:r>
        <w:r>
          <w:rPr>
            <w:noProof/>
            <w:webHidden/>
          </w:rPr>
          <w:fldChar w:fldCharType="begin"/>
        </w:r>
        <w:r>
          <w:rPr>
            <w:noProof/>
            <w:webHidden/>
          </w:rPr>
          <w:instrText xml:space="preserve"> PAGEREF _Toc452639768 \h </w:instrText>
        </w:r>
        <w:r>
          <w:rPr>
            <w:noProof/>
            <w:webHidden/>
          </w:rPr>
        </w:r>
        <w:r>
          <w:rPr>
            <w:noProof/>
            <w:webHidden/>
          </w:rPr>
          <w:fldChar w:fldCharType="separate"/>
        </w:r>
        <w:r>
          <w:rPr>
            <w:noProof/>
            <w:webHidden/>
          </w:rPr>
          <w:t>2</w:t>
        </w:r>
        <w:r>
          <w:rPr>
            <w:noProof/>
            <w:webHidden/>
          </w:rPr>
          <w:fldChar w:fldCharType="end"/>
        </w:r>
      </w:hyperlink>
    </w:p>
    <w:p w14:paraId="751AE28A" w14:textId="77777777" w:rsidR="00D4626D" w:rsidRDefault="00D4626D">
      <w:pPr>
        <w:pStyle w:val="TOC2"/>
        <w:rPr>
          <w:rFonts w:asciiTheme="minorHAnsi" w:eastAsiaTheme="minorEastAsia" w:hAnsiTheme="minorHAnsi" w:cstheme="minorBidi"/>
          <w:noProof/>
          <w:color w:val="auto"/>
          <w:sz w:val="24"/>
          <w:szCs w:val="24"/>
          <w:lang w:val="en-US" w:eastAsia="en-US"/>
        </w:rPr>
      </w:pPr>
      <w:hyperlink w:anchor="_Toc452639769" w:history="1">
        <w:r w:rsidRPr="00484A29">
          <w:rPr>
            <w:rStyle w:val="Hyperlink"/>
            <w:noProof/>
          </w:rPr>
          <w:t>International comparisons</w:t>
        </w:r>
        <w:r>
          <w:rPr>
            <w:noProof/>
            <w:webHidden/>
          </w:rPr>
          <w:tab/>
        </w:r>
        <w:r>
          <w:rPr>
            <w:noProof/>
            <w:webHidden/>
          </w:rPr>
          <w:fldChar w:fldCharType="begin"/>
        </w:r>
        <w:r>
          <w:rPr>
            <w:noProof/>
            <w:webHidden/>
          </w:rPr>
          <w:instrText xml:space="preserve"> PAGEREF _Toc452639769 \h </w:instrText>
        </w:r>
        <w:r>
          <w:rPr>
            <w:noProof/>
            <w:webHidden/>
          </w:rPr>
        </w:r>
        <w:r>
          <w:rPr>
            <w:noProof/>
            <w:webHidden/>
          </w:rPr>
          <w:fldChar w:fldCharType="separate"/>
        </w:r>
        <w:r>
          <w:rPr>
            <w:noProof/>
            <w:webHidden/>
          </w:rPr>
          <w:t>2</w:t>
        </w:r>
        <w:r>
          <w:rPr>
            <w:noProof/>
            <w:webHidden/>
          </w:rPr>
          <w:fldChar w:fldCharType="end"/>
        </w:r>
      </w:hyperlink>
    </w:p>
    <w:p w14:paraId="2371D17A" w14:textId="77777777" w:rsidR="00D4626D" w:rsidRDefault="00D4626D">
      <w:pPr>
        <w:pStyle w:val="TOC2"/>
        <w:rPr>
          <w:rFonts w:asciiTheme="minorHAnsi" w:eastAsiaTheme="minorEastAsia" w:hAnsiTheme="minorHAnsi" w:cstheme="minorBidi"/>
          <w:noProof/>
          <w:color w:val="auto"/>
          <w:sz w:val="24"/>
          <w:szCs w:val="24"/>
          <w:lang w:val="en-US" w:eastAsia="en-US"/>
        </w:rPr>
      </w:pPr>
      <w:hyperlink w:anchor="_Toc452639770" w:history="1">
        <w:r w:rsidRPr="00484A29">
          <w:rPr>
            <w:rStyle w:val="Hyperlink"/>
            <w:noProof/>
          </w:rPr>
          <w:t>Using information for action</w:t>
        </w:r>
        <w:r>
          <w:rPr>
            <w:noProof/>
            <w:webHidden/>
          </w:rPr>
          <w:tab/>
        </w:r>
        <w:r>
          <w:rPr>
            <w:noProof/>
            <w:webHidden/>
          </w:rPr>
          <w:fldChar w:fldCharType="begin"/>
        </w:r>
        <w:r>
          <w:rPr>
            <w:noProof/>
            <w:webHidden/>
          </w:rPr>
          <w:instrText xml:space="preserve"> PAGEREF _Toc452639770 \h </w:instrText>
        </w:r>
        <w:r>
          <w:rPr>
            <w:noProof/>
            <w:webHidden/>
          </w:rPr>
        </w:r>
        <w:r>
          <w:rPr>
            <w:noProof/>
            <w:webHidden/>
          </w:rPr>
          <w:fldChar w:fldCharType="separate"/>
        </w:r>
        <w:r>
          <w:rPr>
            <w:noProof/>
            <w:webHidden/>
          </w:rPr>
          <w:t>2</w:t>
        </w:r>
        <w:r>
          <w:rPr>
            <w:noProof/>
            <w:webHidden/>
          </w:rPr>
          <w:fldChar w:fldCharType="end"/>
        </w:r>
      </w:hyperlink>
    </w:p>
    <w:p w14:paraId="607E0D36" w14:textId="77777777" w:rsidR="00D4626D" w:rsidRDefault="00D4626D">
      <w:pPr>
        <w:pStyle w:val="TOC1"/>
        <w:rPr>
          <w:rFonts w:asciiTheme="minorHAnsi" w:eastAsiaTheme="minorEastAsia" w:hAnsiTheme="minorHAnsi" w:cstheme="minorBidi"/>
          <w:b w:val="0"/>
          <w:bCs w:val="0"/>
          <w:color w:val="auto"/>
          <w:sz w:val="24"/>
          <w:szCs w:val="24"/>
          <w:lang w:val="en-US" w:eastAsia="en-US"/>
        </w:rPr>
      </w:pPr>
      <w:hyperlink w:anchor="_Toc452639771" w:history="1">
        <w:r w:rsidRPr="00484A29">
          <w:rPr>
            <w:rStyle w:val="Hyperlink"/>
          </w:rPr>
          <w:t>Antimicrobial use and appropriateness</w:t>
        </w:r>
        <w:r>
          <w:rPr>
            <w:webHidden/>
          </w:rPr>
          <w:tab/>
        </w:r>
        <w:r>
          <w:rPr>
            <w:webHidden/>
          </w:rPr>
          <w:fldChar w:fldCharType="begin"/>
        </w:r>
        <w:r>
          <w:rPr>
            <w:webHidden/>
          </w:rPr>
          <w:instrText xml:space="preserve"> PAGEREF _Toc452639771 \h </w:instrText>
        </w:r>
        <w:r>
          <w:rPr>
            <w:webHidden/>
          </w:rPr>
        </w:r>
        <w:r>
          <w:rPr>
            <w:webHidden/>
          </w:rPr>
          <w:fldChar w:fldCharType="separate"/>
        </w:r>
        <w:r>
          <w:rPr>
            <w:webHidden/>
          </w:rPr>
          <w:t>3</w:t>
        </w:r>
        <w:r>
          <w:rPr>
            <w:webHidden/>
          </w:rPr>
          <w:fldChar w:fldCharType="end"/>
        </w:r>
      </w:hyperlink>
    </w:p>
    <w:p w14:paraId="5ECDACED" w14:textId="77777777" w:rsidR="00D4626D" w:rsidRDefault="00D4626D">
      <w:pPr>
        <w:pStyle w:val="TOC2"/>
        <w:rPr>
          <w:rFonts w:asciiTheme="minorHAnsi" w:eastAsiaTheme="minorEastAsia" w:hAnsiTheme="minorHAnsi" w:cstheme="minorBidi"/>
          <w:noProof/>
          <w:color w:val="auto"/>
          <w:sz w:val="24"/>
          <w:szCs w:val="24"/>
          <w:lang w:val="en-US" w:eastAsia="en-US"/>
        </w:rPr>
      </w:pPr>
      <w:hyperlink w:anchor="_Toc452639772" w:history="1">
        <w:r w:rsidRPr="00484A29">
          <w:rPr>
            <w:rStyle w:val="Hyperlink"/>
            <w:noProof/>
          </w:rPr>
          <w:t>Key messages</w:t>
        </w:r>
        <w:r>
          <w:rPr>
            <w:noProof/>
            <w:webHidden/>
          </w:rPr>
          <w:tab/>
        </w:r>
        <w:r>
          <w:rPr>
            <w:noProof/>
            <w:webHidden/>
          </w:rPr>
          <w:fldChar w:fldCharType="begin"/>
        </w:r>
        <w:r>
          <w:rPr>
            <w:noProof/>
            <w:webHidden/>
          </w:rPr>
          <w:instrText xml:space="preserve"> PAGEREF _Toc452639772 \h </w:instrText>
        </w:r>
        <w:r>
          <w:rPr>
            <w:noProof/>
            <w:webHidden/>
          </w:rPr>
        </w:r>
        <w:r>
          <w:rPr>
            <w:noProof/>
            <w:webHidden/>
          </w:rPr>
          <w:fldChar w:fldCharType="separate"/>
        </w:r>
        <w:r>
          <w:rPr>
            <w:noProof/>
            <w:webHidden/>
          </w:rPr>
          <w:t>3</w:t>
        </w:r>
        <w:r>
          <w:rPr>
            <w:noProof/>
            <w:webHidden/>
          </w:rPr>
          <w:fldChar w:fldCharType="end"/>
        </w:r>
      </w:hyperlink>
    </w:p>
    <w:p w14:paraId="136FF7E9" w14:textId="77777777" w:rsidR="00D4626D" w:rsidRDefault="00D4626D">
      <w:pPr>
        <w:pStyle w:val="TOC2"/>
        <w:rPr>
          <w:rFonts w:asciiTheme="minorHAnsi" w:eastAsiaTheme="minorEastAsia" w:hAnsiTheme="minorHAnsi" w:cstheme="minorBidi"/>
          <w:noProof/>
          <w:color w:val="auto"/>
          <w:sz w:val="24"/>
          <w:szCs w:val="24"/>
          <w:lang w:val="en-US" w:eastAsia="en-US"/>
        </w:rPr>
      </w:pPr>
      <w:hyperlink w:anchor="_Toc452639773" w:history="1">
        <w:r w:rsidRPr="00484A29">
          <w:rPr>
            <w:rStyle w:val="Hyperlink"/>
            <w:noProof/>
          </w:rPr>
          <w:t>Antimicrobial use in hospitals</w:t>
        </w:r>
        <w:r>
          <w:rPr>
            <w:noProof/>
            <w:webHidden/>
          </w:rPr>
          <w:tab/>
        </w:r>
        <w:r>
          <w:rPr>
            <w:noProof/>
            <w:webHidden/>
          </w:rPr>
          <w:fldChar w:fldCharType="begin"/>
        </w:r>
        <w:r>
          <w:rPr>
            <w:noProof/>
            <w:webHidden/>
          </w:rPr>
          <w:instrText xml:space="preserve"> PAGEREF _Toc452639773 \h </w:instrText>
        </w:r>
        <w:r>
          <w:rPr>
            <w:noProof/>
            <w:webHidden/>
          </w:rPr>
        </w:r>
        <w:r>
          <w:rPr>
            <w:noProof/>
            <w:webHidden/>
          </w:rPr>
          <w:fldChar w:fldCharType="separate"/>
        </w:r>
        <w:r>
          <w:rPr>
            <w:noProof/>
            <w:webHidden/>
          </w:rPr>
          <w:t>3</w:t>
        </w:r>
        <w:r>
          <w:rPr>
            <w:noProof/>
            <w:webHidden/>
          </w:rPr>
          <w:fldChar w:fldCharType="end"/>
        </w:r>
      </w:hyperlink>
    </w:p>
    <w:p w14:paraId="49866A21" w14:textId="77777777" w:rsidR="00D4626D" w:rsidRDefault="00D4626D">
      <w:pPr>
        <w:pStyle w:val="TOC2"/>
        <w:rPr>
          <w:rFonts w:asciiTheme="minorHAnsi" w:eastAsiaTheme="minorEastAsia" w:hAnsiTheme="minorHAnsi" w:cstheme="minorBidi"/>
          <w:noProof/>
          <w:color w:val="auto"/>
          <w:sz w:val="24"/>
          <w:szCs w:val="24"/>
          <w:lang w:val="en-US" w:eastAsia="en-US"/>
        </w:rPr>
      </w:pPr>
      <w:hyperlink w:anchor="_Toc452639774" w:history="1">
        <w:r w:rsidRPr="00484A29">
          <w:rPr>
            <w:rStyle w:val="Hyperlink"/>
            <w:noProof/>
          </w:rPr>
          <w:t>Antimicrobial use in the community – primary care</w:t>
        </w:r>
        <w:r>
          <w:rPr>
            <w:noProof/>
            <w:webHidden/>
          </w:rPr>
          <w:tab/>
        </w:r>
        <w:r>
          <w:rPr>
            <w:noProof/>
            <w:webHidden/>
          </w:rPr>
          <w:fldChar w:fldCharType="begin"/>
        </w:r>
        <w:r>
          <w:rPr>
            <w:noProof/>
            <w:webHidden/>
          </w:rPr>
          <w:instrText xml:space="preserve"> PAGEREF _Toc452639774 \h </w:instrText>
        </w:r>
        <w:r>
          <w:rPr>
            <w:noProof/>
            <w:webHidden/>
          </w:rPr>
        </w:r>
        <w:r>
          <w:rPr>
            <w:noProof/>
            <w:webHidden/>
          </w:rPr>
          <w:fldChar w:fldCharType="separate"/>
        </w:r>
        <w:r>
          <w:rPr>
            <w:noProof/>
            <w:webHidden/>
          </w:rPr>
          <w:t>5</w:t>
        </w:r>
        <w:r>
          <w:rPr>
            <w:noProof/>
            <w:webHidden/>
          </w:rPr>
          <w:fldChar w:fldCharType="end"/>
        </w:r>
      </w:hyperlink>
    </w:p>
    <w:p w14:paraId="44A24E94" w14:textId="77777777" w:rsidR="00D4626D" w:rsidRDefault="00D4626D">
      <w:pPr>
        <w:pStyle w:val="TOC2"/>
        <w:rPr>
          <w:rFonts w:asciiTheme="minorHAnsi" w:eastAsiaTheme="minorEastAsia" w:hAnsiTheme="minorHAnsi" w:cstheme="minorBidi"/>
          <w:noProof/>
          <w:color w:val="auto"/>
          <w:sz w:val="24"/>
          <w:szCs w:val="24"/>
          <w:lang w:val="en-US" w:eastAsia="en-US"/>
        </w:rPr>
      </w:pPr>
      <w:hyperlink w:anchor="_Toc452639775" w:history="1">
        <w:r w:rsidRPr="00484A29">
          <w:rPr>
            <w:rStyle w:val="Hyperlink"/>
            <w:noProof/>
          </w:rPr>
          <w:t>Antimicrobial use in the community – residential aged care facilities</w:t>
        </w:r>
        <w:r>
          <w:rPr>
            <w:noProof/>
            <w:webHidden/>
          </w:rPr>
          <w:tab/>
        </w:r>
        <w:r>
          <w:rPr>
            <w:noProof/>
            <w:webHidden/>
          </w:rPr>
          <w:fldChar w:fldCharType="begin"/>
        </w:r>
        <w:r>
          <w:rPr>
            <w:noProof/>
            <w:webHidden/>
          </w:rPr>
          <w:instrText xml:space="preserve"> PAGEREF _Toc452639775 \h </w:instrText>
        </w:r>
        <w:r>
          <w:rPr>
            <w:noProof/>
            <w:webHidden/>
          </w:rPr>
        </w:r>
        <w:r>
          <w:rPr>
            <w:noProof/>
            <w:webHidden/>
          </w:rPr>
          <w:fldChar w:fldCharType="separate"/>
        </w:r>
        <w:r>
          <w:rPr>
            <w:noProof/>
            <w:webHidden/>
          </w:rPr>
          <w:t>8</w:t>
        </w:r>
        <w:r>
          <w:rPr>
            <w:noProof/>
            <w:webHidden/>
          </w:rPr>
          <w:fldChar w:fldCharType="end"/>
        </w:r>
      </w:hyperlink>
    </w:p>
    <w:p w14:paraId="21AD4E65" w14:textId="77777777" w:rsidR="00D4626D" w:rsidRDefault="00D4626D">
      <w:pPr>
        <w:pStyle w:val="TOC1"/>
        <w:rPr>
          <w:rFonts w:asciiTheme="minorHAnsi" w:eastAsiaTheme="minorEastAsia" w:hAnsiTheme="minorHAnsi" w:cstheme="minorBidi"/>
          <w:b w:val="0"/>
          <w:bCs w:val="0"/>
          <w:color w:val="auto"/>
          <w:sz w:val="24"/>
          <w:szCs w:val="24"/>
          <w:lang w:val="en-US" w:eastAsia="en-US"/>
        </w:rPr>
      </w:pPr>
      <w:hyperlink w:anchor="_Toc452639776" w:history="1">
        <w:r w:rsidRPr="00484A29">
          <w:rPr>
            <w:rStyle w:val="Hyperlink"/>
          </w:rPr>
          <w:t>Antimicrobial resistance</w:t>
        </w:r>
        <w:r>
          <w:rPr>
            <w:webHidden/>
          </w:rPr>
          <w:tab/>
        </w:r>
        <w:r>
          <w:rPr>
            <w:webHidden/>
          </w:rPr>
          <w:fldChar w:fldCharType="begin"/>
        </w:r>
        <w:r>
          <w:rPr>
            <w:webHidden/>
          </w:rPr>
          <w:instrText xml:space="preserve"> PAGEREF _Toc452639776 \h </w:instrText>
        </w:r>
        <w:r>
          <w:rPr>
            <w:webHidden/>
          </w:rPr>
        </w:r>
        <w:r>
          <w:rPr>
            <w:webHidden/>
          </w:rPr>
          <w:fldChar w:fldCharType="separate"/>
        </w:r>
        <w:r>
          <w:rPr>
            <w:webHidden/>
          </w:rPr>
          <w:t>10</w:t>
        </w:r>
        <w:r>
          <w:rPr>
            <w:webHidden/>
          </w:rPr>
          <w:fldChar w:fldCharType="end"/>
        </w:r>
      </w:hyperlink>
    </w:p>
    <w:p w14:paraId="10A54F3D" w14:textId="77777777" w:rsidR="00D4626D" w:rsidRDefault="00D4626D">
      <w:pPr>
        <w:pStyle w:val="TOC2"/>
        <w:rPr>
          <w:rFonts w:asciiTheme="minorHAnsi" w:eastAsiaTheme="minorEastAsia" w:hAnsiTheme="minorHAnsi" w:cstheme="minorBidi"/>
          <w:noProof/>
          <w:color w:val="auto"/>
          <w:sz w:val="24"/>
          <w:szCs w:val="24"/>
          <w:lang w:val="en-US" w:eastAsia="en-US"/>
        </w:rPr>
      </w:pPr>
      <w:hyperlink w:anchor="_Toc452639777" w:history="1">
        <w:r w:rsidRPr="00484A29">
          <w:rPr>
            <w:rStyle w:val="Hyperlink"/>
            <w:noProof/>
          </w:rPr>
          <w:t>Key messages</w:t>
        </w:r>
        <w:r>
          <w:rPr>
            <w:noProof/>
            <w:webHidden/>
          </w:rPr>
          <w:tab/>
        </w:r>
        <w:r>
          <w:rPr>
            <w:noProof/>
            <w:webHidden/>
          </w:rPr>
          <w:fldChar w:fldCharType="begin"/>
        </w:r>
        <w:r>
          <w:rPr>
            <w:noProof/>
            <w:webHidden/>
          </w:rPr>
          <w:instrText xml:space="preserve"> PAGEREF _Toc452639777 \h </w:instrText>
        </w:r>
        <w:r>
          <w:rPr>
            <w:noProof/>
            <w:webHidden/>
          </w:rPr>
        </w:r>
        <w:r>
          <w:rPr>
            <w:noProof/>
            <w:webHidden/>
          </w:rPr>
          <w:fldChar w:fldCharType="separate"/>
        </w:r>
        <w:r>
          <w:rPr>
            <w:noProof/>
            <w:webHidden/>
          </w:rPr>
          <w:t>10</w:t>
        </w:r>
        <w:r>
          <w:rPr>
            <w:noProof/>
            <w:webHidden/>
          </w:rPr>
          <w:fldChar w:fldCharType="end"/>
        </w:r>
      </w:hyperlink>
    </w:p>
    <w:p w14:paraId="30DD82C5" w14:textId="77777777" w:rsidR="00D4626D" w:rsidRDefault="00D4626D">
      <w:pPr>
        <w:pStyle w:val="TOC2"/>
        <w:rPr>
          <w:rFonts w:asciiTheme="minorHAnsi" w:eastAsiaTheme="minorEastAsia" w:hAnsiTheme="minorHAnsi" w:cstheme="minorBidi"/>
          <w:noProof/>
          <w:color w:val="auto"/>
          <w:sz w:val="24"/>
          <w:szCs w:val="24"/>
          <w:lang w:val="en-US" w:eastAsia="en-US"/>
        </w:rPr>
      </w:pPr>
      <w:hyperlink w:anchor="_Toc452639778" w:history="1">
        <w:r w:rsidRPr="00484A29">
          <w:rPr>
            <w:rStyle w:val="Hyperlink"/>
            <w:noProof/>
          </w:rPr>
          <w:t>Resistance trends of concern</w:t>
        </w:r>
        <w:r>
          <w:rPr>
            <w:noProof/>
            <w:webHidden/>
          </w:rPr>
          <w:tab/>
        </w:r>
        <w:r>
          <w:rPr>
            <w:noProof/>
            <w:webHidden/>
          </w:rPr>
          <w:fldChar w:fldCharType="begin"/>
        </w:r>
        <w:r>
          <w:rPr>
            <w:noProof/>
            <w:webHidden/>
          </w:rPr>
          <w:instrText xml:space="preserve"> PAGEREF _Toc452639778 \h </w:instrText>
        </w:r>
        <w:r>
          <w:rPr>
            <w:noProof/>
            <w:webHidden/>
          </w:rPr>
        </w:r>
        <w:r>
          <w:rPr>
            <w:noProof/>
            <w:webHidden/>
          </w:rPr>
          <w:fldChar w:fldCharType="separate"/>
        </w:r>
        <w:r>
          <w:rPr>
            <w:noProof/>
            <w:webHidden/>
          </w:rPr>
          <w:t>13</w:t>
        </w:r>
        <w:r>
          <w:rPr>
            <w:noProof/>
            <w:webHidden/>
          </w:rPr>
          <w:fldChar w:fldCharType="end"/>
        </w:r>
      </w:hyperlink>
    </w:p>
    <w:p w14:paraId="3CEE8E77" w14:textId="77777777" w:rsidR="00D4626D" w:rsidRDefault="00D4626D">
      <w:pPr>
        <w:pStyle w:val="TOC1"/>
        <w:rPr>
          <w:rFonts w:asciiTheme="minorHAnsi" w:eastAsiaTheme="minorEastAsia" w:hAnsiTheme="minorHAnsi" w:cstheme="minorBidi"/>
          <w:b w:val="0"/>
          <w:bCs w:val="0"/>
          <w:color w:val="auto"/>
          <w:sz w:val="24"/>
          <w:szCs w:val="24"/>
          <w:lang w:val="en-US" w:eastAsia="en-US"/>
        </w:rPr>
      </w:pPr>
      <w:hyperlink w:anchor="_Toc452639779" w:history="1">
        <w:r w:rsidRPr="00484A29">
          <w:rPr>
            <w:rStyle w:val="Hyperlink"/>
          </w:rPr>
          <w:t>International comparisons</w:t>
        </w:r>
        <w:r>
          <w:rPr>
            <w:webHidden/>
          </w:rPr>
          <w:tab/>
        </w:r>
        <w:r>
          <w:rPr>
            <w:webHidden/>
          </w:rPr>
          <w:fldChar w:fldCharType="begin"/>
        </w:r>
        <w:r>
          <w:rPr>
            <w:webHidden/>
          </w:rPr>
          <w:instrText xml:space="preserve"> PAGEREF _Toc452639779 \h </w:instrText>
        </w:r>
        <w:r>
          <w:rPr>
            <w:webHidden/>
          </w:rPr>
        </w:r>
        <w:r>
          <w:rPr>
            <w:webHidden/>
          </w:rPr>
          <w:fldChar w:fldCharType="separate"/>
        </w:r>
        <w:r>
          <w:rPr>
            <w:webHidden/>
          </w:rPr>
          <w:t>15</w:t>
        </w:r>
        <w:r>
          <w:rPr>
            <w:webHidden/>
          </w:rPr>
          <w:fldChar w:fldCharType="end"/>
        </w:r>
      </w:hyperlink>
    </w:p>
    <w:p w14:paraId="26DC4F56" w14:textId="77777777" w:rsidR="00D4626D" w:rsidRDefault="00D4626D">
      <w:pPr>
        <w:pStyle w:val="TOC2"/>
        <w:rPr>
          <w:rFonts w:asciiTheme="minorHAnsi" w:eastAsiaTheme="minorEastAsia" w:hAnsiTheme="minorHAnsi" w:cstheme="minorBidi"/>
          <w:noProof/>
          <w:color w:val="auto"/>
          <w:sz w:val="24"/>
          <w:szCs w:val="24"/>
          <w:lang w:val="en-US" w:eastAsia="en-US"/>
        </w:rPr>
      </w:pPr>
      <w:hyperlink w:anchor="_Toc452639780" w:history="1">
        <w:r w:rsidRPr="00484A29">
          <w:rPr>
            <w:rStyle w:val="Hyperlink"/>
            <w:noProof/>
          </w:rPr>
          <w:t>Key messages</w:t>
        </w:r>
        <w:r>
          <w:rPr>
            <w:noProof/>
            <w:webHidden/>
          </w:rPr>
          <w:tab/>
        </w:r>
        <w:r>
          <w:rPr>
            <w:noProof/>
            <w:webHidden/>
          </w:rPr>
          <w:fldChar w:fldCharType="begin"/>
        </w:r>
        <w:r>
          <w:rPr>
            <w:noProof/>
            <w:webHidden/>
          </w:rPr>
          <w:instrText xml:space="preserve"> PAGEREF _Toc452639780 \h </w:instrText>
        </w:r>
        <w:r>
          <w:rPr>
            <w:noProof/>
            <w:webHidden/>
          </w:rPr>
        </w:r>
        <w:r>
          <w:rPr>
            <w:noProof/>
            <w:webHidden/>
          </w:rPr>
          <w:fldChar w:fldCharType="separate"/>
        </w:r>
        <w:r>
          <w:rPr>
            <w:noProof/>
            <w:webHidden/>
          </w:rPr>
          <w:t>15</w:t>
        </w:r>
        <w:r>
          <w:rPr>
            <w:noProof/>
            <w:webHidden/>
          </w:rPr>
          <w:fldChar w:fldCharType="end"/>
        </w:r>
      </w:hyperlink>
    </w:p>
    <w:p w14:paraId="6CDC637E" w14:textId="77777777" w:rsidR="00D4626D" w:rsidRDefault="00D4626D">
      <w:pPr>
        <w:pStyle w:val="TOC2"/>
        <w:rPr>
          <w:rFonts w:asciiTheme="minorHAnsi" w:eastAsiaTheme="minorEastAsia" w:hAnsiTheme="minorHAnsi" w:cstheme="minorBidi"/>
          <w:noProof/>
          <w:color w:val="auto"/>
          <w:sz w:val="24"/>
          <w:szCs w:val="24"/>
          <w:lang w:val="en-US" w:eastAsia="en-US"/>
        </w:rPr>
      </w:pPr>
      <w:hyperlink w:anchor="_Toc452639781" w:history="1">
        <w:r w:rsidRPr="00484A29">
          <w:rPr>
            <w:rStyle w:val="Hyperlink"/>
            <w:noProof/>
          </w:rPr>
          <w:t>Antimicrobial use in hospitals</w:t>
        </w:r>
        <w:r>
          <w:rPr>
            <w:noProof/>
            <w:webHidden/>
          </w:rPr>
          <w:tab/>
        </w:r>
        <w:r>
          <w:rPr>
            <w:noProof/>
            <w:webHidden/>
          </w:rPr>
          <w:fldChar w:fldCharType="begin"/>
        </w:r>
        <w:r>
          <w:rPr>
            <w:noProof/>
            <w:webHidden/>
          </w:rPr>
          <w:instrText xml:space="preserve"> PAGEREF _Toc452639781 \h </w:instrText>
        </w:r>
        <w:r>
          <w:rPr>
            <w:noProof/>
            <w:webHidden/>
          </w:rPr>
        </w:r>
        <w:r>
          <w:rPr>
            <w:noProof/>
            <w:webHidden/>
          </w:rPr>
          <w:fldChar w:fldCharType="separate"/>
        </w:r>
        <w:r>
          <w:rPr>
            <w:noProof/>
            <w:webHidden/>
          </w:rPr>
          <w:t>15</w:t>
        </w:r>
        <w:r>
          <w:rPr>
            <w:noProof/>
            <w:webHidden/>
          </w:rPr>
          <w:fldChar w:fldCharType="end"/>
        </w:r>
      </w:hyperlink>
    </w:p>
    <w:p w14:paraId="5DE1BD07" w14:textId="77777777" w:rsidR="00D4626D" w:rsidRDefault="00D4626D">
      <w:pPr>
        <w:pStyle w:val="TOC2"/>
        <w:rPr>
          <w:rFonts w:asciiTheme="minorHAnsi" w:eastAsiaTheme="minorEastAsia" w:hAnsiTheme="minorHAnsi" w:cstheme="minorBidi"/>
          <w:noProof/>
          <w:color w:val="auto"/>
          <w:sz w:val="24"/>
          <w:szCs w:val="24"/>
          <w:lang w:val="en-US" w:eastAsia="en-US"/>
        </w:rPr>
      </w:pPr>
      <w:hyperlink w:anchor="_Toc452639782" w:history="1">
        <w:r w:rsidRPr="00484A29">
          <w:rPr>
            <w:rStyle w:val="Hyperlink"/>
            <w:noProof/>
          </w:rPr>
          <w:t>Antimicrobial use in the community</w:t>
        </w:r>
        <w:r>
          <w:rPr>
            <w:noProof/>
            <w:webHidden/>
          </w:rPr>
          <w:tab/>
        </w:r>
        <w:r>
          <w:rPr>
            <w:noProof/>
            <w:webHidden/>
          </w:rPr>
          <w:fldChar w:fldCharType="begin"/>
        </w:r>
        <w:r>
          <w:rPr>
            <w:noProof/>
            <w:webHidden/>
          </w:rPr>
          <w:instrText xml:space="preserve"> PAGEREF _Toc452639782 \h </w:instrText>
        </w:r>
        <w:r>
          <w:rPr>
            <w:noProof/>
            <w:webHidden/>
          </w:rPr>
        </w:r>
        <w:r>
          <w:rPr>
            <w:noProof/>
            <w:webHidden/>
          </w:rPr>
          <w:fldChar w:fldCharType="separate"/>
        </w:r>
        <w:r>
          <w:rPr>
            <w:noProof/>
            <w:webHidden/>
          </w:rPr>
          <w:t>16</w:t>
        </w:r>
        <w:r>
          <w:rPr>
            <w:noProof/>
            <w:webHidden/>
          </w:rPr>
          <w:fldChar w:fldCharType="end"/>
        </w:r>
      </w:hyperlink>
    </w:p>
    <w:p w14:paraId="381D90E2" w14:textId="77777777" w:rsidR="00D4626D" w:rsidRDefault="00D4626D">
      <w:pPr>
        <w:pStyle w:val="TOC2"/>
        <w:rPr>
          <w:rFonts w:asciiTheme="minorHAnsi" w:eastAsiaTheme="minorEastAsia" w:hAnsiTheme="minorHAnsi" w:cstheme="minorBidi"/>
          <w:noProof/>
          <w:color w:val="auto"/>
          <w:sz w:val="24"/>
          <w:szCs w:val="24"/>
          <w:lang w:val="en-US" w:eastAsia="en-US"/>
        </w:rPr>
      </w:pPr>
      <w:hyperlink w:anchor="_Toc452639783" w:history="1">
        <w:r w:rsidRPr="00484A29">
          <w:rPr>
            <w:rStyle w:val="Hyperlink"/>
            <w:noProof/>
          </w:rPr>
          <w:t>Antimicrobial resistance</w:t>
        </w:r>
        <w:r>
          <w:rPr>
            <w:noProof/>
            <w:webHidden/>
          </w:rPr>
          <w:tab/>
        </w:r>
        <w:r>
          <w:rPr>
            <w:noProof/>
            <w:webHidden/>
          </w:rPr>
          <w:fldChar w:fldCharType="begin"/>
        </w:r>
        <w:r>
          <w:rPr>
            <w:noProof/>
            <w:webHidden/>
          </w:rPr>
          <w:instrText xml:space="preserve"> PAGEREF _Toc452639783 \h </w:instrText>
        </w:r>
        <w:r>
          <w:rPr>
            <w:noProof/>
            <w:webHidden/>
          </w:rPr>
        </w:r>
        <w:r>
          <w:rPr>
            <w:noProof/>
            <w:webHidden/>
          </w:rPr>
          <w:fldChar w:fldCharType="separate"/>
        </w:r>
        <w:r>
          <w:rPr>
            <w:noProof/>
            <w:webHidden/>
          </w:rPr>
          <w:t>17</w:t>
        </w:r>
        <w:r>
          <w:rPr>
            <w:noProof/>
            <w:webHidden/>
          </w:rPr>
          <w:fldChar w:fldCharType="end"/>
        </w:r>
      </w:hyperlink>
    </w:p>
    <w:p w14:paraId="614BF1AF" w14:textId="77777777" w:rsidR="00D4626D" w:rsidRDefault="00D4626D">
      <w:pPr>
        <w:pStyle w:val="TOC1"/>
        <w:rPr>
          <w:rFonts w:asciiTheme="minorHAnsi" w:eastAsiaTheme="minorEastAsia" w:hAnsiTheme="minorHAnsi" w:cstheme="minorBidi"/>
          <w:b w:val="0"/>
          <w:bCs w:val="0"/>
          <w:color w:val="auto"/>
          <w:sz w:val="24"/>
          <w:szCs w:val="24"/>
          <w:lang w:val="en-US" w:eastAsia="en-US"/>
        </w:rPr>
      </w:pPr>
      <w:hyperlink w:anchor="_Toc452639784" w:history="1">
        <w:r w:rsidRPr="00484A29">
          <w:rPr>
            <w:rStyle w:val="Hyperlink"/>
          </w:rPr>
          <w:t>Using information for action</w:t>
        </w:r>
        <w:r>
          <w:rPr>
            <w:webHidden/>
          </w:rPr>
          <w:tab/>
        </w:r>
        <w:r>
          <w:rPr>
            <w:webHidden/>
          </w:rPr>
          <w:fldChar w:fldCharType="begin"/>
        </w:r>
        <w:r>
          <w:rPr>
            <w:webHidden/>
          </w:rPr>
          <w:instrText xml:space="preserve"> PAGEREF _Toc452639784 \h </w:instrText>
        </w:r>
        <w:r>
          <w:rPr>
            <w:webHidden/>
          </w:rPr>
        </w:r>
        <w:r>
          <w:rPr>
            <w:webHidden/>
          </w:rPr>
          <w:fldChar w:fldCharType="separate"/>
        </w:r>
        <w:r>
          <w:rPr>
            <w:webHidden/>
          </w:rPr>
          <w:t>20</w:t>
        </w:r>
        <w:r>
          <w:rPr>
            <w:webHidden/>
          </w:rPr>
          <w:fldChar w:fldCharType="end"/>
        </w:r>
      </w:hyperlink>
    </w:p>
    <w:p w14:paraId="3983C0A2" w14:textId="77777777" w:rsidR="00D4626D" w:rsidRDefault="00D4626D">
      <w:pPr>
        <w:pStyle w:val="TOC2"/>
        <w:rPr>
          <w:rFonts w:asciiTheme="minorHAnsi" w:eastAsiaTheme="minorEastAsia" w:hAnsiTheme="minorHAnsi" w:cstheme="minorBidi"/>
          <w:noProof/>
          <w:color w:val="auto"/>
          <w:sz w:val="24"/>
          <w:szCs w:val="24"/>
          <w:lang w:val="en-US" w:eastAsia="en-US"/>
        </w:rPr>
      </w:pPr>
      <w:hyperlink w:anchor="_Toc452639785" w:history="1">
        <w:r w:rsidRPr="00484A29">
          <w:rPr>
            <w:rStyle w:val="Hyperlink"/>
            <w:noProof/>
          </w:rPr>
          <w:t>Key messages</w:t>
        </w:r>
        <w:r>
          <w:rPr>
            <w:noProof/>
            <w:webHidden/>
          </w:rPr>
          <w:tab/>
        </w:r>
        <w:r>
          <w:rPr>
            <w:noProof/>
            <w:webHidden/>
          </w:rPr>
          <w:fldChar w:fldCharType="begin"/>
        </w:r>
        <w:r>
          <w:rPr>
            <w:noProof/>
            <w:webHidden/>
          </w:rPr>
          <w:instrText xml:space="preserve"> PAGEREF _Toc452639785 \h </w:instrText>
        </w:r>
        <w:r>
          <w:rPr>
            <w:noProof/>
            <w:webHidden/>
          </w:rPr>
        </w:r>
        <w:r>
          <w:rPr>
            <w:noProof/>
            <w:webHidden/>
          </w:rPr>
          <w:fldChar w:fldCharType="separate"/>
        </w:r>
        <w:r>
          <w:rPr>
            <w:noProof/>
            <w:webHidden/>
          </w:rPr>
          <w:t>20</w:t>
        </w:r>
        <w:r>
          <w:rPr>
            <w:noProof/>
            <w:webHidden/>
          </w:rPr>
          <w:fldChar w:fldCharType="end"/>
        </w:r>
      </w:hyperlink>
    </w:p>
    <w:p w14:paraId="0E81DC93" w14:textId="77777777" w:rsidR="00D4626D" w:rsidRDefault="00D4626D">
      <w:pPr>
        <w:pStyle w:val="TOC1"/>
        <w:rPr>
          <w:rFonts w:asciiTheme="minorHAnsi" w:eastAsiaTheme="minorEastAsia" w:hAnsiTheme="minorHAnsi" w:cstheme="minorBidi"/>
          <w:b w:val="0"/>
          <w:bCs w:val="0"/>
          <w:color w:val="auto"/>
          <w:sz w:val="24"/>
          <w:szCs w:val="24"/>
          <w:lang w:val="en-US" w:eastAsia="en-US"/>
        </w:rPr>
      </w:pPr>
      <w:hyperlink w:anchor="_Toc452639786" w:history="1">
        <w:r w:rsidRPr="00484A29">
          <w:rPr>
            <w:rStyle w:val="Hyperlink"/>
          </w:rPr>
          <w:t>References</w:t>
        </w:r>
        <w:r>
          <w:rPr>
            <w:webHidden/>
          </w:rPr>
          <w:tab/>
        </w:r>
        <w:r>
          <w:rPr>
            <w:webHidden/>
          </w:rPr>
          <w:fldChar w:fldCharType="begin"/>
        </w:r>
        <w:r>
          <w:rPr>
            <w:webHidden/>
          </w:rPr>
          <w:instrText xml:space="preserve"> PAGEREF _Toc452639786 \h </w:instrText>
        </w:r>
        <w:r>
          <w:rPr>
            <w:webHidden/>
          </w:rPr>
        </w:r>
        <w:r>
          <w:rPr>
            <w:webHidden/>
          </w:rPr>
          <w:fldChar w:fldCharType="separate"/>
        </w:r>
        <w:r>
          <w:rPr>
            <w:webHidden/>
          </w:rPr>
          <w:t>23</w:t>
        </w:r>
        <w:r>
          <w:rPr>
            <w:webHidden/>
          </w:rPr>
          <w:fldChar w:fldCharType="end"/>
        </w:r>
      </w:hyperlink>
    </w:p>
    <w:p w14:paraId="6087D5BE" w14:textId="76BEFBBB" w:rsidR="00D20FD9" w:rsidRPr="003A2D00" w:rsidRDefault="009529E6">
      <w:r w:rsidRPr="003A2D00">
        <w:rPr>
          <w:noProof/>
        </w:rPr>
        <w:fldChar w:fldCharType="end"/>
      </w:r>
    </w:p>
    <w:p w14:paraId="561FC086" w14:textId="77777777" w:rsidR="00D20FD9" w:rsidRPr="003A2D00" w:rsidRDefault="00D20FD9">
      <w:pPr>
        <w:sectPr w:rsidR="00D20FD9" w:rsidRPr="003A2D00" w:rsidSect="0020248C">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oddPage"/>
          <w:pgSz w:w="11906" w:h="16838" w:code="9"/>
          <w:pgMar w:top="1440" w:right="1440" w:bottom="1440" w:left="1440" w:header="576" w:footer="576" w:gutter="0"/>
          <w:pgNumType w:fmt="lowerRoman"/>
          <w:cols w:space="720"/>
          <w:docGrid w:linePitch="299"/>
        </w:sectPr>
      </w:pPr>
    </w:p>
    <w:p w14:paraId="2BE1D5EB" w14:textId="1E597798" w:rsidR="006B0B5E" w:rsidRPr="003A2D00" w:rsidRDefault="00D94E34" w:rsidP="00086A8D">
      <w:pPr>
        <w:pStyle w:val="Heading1"/>
        <w:rPr>
          <w:i/>
          <w:iCs/>
        </w:rPr>
      </w:pPr>
      <w:bookmarkStart w:id="2" w:name="_Toc452639765"/>
      <w:r w:rsidRPr="003A2D00">
        <w:lastRenderedPageBreak/>
        <w:t>Overview</w:t>
      </w:r>
      <w:bookmarkEnd w:id="2"/>
    </w:p>
    <w:p w14:paraId="11D85930" w14:textId="77777777" w:rsidR="0002015F" w:rsidRPr="003A2D00" w:rsidRDefault="0002015F" w:rsidP="0020248C">
      <w:r w:rsidRPr="003A2D00">
        <w:rPr>
          <w:i/>
          <w:iCs/>
        </w:rPr>
        <w:t xml:space="preserve">AURA 2016: </w:t>
      </w:r>
      <w:r w:rsidR="0082366A" w:rsidRPr="003A2D00">
        <w:rPr>
          <w:i/>
          <w:iCs/>
        </w:rPr>
        <w:t>first</w:t>
      </w:r>
      <w:r w:rsidRPr="003A2D00">
        <w:rPr>
          <w:i/>
          <w:iCs/>
        </w:rPr>
        <w:t xml:space="preserve"> Australian report on antimicrobial use and resistance in human health</w:t>
      </w:r>
      <w:r w:rsidRPr="003A2D00">
        <w:t xml:space="preserve"> provides the most comprehensive picture of antimicrobial resistance (AMR), antimicrobial use (AU) and appropriateness of prescribing in Australia to date. It sets a baseline that will allow trends to be monitored over time. AURA 2016 also highlights areas where future work will inform action to prevent the spread of AMR.</w:t>
      </w:r>
    </w:p>
    <w:p w14:paraId="0983EFCB" w14:textId="4A94A314" w:rsidR="0082366A" w:rsidRPr="003A2D00" w:rsidRDefault="0082366A" w:rsidP="0082366A">
      <w:r w:rsidRPr="003A2D00">
        <w:t>Comprehensive, coordinated and effective surveillan</w:t>
      </w:r>
      <w:r w:rsidR="00A42BEA" w:rsidRPr="003A2D00">
        <w:t>ce of AMR</w:t>
      </w:r>
      <w:r w:rsidRPr="003A2D00">
        <w:t xml:space="preserve"> and </w:t>
      </w:r>
      <w:r w:rsidR="00A42BEA" w:rsidRPr="003A2D00">
        <w:t>AU</w:t>
      </w:r>
      <w:r w:rsidRPr="003A2D00">
        <w:t xml:space="preserve"> is a national priority. Surveillance is essential to understand the magnitude, distribution and impact of AMR and AU, as well as to identify emerging issues and trends. It allows the early detection of critical antimicrobial resistances to ensure </w:t>
      </w:r>
      <w:r w:rsidR="009529E6" w:rsidRPr="003A2D00">
        <w:t xml:space="preserve">that </w:t>
      </w:r>
      <w:r w:rsidRPr="003A2D00">
        <w:t xml:space="preserve">effective action can be taken, and provides information on the effectiveness of measures designed to promote appropriate AU and contain AMR. Surveillance is a critical component of Australia’s National Antimicrobial Resistance </w:t>
      </w:r>
      <w:r w:rsidR="00A42BEA" w:rsidRPr="003A2D00">
        <w:t>Strategy.</w:t>
      </w:r>
    </w:p>
    <w:p w14:paraId="259302EF" w14:textId="14733769" w:rsidR="0082366A" w:rsidRPr="003A2D00" w:rsidRDefault="0082366A" w:rsidP="0082366A">
      <w:r w:rsidRPr="003A2D00">
        <w:t>The Antimicrobial Use and Resistance in Australia (AURA) Surveillance System is the new system to coordinate data from a range of sources</w:t>
      </w:r>
      <w:r w:rsidR="009529E6" w:rsidRPr="003A2D00">
        <w:t>,</w:t>
      </w:r>
      <w:r w:rsidRPr="003A2D00">
        <w:t xml:space="preserve"> and allow integrated analysis and reporting at a national level. The AURA Surveillance System brings together partner programs such as the Australian Gr</w:t>
      </w:r>
      <w:r w:rsidR="00A42BEA" w:rsidRPr="003A2D00">
        <w:t>oup on Antimicrobial Resistance, the</w:t>
      </w:r>
      <w:r w:rsidRPr="003A2D00">
        <w:t xml:space="preserve"> National Antimicrobial Prescribing Survey (NAPS), the National Antimicrobial Utilisation Surveillance Program (NAUSP) and Queensland Health’s </w:t>
      </w:r>
      <w:proofErr w:type="spellStart"/>
      <w:r w:rsidRPr="003A2D00">
        <w:t>OrgTRx</w:t>
      </w:r>
      <w:proofErr w:type="spellEnd"/>
      <w:r w:rsidRPr="003A2D00">
        <w:t xml:space="preserve"> system. Data is also sourced from the Pharmaceutical Benefits Scheme and </w:t>
      </w:r>
      <w:r w:rsidR="001A0532" w:rsidRPr="003A2D00">
        <w:t xml:space="preserve">the </w:t>
      </w:r>
      <w:r w:rsidRPr="003A2D00">
        <w:t xml:space="preserve">Repatriation Pharmaceutical Benefits Scheme (PBS/RPBS), NPS </w:t>
      </w:r>
      <w:proofErr w:type="spellStart"/>
      <w:r w:rsidRPr="003A2D00">
        <w:t>MedicineWise</w:t>
      </w:r>
      <w:proofErr w:type="spellEnd"/>
      <w:r w:rsidRPr="003A2D00">
        <w:t xml:space="preserve">, the National Neisseria Network, the National Notifiable Diseases Surveillance System, the </w:t>
      </w:r>
      <w:r w:rsidRPr="003A2D00">
        <w:rPr>
          <w:rStyle w:val="Emphasis"/>
        </w:rPr>
        <w:t xml:space="preserve">Report on </w:t>
      </w:r>
      <w:r w:rsidR="001A0532" w:rsidRPr="003A2D00">
        <w:rPr>
          <w:rStyle w:val="Emphasis"/>
        </w:rPr>
        <w:t>g</w:t>
      </w:r>
      <w:r w:rsidRPr="003A2D00">
        <w:rPr>
          <w:rStyle w:val="Emphasis"/>
        </w:rPr>
        <w:t xml:space="preserve">overnment </w:t>
      </w:r>
      <w:r w:rsidR="001A0532" w:rsidRPr="003A2D00">
        <w:rPr>
          <w:rStyle w:val="Emphasis"/>
        </w:rPr>
        <w:t>s</w:t>
      </w:r>
      <w:r w:rsidRPr="003A2D00">
        <w:rPr>
          <w:rStyle w:val="Emphasis"/>
        </w:rPr>
        <w:t>ervices 2015</w:t>
      </w:r>
      <w:r w:rsidR="0020248C" w:rsidRPr="003A2D00">
        <w:t>,</w:t>
      </w:r>
      <w:r w:rsidRPr="003A2D00">
        <w:t xml:space="preserve"> and Sullivan </w:t>
      </w:r>
      <w:proofErr w:type="spellStart"/>
      <w:r w:rsidRPr="003A2D00">
        <w:t>Nicolaides</w:t>
      </w:r>
      <w:proofErr w:type="spellEnd"/>
      <w:r w:rsidRPr="003A2D00">
        <w:t xml:space="preserve"> Pathology.</w:t>
      </w:r>
    </w:p>
    <w:p w14:paraId="13E4498B" w14:textId="3297E788" w:rsidR="0002015F" w:rsidRPr="003A2D00" w:rsidRDefault="0082366A" w:rsidP="00332F50">
      <w:r w:rsidRPr="003A2D00">
        <w:t>The AURA Surveillance System will provide critical information needed by clinicians, policy makers, researchers and health system managers to target efforts to inform antimicrobial stewardship</w:t>
      </w:r>
      <w:r w:rsidR="009529E6" w:rsidRPr="003A2D00">
        <w:t>,</w:t>
      </w:r>
      <w:r w:rsidRPr="003A2D00">
        <w:t xml:space="preserve"> and AMR policy and program development. </w:t>
      </w:r>
    </w:p>
    <w:p w14:paraId="0FBD5BEF" w14:textId="170D0B88" w:rsidR="000E5DD5" w:rsidRPr="003A2D00" w:rsidRDefault="000E5DD5" w:rsidP="000E5DD5">
      <w:r w:rsidRPr="003A2D00">
        <w:t>This summary</w:t>
      </w:r>
      <w:r w:rsidR="006B0B5E" w:rsidRPr="003A2D00">
        <w:t xml:space="preserve"> report</w:t>
      </w:r>
      <w:r w:rsidR="00AD0126" w:rsidRPr="003A2D00">
        <w:t xml:space="preserve"> of </w:t>
      </w:r>
      <w:r w:rsidRPr="003A2D00">
        <w:t xml:space="preserve">AURA 2016 presents the key messages and data from </w:t>
      </w:r>
      <w:r w:rsidR="006A5371" w:rsidRPr="003A2D00">
        <w:t>that</w:t>
      </w:r>
      <w:r w:rsidRPr="003A2D00">
        <w:t xml:space="preserve"> report.</w:t>
      </w:r>
    </w:p>
    <w:p w14:paraId="6E7C9984" w14:textId="77777777" w:rsidR="00824CBF" w:rsidRPr="003A2D00" w:rsidRDefault="00824CBF" w:rsidP="00332F50">
      <w:pPr>
        <w:pStyle w:val="Heading2"/>
      </w:pPr>
      <w:bookmarkStart w:id="3" w:name="_Toc452639766"/>
      <w:r w:rsidRPr="003A2D00">
        <w:t>What is antimicrobial resistance?</w:t>
      </w:r>
      <w:bookmarkEnd w:id="3"/>
    </w:p>
    <w:p w14:paraId="3D1A57E9" w14:textId="28E69C5C" w:rsidR="0002015F" w:rsidRPr="003A2D00" w:rsidRDefault="0082366A" w:rsidP="0020248C">
      <w:r w:rsidRPr="003A2D00">
        <w:t>AMR i</w:t>
      </w:r>
      <w:r w:rsidR="0002015F" w:rsidRPr="003A2D00">
        <w:t xml:space="preserve">s an issue of great importance for health care in Australia. AMR occurs when bacteria change to protect themselves from </w:t>
      </w:r>
      <w:r w:rsidR="0020248C" w:rsidRPr="003A2D00">
        <w:t xml:space="preserve">the effects of antimicrobials. </w:t>
      </w:r>
      <w:r w:rsidR="0002015F" w:rsidRPr="003A2D00">
        <w:t>This means that the antimicrobial can no longer eradicate or stop the growth of the bacteria.</w:t>
      </w:r>
      <w:r w:rsidR="0020248C" w:rsidRPr="003A2D00">
        <w:t xml:space="preserve"> </w:t>
      </w:r>
      <w:r w:rsidR="0002015F" w:rsidRPr="003A2D00">
        <w:t>Antimicrobials can be life</w:t>
      </w:r>
      <w:r w:rsidR="001A0532" w:rsidRPr="003A2D00">
        <w:t>-</w:t>
      </w:r>
      <w:r w:rsidR="0002015F" w:rsidRPr="003A2D00">
        <w:t>saving agents in the fight against infection, but their effectiveness is diminished by AMR.</w:t>
      </w:r>
    </w:p>
    <w:p w14:paraId="67E824CD" w14:textId="24FCCB05" w:rsidR="0002015F" w:rsidRPr="003A2D00" w:rsidRDefault="0082366A" w:rsidP="0020248C">
      <w:r w:rsidRPr="003A2D00">
        <w:t>AMR</w:t>
      </w:r>
      <w:r w:rsidRPr="003A2D00" w:rsidDel="00297B15">
        <w:t xml:space="preserve"> </w:t>
      </w:r>
      <w:r w:rsidR="0002015F" w:rsidRPr="003A2D00" w:rsidDel="00297B15">
        <w:t>has a direct impact on patient care</w:t>
      </w:r>
      <w:r w:rsidR="0002015F" w:rsidRPr="003A2D00">
        <w:t xml:space="preserve"> and patient outcomes; it </w:t>
      </w:r>
      <w:r w:rsidR="0002015F" w:rsidRPr="003A2D00" w:rsidDel="00297B15">
        <w:t>is a critical and immediate challenge to health systems around the world.</w:t>
      </w:r>
      <w:r w:rsidR="0020248C" w:rsidRPr="003A2D00">
        <w:t xml:space="preserve"> </w:t>
      </w:r>
      <w:r w:rsidR="0002015F" w:rsidRPr="003A2D00">
        <w:t>It increases the complexity of treatment and the duration of hospital stay, and places an additional burden on patients, healthcare providers and the healthcare system.</w:t>
      </w:r>
    </w:p>
    <w:p w14:paraId="7598593E" w14:textId="77777777" w:rsidR="006A5371" w:rsidRPr="003A2D00" w:rsidRDefault="006A5371" w:rsidP="006A5371">
      <w:pPr>
        <w:pStyle w:val="Heading2"/>
      </w:pPr>
      <w:bookmarkStart w:id="4" w:name="_Toc452639767"/>
      <w:r w:rsidRPr="003A2D00">
        <w:t>Antimicrobial use and appropriateness of prescribing</w:t>
      </w:r>
      <w:bookmarkEnd w:id="4"/>
    </w:p>
    <w:p w14:paraId="70A4A139" w14:textId="2F604572" w:rsidR="0002015F" w:rsidRPr="003A2D00" w:rsidRDefault="0002015F" w:rsidP="0002015F">
      <w:r w:rsidRPr="003A2D00">
        <w:t>AU is a key driver of AMR – the more we use antimicrobials, the more likely it is that resistance will develop.</w:t>
      </w:r>
      <w:r w:rsidR="0020248C" w:rsidRPr="003A2D00">
        <w:t xml:space="preserve"> </w:t>
      </w:r>
      <w:r w:rsidRPr="003A2D00">
        <w:t xml:space="preserve">Appropriate use of antimicrobials can be life-saving, but inappropriate use needs to be monitored and minimised to prevent and contain </w:t>
      </w:r>
      <w:r w:rsidR="00A42BEA" w:rsidRPr="003A2D00">
        <w:t>AMR</w:t>
      </w:r>
      <w:r w:rsidRPr="003A2D00">
        <w:t>.</w:t>
      </w:r>
      <w:r w:rsidR="0020248C" w:rsidRPr="003A2D00">
        <w:t xml:space="preserve"> </w:t>
      </w:r>
      <w:r w:rsidRPr="003A2D00">
        <w:t>Inappropriate use might include prescribing antimicrobials when they are not necessary, prescribing the wrong type of antimicrobial or prescribing for the incorrect duration.</w:t>
      </w:r>
    </w:p>
    <w:p w14:paraId="76C9F1BA" w14:textId="1783AE47" w:rsidR="006A5371" w:rsidRPr="003A2D00" w:rsidRDefault="006A5371" w:rsidP="006A5371">
      <w:r w:rsidRPr="003A2D00">
        <w:lastRenderedPageBreak/>
        <w:t>On any given day in 2014, around 38% of patients in Australian hospitals were receiving antimicrobial therapy. Around 23% of these prescriptions were considered inappropriate, and around 24% were noncompliant with guidelines. Prescriptions for surgical prophylaxis are a significant concern – this indication is the most common reason for prescribing antimicrobials in hospitals (13</w:t>
      </w:r>
      <w:r w:rsidR="006F2435">
        <w:t>.1</w:t>
      </w:r>
      <w:r w:rsidRPr="003A2D00">
        <w:t>% of all prescriptions), but</w:t>
      </w:r>
      <w:r w:rsidR="009B7690" w:rsidRPr="003A2D00">
        <w:t xml:space="preserve"> also has the highest propo</w:t>
      </w:r>
      <w:r w:rsidR="0020248C" w:rsidRPr="003A2D00">
        <w:t>rtion of inappropriate use (40</w:t>
      </w:r>
      <w:r w:rsidR="006F2435">
        <w:t>.2</w:t>
      </w:r>
      <w:r w:rsidR="009B7690" w:rsidRPr="003A2D00">
        <w:t>% of prescriptions were deemed to be inappropriate).</w:t>
      </w:r>
    </w:p>
    <w:p w14:paraId="3C4B6DAC" w14:textId="77777777" w:rsidR="006A5371" w:rsidRPr="003A2D00" w:rsidRDefault="006A5371" w:rsidP="006A5371">
      <w:r w:rsidRPr="003A2D00">
        <w:t>Antimicrobial prescribing is high in the community, with 46% of Australians being dispensed at le</w:t>
      </w:r>
      <w:r w:rsidR="00DF4C70" w:rsidRPr="003A2D00">
        <w:t>ast one antimicrobial in 2014</w:t>
      </w:r>
      <w:r w:rsidRPr="003A2D00">
        <w:t>. High volumes of antimicrobials are prescribed unnecessarily for upp</w:t>
      </w:r>
      <w:r w:rsidR="009B7690" w:rsidRPr="003A2D00">
        <w:t>er respiratory tract infections.</w:t>
      </w:r>
    </w:p>
    <w:p w14:paraId="34BB3820" w14:textId="31C18627" w:rsidR="006A5371" w:rsidRPr="003A2D00" w:rsidRDefault="006A5371" w:rsidP="006A5371">
      <w:r w:rsidRPr="003A2D00">
        <w:t>In reside</w:t>
      </w:r>
      <w:r w:rsidR="0020248C" w:rsidRPr="003A2D00">
        <w:t>ntial aged care facilities, 11</w:t>
      </w:r>
      <w:r w:rsidR="006F2435">
        <w:t>.3</w:t>
      </w:r>
      <w:r w:rsidRPr="003A2D00">
        <w:t>% of the residents were on antimicrobials, but only 4.5% had a suspected or confirmed infection. Antimicrobials are sometimes used unnecessarily in residential aged care facilities for urinary tract infections, and unspecified skin and soft tissue infections.</w:t>
      </w:r>
    </w:p>
    <w:p w14:paraId="0D64F8E6" w14:textId="77777777" w:rsidR="009B7690" w:rsidRPr="003A2D00" w:rsidRDefault="009B7690" w:rsidP="009B7690">
      <w:pPr>
        <w:pStyle w:val="Heading2"/>
      </w:pPr>
      <w:bookmarkStart w:id="5" w:name="_Toc452639768"/>
      <w:r w:rsidRPr="003A2D00">
        <w:t>Antimicrobial resistance</w:t>
      </w:r>
      <w:bookmarkEnd w:id="5"/>
    </w:p>
    <w:p w14:paraId="75AD37CA" w14:textId="0A7B80A0" w:rsidR="009B7690" w:rsidRPr="003A2D00" w:rsidRDefault="009B7690" w:rsidP="009B7690">
      <w:r w:rsidRPr="003A2D00">
        <w:t xml:space="preserve">Data from hospitals, residential aged care facilities and the community was reported for priority organisms. Resistances and trends of concern include resistance to third-generation </w:t>
      </w:r>
      <w:proofErr w:type="spellStart"/>
      <w:r w:rsidRPr="003A2D00">
        <w:t>cephalosporins</w:t>
      </w:r>
      <w:proofErr w:type="spellEnd"/>
      <w:r w:rsidRPr="003A2D00">
        <w:t xml:space="preserve"> and carbapenems in </w:t>
      </w:r>
      <w:r w:rsidRPr="003A2D00">
        <w:rPr>
          <w:i/>
        </w:rPr>
        <w:t>Enterobacteriaceae</w:t>
      </w:r>
      <w:r w:rsidRPr="003A2D00">
        <w:t xml:space="preserve">, decreased susceptibility to ceftriaxone in </w:t>
      </w:r>
      <w:r w:rsidRPr="003A2D00">
        <w:rPr>
          <w:i/>
        </w:rPr>
        <w:t>Neisseria gonorrhoeae</w:t>
      </w:r>
      <w:r w:rsidRPr="003A2D00">
        <w:t xml:space="preserve">, resistance to ciprofloxacin in </w:t>
      </w:r>
      <w:proofErr w:type="spellStart"/>
      <w:r w:rsidRPr="003A2D00">
        <w:rPr>
          <w:i/>
        </w:rPr>
        <w:t>Shigella</w:t>
      </w:r>
      <w:proofErr w:type="spellEnd"/>
      <w:r w:rsidRPr="003A2D00">
        <w:t xml:space="preserve"> species, and resistance to erythromycin in </w:t>
      </w:r>
      <w:r w:rsidRPr="003A2D00">
        <w:rPr>
          <w:i/>
        </w:rPr>
        <w:t xml:space="preserve">Streptococcus </w:t>
      </w:r>
      <w:proofErr w:type="spellStart"/>
      <w:r w:rsidRPr="003A2D00">
        <w:rPr>
          <w:i/>
        </w:rPr>
        <w:t>agalactiae</w:t>
      </w:r>
      <w:proofErr w:type="spellEnd"/>
      <w:r w:rsidRPr="003A2D00">
        <w:t>.</w:t>
      </w:r>
    </w:p>
    <w:p w14:paraId="11422EFB" w14:textId="77777777" w:rsidR="009B7690" w:rsidRPr="003A2D00" w:rsidRDefault="009B7690" w:rsidP="009B7690">
      <w:pPr>
        <w:pStyle w:val="Heading2"/>
      </w:pPr>
      <w:bookmarkStart w:id="6" w:name="_Toc452639769"/>
      <w:r w:rsidRPr="003A2D00">
        <w:t>International comparisons</w:t>
      </w:r>
      <w:bookmarkEnd w:id="6"/>
    </w:p>
    <w:p w14:paraId="33110A8F" w14:textId="4F8FE715" w:rsidR="009B7690" w:rsidRPr="003A2D00" w:rsidRDefault="009B7690" w:rsidP="009B7690">
      <w:r w:rsidRPr="003A2D00">
        <w:t>A</w:t>
      </w:r>
      <w:r w:rsidR="009529E6" w:rsidRPr="003A2D00">
        <w:t>U</w:t>
      </w:r>
      <w:r w:rsidRPr="003A2D00">
        <w:t xml:space="preserve"> in the Australian community is higher than in many other countries. Rates of </w:t>
      </w:r>
      <w:r w:rsidR="009529E6" w:rsidRPr="003A2D00">
        <w:t>AMR</w:t>
      </w:r>
      <w:r w:rsidRPr="003A2D00">
        <w:t xml:space="preserve"> in gram-negative organisms (</w:t>
      </w:r>
      <w:r w:rsidRPr="003A2D00">
        <w:rPr>
          <w:i/>
        </w:rPr>
        <w:t>Escherichia coli</w:t>
      </w:r>
      <w:r w:rsidRPr="003A2D00">
        <w:t xml:space="preserve"> and </w:t>
      </w:r>
      <w:proofErr w:type="spellStart"/>
      <w:r w:rsidRPr="003A2D00">
        <w:rPr>
          <w:i/>
        </w:rPr>
        <w:t>Klebsiella</w:t>
      </w:r>
      <w:proofErr w:type="spellEnd"/>
      <w:r w:rsidRPr="003A2D00">
        <w:t xml:space="preserve"> </w:t>
      </w:r>
      <w:r w:rsidRPr="003A2D00">
        <w:rPr>
          <w:i/>
        </w:rPr>
        <w:t>pneumoniae</w:t>
      </w:r>
      <w:r w:rsidRPr="003A2D00">
        <w:t xml:space="preserve">) are lower than </w:t>
      </w:r>
      <w:r w:rsidR="009529E6" w:rsidRPr="003A2D00">
        <w:t xml:space="preserve">in </w:t>
      </w:r>
      <w:r w:rsidRPr="003A2D00">
        <w:t xml:space="preserve">other countries, but </w:t>
      </w:r>
      <w:r w:rsidR="00A32211" w:rsidRPr="003A2D00">
        <w:t>high to very high for</w:t>
      </w:r>
      <w:r w:rsidRPr="003A2D00">
        <w:t xml:space="preserve"> gram-positive organisms (</w:t>
      </w:r>
      <w:r w:rsidRPr="003A2D00">
        <w:rPr>
          <w:i/>
        </w:rPr>
        <w:t>Staphylococcus aureus</w:t>
      </w:r>
      <w:r w:rsidRPr="003A2D00">
        <w:t xml:space="preserve"> and </w:t>
      </w:r>
      <w:r w:rsidRPr="003A2D00">
        <w:rPr>
          <w:i/>
        </w:rPr>
        <w:t xml:space="preserve">Enterococcus </w:t>
      </w:r>
      <w:proofErr w:type="spellStart"/>
      <w:r w:rsidRPr="003A2D00">
        <w:rPr>
          <w:i/>
        </w:rPr>
        <w:t>faecium</w:t>
      </w:r>
      <w:proofErr w:type="spellEnd"/>
      <w:r w:rsidRPr="003A2D00">
        <w:t>).</w:t>
      </w:r>
      <w:r w:rsidR="00A32211" w:rsidRPr="003A2D00">
        <w:t xml:space="preserve"> </w:t>
      </w:r>
      <w:r w:rsidRPr="003A2D00">
        <w:t>Australia has low rates of resistance to fluoroquinolones compared with other countries, reflecting the restricted use of this antimicrobial class in Australia</w:t>
      </w:r>
      <w:r w:rsidR="009529E6" w:rsidRPr="003A2D00">
        <w:t>.</w:t>
      </w:r>
    </w:p>
    <w:p w14:paraId="2FCECC58" w14:textId="77777777" w:rsidR="00A32211" w:rsidRPr="003A2D00" w:rsidRDefault="00A32211" w:rsidP="00A32211">
      <w:pPr>
        <w:pStyle w:val="Heading2"/>
      </w:pPr>
      <w:bookmarkStart w:id="7" w:name="_Toc452639770"/>
      <w:r w:rsidRPr="003A2D00">
        <w:t>Using information for action</w:t>
      </w:r>
      <w:bookmarkEnd w:id="7"/>
    </w:p>
    <w:p w14:paraId="2B820EE2" w14:textId="17FD0B9E" w:rsidR="00852A3A" w:rsidRPr="003A2D00" w:rsidRDefault="00852A3A" w:rsidP="0020248C">
      <w:r w:rsidRPr="003A2D00">
        <w:t xml:space="preserve">The information generated through surveillance of </w:t>
      </w:r>
      <w:r w:rsidR="001A0532" w:rsidRPr="003A2D00">
        <w:t>AU</w:t>
      </w:r>
      <w:r w:rsidRPr="003A2D00">
        <w:t xml:space="preserve"> and </w:t>
      </w:r>
      <w:r w:rsidR="001A0532" w:rsidRPr="003A2D00">
        <w:t>AMR</w:t>
      </w:r>
      <w:r w:rsidRPr="003A2D00">
        <w:t xml:space="preserve"> more accurately informs and supports strategies to prevent and contain </w:t>
      </w:r>
      <w:r w:rsidR="001A0532" w:rsidRPr="003A2D00">
        <w:t>AMR</w:t>
      </w:r>
      <w:r w:rsidRPr="003A2D00">
        <w:t xml:space="preserve">. A national, comprehensive and coordinated surveillance system, such as the AURA Surveillance System, provides data that can be used at many levels – </w:t>
      </w:r>
      <w:r w:rsidR="001A0532" w:rsidRPr="003A2D00">
        <w:t xml:space="preserve">by </w:t>
      </w:r>
      <w:r w:rsidRPr="003A2D00">
        <w:t xml:space="preserve">individuals, healthcare services, jurisdictional health authorities, national bodies and global </w:t>
      </w:r>
      <w:r w:rsidR="001A0532" w:rsidRPr="003A2D00">
        <w:t>AMR</w:t>
      </w:r>
      <w:r w:rsidRPr="003A2D00">
        <w:t xml:space="preserve"> organisations – to ensure appropriate and effective use of antimicrobials, timely response to emerging resistance and coordinated efforts.</w:t>
      </w:r>
    </w:p>
    <w:p w14:paraId="3781AF72" w14:textId="4C40F560" w:rsidR="009B7690" w:rsidRPr="003A2D00" w:rsidRDefault="00A32211" w:rsidP="009B7690">
      <w:r w:rsidRPr="003A2D00">
        <w:t xml:space="preserve">AURA 2016 provides valuable data and comprehensive analyses of </w:t>
      </w:r>
      <w:r w:rsidR="001A0532" w:rsidRPr="003A2D00">
        <w:t>AMR</w:t>
      </w:r>
      <w:r w:rsidRPr="003A2D00">
        <w:t xml:space="preserve">, </w:t>
      </w:r>
      <w:r w:rsidR="001A0532" w:rsidRPr="003A2D00">
        <w:t>AU</w:t>
      </w:r>
      <w:r w:rsidRPr="003A2D00">
        <w:t xml:space="preserve"> and appropriateness of prescribing in Australia, and sets a baseline that will allow </w:t>
      </w:r>
      <w:r w:rsidR="009529E6" w:rsidRPr="003A2D00">
        <w:t>AMR and AU</w:t>
      </w:r>
      <w:r w:rsidRPr="003A2D00">
        <w:t xml:space="preserve"> trends to be monitored over time. It also highlights areas where additional work would improve understanding and inform further action.</w:t>
      </w:r>
    </w:p>
    <w:p w14:paraId="05347CDD" w14:textId="20A9C118" w:rsidR="00852A3A" w:rsidRPr="003A2D00" w:rsidRDefault="00852A3A" w:rsidP="009B7690">
      <w:r w:rsidRPr="003A2D00">
        <w:t xml:space="preserve">AURA 2016 </w:t>
      </w:r>
      <w:r w:rsidR="00AD0126" w:rsidRPr="003A2D00">
        <w:t>and a detailed data supplement are</w:t>
      </w:r>
      <w:r w:rsidRPr="003A2D00">
        <w:t xml:space="preserve"> available </w:t>
      </w:r>
      <w:r w:rsidR="00D71080">
        <w:t xml:space="preserve">on the </w:t>
      </w:r>
      <w:hyperlink r:id="rId14" w:history="1">
        <w:r w:rsidR="00D71080" w:rsidRPr="00D71080">
          <w:rPr>
            <w:rStyle w:val="Hyperlink"/>
          </w:rPr>
          <w:t>AURA website</w:t>
        </w:r>
      </w:hyperlink>
      <w:r w:rsidR="00D71080">
        <w:t>.</w:t>
      </w:r>
    </w:p>
    <w:p w14:paraId="012776FC" w14:textId="77777777" w:rsidR="008945DF" w:rsidRPr="003A2D00" w:rsidRDefault="00E95CDB" w:rsidP="008945DF">
      <w:pPr>
        <w:pStyle w:val="Heading1"/>
      </w:pPr>
      <w:bookmarkStart w:id="8" w:name="_Toc452639771"/>
      <w:r w:rsidRPr="003A2D00">
        <w:lastRenderedPageBreak/>
        <w:t>Antimicrobial use and appropriateness</w:t>
      </w:r>
      <w:bookmarkEnd w:id="8"/>
    </w:p>
    <w:p w14:paraId="620C6175" w14:textId="77777777" w:rsidR="008945DF" w:rsidRPr="003A2D00" w:rsidRDefault="008945DF" w:rsidP="008945DF">
      <w:pPr>
        <w:pStyle w:val="BoxName"/>
      </w:pPr>
      <w:bookmarkStart w:id="9" w:name="_Toc452639772"/>
      <w:r w:rsidRPr="003A2D00">
        <w:t>Key messages</w:t>
      </w:r>
      <w:bookmarkEnd w:id="9"/>
    </w:p>
    <w:p w14:paraId="1003C363" w14:textId="77777777" w:rsidR="008945DF" w:rsidRPr="003A2D00" w:rsidRDefault="008945DF" w:rsidP="008945DF">
      <w:pPr>
        <w:pStyle w:val="BoxHeading"/>
      </w:pPr>
      <w:r w:rsidRPr="003A2D00">
        <w:t>Hospitals</w:t>
      </w:r>
    </w:p>
    <w:p w14:paraId="7B6B71E5" w14:textId="1F0CD930" w:rsidR="008945DF" w:rsidRPr="003A2D00" w:rsidRDefault="00F33809" w:rsidP="008945DF">
      <w:pPr>
        <w:pStyle w:val="BoxBullet"/>
      </w:pPr>
      <w:r w:rsidRPr="003A2D00">
        <w:t>A</w:t>
      </w:r>
      <w:r w:rsidR="009529E6" w:rsidRPr="003A2D00">
        <w:t>U</w:t>
      </w:r>
      <w:r w:rsidRPr="003A2D00">
        <w:t xml:space="preserve"> </w:t>
      </w:r>
      <w:r w:rsidR="008945DF" w:rsidRPr="003A2D00">
        <w:t xml:space="preserve">in hospitals </w:t>
      </w:r>
      <w:r w:rsidR="00FD03F4" w:rsidRPr="003A2D00">
        <w:t xml:space="preserve">was highest in 2010, and </w:t>
      </w:r>
      <w:r w:rsidR="008945DF" w:rsidRPr="003A2D00">
        <w:t xml:space="preserve">has gradually declined since </w:t>
      </w:r>
      <w:r w:rsidR="00FD03F4" w:rsidRPr="003A2D00">
        <w:t>then</w:t>
      </w:r>
      <w:r w:rsidR="008945DF" w:rsidRPr="003A2D00">
        <w:t xml:space="preserve">. </w:t>
      </w:r>
      <w:r w:rsidR="00FD03F4" w:rsidRPr="003A2D00">
        <w:t>However, o</w:t>
      </w:r>
      <w:r w:rsidR="008945DF" w:rsidRPr="003A2D00">
        <w:t>n any given day</w:t>
      </w:r>
      <w:r w:rsidR="00CC0548" w:rsidRPr="003A2D00">
        <w:t xml:space="preserve"> in 2014</w:t>
      </w:r>
      <w:r w:rsidR="008945DF" w:rsidRPr="003A2D00">
        <w:t>, 38.4% of</w:t>
      </w:r>
      <w:r w:rsidRPr="003A2D00">
        <w:t xml:space="preserve"> hospital</w:t>
      </w:r>
      <w:r w:rsidR="008945DF" w:rsidRPr="003A2D00">
        <w:t xml:space="preserve"> patients </w:t>
      </w:r>
      <w:r w:rsidR="00CC0548" w:rsidRPr="003A2D00">
        <w:t>we</w:t>
      </w:r>
      <w:r w:rsidR="008945DF" w:rsidRPr="003A2D00">
        <w:t xml:space="preserve">re </w:t>
      </w:r>
      <w:r w:rsidR="00402875" w:rsidRPr="003A2D00">
        <w:t xml:space="preserve">being </w:t>
      </w:r>
      <w:r w:rsidR="005F5B0C" w:rsidRPr="003A2D00">
        <w:t>treated with</w:t>
      </w:r>
      <w:r w:rsidR="008945DF" w:rsidRPr="003A2D00">
        <w:t xml:space="preserve"> </w:t>
      </w:r>
      <w:r w:rsidR="0004271A" w:rsidRPr="003A2D00">
        <w:t>an antimicrobial</w:t>
      </w:r>
      <w:r w:rsidR="008945DF" w:rsidRPr="003A2D00">
        <w:t>.</w:t>
      </w:r>
    </w:p>
    <w:p w14:paraId="63FD6296" w14:textId="2BCBFDD1" w:rsidR="008945DF" w:rsidRPr="003A2D00" w:rsidRDefault="008945DF" w:rsidP="008945DF">
      <w:pPr>
        <w:pStyle w:val="BoxBullet"/>
      </w:pPr>
      <w:r w:rsidRPr="003A2D00">
        <w:t xml:space="preserve">There is large variation in the rates of </w:t>
      </w:r>
      <w:r w:rsidR="009529E6" w:rsidRPr="003A2D00">
        <w:t>AU</w:t>
      </w:r>
      <w:r w:rsidR="00F33809" w:rsidRPr="003A2D00">
        <w:t xml:space="preserve"> </w:t>
      </w:r>
      <w:r w:rsidRPr="003A2D00">
        <w:t xml:space="preserve">between states and territories, but </w:t>
      </w:r>
      <w:r w:rsidR="009C4F4D" w:rsidRPr="003A2D00">
        <w:t>the factors driving</w:t>
      </w:r>
      <w:r w:rsidR="00402875" w:rsidRPr="003A2D00">
        <w:t xml:space="preserve"> </w:t>
      </w:r>
      <w:r w:rsidRPr="003A2D00">
        <w:t xml:space="preserve">this variation </w:t>
      </w:r>
      <w:r w:rsidR="009C4F4D" w:rsidRPr="003A2D00">
        <w:t>are</w:t>
      </w:r>
      <w:r w:rsidRPr="003A2D00">
        <w:t xml:space="preserve"> unclear.</w:t>
      </w:r>
    </w:p>
    <w:p w14:paraId="0ABC1333" w14:textId="77777777" w:rsidR="008945DF" w:rsidRPr="003A2D00" w:rsidRDefault="00402875" w:rsidP="008945DF">
      <w:pPr>
        <w:pStyle w:val="BoxBullet"/>
      </w:pPr>
      <w:r w:rsidRPr="003A2D00">
        <w:t>D</w:t>
      </w:r>
      <w:r w:rsidR="008945DF" w:rsidRPr="003A2D00">
        <w:t>ata</w:t>
      </w:r>
      <w:r w:rsidRPr="003A2D00">
        <w:t xml:space="preserve"> shows that</w:t>
      </w:r>
      <w:r w:rsidR="008945DF" w:rsidRPr="003A2D00">
        <w:t xml:space="preserve"> 23.0% of prescriptions were considered inappropriate and 24.3% were noncompliant with guidelines. Inappropriate use was highest for respiratory tract infections and surgical prophylaxis</w:t>
      </w:r>
      <w:r w:rsidR="003858F3" w:rsidRPr="003A2D00">
        <w:t>.</w:t>
      </w:r>
    </w:p>
    <w:p w14:paraId="6C3944EC" w14:textId="77777777" w:rsidR="008945DF" w:rsidRPr="003A2D00" w:rsidRDefault="008945DF" w:rsidP="008945DF">
      <w:pPr>
        <w:pStyle w:val="BoxHeading"/>
      </w:pPr>
      <w:r w:rsidRPr="003A2D00">
        <w:t>Community</w:t>
      </w:r>
    </w:p>
    <w:p w14:paraId="6C15F0D1" w14:textId="51642FED" w:rsidR="008945DF" w:rsidRPr="003A2D00" w:rsidRDefault="009529E6" w:rsidP="008945DF">
      <w:pPr>
        <w:pStyle w:val="BoxBullet"/>
      </w:pPr>
      <w:r w:rsidRPr="003A2D00">
        <w:t>AU</w:t>
      </w:r>
      <w:r w:rsidR="00F33809" w:rsidRPr="003A2D00">
        <w:t xml:space="preserve"> </w:t>
      </w:r>
      <w:r w:rsidR="008945DF" w:rsidRPr="003A2D00">
        <w:t xml:space="preserve">in the community is high, with 46% of the population being dispensed at least one systemic antimicrobial prescription in 2014–15. </w:t>
      </w:r>
      <w:r w:rsidR="00F33809" w:rsidRPr="003A2D00">
        <w:t>A</w:t>
      </w:r>
      <w:r w:rsidRPr="003A2D00">
        <w:t>U</w:t>
      </w:r>
      <w:r w:rsidR="00F33809" w:rsidRPr="003A2D00">
        <w:t xml:space="preserve"> </w:t>
      </w:r>
      <w:r w:rsidR="00402875" w:rsidRPr="003A2D00">
        <w:t>i</w:t>
      </w:r>
      <w:r w:rsidR="008945DF" w:rsidRPr="003A2D00">
        <w:t>s highest in children (0–9</w:t>
      </w:r>
      <w:r w:rsidR="00402875" w:rsidRPr="003A2D00">
        <w:t> </w:t>
      </w:r>
      <w:r w:rsidR="008945DF" w:rsidRPr="003A2D00">
        <w:t xml:space="preserve">years old) and older people (aged 65 </w:t>
      </w:r>
      <w:r w:rsidR="00FD03F4" w:rsidRPr="003A2D00">
        <w:t>and</w:t>
      </w:r>
      <w:r w:rsidR="008945DF" w:rsidRPr="003A2D00">
        <w:t xml:space="preserve"> over).</w:t>
      </w:r>
    </w:p>
    <w:p w14:paraId="20C46F19" w14:textId="77777777" w:rsidR="008945DF" w:rsidRPr="003A2D00" w:rsidRDefault="008945DF" w:rsidP="008945DF">
      <w:pPr>
        <w:pStyle w:val="BoxBullet"/>
      </w:pPr>
      <w:r w:rsidRPr="003A2D00">
        <w:t xml:space="preserve">Prescribing varies across states and territories, and across local areas. </w:t>
      </w:r>
    </w:p>
    <w:p w14:paraId="2AE6DE96" w14:textId="77777777" w:rsidR="008945DF" w:rsidRPr="003A2D00" w:rsidRDefault="008945DF" w:rsidP="008945DF">
      <w:pPr>
        <w:pStyle w:val="BoxBullet"/>
      </w:pPr>
      <w:r w:rsidRPr="003A2D00">
        <w:t xml:space="preserve">High volumes of antimicrobials are prescribed unnecessarily for respiratory tract infections – more than 50% of people with colds and other upper respiratory tract infections were prescribed an antimicrobial when it was not </w:t>
      </w:r>
      <w:r w:rsidR="00FD03F4" w:rsidRPr="003A2D00">
        <w:t>recommended by guidelines</w:t>
      </w:r>
      <w:r w:rsidRPr="003A2D00">
        <w:t xml:space="preserve">. </w:t>
      </w:r>
    </w:p>
    <w:p w14:paraId="75F5E56C" w14:textId="77777777" w:rsidR="008945DF" w:rsidRPr="003A2D00" w:rsidRDefault="008945DF" w:rsidP="008945DF">
      <w:pPr>
        <w:pStyle w:val="BoxBullet"/>
      </w:pPr>
      <w:r w:rsidRPr="003A2D00">
        <w:t xml:space="preserve">Some antimicrobials are prescribed more in winter, which suggests that they are potentially misused to treat </w:t>
      </w:r>
      <w:r w:rsidR="0010316E" w:rsidRPr="003A2D00">
        <w:t xml:space="preserve">viral illnesses such as </w:t>
      </w:r>
      <w:r w:rsidRPr="003A2D00">
        <w:t>colds and influenza.</w:t>
      </w:r>
    </w:p>
    <w:p w14:paraId="756F64A1" w14:textId="77777777" w:rsidR="008945DF" w:rsidRPr="003A2D00" w:rsidRDefault="008945DF" w:rsidP="008945DF">
      <w:pPr>
        <w:pStyle w:val="BoxHeading"/>
      </w:pPr>
      <w:r w:rsidRPr="003A2D00">
        <w:t>Residential aged care facilities</w:t>
      </w:r>
    </w:p>
    <w:p w14:paraId="4D747331" w14:textId="77777777" w:rsidR="008945DF" w:rsidRPr="003A2D00" w:rsidRDefault="00FD03F4" w:rsidP="008945DF">
      <w:pPr>
        <w:pStyle w:val="BoxBullet"/>
      </w:pPr>
      <w:r w:rsidRPr="003A2D00">
        <w:t xml:space="preserve">In residential aged care facilities, </w:t>
      </w:r>
      <w:r w:rsidR="008945DF" w:rsidRPr="003A2D00">
        <w:t xml:space="preserve">11.3% of </w:t>
      </w:r>
      <w:r w:rsidRPr="003A2D00">
        <w:t xml:space="preserve">the </w:t>
      </w:r>
      <w:r w:rsidR="008945DF" w:rsidRPr="003A2D00">
        <w:t xml:space="preserve">residents were </w:t>
      </w:r>
      <w:r w:rsidR="0010316E" w:rsidRPr="003A2D00">
        <w:t>on</w:t>
      </w:r>
      <w:r w:rsidR="008945DF" w:rsidRPr="003A2D00">
        <w:t xml:space="preserve"> antimicrobial</w:t>
      </w:r>
      <w:r w:rsidRPr="003A2D00">
        <w:t>s</w:t>
      </w:r>
      <w:r w:rsidR="008945DF" w:rsidRPr="003A2D00">
        <w:t>, but only 4.5% had a suspected or confirmed infection.</w:t>
      </w:r>
    </w:p>
    <w:p w14:paraId="0773FEA3" w14:textId="77777777" w:rsidR="008945DF" w:rsidRPr="003A2D00" w:rsidRDefault="008945DF" w:rsidP="00E17195">
      <w:pPr>
        <w:pStyle w:val="BoxBullet"/>
      </w:pPr>
      <w:r w:rsidRPr="003A2D00">
        <w:t xml:space="preserve">One in five antimicrobial prescriptions was written for residents who had no signs </w:t>
      </w:r>
      <w:r w:rsidR="00FD03F4" w:rsidRPr="003A2D00">
        <w:t>or</w:t>
      </w:r>
      <w:r w:rsidRPr="003A2D00">
        <w:t xml:space="preserve"> symptoms of infection in the week before starting the antimicrobial.</w:t>
      </w:r>
      <w:r w:rsidR="00CC0548" w:rsidRPr="003A2D00">
        <w:t xml:space="preserve"> </w:t>
      </w:r>
      <w:r w:rsidRPr="003A2D00">
        <w:t>Of patients who did have signs of infection and were prescribed antimicrobials, only one-third of these prescriptions were appropriate.</w:t>
      </w:r>
    </w:p>
    <w:p w14:paraId="07FC72E8" w14:textId="77777777" w:rsidR="008945DF" w:rsidRPr="003A2D00" w:rsidRDefault="008945DF" w:rsidP="008945DF">
      <w:pPr>
        <w:pStyle w:val="BoxBullet"/>
      </w:pPr>
      <w:r w:rsidRPr="003A2D00">
        <w:t xml:space="preserve">Antimicrobials are sometimes used unnecessarily in residential aged care facilities for urinary tract </w:t>
      </w:r>
      <w:r w:rsidR="00CC0548" w:rsidRPr="003A2D00">
        <w:t xml:space="preserve">infections, </w:t>
      </w:r>
      <w:r w:rsidRPr="003A2D00">
        <w:t>and unspecified skin and soft tissue infections.</w:t>
      </w:r>
    </w:p>
    <w:p w14:paraId="7AD0F0E4" w14:textId="40D4F7A0" w:rsidR="00E66234" w:rsidRPr="003A2D00" w:rsidRDefault="00E66234" w:rsidP="00FD03F4">
      <w:r w:rsidRPr="003A2D00">
        <w:t xml:space="preserve">Inappropriate use </w:t>
      </w:r>
      <w:r w:rsidR="00862FEF" w:rsidRPr="003A2D00">
        <w:t xml:space="preserve">of antimicrobials – such as prescribing antimicrobials when they are not necessary, or prescribing the wrong type of antimicrobial – </w:t>
      </w:r>
      <w:r w:rsidRPr="003A2D00">
        <w:t xml:space="preserve">is a key driver of </w:t>
      </w:r>
      <w:r w:rsidR="009529E6" w:rsidRPr="003A2D00">
        <w:t>AMR</w:t>
      </w:r>
      <w:r w:rsidR="00862FEF" w:rsidRPr="003A2D00">
        <w:t xml:space="preserve">. To prevent and contain </w:t>
      </w:r>
      <w:r w:rsidR="009529E6" w:rsidRPr="003A2D00">
        <w:t>AMR</w:t>
      </w:r>
      <w:r w:rsidR="00862FEF" w:rsidRPr="003A2D00">
        <w:t xml:space="preserve">, it is important that </w:t>
      </w:r>
      <w:r w:rsidR="009529E6" w:rsidRPr="003A2D00">
        <w:t>AU</w:t>
      </w:r>
      <w:r w:rsidR="00862FEF" w:rsidRPr="003A2D00">
        <w:t xml:space="preserve"> is monitored, and that inappropriate use is minimised.</w:t>
      </w:r>
    </w:p>
    <w:p w14:paraId="3CB64706" w14:textId="77777777" w:rsidR="00FD03F4" w:rsidRPr="003A2D00" w:rsidRDefault="00FD03F4" w:rsidP="00FD03F4">
      <w:pPr>
        <w:pStyle w:val="Heading2"/>
      </w:pPr>
      <w:bookmarkStart w:id="10" w:name="_Toc452639773"/>
      <w:r w:rsidRPr="003A2D00">
        <w:t>Antimicrobial use in hospitals</w:t>
      </w:r>
      <w:bookmarkEnd w:id="10"/>
    </w:p>
    <w:p w14:paraId="00B8BE5E" w14:textId="58F6F117" w:rsidR="00AD0126" w:rsidRPr="003A2D00" w:rsidRDefault="00AD0126" w:rsidP="00AD0126">
      <w:r w:rsidRPr="003A2D00">
        <w:t xml:space="preserve">Data on </w:t>
      </w:r>
      <w:r w:rsidR="009529E6" w:rsidRPr="003A2D00">
        <w:t>AU</w:t>
      </w:r>
      <w:r w:rsidRPr="003A2D00">
        <w:t xml:space="preserve"> in hospitals is sourced from the 2014 NAUSP report.</w:t>
      </w:r>
      <w:r w:rsidR="00C805A6" w:rsidRPr="003A2D00">
        <w:rPr>
          <w:rStyle w:val="Superscript"/>
        </w:rPr>
        <w:t>1</w:t>
      </w:r>
    </w:p>
    <w:p w14:paraId="37CF961C" w14:textId="5975BAE6" w:rsidR="00FD03F4" w:rsidRPr="003A2D00" w:rsidRDefault="0020013A" w:rsidP="00FD03F4">
      <w:r w:rsidRPr="003A2D00">
        <w:t>Use of antimicrobials in Australian hospitals peaked in 2010, and has declined since then.</w:t>
      </w:r>
      <w:r w:rsidR="00B85898" w:rsidRPr="003A2D00">
        <w:t xml:space="preserve"> The rates of use have decreased for some classes of antimicrobials, but have increased for other classes.</w:t>
      </w:r>
    </w:p>
    <w:p w14:paraId="31BE7D59" w14:textId="1CD8A65E" w:rsidR="00DC05C4" w:rsidRPr="003A2D00" w:rsidRDefault="009B6145" w:rsidP="00DC05C4">
      <w:r w:rsidRPr="003A2D00">
        <w:t xml:space="preserve">There are </w:t>
      </w:r>
      <w:r w:rsidR="00F54283" w:rsidRPr="003A2D00">
        <w:t>more than 100</w:t>
      </w:r>
      <w:r w:rsidRPr="003A2D00">
        <w:t xml:space="preserve"> different antimicrobial agents, but 20 </w:t>
      </w:r>
      <w:r w:rsidR="00F54283" w:rsidRPr="003A2D00">
        <w:t xml:space="preserve">of these </w:t>
      </w:r>
      <w:r w:rsidRPr="003A2D00">
        <w:t xml:space="preserve">account for 92% of all </w:t>
      </w:r>
      <w:r w:rsidR="00F54283" w:rsidRPr="003A2D00">
        <w:t>antibacterials used</w:t>
      </w:r>
      <w:r w:rsidRPr="003A2D00">
        <w:t xml:space="preserve"> in hospitals. </w:t>
      </w:r>
      <w:r w:rsidR="001A0532" w:rsidRPr="003A2D00">
        <w:t xml:space="preserve">Data from NAUSP shows that </w:t>
      </w:r>
      <w:r w:rsidR="009529E6" w:rsidRPr="003A2D00">
        <w:t xml:space="preserve">by far </w:t>
      </w:r>
      <w:r w:rsidR="001A0532" w:rsidRPr="003A2D00">
        <w:t xml:space="preserve">the </w:t>
      </w:r>
      <w:r w:rsidRPr="003A2D00">
        <w:t xml:space="preserve">most commonly prescribed </w:t>
      </w:r>
      <w:r w:rsidRPr="003A2D00">
        <w:lastRenderedPageBreak/>
        <w:t>antimicrobial in hospitals is amox</w:t>
      </w:r>
      <w:r w:rsidR="00F54283" w:rsidRPr="003A2D00">
        <w:t>i</w:t>
      </w:r>
      <w:r w:rsidR="00862FEF" w:rsidRPr="003A2D00">
        <w:t>cillin–clavulanate</w:t>
      </w:r>
      <w:r w:rsidRPr="003A2D00">
        <w:t xml:space="preserve">, followed by flucloxacillin, </w:t>
      </w:r>
      <w:proofErr w:type="spellStart"/>
      <w:r w:rsidRPr="003A2D00">
        <w:t>ce</w:t>
      </w:r>
      <w:r w:rsidR="00FC5E34" w:rsidRPr="003A2D00">
        <w:t>f</w:t>
      </w:r>
      <w:r w:rsidRPr="003A2D00">
        <w:t>azolin</w:t>
      </w:r>
      <w:proofErr w:type="spellEnd"/>
      <w:r w:rsidRPr="003A2D00">
        <w:t xml:space="preserve"> and amox</w:t>
      </w:r>
      <w:r w:rsidR="00F54283" w:rsidRPr="003A2D00">
        <w:t>i</w:t>
      </w:r>
      <w:r w:rsidRPr="003A2D00">
        <w:t>cillin.</w:t>
      </w:r>
    </w:p>
    <w:p w14:paraId="73DB9C9D" w14:textId="77777777" w:rsidR="00341FEA" w:rsidRPr="003A2D00" w:rsidRDefault="00DC05C4" w:rsidP="00945106">
      <w:pPr>
        <w:pStyle w:val="Heading3"/>
      </w:pPr>
      <w:r w:rsidRPr="003A2D00">
        <w:t>D</w:t>
      </w:r>
      <w:r w:rsidR="00341FEA" w:rsidRPr="003A2D00">
        <w:t>ifferences</w:t>
      </w:r>
      <w:r w:rsidRPr="003A2D00">
        <w:t xml:space="preserve"> in prescribing rates</w:t>
      </w:r>
    </w:p>
    <w:p w14:paraId="4B1438B5" w14:textId="575F301A" w:rsidR="00E94098" w:rsidRPr="003A2D00" w:rsidRDefault="0088689C" w:rsidP="00292D88">
      <w:r w:rsidRPr="003A2D00">
        <w:t>Antimicrobial usage rates are measured as defined daily</w:t>
      </w:r>
      <w:r w:rsidR="00862FEF" w:rsidRPr="003A2D00">
        <w:t xml:space="preserve"> doses (DDDs) per 1000 occupied-</w:t>
      </w:r>
      <w:r w:rsidRPr="003A2D00">
        <w:t xml:space="preserve">bed days (OBDs), which allows data to be compared across hospitals, jurisdictions or countries. </w:t>
      </w:r>
      <w:r w:rsidR="00292D88" w:rsidRPr="003A2D00">
        <w:t xml:space="preserve">There is large variation </w:t>
      </w:r>
      <w:r w:rsidR="00F54283" w:rsidRPr="003A2D00">
        <w:t xml:space="preserve">in </w:t>
      </w:r>
      <w:r w:rsidR="009529E6" w:rsidRPr="003A2D00">
        <w:t>AU</w:t>
      </w:r>
      <w:r w:rsidR="00F54283" w:rsidRPr="003A2D00">
        <w:t xml:space="preserve"> </w:t>
      </w:r>
      <w:r w:rsidR="00292D88" w:rsidRPr="003A2D00">
        <w:t>among states and territories</w:t>
      </w:r>
      <w:r w:rsidR="00332031" w:rsidRPr="003A2D00">
        <w:t xml:space="preserve"> – </w:t>
      </w:r>
      <w:r w:rsidR="00471E42" w:rsidRPr="003A2D00">
        <w:t xml:space="preserve">Tasmania </w:t>
      </w:r>
      <w:r w:rsidR="00E94098" w:rsidRPr="003A2D00">
        <w:t>has</w:t>
      </w:r>
      <w:r w:rsidR="00471E42" w:rsidRPr="003A2D00">
        <w:t xml:space="preserve"> the high</w:t>
      </w:r>
      <w:r w:rsidR="004C2469" w:rsidRPr="003A2D00">
        <w:t>est</w:t>
      </w:r>
      <w:r w:rsidR="00E94098" w:rsidRPr="003A2D00">
        <w:t xml:space="preserve"> rate of </w:t>
      </w:r>
      <w:r w:rsidR="009529E6" w:rsidRPr="003A2D00">
        <w:t>AU</w:t>
      </w:r>
      <w:r w:rsidR="00E94098" w:rsidRPr="003A2D00">
        <w:t>, and</w:t>
      </w:r>
      <w:r w:rsidR="00945106" w:rsidRPr="003A2D00">
        <w:t xml:space="preserve"> Queensland </w:t>
      </w:r>
      <w:r w:rsidR="00E94098" w:rsidRPr="003A2D00">
        <w:t xml:space="preserve">has </w:t>
      </w:r>
      <w:r w:rsidR="00945106" w:rsidRPr="003A2D00">
        <w:t>the lowest (Figure </w:t>
      </w:r>
      <w:r w:rsidR="001A0532" w:rsidRPr="003A2D00">
        <w:t>1</w:t>
      </w:r>
      <w:r w:rsidR="004C2469" w:rsidRPr="003A2D00">
        <w:t>).</w:t>
      </w:r>
      <w:r w:rsidR="00852A3A" w:rsidRPr="003A2D00">
        <w:t xml:space="preserve"> </w:t>
      </w:r>
    </w:p>
    <w:p w14:paraId="61D05364" w14:textId="17F6379D" w:rsidR="00281F93" w:rsidRPr="003A2D00" w:rsidRDefault="00A77EC3" w:rsidP="00862FEF">
      <w:pPr>
        <w:pStyle w:val="FigureName"/>
      </w:pPr>
      <w:bookmarkStart w:id="11" w:name="_Toc444512677"/>
      <w:r w:rsidRPr="003A2D00">
        <w:t xml:space="preserve">Figure </w:t>
      </w:r>
      <w:r w:rsidR="001A0532" w:rsidRPr="003A2D00">
        <w:t>1</w:t>
      </w:r>
      <w:r w:rsidR="004C2469" w:rsidRPr="003A2D00">
        <w:tab/>
        <w:t xml:space="preserve">Overall antimicrobial </w:t>
      </w:r>
      <w:r w:rsidR="0098406E" w:rsidRPr="003A2D00">
        <w:t>us</w:t>
      </w:r>
      <w:r w:rsidR="0088689C" w:rsidRPr="003A2D00">
        <w:t>ag</w:t>
      </w:r>
      <w:r w:rsidR="0098406E" w:rsidRPr="003A2D00">
        <w:t>e</w:t>
      </w:r>
      <w:r w:rsidR="004C2469" w:rsidRPr="003A2D00">
        <w:t xml:space="preserve"> rates by jurisdiction, 2014</w:t>
      </w:r>
      <w:bookmarkEnd w:id="11"/>
    </w:p>
    <w:p w14:paraId="101C02CA" w14:textId="77777777" w:rsidR="00862FEF" w:rsidRPr="003A2D00" w:rsidRDefault="00862FEF" w:rsidP="0054243F">
      <w:pPr>
        <w:rPr>
          <w:highlight w:val="yellow"/>
        </w:rPr>
      </w:pPr>
      <w:r w:rsidRPr="003A2D00">
        <w:rPr>
          <w:noProof/>
          <w:lang w:val="en-US" w:eastAsia="en-US"/>
        </w:rPr>
        <w:drawing>
          <wp:inline distT="0" distB="0" distL="0" distR="0" wp14:anchorId="543909AE" wp14:editId="4FAB1E6A">
            <wp:extent cx="5731510" cy="2602865"/>
            <wp:effectExtent l="0" t="0" r="8890" b="0"/>
            <wp:docPr id="2" name="Picture 2" descr="Bar chart showing use in Australia (936 DDD/1000 OBD), NSW and ACT (1047 DDD/1000 OBD), Qld (820 DDD/1000 OBD), SA (956 DDD/1000 OBD), Tas (1228 DDD/1000 OBD), Vic (933 DDD/1000 OBD) and WA (857 DDD/1000 O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ecSumm-FigA-02.png"/>
                    <pic:cNvPicPr/>
                  </pic:nvPicPr>
                  <pic:blipFill>
                    <a:blip r:embed="rId15">
                      <a:extLst>
                        <a:ext uri="{28A0092B-C50C-407E-A947-70E740481C1C}">
                          <a14:useLocalDpi xmlns:a14="http://schemas.microsoft.com/office/drawing/2010/main" val="0"/>
                        </a:ext>
                      </a:extLst>
                    </a:blip>
                    <a:stretch>
                      <a:fillRect/>
                    </a:stretch>
                  </pic:blipFill>
                  <pic:spPr>
                    <a:xfrm>
                      <a:off x="0" y="0"/>
                      <a:ext cx="5731510" cy="2602865"/>
                    </a:xfrm>
                    <a:prstGeom prst="rect">
                      <a:avLst/>
                    </a:prstGeom>
                  </pic:spPr>
                </pic:pic>
              </a:graphicData>
            </a:graphic>
          </wp:inline>
        </w:drawing>
      </w:r>
    </w:p>
    <w:p w14:paraId="1DA3C299" w14:textId="77777777" w:rsidR="00281F93" w:rsidRPr="003A2D00" w:rsidRDefault="00281F93" w:rsidP="00281F93">
      <w:pPr>
        <w:pStyle w:val="TFAbbrevs"/>
      </w:pPr>
      <w:r w:rsidRPr="003A2D00">
        <w:t xml:space="preserve">ACT = Australian Capital Territory; DDD/1000 OBD = defined daily doses per 1000 occupied-bed days; NSW = New South Wales; Qld = Queensland; SA = South Australia; </w:t>
      </w:r>
      <w:proofErr w:type="spellStart"/>
      <w:r w:rsidRPr="003A2D00">
        <w:t>Tas</w:t>
      </w:r>
      <w:proofErr w:type="spellEnd"/>
      <w:r w:rsidRPr="003A2D00">
        <w:t xml:space="preserve"> = Tasmania; Vic = Victoria; WA = Western Australia </w:t>
      </w:r>
    </w:p>
    <w:p w14:paraId="2E6D1870" w14:textId="795986AE" w:rsidR="00281F93" w:rsidRPr="003A2D00" w:rsidRDefault="00281F93" w:rsidP="00281F93">
      <w:pPr>
        <w:pStyle w:val="TFNoteSourceSpace"/>
      </w:pPr>
      <w:r w:rsidRPr="003A2D00">
        <w:t xml:space="preserve">Data source: </w:t>
      </w:r>
      <w:r w:rsidR="00086A8D" w:rsidRPr="003A2D00">
        <w:t>National Antimicrobial Utilisation Surveillance Program report,</w:t>
      </w:r>
      <w:r w:rsidRPr="003A2D00">
        <w:t xml:space="preserve"> 2014</w:t>
      </w:r>
    </w:p>
    <w:p w14:paraId="2A4F44A6" w14:textId="1ED03CE1" w:rsidR="00B84F46" w:rsidRPr="003A2D00" w:rsidRDefault="00B84F46" w:rsidP="00281F93">
      <w:pPr>
        <w:pStyle w:val="NormalBeforeBullet"/>
      </w:pPr>
      <w:r w:rsidRPr="003A2D00">
        <w:t xml:space="preserve">Aminoglycosides, </w:t>
      </w:r>
      <w:proofErr w:type="spellStart"/>
      <w:r w:rsidRPr="003A2D00">
        <w:t>cephalosporins</w:t>
      </w:r>
      <w:proofErr w:type="spellEnd"/>
      <w:r w:rsidRPr="003A2D00">
        <w:t xml:space="preserve">, fluoroquinolones and macrolides </w:t>
      </w:r>
      <w:r w:rsidR="00AB3A79" w:rsidRPr="003A2D00">
        <w:t>represent</w:t>
      </w:r>
      <w:r w:rsidRPr="003A2D00">
        <w:t xml:space="preserve"> the </w:t>
      </w:r>
      <w:r w:rsidR="0088689C" w:rsidRPr="003A2D00">
        <w:t xml:space="preserve">classes of antimicrobials most likely to drive </w:t>
      </w:r>
      <w:r w:rsidR="009529E6" w:rsidRPr="003A2D00">
        <w:t>AMR</w:t>
      </w:r>
      <w:r w:rsidR="0088689C" w:rsidRPr="003A2D00">
        <w:t xml:space="preserve">. </w:t>
      </w:r>
      <w:r w:rsidRPr="003A2D00">
        <w:t xml:space="preserve">Overall, </w:t>
      </w:r>
      <w:r w:rsidR="00AB3A79" w:rsidRPr="003A2D00">
        <w:t xml:space="preserve">the </w:t>
      </w:r>
      <w:r w:rsidRPr="003A2D00">
        <w:t>usage rates of these four antimicrobial classes have declined in the large and medium public hospitals</w:t>
      </w:r>
      <w:r w:rsidR="00862FEF" w:rsidRPr="003A2D00">
        <w:t>,</w:t>
      </w:r>
      <w:r w:rsidRPr="003A2D00">
        <w:t xml:space="preserve"> and principal referral hospitals</w:t>
      </w:r>
      <w:r w:rsidR="00862FEF" w:rsidRPr="003A2D00">
        <w:t>,</w:t>
      </w:r>
      <w:r w:rsidRPr="003A2D00">
        <w:t xml:space="preserve"> that participate in NAUSP. Specifically, over </w:t>
      </w:r>
      <w:r w:rsidR="0088689C" w:rsidRPr="003A2D00">
        <w:t>the past five years</w:t>
      </w:r>
      <w:r w:rsidRPr="003A2D00">
        <w:t>:</w:t>
      </w:r>
    </w:p>
    <w:p w14:paraId="3E09647A" w14:textId="77777777" w:rsidR="00B84F46" w:rsidRPr="003A2D00" w:rsidRDefault="00AB3A79" w:rsidP="00862FEF">
      <w:pPr>
        <w:pStyle w:val="Bullet"/>
      </w:pPr>
      <w:r w:rsidRPr="003A2D00">
        <w:t xml:space="preserve">rates of </w:t>
      </w:r>
      <w:r w:rsidR="008C6F89" w:rsidRPr="003A2D00">
        <w:t xml:space="preserve">gentamicin use (the most commonly used </w:t>
      </w:r>
      <w:r w:rsidR="0088689C" w:rsidRPr="003A2D00">
        <w:t>aminoglycoside</w:t>
      </w:r>
      <w:r w:rsidR="008C6F89" w:rsidRPr="003A2D00">
        <w:t>)</w:t>
      </w:r>
      <w:r w:rsidR="0088689C" w:rsidRPr="003A2D00">
        <w:t xml:space="preserve"> have decreased steadily </w:t>
      </w:r>
      <w:r w:rsidR="00B84F46" w:rsidRPr="003A2D00">
        <w:t>across Australia</w:t>
      </w:r>
    </w:p>
    <w:p w14:paraId="096083CD" w14:textId="77777777" w:rsidR="00B84F46" w:rsidRPr="003A2D00" w:rsidRDefault="00862FEF" w:rsidP="00862FEF">
      <w:pPr>
        <w:pStyle w:val="Bullet"/>
      </w:pPr>
      <w:r w:rsidRPr="003A2D00">
        <w:t xml:space="preserve">use of </w:t>
      </w:r>
      <w:r w:rsidR="00B84F46" w:rsidRPr="003A2D00">
        <w:t>c</w:t>
      </w:r>
      <w:r w:rsidR="00E72F4D" w:rsidRPr="003A2D00">
        <w:t xml:space="preserve">eftriaxone (the most commonly prescribed third-generation cephalosporin) and some macrolides </w:t>
      </w:r>
      <w:r w:rsidR="00273F57" w:rsidRPr="003A2D00">
        <w:t>appear</w:t>
      </w:r>
      <w:r w:rsidR="00AB3A79" w:rsidRPr="003A2D00">
        <w:t>s</w:t>
      </w:r>
      <w:r w:rsidR="00B84F46" w:rsidRPr="003A2D00">
        <w:t xml:space="preserve"> to be </w:t>
      </w:r>
      <w:r w:rsidR="00E72F4D" w:rsidRPr="003A2D00">
        <w:t>seasonal, reflecting their role in the treatment of lower respiratory tract infections</w:t>
      </w:r>
    </w:p>
    <w:p w14:paraId="56ACFD07" w14:textId="77777777" w:rsidR="0088689C" w:rsidRPr="003A2D00" w:rsidRDefault="00AB3A79" w:rsidP="00AC2A59">
      <w:pPr>
        <w:pStyle w:val="BulletLast"/>
      </w:pPr>
      <w:r w:rsidRPr="003A2D00">
        <w:t xml:space="preserve">rates of </w:t>
      </w:r>
      <w:r w:rsidR="00B84F46" w:rsidRPr="003A2D00">
        <w:t>f</w:t>
      </w:r>
      <w:r w:rsidR="00E72F4D" w:rsidRPr="003A2D00">
        <w:t>luoroquinolone use ha</w:t>
      </w:r>
      <w:r w:rsidR="00273F57" w:rsidRPr="003A2D00">
        <w:t>ve</w:t>
      </w:r>
      <w:r w:rsidR="00E72F4D" w:rsidRPr="003A2D00">
        <w:t xml:space="preserve"> remained relatively constant. </w:t>
      </w:r>
    </w:p>
    <w:p w14:paraId="4573E02A" w14:textId="1533D5E4" w:rsidR="00E72F4D" w:rsidRPr="003A2D00" w:rsidRDefault="00E72F4D" w:rsidP="0054243F">
      <w:r w:rsidRPr="003A2D00">
        <w:t xml:space="preserve">Understanding variation in prescribing rates is critical to improving the quality, value and appropriateness of </w:t>
      </w:r>
      <w:r w:rsidR="009529E6" w:rsidRPr="003A2D00">
        <w:t>AU</w:t>
      </w:r>
      <w:r w:rsidRPr="003A2D00">
        <w:t>. However, there is currently insufficient evidence to identify which factors are driving variation in volumes and patterns of AU in Australian hospitals.</w:t>
      </w:r>
    </w:p>
    <w:p w14:paraId="096B974F" w14:textId="77777777" w:rsidR="004E3C85" w:rsidRPr="003A2D00" w:rsidRDefault="00E72F4D" w:rsidP="004E3C85">
      <w:pPr>
        <w:pStyle w:val="Heading3"/>
      </w:pPr>
      <w:r w:rsidRPr="003A2D00">
        <w:t>Appropriateness of prescribing</w:t>
      </w:r>
      <w:r w:rsidR="00852A3A" w:rsidRPr="003A2D00">
        <w:t xml:space="preserve"> </w:t>
      </w:r>
    </w:p>
    <w:p w14:paraId="2DC2FDE6" w14:textId="68F42229" w:rsidR="00AD0126" w:rsidRPr="003A2D00" w:rsidRDefault="00AD0126" w:rsidP="00AD0126">
      <w:r w:rsidRPr="003A2D00">
        <w:t>Data on appropriateness of prescribing in hospitals is sourced from the 2014 NAPS report.</w:t>
      </w:r>
      <w:r w:rsidR="00C805A6" w:rsidRPr="003A2D00">
        <w:rPr>
          <w:rStyle w:val="Superscript"/>
        </w:rPr>
        <w:t>2</w:t>
      </w:r>
    </w:p>
    <w:p w14:paraId="7F986253" w14:textId="6BE00F66" w:rsidR="004E3C85" w:rsidRPr="003A2D00" w:rsidRDefault="004E3C85" w:rsidP="004E3C85">
      <w:r w:rsidRPr="003A2D00">
        <w:lastRenderedPageBreak/>
        <w:t>On any given day in an Australian hospital</w:t>
      </w:r>
      <w:r w:rsidR="00CC0548" w:rsidRPr="003A2D00">
        <w:t xml:space="preserve"> in 2014, 38.4% of patients we</w:t>
      </w:r>
      <w:r w:rsidRPr="003A2D00">
        <w:t xml:space="preserve">re </w:t>
      </w:r>
      <w:r w:rsidR="00513BF1" w:rsidRPr="003A2D00">
        <w:t xml:space="preserve">being </w:t>
      </w:r>
      <w:r w:rsidRPr="003A2D00">
        <w:t>administered an antimicrobial. Of the</w:t>
      </w:r>
      <w:r w:rsidR="00E72F4D" w:rsidRPr="003A2D00">
        <w:t>se</w:t>
      </w:r>
      <w:r w:rsidRPr="003A2D00">
        <w:t xml:space="preserve"> prescriptions, 24.3% were noncompliant with guidelines and 23.0% were considered to be inappropriate prescriptions.</w:t>
      </w:r>
      <w:r w:rsidR="00CC0548" w:rsidRPr="003A2D00">
        <w:t xml:space="preserve"> The main reasons why prescriptions were deemed to be inappropriate were that an antimicrobial was not needed, the antimicrobial chosen was incorrect (spectrum too broad), or the duration, dose or frequency of treatment was incorrect.</w:t>
      </w:r>
    </w:p>
    <w:p w14:paraId="140105F0" w14:textId="77777777" w:rsidR="00A217BD" w:rsidRPr="003A2D00" w:rsidRDefault="00A217BD" w:rsidP="00A217BD">
      <w:pPr>
        <w:pStyle w:val="NormalBeforeBullet"/>
      </w:pPr>
      <w:r w:rsidRPr="003A2D00">
        <w:t xml:space="preserve">In 2014, the most common </w:t>
      </w:r>
      <w:r w:rsidR="002A7B4D" w:rsidRPr="003A2D00">
        <w:t>indications</w:t>
      </w:r>
      <w:r w:rsidR="00513BF1" w:rsidRPr="003A2D00">
        <w:t xml:space="preserve"> (reasons</w:t>
      </w:r>
      <w:r w:rsidR="002A7B4D" w:rsidRPr="003A2D00">
        <w:t xml:space="preserve">) </w:t>
      </w:r>
      <w:r w:rsidRPr="003A2D00">
        <w:t>for antimicrobial prescriptions in hospitals were:</w:t>
      </w:r>
    </w:p>
    <w:p w14:paraId="064D7E5D" w14:textId="77777777" w:rsidR="00A217BD" w:rsidRPr="003A2D00" w:rsidRDefault="00A217BD" w:rsidP="00A217BD">
      <w:pPr>
        <w:pStyle w:val="Bullet"/>
      </w:pPr>
      <w:r w:rsidRPr="003A2D00">
        <w:t>surgical prophylaxis</w:t>
      </w:r>
      <w:r w:rsidR="00870638" w:rsidRPr="003A2D00">
        <w:t xml:space="preserve"> (13.1%)</w:t>
      </w:r>
    </w:p>
    <w:p w14:paraId="65F575C6" w14:textId="77777777" w:rsidR="00A217BD" w:rsidRPr="003A2D00" w:rsidRDefault="00A217BD" w:rsidP="00A217BD">
      <w:pPr>
        <w:pStyle w:val="Bullet"/>
      </w:pPr>
      <w:r w:rsidRPr="003A2D00">
        <w:t>community-acquired pneumonia</w:t>
      </w:r>
      <w:r w:rsidR="00870638" w:rsidRPr="003A2D00">
        <w:t xml:space="preserve"> (11.3%)</w:t>
      </w:r>
    </w:p>
    <w:p w14:paraId="14B40B6B" w14:textId="77777777" w:rsidR="00A217BD" w:rsidRPr="003A2D00" w:rsidRDefault="00A217BD" w:rsidP="00A217BD">
      <w:pPr>
        <w:pStyle w:val="Bullet"/>
      </w:pPr>
      <w:r w:rsidRPr="003A2D00">
        <w:t>medical prophylaxis</w:t>
      </w:r>
      <w:r w:rsidR="00870638" w:rsidRPr="003A2D00">
        <w:t xml:space="preserve"> (8.3%)</w:t>
      </w:r>
    </w:p>
    <w:p w14:paraId="5A26BD38" w14:textId="77777777" w:rsidR="00A217BD" w:rsidRPr="003A2D00" w:rsidRDefault="00A217BD" w:rsidP="00870638">
      <w:pPr>
        <w:pStyle w:val="BulletLast"/>
      </w:pPr>
      <w:r w:rsidRPr="003A2D00">
        <w:t>cellulitis or erysipelas (skin infections)</w:t>
      </w:r>
      <w:r w:rsidR="00870638" w:rsidRPr="003A2D00">
        <w:t xml:space="preserve"> (4.4%)</w:t>
      </w:r>
      <w:r w:rsidRPr="003A2D00">
        <w:t>.</w:t>
      </w:r>
    </w:p>
    <w:p w14:paraId="1B35F3C6" w14:textId="77777777" w:rsidR="00F71800" w:rsidRPr="003A2D00" w:rsidRDefault="00273F57" w:rsidP="00870638">
      <w:r w:rsidRPr="003A2D00">
        <w:t>A</w:t>
      </w:r>
      <w:r w:rsidR="00A32211" w:rsidRPr="003A2D00">
        <w:t xml:space="preserve">ntimicrobials are </w:t>
      </w:r>
      <w:r w:rsidR="00862FEF" w:rsidRPr="003A2D00">
        <w:t>often</w:t>
      </w:r>
      <w:r w:rsidR="00A32211" w:rsidRPr="003A2D00">
        <w:t xml:space="preserve"> prescribed to patients undergoing surgery to prevent infection during and after the procedure</w:t>
      </w:r>
      <w:r w:rsidRPr="003A2D00">
        <w:t xml:space="preserve"> </w:t>
      </w:r>
      <w:r w:rsidR="00862FEF" w:rsidRPr="003A2D00">
        <w:t>– this is known as</w:t>
      </w:r>
      <w:r w:rsidRPr="003A2D00">
        <w:t xml:space="preserve"> surgical prophylaxis</w:t>
      </w:r>
      <w:r w:rsidR="00862FEF" w:rsidRPr="003A2D00">
        <w:t>. Inappropriate surgical prophylaxis is a major concern –</w:t>
      </w:r>
      <w:r w:rsidRPr="003A2D00">
        <w:t xml:space="preserve"> </w:t>
      </w:r>
      <w:r w:rsidR="00862FEF" w:rsidRPr="003A2D00">
        <w:t xml:space="preserve">it </w:t>
      </w:r>
      <w:r w:rsidR="00870638" w:rsidRPr="003A2D00">
        <w:t xml:space="preserve">is the most common reason for antimicrobial prescriptions in hospitals, but </w:t>
      </w:r>
      <w:r w:rsidR="009B7690" w:rsidRPr="003A2D00">
        <w:t>also has the highest proportion of inappropriate use</w:t>
      </w:r>
      <w:r w:rsidRPr="003A2D00">
        <w:t>. Of all surgical prophylaxis prescriptions</w:t>
      </w:r>
      <w:r w:rsidR="001C7358" w:rsidRPr="003A2D00">
        <w:t xml:space="preserve">, 40.2% </w:t>
      </w:r>
      <w:r w:rsidRPr="003A2D00">
        <w:t xml:space="preserve">were </w:t>
      </w:r>
      <w:r w:rsidR="001C7358" w:rsidRPr="003A2D00">
        <w:t xml:space="preserve">deemed </w:t>
      </w:r>
      <w:r w:rsidR="008126DC" w:rsidRPr="003A2D00">
        <w:t xml:space="preserve">to be </w:t>
      </w:r>
      <w:r w:rsidR="001C7358" w:rsidRPr="003A2D00">
        <w:t xml:space="preserve">inappropriate. Reasons for inappropriateness included incorrect duration, dose or frequency, and </w:t>
      </w:r>
      <w:r w:rsidRPr="003A2D00">
        <w:t xml:space="preserve">there were instances where </w:t>
      </w:r>
      <w:r w:rsidR="00E574C7" w:rsidRPr="003A2D00">
        <w:t xml:space="preserve">an </w:t>
      </w:r>
      <w:r w:rsidR="001C7358" w:rsidRPr="003A2D00">
        <w:t>antimicrobial</w:t>
      </w:r>
      <w:r w:rsidR="00F71800" w:rsidRPr="003A2D00">
        <w:t xml:space="preserve"> was not needed</w:t>
      </w:r>
      <w:r w:rsidR="002A7B4D" w:rsidRPr="003A2D00">
        <w:t xml:space="preserve"> at all</w:t>
      </w:r>
      <w:r w:rsidR="001C7358" w:rsidRPr="003A2D00">
        <w:t>.</w:t>
      </w:r>
    </w:p>
    <w:p w14:paraId="7FD5B204" w14:textId="77777777" w:rsidR="008E4E27" w:rsidRPr="003A2D00" w:rsidRDefault="008E4E27" w:rsidP="008E4E27">
      <w:pPr>
        <w:pStyle w:val="Heading2"/>
      </w:pPr>
      <w:bookmarkStart w:id="12" w:name="_Toc452639774"/>
      <w:r w:rsidRPr="003A2D00">
        <w:t xml:space="preserve">Antimicrobial use in </w:t>
      </w:r>
      <w:r w:rsidR="00D56059" w:rsidRPr="003A2D00">
        <w:t xml:space="preserve">the community – </w:t>
      </w:r>
      <w:r w:rsidRPr="003A2D00">
        <w:t>primary care</w:t>
      </w:r>
      <w:bookmarkEnd w:id="12"/>
    </w:p>
    <w:p w14:paraId="0DBBA110" w14:textId="45F21A67" w:rsidR="00AD0126" w:rsidRPr="003A2D00" w:rsidRDefault="00AD0126" w:rsidP="00AD0126">
      <w:r w:rsidRPr="003A2D00">
        <w:t xml:space="preserve">Data on </w:t>
      </w:r>
      <w:r w:rsidR="009529E6" w:rsidRPr="003A2D00">
        <w:t>AU</w:t>
      </w:r>
      <w:r w:rsidRPr="003A2D00">
        <w:t xml:space="preserve"> in primary care is sourced from the Australian Government Department of Health Drug Utilisation Sub Committee database and the Australian Government Department of Human Services pharmacy claim database.</w:t>
      </w:r>
    </w:p>
    <w:p w14:paraId="441B4168" w14:textId="1F7F2749" w:rsidR="008E4E27" w:rsidRPr="003A2D00" w:rsidRDefault="00273F57" w:rsidP="0094456F">
      <w:r w:rsidRPr="003A2D00">
        <w:t xml:space="preserve">In the Australian community, </w:t>
      </w:r>
      <w:r w:rsidR="009529E6" w:rsidRPr="003A2D00">
        <w:t>AU</w:t>
      </w:r>
      <w:r w:rsidR="00022D09" w:rsidRPr="003A2D00">
        <w:t xml:space="preserve"> is high. </w:t>
      </w:r>
      <w:r w:rsidR="0094456F" w:rsidRPr="003A2D00">
        <w:t xml:space="preserve">In 2014, 46% of Australians had at least one antimicrobial dispensed to them under the </w:t>
      </w:r>
      <w:r w:rsidR="009529E6" w:rsidRPr="003A2D00">
        <w:t>PBS</w:t>
      </w:r>
      <w:r w:rsidRPr="003A2D00">
        <w:t xml:space="preserve"> </w:t>
      </w:r>
      <w:r w:rsidR="0094456F" w:rsidRPr="003A2D00">
        <w:t xml:space="preserve">or </w:t>
      </w:r>
      <w:r w:rsidR="00862FEF" w:rsidRPr="003A2D00">
        <w:t xml:space="preserve">the </w:t>
      </w:r>
      <w:r w:rsidR="009529E6" w:rsidRPr="003A2D00">
        <w:t>RPBS</w:t>
      </w:r>
      <w:r w:rsidR="003F0E40" w:rsidRPr="003A2D00">
        <w:t xml:space="preserve">. The </w:t>
      </w:r>
      <w:r w:rsidR="00022D09" w:rsidRPr="003A2D00">
        <w:t xml:space="preserve">overall rate </w:t>
      </w:r>
      <w:r w:rsidR="003F0E40" w:rsidRPr="003A2D00">
        <w:t>was</w:t>
      </w:r>
      <w:r w:rsidR="00022D09" w:rsidRPr="003A2D00">
        <w:t xml:space="preserve"> 23.8 DDD/1000 inhabitants/day</w:t>
      </w:r>
      <w:r w:rsidR="003F0E40" w:rsidRPr="003A2D00">
        <w:t xml:space="preserve">, which is </w:t>
      </w:r>
      <w:r w:rsidR="0094456F" w:rsidRPr="003A2D00">
        <w:t xml:space="preserve">an increase compared with 2013, but </w:t>
      </w:r>
      <w:r w:rsidR="003F0E40" w:rsidRPr="003A2D00">
        <w:t>a decrease compared with</w:t>
      </w:r>
      <w:r w:rsidR="0094456F" w:rsidRPr="003A2D00">
        <w:t xml:space="preserve"> the peak in 20</w:t>
      </w:r>
      <w:r w:rsidR="00114675" w:rsidRPr="003A2D00">
        <w:t>08</w:t>
      </w:r>
      <w:r w:rsidR="0094456F" w:rsidRPr="003A2D00">
        <w:t xml:space="preserve"> (Figure </w:t>
      </w:r>
      <w:r w:rsidR="001A0532" w:rsidRPr="003A2D00">
        <w:t>2</w:t>
      </w:r>
      <w:r w:rsidR="0094456F" w:rsidRPr="003A2D00">
        <w:t>).</w:t>
      </w:r>
    </w:p>
    <w:p w14:paraId="64A919A8" w14:textId="5ACA7E6C" w:rsidR="0094456F" w:rsidRPr="003A2D00" w:rsidRDefault="0094456F" w:rsidP="0094456F">
      <w:pPr>
        <w:pStyle w:val="FigureName"/>
      </w:pPr>
      <w:bookmarkStart w:id="13" w:name="_Toc444512678"/>
      <w:r w:rsidRPr="003A2D00">
        <w:lastRenderedPageBreak/>
        <w:t>Figure </w:t>
      </w:r>
      <w:r w:rsidR="001A0532" w:rsidRPr="003A2D00">
        <w:t>2</w:t>
      </w:r>
      <w:r w:rsidRPr="003A2D00">
        <w:tab/>
        <w:t xml:space="preserve">Volume of antimicrobials dispensed </w:t>
      </w:r>
      <w:r w:rsidR="00862FEF" w:rsidRPr="003A2D00">
        <w:t xml:space="preserve">under the PBS/RPBS </w:t>
      </w:r>
      <w:r w:rsidRPr="003A2D00">
        <w:t>per year, 1994–2014</w:t>
      </w:r>
      <w:bookmarkEnd w:id="13"/>
    </w:p>
    <w:p w14:paraId="464A2AEE" w14:textId="77777777" w:rsidR="00D56059" w:rsidRPr="003A2D00" w:rsidRDefault="00862FEF" w:rsidP="0054243F">
      <w:pPr>
        <w:keepNext/>
      </w:pPr>
      <w:r w:rsidRPr="003A2D00">
        <w:rPr>
          <w:noProof/>
          <w:lang w:val="en-US" w:eastAsia="en-US"/>
        </w:rPr>
        <w:drawing>
          <wp:inline distT="0" distB="0" distL="0" distR="0" wp14:anchorId="35409234" wp14:editId="72BAB85F">
            <wp:extent cx="5731510" cy="3008630"/>
            <wp:effectExtent l="0" t="0" r="0" b="0"/>
            <wp:docPr id="11" name="Picture 11" descr="Line graph showing volume of antimicrobials dispensed. Total antibiotic prescriptions decreased from around 29 million in 1994 to around 23 million in 2003, then increased to 30 million in 2014. J01 prescriptions decreased from around 25 million in 1994 (24 DDD/1000 inhabitants/day) to 20 million in 2003 (20 DDD/1000 inhabitants/day), then increased to 27 million in 2014 (24 DDD/1000 inhabitants/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3.10-01.png"/>
                    <pic:cNvPicPr/>
                  </pic:nvPicPr>
                  <pic:blipFill>
                    <a:blip r:embed="rId16">
                      <a:extLst>
                        <a:ext uri="{28A0092B-C50C-407E-A947-70E740481C1C}">
                          <a14:useLocalDpi xmlns:a14="http://schemas.microsoft.com/office/drawing/2010/main" val="0"/>
                        </a:ext>
                      </a:extLst>
                    </a:blip>
                    <a:stretch>
                      <a:fillRect/>
                    </a:stretch>
                  </pic:blipFill>
                  <pic:spPr>
                    <a:xfrm>
                      <a:off x="0" y="0"/>
                      <a:ext cx="5731510" cy="3008630"/>
                    </a:xfrm>
                    <a:prstGeom prst="rect">
                      <a:avLst/>
                    </a:prstGeom>
                  </pic:spPr>
                </pic:pic>
              </a:graphicData>
            </a:graphic>
          </wp:inline>
        </w:drawing>
      </w:r>
    </w:p>
    <w:p w14:paraId="2C9F82DB" w14:textId="77777777" w:rsidR="004111F4" w:rsidRPr="003A2D00" w:rsidRDefault="004111F4" w:rsidP="004111F4">
      <w:pPr>
        <w:pStyle w:val="TFAbbrevs"/>
      </w:pPr>
      <w:r w:rsidRPr="003A2D00">
        <w:t>DDD = defined daily dose; PBS = Pharmaceutical Benefits Scheme; RPBS = Repatriation Pharmaceutical Benefits Scheme</w:t>
      </w:r>
    </w:p>
    <w:p w14:paraId="7E6BC720" w14:textId="77777777" w:rsidR="004111F4" w:rsidRPr="003A2D00" w:rsidRDefault="004111F4" w:rsidP="004111F4">
      <w:pPr>
        <w:pStyle w:val="TFListNotes"/>
      </w:pPr>
      <w:r w:rsidRPr="003A2D00">
        <w:t xml:space="preserve">Notes: </w:t>
      </w:r>
    </w:p>
    <w:p w14:paraId="07C2FFFA" w14:textId="77777777" w:rsidR="004111F4" w:rsidRPr="003A2D00" w:rsidRDefault="004111F4" w:rsidP="004111F4">
      <w:pPr>
        <w:pStyle w:val="TFListNotes"/>
      </w:pPr>
      <w:r w:rsidRPr="003A2D00">
        <w:t>1.</w:t>
      </w:r>
      <w:r w:rsidRPr="003A2D00">
        <w:tab/>
        <w:t>J01 is the ATC code for antibacterials for systemic use.</w:t>
      </w:r>
    </w:p>
    <w:p w14:paraId="5EE2DC48" w14:textId="77777777" w:rsidR="004111F4" w:rsidRPr="003A2D00" w:rsidRDefault="004111F4" w:rsidP="004111F4">
      <w:pPr>
        <w:pStyle w:val="TFListNotes"/>
      </w:pPr>
      <w:r w:rsidRPr="003A2D00">
        <w:t>2.</w:t>
      </w:r>
      <w:r w:rsidRPr="003A2D00">
        <w:tab/>
        <w:t>Before April 2012, includes estimates of under co-payment and private dispensing; after April 2012, includes actual under co-payment data, but no estimate from private dispensing. The DDD/1000 inhabitants/day exclude some items for which there is no DDD.</w:t>
      </w:r>
    </w:p>
    <w:p w14:paraId="454EEE85" w14:textId="4029946B" w:rsidR="00FF3513" w:rsidRPr="003A2D00" w:rsidRDefault="004111F4" w:rsidP="004111F4">
      <w:pPr>
        <w:pStyle w:val="TFNoteSourceSpace"/>
      </w:pPr>
      <w:r w:rsidRPr="003A2D00">
        <w:t>Source:</w:t>
      </w:r>
      <w:r w:rsidRPr="003A2D00">
        <w:tab/>
      </w:r>
      <w:r w:rsidRPr="003A2D00">
        <w:rPr>
          <w:rFonts w:cs="Arial"/>
          <w:szCs w:val="22"/>
        </w:rPr>
        <w:t>Drug Utilisation Sub Committee</w:t>
      </w:r>
      <w:r w:rsidRPr="003A2D00" w:rsidDel="00BA5E3D">
        <w:t xml:space="preserve"> </w:t>
      </w:r>
      <w:r w:rsidRPr="003A2D00">
        <w:t>database, October 2015</w:t>
      </w:r>
    </w:p>
    <w:p w14:paraId="002139F7" w14:textId="4C14B93D" w:rsidR="00B77EA9" w:rsidRPr="003A2D00" w:rsidRDefault="00D56059" w:rsidP="006363F6">
      <w:r w:rsidRPr="003A2D00">
        <w:t>The 11 most commonly dispensed antimicrobials accounted for 84% of all antimicrobials</w:t>
      </w:r>
      <w:r w:rsidR="00B77EA9" w:rsidRPr="003A2D00">
        <w:t xml:space="preserve"> dispensed</w:t>
      </w:r>
      <w:r w:rsidR="008C757D" w:rsidRPr="003A2D00">
        <w:t xml:space="preserve"> in the community</w:t>
      </w:r>
      <w:r w:rsidR="00B77EA9" w:rsidRPr="003A2D00">
        <w:t>.</w:t>
      </w:r>
      <w:r w:rsidR="00114675" w:rsidRPr="003A2D00">
        <w:t xml:space="preserve"> Penicillins are the most commonly prescribed antimicrobial group.</w:t>
      </w:r>
    </w:p>
    <w:p w14:paraId="15B95D73" w14:textId="77777777" w:rsidR="0094456F" w:rsidRPr="003A2D00" w:rsidRDefault="00191002" w:rsidP="00191002">
      <w:pPr>
        <w:pStyle w:val="Heading3"/>
      </w:pPr>
      <w:r w:rsidRPr="003A2D00">
        <w:t>Patterns of use</w:t>
      </w:r>
    </w:p>
    <w:p w14:paraId="0342B869" w14:textId="6C12E7DE" w:rsidR="00D56059" w:rsidRPr="003A2D00" w:rsidRDefault="00D641CF" w:rsidP="00191002">
      <w:r w:rsidRPr="003A2D00">
        <w:t>In 2014, a</w:t>
      </w:r>
      <w:r w:rsidR="00D56059" w:rsidRPr="003A2D00">
        <w:t>ntimicrobials</w:t>
      </w:r>
      <w:r w:rsidR="00086A8D" w:rsidRPr="003A2D00">
        <w:t xml:space="preserve"> in the community</w:t>
      </w:r>
      <w:r w:rsidR="00D56059" w:rsidRPr="003A2D00">
        <w:t xml:space="preserve"> were most often dispensed for very young people and older people</w:t>
      </w:r>
      <w:r w:rsidRPr="003A2D00">
        <w:t xml:space="preserve"> – </w:t>
      </w:r>
      <w:r w:rsidR="00D56059" w:rsidRPr="003A2D00">
        <w:t xml:space="preserve">57% of those aged 0–4 years, 60% of those aged 65 years </w:t>
      </w:r>
      <w:r w:rsidR="009529E6" w:rsidRPr="003A2D00">
        <w:t xml:space="preserve">or over </w:t>
      </w:r>
      <w:r w:rsidR="00D56059" w:rsidRPr="003A2D00">
        <w:t xml:space="preserve">and 74% of people aged 85 years or over were supplied at least one antimicrobial (Figure </w:t>
      </w:r>
      <w:r w:rsidR="001A0532" w:rsidRPr="003A2D00">
        <w:t>3</w:t>
      </w:r>
      <w:r w:rsidR="00D56059" w:rsidRPr="003A2D00">
        <w:t>). These proportions have been consistent over several years</w:t>
      </w:r>
      <w:r w:rsidR="003F0E40" w:rsidRPr="003A2D00">
        <w:t xml:space="preserve">. </w:t>
      </w:r>
      <w:r w:rsidR="00D56059" w:rsidRPr="003A2D00">
        <w:t xml:space="preserve">Children are prescribed more extended-spectrum penicillins, and older people are prescribed more </w:t>
      </w:r>
      <w:proofErr w:type="spellStart"/>
      <w:r w:rsidR="00D56059" w:rsidRPr="003A2D00">
        <w:t>cephalosporins</w:t>
      </w:r>
      <w:proofErr w:type="spellEnd"/>
      <w:r w:rsidR="00D56059" w:rsidRPr="003A2D00">
        <w:t xml:space="preserve">, macrolides and </w:t>
      </w:r>
      <w:r w:rsidR="00D56059" w:rsidRPr="003A2D00">
        <w:sym w:font="Symbol" w:char="F062"/>
      </w:r>
      <w:r w:rsidR="00D56059" w:rsidRPr="003A2D00">
        <w:t>-lactamase inhibitor combinations than other age groups.</w:t>
      </w:r>
      <w:r w:rsidR="003F0E40" w:rsidRPr="003A2D00">
        <w:t xml:space="preserve"> All age groups use more antimicrobials during the winter months.</w:t>
      </w:r>
    </w:p>
    <w:p w14:paraId="31A93565" w14:textId="731D00D4" w:rsidR="00FF3513" w:rsidRPr="003A2D00" w:rsidRDefault="00A77EC3" w:rsidP="00726ABB">
      <w:pPr>
        <w:pStyle w:val="FigureName"/>
      </w:pPr>
      <w:bookmarkStart w:id="14" w:name="_Toc444512679"/>
      <w:r w:rsidRPr="003A2D00">
        <w:lastRenderedPageBreak/>
        <w:t>Figure </w:t>
      </w:r>
      <w:r w:rsidR="001A0532" w:rsidRPr="003A2D00">
        <w:t>3</w:t>
      </w:r>
      <w:r w:rsidR="00FF3513" w:rsidRPr="003A2D00">
        <w:tab/>
        <w:t>Antimicrobial use by age group, 2014</w:t>
      </w:r>
      <w:bookmarkEnd w:id="14"/>
    </w:p>
    <w:p w14:paraId="437237E5" w14:textId="77777777" w:rsidR="00FF3513" w:rsidRPr="003A2D00" w:rsidRDefault="00D641CF" w:rsidP="00191002">
      <w:r w:rsidRPr="003A2D00">
        <w:rPr>
          <w:noProof/>
          <w:lang w:val="en-US" w:eastAsia="en-US"/>
        </w:rPr>
        <w:drawing>
          <wp:inline distT="0" distB="0" distL="0" distR="0" wp14:anchorId="6904AA0E" wp14:editId="00401BFC">
            <wp:extent cx="5731510" cy="2602865"/>
            <wp:effectExtent l="0" t="0" r="8890" b="0"/>
            <wp:docPr id="12" name="Picture 12" descr="Bar chart showing the percentage of each age group supplied an antimicrobial. Around 57% of children aged 0–4 years were supplied an antimicrobial. For most other age groups, around 40% of the population is supplied an antimicrobial. From around age 60, this increases steadily in each age group to a peak of 90% of the population aged 100 and over being supplied an antimicrob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3.14-01.png"/>
                    <pic:cNvPicPr/>
                  </pic:nvPicPr>
                  <pic:blipFill>
                    <a:blip r:embed="rId17">
                      <a:extLst>
                        <a:ext uri="{28A0092B-C50C-407E-A947-70E740481C1C}">
                          <a14:useLocalDpi xmlns:a14="http://schemas.microsoft.com/office/drawing/2010/main" val="0"/>
                        </a:ext>
                      </a:extLst>
                    </a:blip>
                    <a:stretch>
                      <a:fillRect/>
                    </a:stretch>
                  </pic:blipFill>
                  <pic:spPr>
                    <a:xfrm>
                      <a:off x="0" y="0"/>
                      <a:ext cx="5731510" cy="2602865"/>
                    </a:xfrm>
                    <a:prstGeom prst="rect">
                      <a:avLst/>
                    </a:prstGeom>
                  </pic:spPr>
                </pic:pic>
              </a:graphicData>
            </a:graphic>
          </wp:inline>
        </w:drawing>
      </w:r>
    </w:p>
    <w:p w14:paraId="036870AE" w14:textId="77777777" w:rsidR="004111F4" w:rsidRPr="003A2D00" w:rsidRDefault="004111F4" w:rsidP="004111F4">
      <w:pPr>
        <w:pStyle w:val="TFListNotes"/>
      </w:pPr>
      <w:r w:rsidRPr="003A2D00">
        <w:t xml:space="preserve">Notes: </w:t>
      </w:r>
    </w:p>
    <w:p w14:paraId="58B77E2E" w14:textId="1F721D70" w:rsidR="004111F4" w:rsidRPr="003A2D00" w:rsidRDefault="004111F4" w:rsidP="004111F4">
      <w:pPr>
        <w:pStyle w:val="TFListNotes"/>
      </w:pPr>
      <w:r w:rsidRPr="003A2D00">
        <w:t>1.</w:t>
      </w:r>
      <w:r w:rsidRPr="003A2D00">
        <w:tab/>
        <w:t>Percentage of people supplied at least one PBS/RPBS antimicrobial in 2014; age standardised, based on estimated resident population by age at 30 June 2014</w:t>
      </w:r>
    </w:p>
    <w:p w14:paraId="127082AE" w14:textId="77777777" w:rsidR="004111F4" w:rsidRPr="003A2D00" w:rsidRDefault="004111F4" w:rsidP="004111F4">
      <w:pPr>
        <w:pStyle w:val="TFListNotes"/>
      </w:pPr>
      <w:r w:rsidRPr="003A2D00">
        <w:t>2.</w:t>
      </w:r>
      <w:r w:rsidRPr="003A2D00">
        <w:tab/>
        <w:t>Includes actual under co-payment data, but no estimate from private dispensing</w:t>
      </w:r>
    </w:p>
    <w:p w14:paraId="3467435B" w14:textId="2A8BE5ED" w:rsidR="00281F93" w:rsidRPr="003A2D00" w:rsidRDefault="004111F4" w:rsidP="004111F4">
      <w:pPr>
        <w:pStyle w:val="TFNoteSourceSpace"/>
      </w:pPr>
      <w:r w:rsidRPr="003A2D00">
        <w:t>Source:</w:t>
      </w:r>
      <w:r w:rsidRPr="003A2D00">
        <w:tab/>
        <w:t>Department of Human Services pharmacy claim database, October 2015</w:t>
      </w:r>
      <w:r w:rsidR="0020248C" w:rsidRPr="003A2D00">
        <w:t xml:space="preserve"> </w:t>
      </w:r>
    </w:p>
    <w:p w14:paraId="788FD9BD" w14:textId="2D62B1E5" w:rsidR="003551FC" w:rsidRPr="003A2D00" w:rsidRDefault="003551FC" w:rsidP="00191002">
      <w:r w:rsidRPr="003A2D00">
        <w:t>General practitioners generate the majority of prescriptions (88%). Other prescribers include dentists, optometrists, midwives and nurse practitioners.</w:t>
      </w:r>
    </w:p>
    <w:p w14:paraId="41A12624" w14:textId="2C563360" w:rsidR="003551FC" w:rsidRPr="003A2D00" w:rsidRDefault="003551FC" w:rsidP="00191002">
      <w:r w:rsidRPr="003A2D00">
        <w:t xml:space="preserve">The </w:t>
      </w:r>
      <w:r w:rsidR="0082366A" w:rsidRPr="003A2D00">
        <w:t xml:space="preserve">types of antimicrobials dispensed through </w:t>
      </w:r>
      <w:r w:rsidR="0082366A" w:rsidRPr="003A2D00">
        <w:rPr>
          <w:color w:val="000000" w:themeColor="text1"/>
        </w:rPr>
        <w:t xml:space="preserve">the Aboriginal health services </w:t>
      </w:r>
      <w:r w:rsidR="0082366A" w:rsidRPr="003A2D00">
        <w:t>differ</w:t>
      </w:r>
      <w:r w:rsidRPr="003A2D00">
        <w:t xml:space="preserve"> from other health services. This likely reflects the different types of infections that are prevalent in Aboriginal </w:t>
      </w:r>
      <w:r w:rsidR="0091205C" w:rsidRPr="003A2D00">
        <w:t xml:space="preserve">and Torres Strait Islander </w:t>
      </w:r>
      <w:r w:rsidRPr="003A2D00">
        <w:t>communit</w:t>
      </w:r>
      <w:r w:rsidR="0091205C" w:rsidRPr="003A2D00">
        <w:t>ies</w:t>
      </w:r>
      <w:r w:rsidRPr="003A2D00">
        <w:t xml:space="preserve"> (e.g. trachoma and urethritis caused by </w:t>
      </w:r>
      <w:r w:rsidRPr="003A2D00">
        <w:rPr>
          <w:rStyle w:val="Emphasis"/>
        </w:rPr>
        <w:t>Chlamydia trachomatis</w:t>
      </w:r>
      <w:r w:rsidRPr="003A2D00">
        <w:t>).</w:t>
      </w:r>
    </w:p>
    <w:p w14:paraId="5E40FDEE" w14:textId="4CF1586B" w:rsidR="00A60418" w:rsidRPr="003A2D00" w:rsidRDefault="007C3611" w:rsidP="00191002">
      <w:r w:rsidRPr="003A2D00">
        <w:t>D</w:t>
      </w:r>
      <w:r w:rsidR="00A60418" w:rsidRPr="003A2D00">
        <w:t>ifferent dispensing rates</w:t>
      </w:r>
      <w:r w:rsidRPr="003A2D00">
        <w:t xml:space="preserve"> were</w:t>
      </w:r>
      <w:r w:rsidR="00852A3A" w:rsidRPr="003A2D00">
        <w:t xml:space="preserve"> also </w:t>
      </w:r>
      <w:r w:rsidRPr="003A2D00">
        <w:t xml:space="preserve">seen </w:t>
      </w:r>
      <w:r w:rsidR="00114675" w:rsidRPr="003A2D00">
        <w:t>across</w:t>
      </w:r>
      <w:r w:rsidRPr="003A2D00">
        <w:t xml:space="preserve"> </w:t>
      </w:r>
      <w:r w:rsidR="00022D09" w:rsidRPr="003A2D00">
        <w:t>states</w:t>
      </w:r>
      <w:r w:rsidR="00114675" w:rsidRPr="003A2D00">
        <w:t xml:space="preserve"> and territories, between major cities and other regions,</w:t>
      </w:r>
      <w:r w:rsidR="00022D09" w:rsidRPr="003A2D00">
        <w:t xml:space="preserve"> </w:t>
      </w:r>
      <w:r w:rsidR="00114675" w:rsidRPr="003A2D00">
        <w:t xml:space="preserve">between </w:t>
      </w:r>
      <w:r w:rsidRPr="003A2D00">
        <w:t>local areas</w:t>
      </w:r>
      <w:r w:rsidR="00114675" w:rsidRPr="003A2D00">
        <w:t>, and across socioeconomic status</w:t>
      </w:r>
      <w:r w:rsidR="00022D09" w:rsidRPr="003A2D00">
        <w:t>.</w:t>
      </w:r>
      <w:r w:rsidR="00A60418" w:rsidRPr="003A2D00">
        <w:t xml:space="preserve"> </w:t>
      </w:r>
      <w:r w:rsidR="00022D09" w:rsidRPr="003A2D00">
        <w:t>Generally, rates were highest in areas of lowest socioeconomic status, and decreased with increasing socioeconomic status. This is consistent with decreasing socioeconomic status being associated with poorer health and higher infection rates.</w:t>
      </w:r>
      <w:r w:rsidR="00114675" w:rsidRPr="003A2D00">
        <w:t xml:space="preserve"> However, there is insufficient evidence to identify the factors that are driving geographic patterns of antimicrobial prescribing in Australia.</w:t>
      </w:r>
      <w:r w:rsidR="00C805A6" w:rsidRPr="003A2D00">
        <w:rPr>
          <w:rStyle w:val="Superscript"/>
        </w:rPr>
        <w:t>3</w:t>
      </w:r>
    </w:p>
    <w:p w14:paraId="7E5A7EE8" w14:textId="77777777" w:rsidR="009C71D9" w:rsidRPr="003A2D00" w:rsidRDefault="00022D09" w:rsidP="009C71D9">
      <w:pPr>
        <w:pStyle w:val="Heading3"/>
      </w:pPr>
      <w:r w:rsidRPr="003A2D00">
        <w:t>Appropriateness of prescribing</w:t>
      </w:r>
    </w:p>
    <w:p w14:paraId="3E4F636D" w14:textId="579BC5D9" w:rsidR="00AD0126" w:rsidRPr="003A2D00" w:rsidRDefault="00AD0126" w:rsidP="00AD0126">
      <w:r w:rsidRPr="003A2D00">
        <w:t xml:space="preserve">Data on appropriateness of prescribing in primary care is sourced from the NPS </w:t>
      </w:r>
      <w:proofErr w:type="spellStart"/>
      <w:r w:rsidRPr="003A2D00">
        <w:t>MedicineWise</w:t>
      </w:r>
      <w:proofErr w:type="spellEnd"/>
      <w:r w:rsidRPr="003A2D00">
        <w:t xml:space="preserve"> </w:t>
      </w:r>
      <w:proofErr w:type="spellStart"/>
      <w:r w:rsidRPr="003A2D00">
        <w:t>MedicineInsight</w:t>
      </w:r>
      <w:proofErr w:type="spellEnd"/>
      <w:r w:rsidRPr="003A2D00">
        <w:t xml:space="preserve"> program</w:t>
      </w:r>
      <w:r w:rsidR="00C805A6" w:rsidRPr="003A2D00">
        <w:rPr>
          <w:rStyle w:val="Superscript"/>
        </w:rPr>
        <w:t>4</w:t>
      </w:r>
      <w:r w:rsidRPr="003A2D00">
        <w:t xml:space="preserve"> and the </w:t>
      </w:r>
      <w:r w:rsidRPr="003A2D00">
        <w:rPr>
          <w:rStyle w:val="Emphasis"/>
        </w:rPr>
        <w:t>Report on government services 2015</w:t>
      </w:r>
      <w:r w:rsidRPr="003A2D00">
        <w:t>.</w:t>
      </w:r>
      <w:r w:rsidR="00C805A6" w:rsidRPr="003A2D00">
        <w:rPr>
          <w:rStyle w:val="Superscript"/>
        </w:rPr>
        <w:t>5</w:t>
      </w:r>
    </w:p>
    <w:p w14:paraId="70C37640" w14:textId="671EABFE" w:rsidR="00967D83" w:rsidRPr="003A2D00" w:rsidRDefault="00967D83" w:rsidP="00967D83">
      <w:r w:rsidRPr="003A2D00">
        <w:rPr>
          <w:rFonts w:cs="Arial"/>
          <w:szCs w:val="22"/>
        </w:rPr>
        <w:t xml:space="preserve">Thirty per cent of patients (352 318 patients) participating in the </w:t>
      </w:r>
      <w:proofErr w:type="spellStart"/>
      <w:r w:rsidRPr="003A2D00">
        <w:rPr>
          <w:rFonts w:cs="Arial"/>
          <w:szCs w:val="22"/>
        </w:rPr>
        <w:t>MedicineInsight</w:t>
      </w:r>
      <w:proofErr w:type="spellEnd"/>
      <w:r w:rsidRPr="003A2D00">
        <w:rPr>
          <w:rFonts w:cs="Arial"/>
          <w:szCs w:val="22"/>
        </w:rPr>
        <w:t xml:space="preserve"> program were prescribed systemic antimicrobials between 1 January and 31 December 2014. The rate of antimicrobial prescriptions (originals) per 100 general practitioner consultations has remained constant from 2009 to 2014, and shows a pattern of seasonal variation, with peaks in winter and troughs in summer.</w:t>
      </w:r>
    </w:p>
    <w:p w14:paraId="159C6BB7" w14:textId="51AEA60C" w:rsidR="00114675" w:rsidRPr="003A2D00" w:rsidRDefault="00114675" w:rsidP="00114675">
      <w:r w:rsidRPr="003A2D00">
        <w:t xml:space="preserve">High volumes of antimicrobials continue to be prescribed unnecessarily for upper respiratory tract infections. More than 50% of patients </w:t>
      </w:r>
      <w:r w:rsidR="009B7690" w:rsidRPr="003A2D00">
        <w:t>who were identified as having a cold</w:t>
      </w:r>
      <w:r w:rsidRPr="003A2D00">
        <w:t xml:space="preserve"> </w:t>
      </w:r>
      <w:r w:rsidR="009B7690" w:rsidRPr="003A2D00">
        <w:t>or</w:t>
      </w:r>
      <w:r w:rsidRPr="003A2D00">
        <w:t xml:space="preserve"> other up</w:t>
      </w:r>
      <w:r w:rsidR="009B7690" w:rsidRPr="003A2D00">
        <w:t>per respiratory tract infection</w:t>
      </w:r>
      <w:r w:rsidRPr="003A2D00">
        <w:t xml:space="preserve"> had an antimicrobial prescribed when it was not indicated. A large proportion of patients with acute tonsillitis, acute or chronic sinusitis (sinus inflammation), acute </w:t>
      </w:r>
      <w:r w:rsidRPr="003A2D00">
        <w:lastRenderedPageBreak/>
        <w:t>otitis media (middle ear infection) or acute bronchitis received an antimicrobial, but antimicrobial treatment should be the exception for these conditions, not routine therapy. A large proportion of antimicrobials prescribed were not those recommended by guidelines.</w:t>
      </w:r>
      <w:r w:rsidR="00C805A6" w:rsidRPr="003A2D00">
        <w:rPr>
          <w:rStyle w:val="Superscript"/>
        </w:rPr>
        <w:t>4</w:t>
      </w:r>
    </w:p>
    <w:p w14:paraId="2CDD05B4" w14:textId="77777777" w:rsidR="007E35BB" w:rsidRPr="003A2D00" w:rsidRDefault="007E35BB" w:rsidP="00252760">
      <w:r w:rsidRPr="003A2D00">
        <w:t>Reasons for inappropriate prescribing included the wrong antimicrobial, and for the wrong duration. Many repeat prescriptions were also given when they were not needed.</w:t>
      </w:r>
    </w:p>
    <w:p w14:paraId="3630830A" w14:textId="6A244056" w:rsidR="00F61DE1" w:rsidRPr="003A2D00" w:rsidRDefault="00967D83" w:rsidP="00F61DE1">
      <w:r w:rsidRPr="003A2D00">
        <w:t>However, the</w:t>
      </w:r>
      <w:r w:rsidR="00CB6098" w:rsidRPr="003A2D00">
        <w:t xml:space="preserve"> trend for inappropriate prescribing</w:t>
      </w:r>
      <w:r w:rsidRPr="003A2D00">
        <w:t xml:space="preserve"> for upper respiratory tract infections is</w:t>
      </w:r>
      <w:r w:rsidR="00CB6098" w:rsidRPr="003A2D00">
        <w:t xml:space="preserve"> decreasing. </w:t>
      </w:r>
      <w:r w:rsidRPr="003A2D00">
        <w:t>Nationally, the proportion of acute upper respiratory tract infection presentations for which systemic antimicrobials were prescribed by general practitioners decreased from 32.8% in 2011–12 to 29.0% in 2013–14. This reflects the overall decreasing trend in most states and territories (</w:t>
      </w:r>
      <w:r w:rsidR="009B7690" w:rsidRPr="003A2D00">
        <w:t>Figure </w:t>
      </w:r>
      <w:r w:rsidR="001A0532" w:rsidRPr="003A2D00">
        <w:t>4</w:t>
      </w:r>
      <w:r w:rsidRPr="003A2D00">
        <w:t>).</w:t>
      </w:r>
      <w:r w:rsidR="00C805A6" w:rsidRPr="003A2D00">
        <w:rPr>
          <w:rStyle w:val="Superscript"/>
        </w:rPr>
        <w:t>5</w:t>
      </w:r>
    </w:p>
    <w:p w14:paraId="7E1FD665" w14:textId="67ABCA58" w:rsidR="00D641CF" w:rsidRPr="003A2D00" w:rsidRDefault="00D641CF" w:rsidP="0054243F">
      <w:pPr>
        <w:pStyle w:val="FigureName"/>
      </w:pPr>
      <w:r w:rsidRPr="003A2D00">
        <w:t xml:space="preserve">Figure </w:t>
      </w:r>
      <w:r w:rsidR="001A0532" w:rsidRPr="003A2D00">
        <w:t>4</w:t>
      </w:r>
      <w:r w:rsidR="0054243F" w:rsidRPr="003A2D00">
        <w:tab/>
      </w:r>
      <w:r w:rsidRPr="003A2D00">
        <w:t>Percentage of patients with acute upper respiratory tract infections</w:t>
      </w:r>
      <w:r w:rsidRPr="003A2D00" w:rsidDel="00D345A7">
        <w:t xml:space="preserve"> </w:t>
      </w:r>
      <w:r w:rsidRPr="003A2D00">
        <w:t>prescribed a systemic antimicrobial, by jurisdiction,</w:t>
      </w:r>
      <w:r w:rsidR="004111F4" w:rsidRPr="003A2D00">
        <w:t xml:space="preserve"> rolling average</w:t>
      </w:r>
      <w:r w:rsidRPr="003A2D00">
        <w:t xml:space="preserve"> 2006–14</w:t>
      </w:r>
    </w:p>
    <w:p w14:paraId="2670D0A3" w14:textId="77777777" w:rsidR="00D641CF" w:rsidRPr="003A2D00" w:rsidRDefault="00D641CF" w:rsidP="00D641CF">
      <w:r w:rsidRPr="003A2D00">
        <w:rPr>
          <w:noProof/>
          <w:lang w:val="en-US" w:eastAsia="en-US"/>
        </w:rPr>
        <w:drawing>
          <wp:inline distT="0" distB="0" distL="0" distR="0" wp14:anchorId="6747D0A4" wp14:editId="367E559C">
            <wp:extent cx="5731510" cy="2994025"/>
            <wp:effectExtent l="0" t="0" r="8890" b="0"/>
            <wp:docPr id="13" name="Picture 13" descr="Bar chart showing percentages by jurisdiction in 2006–11, 2007–12, 2008–13 and 2009–14. In Australia overall, around 33% of patients with acute upper respiratory tract infections were prescribed an antimicrobial in each time period. This varied by jurisdiction, from around 20% in the Northern Territory to around 35% in New South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3.20-02.png"/>
                    <pic:cNvPicPr/>
                  </pic:nvPicPr>
                  <pic:blipFill>
                    <a:blip r:embed="rId18">
                      <a:extLst>
                        <a:ext uri="{28A0092B-C50C-407E-A947-70E740481C1C}">
                          <a14:useLocalDpi xmlns:a14="http://schemas.microsoft.com/office/drawing/2010/main" val="0"/>
                        </a:ext>
                      </a:extLst>
                    </a:blip>
                    <a:stretch>
                      <a:fillRect/>
                    </a:stretch>
                  </pic:blipFill>
                  <pic:spPr>
                    <a:xfrm>
                      <a:off x="0" y="0"/>
                      <a:ext cx="5731510" cy="2994025"/>
                    </a:xfrm>
                    <a:prstGeom prst="rect">
                      <a:avLst/>
                    </a:prstGeom>
                  </pic:spPr>
                </pic:pic>
              </a:graphicData>
            </a:graphic>
          </wp:inline>
        </w:drawing>
      </w:r>
    </w:p>
    <w:p w14:paraId="5100BF13" w14:textId="77777777" w:rsidR="00D641CF" w:rsidRPr="003A2D00" w:rsidRDefault="00D641CF" w:rsidP="00D641CF">
      <w:pPr>
        <w:pStyle w:val="TFAbbrevs"/>
      </w:pPr>
      <w:r w:rsidRPr="003A2D00">
        <w:t xml:space="preserve">ACT = Australian Capital Territory; NSW = New South Wales; NT = Northern Territory; Qld = Queensland; SA = South Australia; </w:t>
      </w:r>
      <w:proofErr w:type="spellStart"/>
      <w:r w:rsidRPr="003A2D00">
        <w:t>Tas</w:t>
      </w:r>
      <w:proofErr w:type="spellEnd"/>
      <w:r w:rsidRPr="003A2D00">
        <w:t> = Tasmania; Vic = Victoria; WA = Western Australia</w:t>
      </w:r>
    </w:p>
    <w:p w14:paraId="24AF2F25" w14:textId="77777777" w:rsidR="00D641CF" w:rsidRPr="003A2D00" w:rsidRDefault="00D641CF" w:rsidP="00D641CF">
      <w:pPr>
        <w:pStyle w:val="TFListNotes"/>
      </w:pPr>
      <w:r w:rsidRPr="003A2D00">
        <w:t xml:space="preserve">Notes: </w:t>
      </w:r>
    </w:p>
    <w:p w14:paraId="6FB05FDA" w14:textId="77777777" w:rsidR="00D641CF" w:rsidRPr="003A2D00" w:rsidRDefault="00D641CF" w:rsidP="00D641CF">
      <w:pPr>
        <w:pStyle w:val="TFListNotes"/>
      </w:pPr>
      <w:r w:rsidRPr="003A2D00">
        <w:t>1.</w:t>
      </w:r>
      <w:r w:rsidRPr="003A2D00">
        <w:tab/>
        <w:t>Error bars represent the 95% confidence interval associated with each point estimate. </w:t>
      </w:r>
    </w:p>
    <w:p w14:paraId="5C5A1DFD" w14:textId="77777777" w:rsidR="00D641CF" w:rsidRPr="003A2D00" w:rsidRDefault="00D641CF" w:rsidP="00D641CF">
      <w:pPr>
        <w:pStyle w:val="TFListNotes"/>
      </w:pPr>
      <w:r w:rsidRPr="003A2D00">
        <w:t>2.</w:t>
      </w:r>
      <w:r w:rsidRPr="003A2D00">
        <w:tab/>
        <w:t>Participation in the survey is voluntary. Data is not necessarily representative of the prescribing behaviour of nonparticipating general practitioners.</w:t>
      </w:r>
    </w:p>
    <w:p w14:paraId="083D4D0D" w14:textId="00D20F6E" w:rsidR="00D641CF" w:rsidRPr="003A2D00" w:rsidRDefault="00D641CF" w:rsidP="00D641CF">
      <w:pPr>
        <w:pStyle w:val="TFNoteSourceSpace"/>
      </w:pPr>
      <w:r w:rsidRPr="003A2D00">
        <w:t xml:space="preserve">Source: </w:t>
      </w:r>
      <w:r w:rsidRPr="003A2D00">
        <w:rPr>
          <w:rStyle w:val="Emphasis"/>
        </w:rPr>
        <w:t>Report on government services 2015</w:t>
      </w:r>
      <w:r w:rsidRPr="003A2D00">
        <w:t>, Table 10A.55</w:t>
      </w:r>
      <w:r w:rsidR="00C805A6" w:rsidRPr="003A2D00">
        <w:rPr>
          <w:rStyle w:val="Superscript"/>
        </w:rPr>
        <w:t>5</w:t>
      </w:r>
    </w:p>
    <w:p w14:paraId="32C1B2E8" w14:textId="77777777" w:rsidR="006078B2" w:rsidRPr="003A2D00" w:rsidRDefault="006078B2" w:rsidP="006078B2">
      <w:pPr>
        <w:pStyle w:val="Heading2"/>
      </w:pPr>
      <w:bookmarkStart w:id="15" w:name="_Toc452639775"/>
      <w:r w:rsidRPr="003A2D00">
        <w:t xml:space="preserve">Antimicrobial use in </w:t>
      </w:r>
      <w:r w:rsidR="00EE05CF" w:rsidRPr="003A2D00">
        <w:t xml:space="preserve">the community – </w:t>
      </w:r>
      <w:r w:rsidRPr="003A2D00">
        <w:t>residential aged care facilities</w:t>
      </w:r>
      <w:bookmarkEnd w:id="15"/>
    </w:p>
    <w:p w14:paraId="4BF93730" w14:textId="1652576E" w:rsidR="00BC35D6" w:rsidRPr="003A2D00" w:rsidRDefault="003B1E9A" w:rsidP="00BC35D6">
      <w:r w:rsidRPr="003A2D00">
        <w:t xml:space="preserve">Data on </w:t>
      </w:r>
      <w:r w:rsidR="009529E6" w:rsidRPr="003A2D00">
        <w:t>AU</w:t>
      </w:r>
      <w:r w:rsidRPr="003A2D00">
        <w:t xml:space="preserve"> in Australian residential aged care facilities has only recently become available</w:t>
      </w:r>
      <w:r w:rsidR="00976B1E" w:rsidRPr="003A2D00">
        <w:t xml:space="preserve"> as a result of a pilot study conducted in 2015</w:t>
      </w:r>
      <w:r w:rsidR="003F0E40" w:rsidRPr="003A2D00">
        <w:t xml:space="preserve"> (the Aged Care National Antimicrobial Prescribing Survey, or </w:t>
      </w:r>
      <w:proofErr w:type="spellStart"/>
      <w:r w:rsidR="003F0E40" w:rsidRPr="003A2D00">
        <w:t>acNAPS</w:t>
      </w:r>
      <w:proofErr w:type="spellEnd"/>
      <w:r w:rsidR="003F0E40" w:rsidRPr="003A2D00">
        <w:t>)</w:t>
      </w:r>
      <w:r w:rsidR="007C3611" w:rsidRPr="003A2D00">
        <w:t xml:space="preserve">. </w:t>
      </w:r>
      <w:proofErr w:type="spellStart"/>
      <w:r w:rsidR="003F0E40" w:rsidRPr="003A2D00">
        <w:t>acNAPS</w:t>
      </w:r>
      <w:proofErr w:type="spellEnd"/>
      <w:r w:rsidR="00976B1E" w:rsidRPr="003A2D00">
        <w:t xml:space="preserve"> provide</w:t>
      </w:r>
      <w:r w:rsidR="003F0E40" w:rsidRPr="003A2D00">
        <w:t xml:space="preserve">s </w:t>
      </w:r>
      <w:r w:rsidR="00976B1E" w:rsidRPr="003A2D00">
        <w:t xml:space="preserve">a snapshot of </w:t>
      </w:r>
      <w:r w:rsidR="009529E6" w:rsidRPr="003A2D00">
        <w:t>AU</w:t>
      </w:r>
      <w:r w:rsidR="00976B1E" w:rsidRPr="003A2D00">
        <w:t xml:space="preserve"> and the prevalence of infection in a sample of Australian residential aged care facilities</w:t>
      </w:r>
      <w:r w:rsidR="00852A3A" w:rsidRPr="003A2D00">
        <w:t xml:space="preserve"> and multipurpose services</w:t>
      </w:r>
      <w:r w:rsidR="001A0532" w:rsidRPr="003A2D00">
        <w:t>.</w:t>
      </w:r>
    </w:p>
    <w:p w14:paraId="32C6FC2A" w14:textId="361B1BD3" w:rsidR="00716C7B" w:rsidRPr="003A2D00" w:rsidRDefault="00716C7B" w:rsidP="00BC35D6">
      <w:r w:rsidRPr="003A2D00">
        <w:t>The prevalence of residents on antimicrobial therapy on any given day was 11.3%</w:t>
      </w:r>
      <w:r w:rsidR="003F0E40" w:rsidRPr="003A2D00">
        <w:t>, and</w:t>
      </w:r>
      <w:r w:rsidRPr="003A2D00">
        <w:t xml:space="preserve"> 7.9% </w:t>
      </w:r>
      <w:r w:rsidR="003F0E40" w:rsidRPr="003A2D00">
        <w:t xml:space="preserve">if </w:t>
      </w:r>
      <w:r w:rsidRPr="003A2D00">
        <w:t>to</w:t>
      </w:r>
      <w:r w:rsidR="00976B1E" w:rsidRPr="003A2D00">
        <w:t>pical antimicrobials were ex</w:t>
      </w:r>
      <w:r w:rsidRPr="003A2D00">
        <w:t xml:space="preserve">cluded. The </w:t>
      </w:r>
      <w:r w:rsidR="00CE4957" w:rsidRPr="003A2D00">
        <w:t>prevalence</w:t>
      </w:r>
      <w:r w:rsidRPr="003A2D00">
        <w:t xml:space="preserve"> of residents with a suspected or confirmed infection was 4.5% and</w:t>
      </w:r>
      <w:r w:rsidR="00CE4957" w:rsidRPr="003A2D00">
        <w:t>,</w:t>
      </w:r>
      <w:r w:rsidRPr="003A2D00">
        <w:t xml:space="preserve"> of these, 72.4% were on antimicrobial therapy.</w:t>
      </w:r>
      <w:r w:rsidR="007C3611" w:rsidRPr="003A2D00">
        <w:t xml:space="preserve"> </w:t>
      </w:r>
      <w:r w:rsidR="000E5DD5" w:rsidRPr="003A2D00">
        <w:t>This</w:t>
      </w:r>
      <w:r w:rsidR="007C3611" w:rsidRPr="003A2D00">
        <w:t xml:space="preserve"> suggests some inappropriate use</w:t>
      </w:r>
      <w:r w:rsidR="000E5DD5" w:rsidRPr="003A2D00">
        <w:t xml:space="preserve"> </w:t>
      </w:r>
      <w:r w:rsidR="000E5DD5" w:rsidRPr="003A2D00">
        <w:lastRenderedPageBreak/>
        <w:t>of antimicrobials</w:t>
      </w:r>
      <w:r w:rsidR="007C3611" w:rsidRPr="003A2D00">
        <w:t xml:space="preserve">. </w:t>
      </w:r>
      <w:proofErr w:type="spellStart"/>
      <w:r w:rsidR="00852A3A" w:rsidRPr="003A2D00">
        <w:t>acNAPS</w:t>
      </w:r>
      <w:proofErr w:type="spellEnd"/>
      <w:r w:rsidR="00852A3A" w:rsidRPr="003A2D00">
        <w:t xml:space="preserve"> will be available for all </w:t>
      </w:r>
      <w:r w:rsidR="008704A6" w:rsidRPr="003A2D00">
        <w:t>residential aged care facilities</w:t>
      </w:r>
      <w:r w:rsidR="00852A3A" w:rsidRPr="003A2D00">
        <w:t xml:space="preserve"> and </w:t>
      </w:r>
      <w:r w:rsidR="008704A6" w:rsidRPr="003A2D00">
        <w:t>multipurpose services to participate in from</w:t>
      </w:r>
      <w:r w:rsidR="00852A3A" w:rsidRPr="003A2D00">
        <w:t xml:space="preserve"> June 2016.</w:t>
      </w:r>
    </w:p>
    <w:p w14:paraId="16C494ED" w14:textId="77777777" w:rsidR="00834A42" w:rsidRPr="003A2D00" w:rsidRDefault="00834A42" w:rsidP="00834A42">
      <w:pPr>
        <w:pStyle w:val="Heading3"/>
      </w:pPr>
      <w:r w:rsidRPr="003A2D00">
        <w:t xml:space="preserve">Patterns of </w:t>
      </w:r>
      <w:r w:rsidR="00EE05CF" w:rsidRPr="003A2D00">
        <w:t>use</w:t>
      </w:r>
    </w:p>
    <w:p w14:paraId="0E920E62" w14:textId="3DFA8D45" w:rsidR="00716C7B" w:rsidRPr="003A2D00" w:rsidRDefault="00716C7B" w:rsidP="00BC35D6">
      <w:r w:rsidRPr="003A2D00">
        <w:t xml:space="preserve">Prescribing was highest in Western Australia </w:t>
      </w:r>
      <w:r w:rsidR="0019176F" w:rsidRPr="003A2D00">
        <w:t xml:space="preserve">(26.9%) </w:t>
      </w:r>
      <w:r w:rsidRPr="003A2D00">
        <w:t>and lowest in Queensland</w:t>
      </w:r>
      <w:r w:rsidR="0019176F" w:rsidRPr="003A2D00">
        <w:t xml:space="preserve"> (6.4%)</w:t>
      </w:r>
      <w:r w:rsidR="008E2B5B" w:rsidRPr="003A2D00">
        <w:t>.</w:t>
      </w:r>
      <w:r w:rsidRPr="003A2D00">
        <w:t xml:space="preserve"> </w:t>
      </w:r>
      <w:r w:rsidR="008E2B5B" w:rsidRPr="003A2D00">
        <w:t>T</w:t>
      </w:r>
      <w:r w:rsidRPr="003A2D00">
        <w:t xml:space="preserve">here were no obvious reasons for this </w:t>
      </w:r>
      <w:r w:rsidR="00852A3A" w:rsidRPr="003A2D00">
        <w:t>variation;</w:t>
      </w:r>
      <w:r w:rsidR="00CE4957" w:rsidRPr="003A2D00">
        <w:t xml:space="preserve"> </w:t>
      </w:r>
      <w:r w:rsidR="0019176F" w:rsidRPr="003A2D00">
        <w:t xml:space="preserve">the infection rates </w:t>
      </w:r>
      <w:r w:rsidR="00D641CF" w:rsidRPr="003A2D00">
        <w:t xml:space="preserve">in each jurisdiction </w:t>
      </w:r>
      <w:r w:rsidR="0019176F" w:rsidRPr="003A2D00">
        <w:t xml:space="preserve">did not </w:t>
      </w:r>
      <w:r w:rsidR="00834A42" w:rsidRPr="003A2D00">
        <w:t xml:space="preserve">necessarily </w:t>
      </w:r>
      <w:r w:rsidR="0019176F" w:rsidRPr="003A2D00">
        <w:t>correlate with prescribing rates.</w:t>
      </w:r>
    </w:p>
    <w:p w14:paraId="143E879E" w14:textId="77777777" w:rsidR="00834A42" w:rsidRPr="003A2D00" w:rsidRDefault="00834A42" w:rsidP="00834A42">
      <w:r w:rsidRPr="003A2D00">
        <w:t>Prophylaxis accounted for 22.9% of the prescriptions</w:t>
      </w:r>
      <w:r w:rsidR="008E2B5B" w:rsidRPr="003A2D00">
        <w:t xml:space="preserve"> –</w:t>
      </w:r>
      <w:r w:rsidRPr="003A2D00">
        <w:t xml:space="preserve"> these were mainly for u</w:t>
      </w:r>
      <w:r w:rsidR="007E35BB" w:rsidRPr="003A2D00">
        <w:t>rinary tract infections (36.3%),</w:t>
      </w:r>
      <w:r w:rsidRPr="003A2D00">
        <w:t xml:space="preserve"> and unspecified skin, soft tissue or mucosal infections (11.2%). </w:t>
      </w:r>
      <w:r w:rsidR="00BA5C7A" w:rsidRPr="003A2D00">
        <w:t>A</w:t>
      </w:r>
      <w:r w:rsidRPr="003A2D00">
        <w:t xml:space="preserve">long with lower respiratory tract infections, </w:t>
      </w:r>
      <w:r w:rsidR="00BA5C7A" w:rsidRPr="003A2D00">
        <w:t xml:space="preserve">these </w:t>
      </w:r>
      <w:r w:rsidRPr="003A2D00">
        <w:t>comprised most of the infections for which antimicrobial</w:t>
      </w:r>
      <w:r w:rsidR="00BA5C7A" w:rsidRPr="003A2D00">
        <w:t>s</w:t>
      </w:r>
      <w:r w:rsidRPr="003A2D00">
        <w:t xml:space="preserve"> were prescribed</w:t>
      </w:r>
      <w:r w:rsidR="00BA5C7A" w:rsidRPr="003A2D00">
        <w:t xml:space="preserve"> for treatment</w:t>
      </w:r>
      <w:r w:rsidRPr="003A2D00">
        <w:t>.</w:t>
      </w:r>
    </w:p>
    <w:p w14:paraId="3DE56CD9" w14:textId="77777777" w:rsidR="00834A42" w:rsidRPr="003A2D00" w:rsidRDefault="00EE05CF" w:rsidP="00834A42">
      <w:pPr>
        <w:pStyle w:val="Heading3"/>
      </w:pPr>
      <w:r w:rsidRPr="003A2D00">
        <w:t>Appropriateness of prescribing</w:t>
      </w:r>
    </w:p>
    <w:p w14:paraId="258DA05E" w14:textId="322C891D" w:rsidR="001F1F85" w:rsidRPr="003A2D00" w:rsidRDefault="00D1175F" w:rsidP="001F1F85">
      <w:r w:rsidRPr="003A2D00">
        <w:t xml:space="preserve">About one in five prescriptions were </w:t>
      </w:r>
      <w:r w:rsidR="00BA5C7A" w:rsidRPr="003A2D00">
        <w:t xml:space="preserve">prescribed </w:t>
      </w:r>
      <w:r w:rsidRPr="003A2D00">
        <w:t xml:space="preserve">for </w:t>
      </w:r>
      <w:r w:rsidR="00BA5C7A" w:rsidRPr="003A2D00">
        <w:t>residents</w:t>
      </w:r>
      <w:r w:rsidRPr="003A2D00">
        <w:t xml:space="preserve"> who did not have any signs or symptoms of infection. For those who did have symptoms, only one-third met the standardised criteria for </w:t>
      </w:r>
      <w:r w:rsidR="00BA5C7A" w:rsidRPr="003A2D00">
        <w:t xml:space="preserve">appropriate </w:t>
      </w:r>
      <w:r w:rsidR="00A32211" w:rsidRPr="003A2D00">
        <w:t>prescribing</w:t>
      </w:r>
      <w:r w:rsidRPr="003A2D00">
        <w:t xml:space="preserve"> in residential aged care facilities (</w:t>
      </w:r>
      <w:proofErr w:type="spellStart"/>
      <w:r w:rsidRPr="003A2D00">
        <w:t>McGeer</w:t>
      </w:r>
      <w:proofErr w:type="spellEnd"/>
      <w:r w:rsidRPr="003A2D00">
        <w:t xml:space="preserve"> infection criteria).</w:t>
      </w:r>
      <w:r w:rsidR="00C805A6" w:rsidRPr="003A2D00">
        <w:rPr>
          <w:rStyle w:val="Superscript"/>
        </w:rPr>
        <w:t>6</w:t>
      </w:r>
      <w:r w:rsidR="00C3030C" w:rsidRPr="003A2D00">
        <w:t xml:space="preserve"> </w:t>
      </w:r>
      <w:r w:rsidR="009529E6" w:rsidRPr="003A2D00">
        <w:t>For these prescriptions, numbers were</w:t>
      </w:r>
      <w:r w:rsidR="00C3030C" w:rsidRPr="003A2D00">
        <w:t xml:space="preserve"> </w:t>
      </w:r>
      <w:r w:rsidR="00BA5C7A" w:rsidRPr="003A2D00">
        <w:t>highest</w:t>
      </w:r>
      <w:r w:rsidR="00C3030C" w:rsidRPr="003A2D00">
        <w:t xml:space="preserve"> for skin, soft tissue, eye and oral infections, followed by respiratory tract infections and urinary tract infections</w:t>
      </w:r>
      <w:r w:rsidR="000E5DD5" w:rsidRPr="003A2D00">
        <w:t xml:space="preserve"> (Figure </w:t>
      </w:r>
      <w:r w:rsidR="001A0532" w:rsidRPr="003A2D00">
        <w:t>5</w:t>
      </w:r>
      <w:r w:rsidR="00C3030C" w:rsidRPr="003A2D00">
        <w:t>).</w:t>
      </w:r>
    </w:p>
    <w:p w14:paraId="454E0054" w14:textId="38297680" w:rsidR="00C3030C" w:rsidRPr="003A2D00" w:rsidRDefault="00C3030C" w:rsidP="00C3030C">
      <w:pPr>
        <w:pStyle w:val="FigureName"/>
      </w:pPr>
      <w:bookmarkStart w:id="16" w:name="_Toc444512682"/>
      <w:r w:rsidRPr="003A2D00">
        <w:t xml:space="preserve">Figure </w:t>
      </w:r>
      <w:r w:rsidR="008704A6" w:rsidRPr="003A2D00">
        <w:t>5</w:t>
      </w:r>
      <w:r w:rsidRPr="003A2D00">
        <w:tab/>
      </w:r>
      <w:bookmarkEnd w:id="16"/>
      <w:r w:rsidR="00D641CF" w:rsidRPr="003A2D00">
        <w:t xml:space="preserve">Number of prescriptions that met </w:t>
      </w:r>
      <w:proofErr w:type="spellStart"/>
      <w:r w:rsidR="00D641CF" w:rsidRPr="003A2D00">
        <w:t>McGeer</w:t>
      </w:r>
      <w:proofErr w:type="spellEnd"/>
      <w:r w:rsidR="00D641CF" w:rsidRPr="003A2D00">
        <w:t xml:space="preserve"> criteria, by body system (where signs and symptoms of infection were recorded), 2015</w:t>
      </w:r>
    </w:p>
    <w:p w14:paraId="5C6F699C" w14:textId="77777777" w:rsidR="00C3030C" w:rsidRPr="003A2D00" w:rsidRDefault="00D641CF" w:rsidP="00AE7B17">
      <w:pPr>
        <w:keepNext/>
      </w:pPr>
      <w:r w:rsidRPr="003A2D00">
        <w:rPr>
          <w:noProof/>
          <w:lang w:val="en-US" w:eastAsia="en-US"/>
        </w:rPr>
        <w:drawing>
          <wp:inline distT="0" distB="0" distL="0" distR="0" wp14:anchorId="56988CB5" wp14:editId="473A91EC">
            <wp:extent cx="5731510" cy="3236595"/>
            <wp:effectExtent l="0" t="0" r="0" b="0"/>
            <wp:docPr id="14" name="Picture 14" descr="Bar chart showing total number of prescriptions and McGeer-confirmed prescriptions for five body systems: urinary tract (118 prescriptions, 14 McGeer confirmed); respiratory tract (141 prescriptions, 43 McGeer confirmed); skin, soft tissue, eye and oral (205 prescriptions, 99 McGeer confirmed); gastrointestinal tract (3 prescriptions, 0 McGeer confirmed); and systemic (3 prescriptions, 2 McGeer confi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3.24-01.png"/>
                    <pic:cNvPicPr/>
                  </pic:nvPicPr>
                  <pic:blipFill>
                    <a:blip r:embed="rId19">
                      <a:extLst>
                        <a:ext uri="{28A0092B-C50C-407E-A947-70E740481C1C}">
                          <a14:useLocalDpi xmlns:a14="http://schemas.microsoft.com/office/drawing/2010/main" val="0"/>
                        </a:ext>
                      </a:extLst>
                    </a:blip>
                    <a:stretch>
                      <a:fillRect/>
                    </a:stretch>
                  </pic:blipFill>
                  <pic:spPr>
                    <a:xfrm>
                      <a:off x="0" y="0"/>
                      <a:ext cx="5731510" cy="3236595"/>
                    </a:xfrm>
                    <a:prstGeom prst="rect">
                      <a:avLst/>
                    </a:prstGeom>
                  </pic:spPr>
                </pic:pic>
              </a:graphicData>
            </a:graphic>
          </wp:inline>
        </w:drawing>
      </w:r>
    </w:p>
    <w:p w14:paraId="3933705F" w14:textId="77777777" w:rsidR="00D641CF" w:rsidRPr="003A2D00" w:rsidRDefault="00D641CF" w:rsidP="00D641CF">
      <w:pPr>
        <w:pStyle w:val="TFNoteSource"/>
      </w:pPr>
      <w:r w:rsidRPr="003A2D00">
        <w:t>Note:</w:t>
      </w:r>
      <w:r w:rsidRPr="003A2D00">
        <w:tab/>
        <w:t xml:space="preserve">Prescriptions are counted more than once if the resident has signs or symptoms of infection for more than one body system. </w:t>
      </w:r>
    </w:p>
    <w:p w14:paraId="056AB92B" w14:textId="77777777" w:rsidR="00C3030C" w:rsidRPr="003A2D00" w:rsidRDefault="00D641CF" w:rsidP="00D641CF">
      <w:pPr>
        <w:pStyle w:val="TFNoteSourceSpace"/>
      </w:pPr>
      <w:r w:rsidRPr="003A2D00">
        <w:t>Source:</w:t>
      </w:r>
      <w:r w:rsidRPr="003A2D00">
        <w:tab/>
        <w:t>Aged Care National Antimicrobial Prescribing Survey, 2015</w:t>
      </w:r>
    </w:p>
    <w:p w14:paraId="6A4E5320" w14:textId="77C3D37F" w:rsidR="00854532" w:rsidRPr="003A2D00" w:rsidRDefault="00854532" w:rsidP="00854532">
      <w:r w:rsidRPr="003A2D00">
        <w:t>This preliminary data point</w:t>
      </w:r>
      <w:r w:rsidR="008E2B5B" w:rsidRPr="003A2D00">
        <w:t>s</w:t>
      </w:r>
      <w:r w:rsidRPr="003A2D00">
        <w:t xml:space="preserve"> towards some </w:t>
      </w:r>
      <w:r w:rsidR="002A5544" w:rsidRPr="003A2D00">
        <w:t xml:space="preserve">unwarranted </w:t>
      </w:r>
      <w:r w:rsidR="009529E6" w:rsidRPr="003A2D00">
        <w:t>AU</w:t>
      </w:r>
      <w:r w:rsidRPr="003A2D00">
        <w:t xml:space="preserve"> in residential aged care. However, more data is necessary from across Australia</w:t>
      </w:r>
      <w:r w:rsidR="00533770" w:rsidRPr="003A2D00">
        <w:t xml:space="preserve"> to </w:t>
      </w:r>
      <w:r w:rsidR="002A5544" w:rsidRPr="003A2D00">
        <w:t>provide a more</w:t>
      </w:r>
      <w:r w:rsidR="00533770" w:rsidRPr="003A2D00">
        <w:t xml:space="preserve"> complete picture of antimicrobial prescribing patterns in residential aged care facilities</w:t>
      </w:r>
      <w:r w:rsidR="008704A6" w:rsidRPr="003A2D00">
        <w:t xml:space="preserve"> and multipurpose services</w:t>
      </w:r>
      <w:r w:rsidRPr="003A2D00">
        <w:t>.</w:t>
      </w:r>
    </w:p>
    <w:p w14:paraId="5BFA633B" w14:textId="77777777" w:rsidR="00385BF5" w:rsidRPr="003A2D00" w:rsidRDefault="00380DCC" w:rsidP="00385BF5">
      <w:pPr>
        <w:pStyle w:val="Heading1"/>
      </w:pPr>
      <w:bookmarkStart w:id="17" w:name="_Toc452639776"/>
      <w:r w:rsidRPr="003A2D00">
        <w:lastRenderedPageBreak/>
        <w:t>Antimicrobial resistance</w:t>
      </w:r>
      <w:bookmarkEnd w:id="17"/>
    </w:p>
    <w:p w14:paraId="2FBDAECB" w14:textId="77777777" w:rsidR="00385BF5" w:rsidRPr="003A2D00" w:rsidRDefault="00385BF5" w:rsidP="00385BF5">
      <w:pPr>
        <w:pStyle w:val="BoxName"/>
      </w:pPr>
      <w:bookmarkStart w:id="18" w:name="_Toc452639777"/>
      <w:r w:rsidRPr="003A2D00">
        <w:t>Key messages</w:t>
      </w:r>
      <w:bookmarkEnd w:id="18"/>
    </w:p>
    <w:p w14:paraId="1AE76BDA" w14:textId="77777777" w:rsidR="00385BF5" w:rsidRPr="003A2D00" w:rsidRDefault="00385BF5" w:rsidP="00385BF5">
      <w:pPr>
        <w:pStyle w:val="BoxBullet"/>
      </w:pPr>
      <w:proofErr w:type="spellStart"/>
      <w:r w:rsidRPr="003A2D00">
        <w:rPr>
          <w:rStyle w:val="Emphasis"/>
        </w:rPr>
        <w:t>Acinetobacter</w:t>
      </w:r>
      <w:proofErr w:type="spellEnd"/>
      <w:r w:rsidRPr="003A2D00">
        <w:rPr>
          <w:rStyle w:val="Emphasis"/>
        </w:rPr>
        <w:t xml:space="preserve"> </w:t>
      </w:r>
      <w:proofErr w:type="spellStart"/>
      <w:r w:rsidRPr="003A2D00">
        <w:rPr>
          <w:rStyle w:val="Emphasis"/>
        </w:rPr>
        <w:t>baumannii</w:t>
      </w:r>
      <w:proofErr w:type="spellEnd"/>
      <w:r w:rsidRPr="003A2D00">
        <w:t xml:space="preserve"> – rates of resistance are low overall (&lt;5%), and higher in hospitals than in the community.</w:t>
      </w:r>
    </w:p>
    <w:p w14:paraId="3B215653" w14:textId="77777777" w:rsidR="00385BF5" w:rsidRPr="003A2D00" w:rsidRDefault="00385BF5" w:rsidP="00385BF5">
      <w:pPr>
        <w:pStyle w:val="BoxBullet"/>
      </w:pPr>
      <w:r w:rsidRPr="003A2D00">
        <w:rPr>
          <w:rStyle w:val="Emphasis"/>
        </w:rPr>
        <w:t>Enterobacteriaceae</w:t>
      </w:r>
      <w:r w:rsidRPr="003A2D00">
        <w:t xml:space="preserve"> –</w:t>
      </w:r>
      <w:r w:rsidR="001A3A7A" w:rsidRPr="003A2D00">
        <w:t xml:space="preserve"> </w:t>
      </w:r>
      <w:r w:rsidR="00F23E72" w:rsidRPr="003A2D00">
        <w:t>strains of</w:t>
      </w:r>
      <w:r w:rsidRPr="003A2D00">
        <w:t xml:space="preserve"> </w:t>
      </w:r>
      <w:r w:rsidRPr="003A2D00">
        <w:rPr>
          <w:rStyle w:val="Emphasis"/>
        </w:rPr>
        <w:t>Escherichia coli</w:t>
      </w:r>
      <w:r w:rsidR="00F23E72" w:rsidRPr="003A2D00">
        <w:rPr>
          <w:rStyle w:val="Emphasis"/>
        </w:rPr>
        <w:t xml:space="preserve"> </w:t>
      </w:r>
      <w:r w:rsidR="001A3A7A" w:rsidRPr="003A2D00">
        <w:t xml:space="preserve">that produce extended-spectrum </w:t>
      </w:r>
      <w:r w:rsidR="001A3A7A" w:rsidRPr="003A2D00">
        <w:sym w:font="Symbol" w:char="F062"/>
      </w:r>
      <w:r w:rsidR="001A3A7A" w:rsidRPr="003A2D00">
        <w:t xml:space="preserve">-lactamases </w:t>
      </w:r>
      <w:r w:rsidRPr="003A2D00">
        <w:t xml:space="preserve">are now a problem in community infections, </w:t>
      </w:r>
      <w:r w:rsidR="00F23E72" w:rsidRPr="003A2D00">
        <w:t>because they are</w:t>
      </w:r>
      <w:r w:rsidRPr="003A2D00">
        <w:t xml:space="preserve"> often multidrug resistant.</w:t>
      </w:r>
    </w:p>
    <w:p w14:paraId="08F9769D" w14:textId="77777777" w:rsidR="00385BF5" w:rsidRPr="003A2D00" w:rsidRDefault="00385BF5" w:rsidP="00385BF5">
      <w:pPr>
        <w:pStyle w:val="BoxBullet"/>
      </w:pPr>
      <w:r w:rsidRPr="003A2D00">
        <w:rPr>
          <w:rStyle w:val="Emphasis"/>
        </w:rPr>
        <w:t>Enterococcus</w:t>
      </w:r>
      <w:r w:rsidRPr="003A2D00">
        <w:t xml:space="preserve"> species – Australia has one of the highest rates of vancomycin resistance in </w:t>
      </w:r>
      <w:r w:rsidRPr="003A2D00">
        <w:rPr>
          <w:rStyle w:val="Emphasis"/>
        </w:rPr>
        <w:t xml:space="preserve">Enterococcus </w:t>
      </w:r>
      <w:proofErr w:type="spellStart"/>
      <w:r w:rsidRPr="003A2D00">
        <w:rPr>
          <w:rStyle w:val="Emphasis"/>
        </w:rPr>
        <w:t>faecium</w:t>
      </w:r>
      <w:proofErr w:type="spellEnd"/>
      <w:r w:rsidRPr="003A2D00">
        <w:t xml:space="preserve"> in the world. Rates of resistance to key antimicrobial agents are very low (&lt;1%) in </w:t>
      </w:r>
      <w:r w:rsidRPr="003A2D00">
        <w:rPr>
          <w:rStyle w:val="Emphasis"/>
        </w:rPr>
        <w:t xml:space="preserve">E. </w:t>
      </w:r>
      <w:proofErr w:type="spellStart"/>
      <w:r w:rsidRPr="003A2D00">
        <w:rPr>
          <w:rStyle w:val="Emphasis"/>
        </w:rPr>
        <w:t>faecalis</w:t>
      </w:r>
      <w:proofErr w:type="spellEnd"/>
      <w:r w:rsidRPr="003A2D00">
        <w:t xml:space="preserve">, but high (45–94.5%) in </w:t>
      </w:r>
      <w:r w:rsidRPr="003A2D00">
        <w:rPr>
          <w:rStyle w:val="Emphasis"/>
        </w:rPr>
        <w:t xml:space="preserve">E. </w:t>
      </w:r>
      <w:proofErr w:type="spellStart"/>
      <w:r w:rsidRPr="003A2D00">
        <w:rPr>
          <w:rStyle w:val="Emphasis"/>
        </w:rPr>
        <w:t>faecium</w:t>
      </w:r>
      <w:proofErr w:type="spellEnd"/>
      <w:r w:rsidRPr="003A2D00">
        <w:t>.</w:t>
      </w:r>
    </w:p>
    <w:p w14:paraId="65480AF2" w14:textId="77777777" w:rsidR="00385BF5" w:rsidRPr="003A2D00" w:rsidRDefault="00385BF5" w:rsidP="00385BF5">
      <w:pPr>
        <w:pStyle w:val="BoxBullet"/>
      </w:pPr>
      <w:r w:rsidRPr="003A2D00">
        <w:rPr>
          <w:rStyle w:val="Emphasis"/>
        </w:rPr>
        <w:t>Mycobacterium tuberculosis</w:t>
      </w:r>
      <w:r w:rsidRPr="003A2D00">
        <w:t xml:space="preserve"> – overall resistance rates have not changed significantly in the past decade. Multidrug resistance is low, but has been gradually increasing (1.7% in 2014); extremely drug-resistant strains are occasionally found but remain rare.</w:t>
      </w:r>
    </w:p>
    <w:p w14:paraId="17D8E2AC" w14:textId="77777777" w:rsidR="00385BF5" w:rsidRPr="003A2D00" w:rsidRDefault="00385BF5" w:rsidP="00385BF5">
      <w:pPr>
        <w:pStyle w:val="BoxBullet"/>
      </w:pPr>
      <w:r w:rsidRPr="003A2D00">
        <w:rPr>
          <w:rStyle w:val="Emphasis"/>
        </w:rPr>
        <w:t>Neisseria gonorrhoeae</w:t>
      </w:r>
      <w:r w:rsidRPr="003A2D00">
        <w:t xml:space="preserve"> – rates of resistance to </w:t>
      </w:r>
      <w:r w:rsidR="00F23E72" w:rsidRPr="003A2D00">
        <w:t>two main antimicrobials</w:t>
      </w:r>
      <w:r w:rsidRPr="003A2D00">
        <w:t xml:space="preserve"> </w:t>
      </w:r>
      <w:r w:rsidR="001A3A7A" w:rsidRPr="003A2D00">
        <w:t>(benzylpenicillin and ciprofloxacin) remain</w:t>
      </w:r>
      <w:r w:rsidRPr="003A2D00">
        <w:t xml:space="preserve"> steady at around 30%. Rates of resistance to </w:t>
      </w:r>
      <w:r w:rsidR="00F23E72" w:rsidRPr="003A2D00">
        <w:t>two other key antimicrobials</w:t>
      </w:r>
      <w:r w:rsidRPr="003A2D00">
        <w:t xml:space="preserve"> </w:t>
      </w:r>
      <w:r w:rsidR="001A3A7A" w:rsidRPr="003A2D00">
        <w:t xml:space="preserve">(azithromycin and decreased susceptibility to ceftriaxone) </w:t>
      </w:r>
      <w:r w:rsidRPr="003A2D00">
        <w:t>are low but gradually increasing.</w:t>
      </w:r>
    </w:p>
    <w:p w14:paraId="767CA484" w14:textId="2A40D28B" w:rsidR="00385BF5" w:rsidRPr="003A2D00" w:rsidRDefault="00385BF5" w:rsidP="00385BF5">
      <w:pPr>
        <w:pStyle w:val="BoxBullet"/>
      </w:pPr>
      <w:r w:rsidRPr="003A2D00">
        <w:rPr>
          <w:rStyle w:val="Emphasis"/>
        </w:rPr>
        <w:t>Neisseria meningitidis</w:t>
      </w:r>
      <w:r w:rsidRPr="003A2D00">
        <w:t xml:space="preserve"> – rates of resistance to the four key antimicrobials </w:t>
      </w:r>
      <w:r w:rsidR="00F23E72" w:rsidRPr="003A2D00">
        <w:t xml:space="preserve">used for treatment </w:t>
      </w:r>
      <w:r w:rsidR="00003719" w:rsidRPr="003A2D00">
        <w:t>remain</w:t>
      </w:r>
      <w:r w:rsidRPr="003A2D00">
        <w:t xml:space="preserve"> very low (0–2%).</w:t>
      </w:r>
    </w:p>
    <w:p w14:paraId="26C05976" w14:textId="580BACE1" w:rsidR="00385BF5" w:rsidRPr="003A2D00" w:rsidRDefault="00385BF5" w:rsidP="00385BF5">
      <w:pPr>
        <w:pStyle w:val="BoxBullet"/>
      </w:pPr>
      <w:r w:rsidRPr="003A2D00">
        <w:rPr>
          <w:rStyle w:val="Emphasis"/>
        </w:rPr>
        <w:t xml:space="preserve">Pseudomonas </w:t>
      </w:r>
      <w:proofErr w:type="spellStart"/>
      <w:r w:rsidRPr="003A2D00">
        <w:rPr>
          <w:rStyle w:val="Emphasis"/>
        </w:rPr>
        <w:t>aeruginosa</w:t>
      </w:r>
      <w:proofErr w:type="spellEnd"/>
      <w:r w:rsidRPr="003A2D00">
        <w:t xml:space="preserve"> – overall rates of resistance to key antimicrobials </w:t>
      </w:r>
      <w:r w:rsidR="00003719" w:rsidRPr="003A2D00">
        <w:t>are 10% or less,</w:t>
      </w:r>
      <w:r w:rsidRPr="003A2D00">
        <w:t xml:space="preserve"> with rates higher in public hospitals than in other settings.</w:t>
      </w:r>
    </w:p>
    <w:p w14:paraId="3C34C0EF" w14:textId="1A0A944A" w:rsidR="00385BF5" w:rsidRPr="003A2D00" w:rsidRDefault="00385BF5" w:rsidP="00385BF5">
      <w:pPr>
        <w:pStyle w:val="BoxBullet"/>
      </w:pPr>
      <w:r w:rsidRPr="003A2D00">
        <w:rPr>
          <w:rStyle w:val="Emphasis"/>
        </w:rPr>
        <w:t>Salmonella</w:t>
      </w:r>
      <w:r w:rsidRPr="003A2D00">
        <w:t xml:space="preserve"> species – rates of resistance to </w:t>
      </w:r>
      <w:r w:rsidR="00F23E72" w:rsidRPr="003A2D00">
        <w:t>a key antimicrobial</w:t>
      </w:r>
      <w:r w:rsidR="00652D1A" w:rsidRPr="003A2D00">
        <w:t xml:space="preserve"> </w:t>
      </w:r>
      <w:r w:rsidR="001A3A7A" w:rsidRPr="003A2D00">
        <w:t xml:space="preserve">class (fluoroquinolones) </w:t>
      </w:r>
      <w:r w:rsidR="00003719" w:rsidRPr="003A2D00">
        <w:t>are</w:t>
      </w:r>
      <w:r w:rsidR="00652D1A" w:rsidRPr="003A2D00">
        <w:t xml:space="preserve"> very low (1</w:t>
      </w:r>
      <w:r w:rsidRPr="003A2D00">
        <w:t xml:space="preserve">%) in </w:t>
      </w:r>
      <w:proofErr w:type="spellStart"/>
      <w:r w:rsidRPr="003A2D00">
        <w:t>nontyphoidal</w:t>
      </w:r>
      <w:proofErr w:type="spellEnd"/>
      <w:r w:rsidRPr="003A2D00">
        <w:t xml:space="preserve"> </w:t>
      </w:r>
      <w:r w:rsidRPr="003A2D00">
        <w:rPr>
          <w:rStyle w:val="Emphasis"/>
        </w:rPr>
        <w:t>Salmonella</w:t>
      </w:r>
      <w:r w:rsidRPr="003A2D00">
        <w:t xml:space="preserve"> species, but more than 12% </w:t>
      </w:r>
      <w:r w:rsidR="00003719" w:rsidRPr="003A2D00">
        <w:t>in</w:t>
      </w:r>
      <w:r w:rsidRPr="003A2D00">
        <w:t xml:space="preserve"> </w:t>
      </w:r>
      <w:proofErr w:type="spellStart"/>
      <w:r w:rsidRPr="003A2D00">
        <w:t>typhoidal</w:t>
      </w:r>
      <w:proofErr w:type="spellEnd"/>
      <w:r w:rsidRPr="003A2D00">
        <w:t xml:space="preserve"> </w:t>
      </w:r>
      <w:r w:rsidRPr="003A2D00">
        <w:rPr>
          <w:rStyle w:val="Emphasis"/>
        </w:rPr>
        <w:t>Salmonella</w:t>
      </w:r>
      <w:r w:rsidRPr="003A2D00">
        <w:t xml:space="preserve"> species.</w:t>
      </w:r>
    </w:p>
    <w:p w14:paraId="4EDA6C16" w14:textId="77777777" w:rsidR="00385BF5" w:rsidRPr="003A2D00" w:rsidRDefault="00385BF5" w:rsidP="00385BF5">
      <w:pPr>
        <w:pStyle w:val="BoxBullet"/>
      </w:pPr>
      <w:proofErr w:type="spellStart"/>
      <w:r w:rsidRPr="003A2D00">
        <w:rPr>
          <w:rStyle w:val="Emphasis"/>
        </w:rPr>
        <w:t>Shigella</w:t>
      </w:r>
      <w:proofErr w:type="spellEnd"/>
      <w:r w:rsidRPr="003A2D00">
        <w:t xml:space="preserve"> species – although data </w:t>
      </w:r>
      <w:r w:rsidR="00F23E72" w:rsidRPr="003A2D00">
        <w:t>is</w:t>
      </w:r>
      <w:r w:rsidRPr="003A2D00">
        <w:t xml:space="preserve"> limited, the presence of resistance </w:t>
      </w:r>
      <w:r w:rsidR="00F23E72" w:rsidRPr="003A2D00">
        <w:t xml:space="preserve">to </w:t>
      </w:r>
      <w:r w:rsidR="001A3A7A" w:rsidRPr="003A2D00">
        <w:t>a</w:t>
      </w:r>
      <w:r w:rsidR="00F23E72" w:rsidRPr="003A2D00">
        <w:t xml:space="preserve"> key antimicrobial</w:t>
      </w:r>
      <w:r w:rsidR="001A3A7A" w:rsidRPr="003A2D00">
        <w:t xml:space="preserve"> (ciprofloxacin)</w:t>
      </w:r>
      <w:r w:rsidR="00F23E72" w:rsidRPr="003A2D00">
        <w:t xml:space="preserve"> </w:t>
      </w:r>
      <w:r w:rsidRPr="003A2D00">
        <w:t xml:space="preserve">in almost 10.6% of </w:t>
      </w:r>
      <w:proofErr w:type="spellStart"/>
      <w:r w:rsidRPr="003A2D00">
        <w:rPr>
          <w:rStyle w:val="Emphasis"/>
        </w:rPr>
        <w:t>Shigella</w:t>
      </w:r>
      <w:proofErr w:type="spellEnd"/>
      <w:r w:rsidRPr="003A2D00">
        <w:rPr>
          <w:rStyle w:val="Emphasis"/>
        </w:rPr>
        <w:t xml:space="preserve"> </w:t>
      </w:r>
      <w:proofErr w:type="spellStart"/>
      <w:r w:rsidRPr="003A2D00">
        <w:rPr>
          <w:rStyle w:val="Emphasis"/>
        </w:rPr>
        <w:t>sonnei</w:t>
      </w:r>
      <w:proofErr w:type="spellEnd"/>
      <w:r w:rsidRPr="003A2D00">
        <w:t xml:space="preserve"> isolates is of concern.</w:t>
      </w:r>
    </w:p>
    <w:p w14:paraId="2C716AF9" w14:textId="77777777" w:rsidR="00385BF5" w:rsidRPr="003A2D00" w:rsidRDefault="00385BF5" w:rsidP="00385BF5">
      <w:pPr>
        <w:pStyle w:val="BoxBullet"/>
      </w:pPr>
      <w:r w:rsidRPr="003A2D00">
        <w:rPr>
          <w:rStyle w:val="Emphasis"/>
        </w:rPr>
        <w:t>Staphylococcus aureus</w:t>
      </w:r>
      <w:r w:rsidRPr="003A2D00">
        <w:t xml:space="preserve"> – between 15.8% and 17.4% of isolates are methicillin-resistant </w:t>
      </w:r>
      <w:r w:rsidRPr="003A2D00">
        <w:rPr>
          <w:rStyle w:val="Emphasis"/>
        </w:rPr>
        <w:t>S. aureus</w:t>
      </w:r>
      <w:r w:rsidRPr="003A2D00">
        <w:t xml:space="preserve"> (MRSA). Community strains of MRSA now cause a significant proportion of infections in both the community and hospitals.</w:t>
      </w:r>
    </w:p>
    <w:p w14:paraId="1621AA47" w14:textId="77777777" w:rsidR="00385BF5" w:rsidRPr="003A2D00" w:rsidRDefault="00385BF5" w:rsidP="00385BF5">
      <w:pPr>
        <w:pStyle w:val="BoxBullet"/>
      </w:pPr>
      <w:r w:rsidRPr="003A2D00">
        <w:rPr>
          <w:rStyle w:val="Emphasis"/>
        </w:rPr>
        <w:t xml:space="preserve">Streptococcus </w:t>
      </w:r>
      <w:proofErr w:type="spellStart"/>
      <w:r w:rsidRPr="003A2D00">
        <w:rPr>
          <w:rStyle w:val="Emphasis"/>
        </w:rPr>
        <w:t>agalactiae</w:t>
      </w:r>
      <w:proofErr w:type="spellEnd"/>
      <w:r w:rsidRPr="003A2D00">
        <w:t xml:space="preserve"> – no isolates were resistant to </w:t>
      </w:r>
      <w:r w:rsidR="00F23E72" w:rsidRPr="003A2D00">
        <w:t>one key antimicrobial</w:t>
      </w:r>
      <w:r w:rsidR="001A3A7A" w:rsidRPr="003A2D00">
        <w:t xml:space="preserve"> (benzylpenicillin)</w:t>
      </w:r>
      <w:r w:rsidRPr="003A2D00">
        <w:t xml:space="preserve">, but resistance to </w:t>
      </w:r>
      <w:r w:rsidR="00F23E72" w:rsidRPr="003A2D00">
        <w:t xml:space="preserve">another important </w:t>
      </w:r>
      <w:r w:rsidR="001A3A7A" w:rsidRPr="003A2D00">
        <w:t>antimicrobial (erythromycin)</w:t>
      </w:r>
      <w:r w:rsidR="00F23E72" w:rsidRPr="003A2D00">
        <w:t xml:space="preserve"> </w:t>
      </w:r>
      <w:r w:rsidRPr="003A2D00">
        <w:t>exceeded 20%. This means that protocols for prophylaxis may need to be reconsidered.</w:t>
      </w:r>
    </w:p>
    <w:p w14:paraId="248E14C6" w14:textId="68FCB601" w:rsidR="00385BF5" w:rsidRPr="003A2D00" w:rsidRDefault="00385BF5" w:rsidP="00385BF5">
      <w:pPr>
        <w:pStyle w:val="BoxBullet"/>
      </w:pPr>
      <w:r w:rsidRPr="003A2D00">
        <w:rPr>
          <w:rStyle w:val="Emphasis"/>
        </w:rPr>
        <w:t>Streptococcus pneumoniae</w:t>
      </w:r>
      <w:r w:rsidRPr="003A2D00">
        <w:t xml:space="preserve"> – resistance (as defined for strains causing infections other than meningitis) </w:t>
      </w:r>
      <w:r w:rsidR="00003719" w:rsidRPr="003A2D00">
        <w:t>was low (around 2%) for</w:t>
      </w:r>
      <w:r w:rsidRPr="003A2D00">
        <w:t xml:space="preserve"> </w:t>
      </w:r>
      <w:r w:rsidR="00F23E72" w:rsidRPr="003A2D00">
        <w:t>one key antimicrobial</w:t>
      </w:r>
      <w:r w:rsidRPr="003A2D00">
        <w:t xml:space="preserve"> </w:t>
      </w:r>
      <w:r w:rsidR="001A3A7A" w:rsidRPr="003A2D00">
        <w:t>(benzylpenicillin)</w:t>
      </w:r>
      <w:r w:rsidRPr="003A2D00">
        <w:t xml:space="preserve">, but </w:t>
      </w:r>
      <w:r w:rsidR="00F23E72" w:rsidRPr="003A2D00">
        <w:t xml:space="preserve">high </w:t>
      </w:r>
      <w:r w:rsidR="00003719" w:rsidRPr="003A2D00">
        <w:t xml:space="preserve">(21–26%) </w:t>
      </w:r>
      <w:r w:rsidR="001A3A7A" w:rsidRPr="003A2D00">
        <w:t>for</w:t>
      </w:r>
      <w:r w:rsidR="00F23E72" w:rsidRPr="003A2D00">
        <w:t xml:space="preserve"> </w:t>
      </w:r>
      <w:r w:rsidRPr="003A2D00">
        <w:t>other key antimicrobials.</w:t>
      </w:r>
    </w:p>
    <w:p w14:paraId="79BFC57F" w14:textId="77777777" w:rsidR="00385BF5" w:rsidRPr="003A2D00" w:rsidRDefault="00385BF5" w:rsidP="00385BF5">
      <w:pPr>
        <w:pStyle w:val="BoxBullet"/>
      </w:pPr>
      <w:r w:rsidRPr="003A2D00">
        <w:rPr>
          <w:rStyle w:val="Emphasis"/>
        </w:rPr>
        <w:t>Streptococcus pyogenes</w:t>
      </w:r>
      <w:r w:rsidRPr="003A2D00">
        <w:t xml:space="preserve"> – resistance to key antimicrobials used for treatment is absent or very low (3%).</w:t>
      </w:r>
    </w:p>
    <w:p w14:paraId="4D08839C" w14:textId="77777777" w:rsidR="00652D1A" w:rsidRPr="003A2D00" w:rsidRDefault="00652D1A" w:rsidP="0032113D">
      <w:r w:rsidRPr="003A2D00">
        <w:t xml:space="preserve">Resistant bacteria </w:t>
      </w:r>
      <w:r w:rsidR="003F0E40" w:rsidRPr="003A2D00">
        <w:t xml:space="preserve">– </w:t>
      </w:r>
      <w:r w:rsidR="00D641CF" w:rsidRPr="003A2D00">
        <w:t>and the</w:t>
      </w:r>
      <w:r w:rsidRPr="003A2D00">
        <w:t xml:space="preserve"> genes that cause resistance </w:t>
      </w:r>
      <w:r w:rsidR="003F0E40" w:rsidRPr="003A2D00">
        <w:t xml:space="preserve">– </w:t>
      </w:r>
      <w:r w:rsidRPr="003A2D00">
        <w:t>can spread readily</w:t>
      </w:r>
      <w:r w:rsidR="003F0E40" w:rsidRPr="003A2D00">
        <w:t xml:space="preserve"> and rapidly</w:t>
      </w:r>
      <w:r w:rsidRPr="003A2D00">
        <w:t xml:space="preserve"> between people in the community, primary care services, hospitals and residential aged care facilities. </w:t>
      </w:r>
      <w:r w:rsidR="00D971F6" w:rsidRPr="003A2D00">
        <w:t>These</w:t>
      </w:r>
      <w:r w:rsidRPr="003A2D00">
        <w:t xml:space="preserve"> bacteria can have a significant impact on patients, health services and the health system. Therefore, </w:t>
      </w:r>
      <w:r w:rsidR="00D971F6" w:rsidRPr="003A2D00">
        <w:t>the</w:t>
      </w:r>
      <w:r w:rsidRPr="003A2D00">
        <w:t xml:space="preserve"> resistant bacteria with the highest risk of harm to humans </w:t>
      </w:r>
      <w:r w:rsidR="00D971F6" w:rsidRPr="003A2D00">
        <w:t xml:space="preserve">must be </w:t>
      </w:r>
      <w:r w:rsidRPr="003A2D00">
        <w:t>identified and monitored through surveillance, and managed appropriately.</w:t>
      </w:r>
    </w:p>
    <w:p w14:paraId="5AADD5DB" w14:textId="6692974C" w:rsidR="00652D1A" w:rsidRPr="003A2D00" w:rsidRDefault="00D625B5" w:rsidP="00652D1A">
      <w:r w:rsidRPr="003A2D00">
        <w:lastRenderedPageBreak/>
        <w:t>D</w:t>
      </w:r>
      <w:r w:rsidR="00652D1A" w:rsidRPr="003A2D00">
        <w:t>ata from hospitals, residential aged care facil</w:t>
      </w:r>
      <w:r w:rsidRPr="003A2D00">
        <w:t>ities and the community was reported</w:t>
      </w:r>
      <w:r w:rsidR="0041386E" w:rsidRPr="003A2D00">
        <w:t xml:space="preserve"> for </w:t>
      </w:r>
      <w:r w:rsidR="00652D1A" w:rsidRPr="003A2D00">
        <w:t>priority organisms. Priority organisms are those</w:t>
      </w:r>
      <w:r w:rsidR="002A5544" w:rsidRPr="003A2D00">
        <w:t xml:space="preserve"> considered by the Commission to be</w:t>
      </w:r>
      <w:r w:rsidR="00652D1A" w:rsidRPr="003A2D00">
        <w:t xml:space="preserve"> of high public health importance and/or common pathogens where the impact of resistance is substantial</w:t>
      </w:r>
      <w:r w:rsidR="002A5544" w:rsidRPr="003A2D00">
        <w:t>,</w:t>
      </w:r>
      <w:r w:rsidR="00652D1A" w:rsidRPr="003A2D00">
        <w:t xml:space="preserve"> in both the hospital and community settings</w:t>
      </w:r>
      <w:r w:rsidR="00BA5804" w:rsidRPr="003A2D00">
        <w:t xml:space="preserve">. A summary of these organisms and the percentage that are resistant to key antimicrobials used for treatment are shown in </w:t>
      </w:r>
      <w:r w:rsidR="00F23E72" w:rsidRPr="003A2D00">
        <w:t>Table </w:t>
      </w:r>
      <w:r w:rsidR="008704A6" w:rsidRPr="003A2D00">
        <w:t>1</w:t>
      </w:r>
      <w:r w:rsidR="00652D1A" w:rsidRPr="003A2D00">
        <w:t>.</w:t>
      </w:r>
    </w:p>
    <w:p w14:paraId="59F218C2" w14:textId="20C320FE" w:rsidR="0032113D" w:rsidRPr="003A2D00" w:rsidRDefault="0032113D" w:rsidP="0032113D">
      <w:pPr>
        <w:pStyle w:val="TableName"/>
      </w:pPr>
      <w:bookmarkStart w:id="19" w:name="_Toc444512690"/>
      <w:r w:rsidRPr="003A2D00">
        <w:t>Table </w:t>
      </w:r>
      <w:r w:rsidR="008704A6" w:rsidRPr="003A2D00">
        <w:t>1</w:t>
      </w:r>
      <w:r w:rsidRPr="003A2D00">
        <w:tab/>
        <w:t>Summary of antimicrobial resistance for priority organisms, 2014</w:t>
      </w:r>
      <w:bookmarkEnd w:id="19"/>
    </w:p>
    <w:tbl>
      <w:tblPr>
        <w:tblStyle w:val="TableGrid"/>
        <w:tblW w:w="5090" w:type="pct"/>
        <w:tblLayout w:type="fixed"/>
        <w:tblLook w:val="04A0" w:firstRow="1" w:lastRow="0" w:firstColumn="1" w:lastColumn="0" w:noHBand="0" w:noVBand="1"/>
      </w:tblPr>
      <w:tblGrid>
        <w:gridCol w:w="1698"/>
        <w:gridCol w:w="2948"/>
        <w:gridCol w:w="1319"/>
        <w:gridCol w:w="3443"/>
      </w:tblGrid>
      <w:tr w:rsidR="008704A6" w:rsidRPr="003A2D00" w14:paraId="7E2F2829" w14:textId="77777777" w:rsidTr="00086A8D">
        <w:trPr>
          <w:cantSplit/>
          <w:tblHeader/>
        </w:trPr>
        <w:tc>
          <w:tcPr>
            <w:tcW w:w="902" w:type="pct"/>
          </w:tcPr>
          <w:p w14:paraId="37FB0D84" w14:textId="77777777" w:rsidR="008704A6" w:rsidRPr="003A2D00" w:rsidRDefault="008704A6" w:rsidP="0054243F">
            <w:pPr>
              <w:pStyle w:val="TableHeading"/>
              <w:keepNext w:val="0"/>
            </w:pPr>
            <w:r w:rsidRPr="003A2D00">
              <w:t>Organism</w:t>
            </w:r>
          </w:p>
        </w:tc>
        <w:tc>
          <w:tcPr>
            <w:tcW w:w="1567" w:type="pct"/>
          </w:tcPr>
          <w:p w14:paraId="35426030" w14:textId="77777777" w:rsidR="008704A6" w:rsidRPr="003A2D00" w:rsidRDefault="008704A6" w:rsidP="0054243F">
            <w:pPr>
              <w:pStyle w:val="TableHeading"/>
              <w:keepNext w:val="0"/>
            </w:pPr>
            <w:r w:rsidRPr="003A2D00">
              <w:t>Main types of infection</w:t>
            </w:r>
          </w:p>
        </w:tc>
        <w:tc>
          <w:tcPr>
            <w:tcW w:w="701" w:type="pct"/>
          </w:tcPr>
          <w:p w14:paraId="4E70E61B" w14:textId="77777777" w:rsidR="008704A6" w:rsidRPr="003A2D00" w:rsidRDefault="008704A6" w:rsidP="0054243F">
            <w:pPr>
              <w:pStyle w:val="TableHeading"/>
              <w:keepNext w:val="0"/>
            </w:pPr>
            <w:r w:rsidRPr="003A2D00">
              <w:t>Where seen</w:t>
            </w:r>
          </w:p>
        </w:tc>
        <w:tc>
          <w:tcPr>
            <w:tcW w:w="1830" w:type="pct"/>
          </w:tcPr>
          <w:p w14:paraId="5C387D63" w14:textId="77777777" w:rsidR="008704A6" w:rsidRPr="003A2D00" w:rsidRDefault="008704A6" w:rsidP="0054243F">
            <w:pPr>
              <w:pStyle w:val="TableHeading"/>
              <w:keepNext w:val="0"/>
            </w:pPr>
            <w:r w:rsidRPr="003A2D00">
              <w:t>Important antimicrobials for treatment and % resistant, 2014</w:t>
            </w:r>
          </w:p>
        </w:tc>
      </w:tr>
      <w:tr w:rsidR="008704A6" w:rsidRPr="003A2D00" w14:paraId="0C095BD2" w14:textId="77777777" w:rsidTr="00086A8D">
        <w:trPr>
          <w:cantSplit/>
        </w:trPr>
        <w:tc>
          <w:tcPr>
            <w:tcW w:w="902" w:type="pct"/>
          </w:tcPr>
          <w:p w14:paraId="7224ADFE" w14:textId="77777777" w:rsidR="008704A6" w:rsidRPr="003A2D00" w:rsidRDefault="008704A6" w:rsidP="0054243F">
            <w:pPr>
              <w:pStyle w:val="TableText"/>
              <w:keepNext w:val="0"/>
              <w:rPr>
                <w:rStyle w:val="Emphasis"/>
              </w:rPr>
            </w:pPr>
            <w:proofErr w:type="spellStart"/>
            <w:r w:rsidRPr="003A2D00">
              <w:rPr>
                <w:rStyle w:val="Emphasis"/>
              </w:rPr>
              <w:t>Acinetobacter</w:t>
            </w:r>
            <w:proofErr w:type="spellEnd"/>
            <w:r w:rsidRPr="003A2D00">
              <w:rPr>
                <w:rStyle w:val="Emphasis"/>
              </w:rPr>
              <w:t xml:space="preserve"> </w:t>
            </w:r>
            <w:proofErr w:type="spellStart"/>
            <w:r w:rsidRPr="003A2D00">
              <w:rPr>
                <w:rStyle w:val="Emphasis"/>
              </w:rPr>
              <w:t>baumannii</w:t>
            </w:r>
            <w:proofErr w:type="spellEnd"/>
          </w:p>
        </w:tc>
        <w:tc>
          <w:tcPr>
            <w:tcW w:w="1567" w:type="pct"/>
          </w:tcPr>
          <w:p w14:paraId="0433E848" w14:textId="77777777" w:rsidR="008704A6" w:rsidRPr="003A2D00" w:rsidRDefault="008704A6" w:rsidP="0054243F">
            <w:pPr>
              <w:pStyle w:val="TableText"/>
              <w:keepNext w:val="0"/>
            </w:pPr>
            <w:r w:rsidRPr="003A2D00">
              <w:t>Ventilator-associated pneumonia, severe burn infections</w:t>
            </w:r>
          </w:p>
        </w:tc>
        <w:tc>
          <w:tcPr>
            <w:tcW w:w="701" w:type="pct"/>
          </w:tcPr>
          <w:p w14:paraId="5662C123" w14:textId="77777777" w:rsidR="008704A6" w:rsidRPr="003A2D00" w:rsidRDefault="008704A6" w:rsidP="0054243F">
            <w:pPr>
              <w:pStyle w:val="TableText"/>
              <w:keepNext w:val="0"/>
            </w:pPr>
            <w:r w:rsidRPr="003A2D00">
              <w:t>Intensive care units, burns units</w:t>
            </w:r>
          </w:p>
        </w:tc>
        <w:tc>
          <w:tcPr>
            <w:tcW w:w="1830" w:type="pct"/>
          </w:tcPr>
          <w:p w14:paraId="25983149" w14:textId="77777777" w:rsidR="008704A6" w:rsidRPr="003A2D00" w:rsidRDefault="008704A6" w:rsidP="0054243F">
            <w:pPr>
              <w:pStyle w:val="TableBullet"/>
              <w:keepNext w:val="0"/>
            </w:pPr>
            <w:r w:rsidRPr="003A2D00">
              <w:t>Ciprofloxacin: 4.1</w:t>
            </w:r>
          </w:p>
          <w:p w14:paraId="5AA781A1" w14:textId="77777777" w:rsidR="008704A6" w:rsidRPr="003A2D00" w:rsidRDefault="008704A6" w:rsidP="0054243F">
            <w:pPr>
              <w:pStyle w:val="TableBullet"/>
              <w:keepNext w:val="0"/>
            </w:pPr>
            <w:r w:rsidRPr="003A2D00">
              <w:t>Gentamicin: 2.4</w:t>
            </w:r>
          </w:p>
          <w:p w14:paraId="6724DB99" w14:textId="77777777" w:rsidR="008704A6" w:rsidRPr="003A2D00" w:rsidRDefault="008704A6" w:rsidP="0054243F">
            <w:pPr>
              <w:pStyle w:val="TableBullet"/>
              <w:keepNext w:val="0"/>
            </w:pPr>
            <w:r w:rsidRPr="003A2D00">
              <w:t>Meropenem: 3.6</w:t>
            </w:r>
          </w:p>
        </w:tc>
      </w:tr>
      <w:tr w:rsidR="008704A6" w:rsidRPr="003A2D00" w14:paraId="42CDBE0C" w14:textId="77777777" w:rsidTr="00086A8D">
        <w:trPr>
          <w:cantSplit/>
        </w:trPr>
        <w:tc>
          <w:tcPr>
            <w:tcW w:w="902" w:type="pct"/>
          </w:tcPr>
          <w:p w14:paraId="5E143598" w14:textId="77777777" w:rsidR="008704A6" w:rsidRPr="003A2D00" w:rsidRDefault="008704A6" w:rsidP="0054243F">
            <w:pPr>
              <w:pStyle w:val="TableText"/>
              <w:keepNext w:val="0"/>
              <w:rPr>
                <w:rStyle w:val="Emphasis"/>
              </w:rPr>
            </w:pPr>
            <w:r w:rsidRPr="003A2D00">
              <w:rPr>
                <w:rStyle w:val="Emphasis"/>
              </w:rPr>
              <w:t>Escherichia coli</w:t>
            </w:r>
          </w:p>
        </w:tc>
        <w:tc>
          <w:tcPr>
            <w:tcW w:w="1567" w:type="pct"/>
          </w:tcPr>
          <w:p w14:paraId="4858EBCC" w14:textId="77777777" w:rsidR="008704A6" w:rsidRPr="003A2D00" w:rsidRDefault="008704A6" w:rsidP="0054243F">
            <w:pPr>
              <w:pStyle w:val="TableText"/>
              <w:keepNext w:val="0"/>
            </w:pPr>
            <w:r w:rsidRPr="003A2D00">
              <w:t>Urinary tract infections, biliary tract infections, other intra-abdominal infections, septicaemia</w:t>
            </w:r>
          </w:p>
        </w:tc>
        <w:tc>
          <w:tcPr>
            <w:tcW w:w="701" w:type="pct"/>
          </w:tcPr>
          <w:p w14:paraId="165ADA50" w14:textId="77777777" w:rsidR="008704A6" w:rsidRPr="003A2D00" w:rsidRDefault="008704A6" w:rsidP="0054243F">
            <w:pPr>
              <w:pStyle w:val="TableText"/>
              <w:keepNext w:val="0"/>
            </w:pPr>
            <w:r w:rsidRPr="003A2D00">
              <w:t>Community, hospitals</w:t>
            </w:r>
          </w:p>
        </w:tc>
        <w:tc>
          <w:tcPr>
            <w:tcW w:w="1830" w:type="pct"/>
          </w:tcPr>
          <w:p w14:paraId="3675E370" w14:textId="77777777" w:rsidR="008704A6" w:rsidRPr="003A2D00" w:rsidRDefault="008704A6" w:rsidP="0054243F">
            <w:pPr>
              <w:pStyle w:val="TableBullet"/>
              <w:keepNext w:val="0"/>
            </w:pPr>
            <w:r w:rsidRPr="003A2D00">
              <w:t>Amoxicillin–clavulanate: 18.2–21.1</w:t>
            </w:r>
          </w:p>
          <w:p w14:paraId="63A31840" w14:textId="77777777" w:rsidR="008704A6" w:rsidRPr="003A2D00" w:rsidRDefault="008704A6" w:rsidP="0054243F">
            <w:pPr>
              <w:pStyle w:val="TableBullet"/>
              <w:keepNext w:val="0"/>
            </w:pPr>
            <w:r w:rsidRPr="003A2D00">
              <w:t>Ampicillin/amoxicillin: 42.3–51.3</w:t>
            </w:r>
          </w:p>
          <w:p w14:paraId="02E643EB" w14:textId="77777777" w:rsidR="008704A6" w:rsidRPr="003A2D00" w:rsidRDefault="008704A6" w:rsidP="0054243F">
            <w:pPr>
              <w:pStyle w:val="TableBullet"/>
              <w:keepNext w:val="0"/>
            </w:pPr>
            <w:proofErr w:type="spellStart"/>
            <w:r w:rsidRPr="003A2D00">
              <w:t>Cefazolin</w:t>
            </w:r>
            <w:proofErr w:type="spellEnd"/>
            <w:r w:rsidRPr="003A2D00">
              <w:t>: 15.2–25.0</w:t>
            </w:r>
          </w:p>
          <w:p w14:paraId="56C83ABA" w14:textId="77777777" w:rsidR="008704A6" w:rsidRPr="003A2D00" w:rsidRDefault="008704A6" w:rsidP="0054243F">
            <w:pPr>
              <w:pStyle w:val="TableBullet"/>
              <w:keepNext w:val="0"/>
            </w:pPr>
            <w:r w:rsidRPr="003A2D00">
              <w:t>Ceftriaxone: 5.1–12.4</w:t>
            </w:r>
          </w:p>
          <w:p w14:paraId="5A81DFCA" w14:textId="77777777" w:rsidR="008704A6" w:rsidRPr="003A2D00" w:rsidRDefault="008704A6" w:rsidP="0054243F">
            <w:pPr>
              <w:pStyle w:val="TableBullet"/>
              <w:keepNext w:val="0"/>
            </w:pPr>
            <w:r w:rsidRPr="003A2D00">
              <w:t>Ciprofloxacin: 6.2–8.7</w:t>
            </w:r>
          </w:p>
          <w:p w14:paraId="437340A5" w14:textId="77777777" w:rsidR="008704A6" w:rsidRPr="003A2D00" w:rsidRDefault="008704A6" w:rsidP="0054243F">
            <w:pPr>
              <w:pStyle w:val="TableBullet"/>
              <w:keepNext w:val="0"/>
            </w:pPr>
            <w:r w:rsidRPr="003A2D00">
              <w:t>Gentamicin: 4.5–7.0</w:t>
            </w:r>
          </w:p>
          <w:p w14:paraId="3783C1E0" w14:textId="77777777" w:rsidR="008704A6" w:rsidRPr="003A2D00" w:rsidRDefault="008704A6" w:rsidP="0054243F">
            <w:pPr>
              <w:pStyle w:val="TableBullet"/>
              <w:keepNext w:val="0"/>
            </w:pPr>
            <w:proofErr w:type="spellStart"/>
            <w:r w:rsidRPr="003A2D00">
              <w:t>Piperacillin</w:t>
            </w:r>
            <w:proofErr w:type="spellEnd"/>
            <w:r w:rsidRPr="003A2D00">
              <w:t>–</w:t>
            </w:r>
            <w:proofErr w:type="spellStart"/>
            <w:r w:rsidRPr="003A2D00">
              <w:t>tazobactam</w:t>
            </w:r>
            <w:proofErr w:type="spellEnd"/>
            <w:r w:rsidRPr="003A2D00">
              <w:t>: 5.3–9.4</w:t>
            </w:r>
          </w:p>
          <w:p w14:paraId="54B1703C" w14:textId="77777777" w:rsidR="008704A6" w:rsidRPr="003A2D00" w:rsidRDefault="008704A6" w:rsidP="0054243F">
            <w:pPr>
              <w:pStyle w:val="TableBullet"/>
              <w:keepNext w:val="0"/>
            </w:pPr>
            <w:r w:rsidRPr="003A2D00">
              <w:t>Trimethoprim: 21.0–29.4</w:t>
            </w:r>
          </w:p>
          <w:p w14:paraId="362BA10A" w14:textId="77777777" w:rsidR="008704A6" w:rsidRPr="003A2D00" w:rsidRDefault="008704A6" w:rsidP="0054243F">
            <w:pPr>
              <w:pStyle w:val="TableBullet"/>
              <w:keepNext w:val="0"/>
            </w:pPr>
            <w:r w:rsidRPr="003A2D00">
              <w:t>Multidrug resistant: 13.1</w:t>
            </w:r>
          </w:p>
        </w:tc>
      </w:tr>
      <w:tr w:rsidR="008704A6" w:rsidRPr="003A2D00" w14:paraId="24B93069" w14:textId="77777777" w:rsidTr="00086A8D">
        <w:trPr>
          <w:cantSplit/>
        </w:trPr>
        <w:tc>
          <w:tcPr>
            <w:tcW w:w="902" w:type="pct"/>
          </w:tcPr>
          <w:p w14:paraId="6A009BC9" w14:textId="77777777" w:rsidR="008704A6" w:rsidRPr="003A2D00" w:rsidRDefault="008704A6" w:rsidP="0054243F">
            <w:pPr>
              <w:pStyle w:val="TableText"/>
              <w:keepNext w:val="0"/>
              <w:rPr>
                <w:rStyle w:val="Emphasis"/>
              </w:rPr>
            </w:pPr>
            <w:r w:rsidRPr="003A2D00">
              <w:rPr>
                <w:rStyle w:val="Emphasis"/>
              </w:rPr>
              <w:t>Enterobacter cloacae</w:t>
            </w:r>
          </w:p>
        </w:tc>
        <w:tc>
          <w:tcPr>
            <w:tcW w:w="1567" w:type="pct"/>
          </w:tcPr>
          <w:p w14:paraId="34656E86" w14:textId="77777777" w:rsidR="008704A6" w:rsidRPr="003A2D00" w:rsidRDefault="008704A6" w:rsidP="0054243F">
            <w:pPr>
              <w:pStyle w:val="TableText"/>
              <w:keepNext w:val="0"/>
            </w:pPr>
            <w:r w:rsidRPr="003A2D00">
              <w:t>Urinary tract infections, other intra-abdominal infections, septicaemia</w:t>
            </w:r>
          </w:p>
        </w:tc>
        <w:tc>
          <w:tcPr>
            <w:tcW w:w="701" w:type="pct"/>
          </w:tcPr>
          <w:p w14:paraId="324DD1DD" w14:textId="77777777" w:rsidR="008704A6" w:rsidRPr="003A2D00" w:rsidRDefault="008704A6" w:rsidP="0054243F">
            <w:pPr>
              <w:pStyle w:val="TableText"/>
              <w:keepNext w:val="0"/>
            </w:pPr>
            <w:r w:rsidRPr="003A2D00">
              <w:t>Hospitals</w:t>
            </w:r>
          </w:p>
        </w:tc>
        <w:tc>
          <w:tcPr>
            <w:tcW w:w="1830" w:type="pct"/>
          </w:tcPr>
          <w:p w14:paraId="6E78D430" w14:textId="77777777" w:rsidR="008704A6" w:rsidRPr="003A2D00" w:rsidRDefault="008704A6" w:rsidP="0054243F">
            <w:pPr>
              <w:pStyle w:val="TableBullet"/>
              <w:keepNext w:val="0"/>
            </w:pPr>
            <w:r w:rsidRPr="003A2D00">
              <w:t>Ceftriaxone: 23.8–28.5</w:t>
            </w:r>
          </w:p>
          <w:p w14:paraId="2C712B87" w14:textId="77777777" w:rsidR="008704A6" w:rsidRPr="003A2D00" w:rsidRDefault="008704A6" w:rsidP="0054243F">
            <w:pPr>
              <w:pStyle w:val="TableBullet"/>
              <w:keepNext w:val="0"/>
            </w:pPr>
            <w:proofErr w:type="spellStart"/>
            <w:r w:rsidRPr="003A2D00">
              <w:t>Piperacillin</w:t>
            </w:r>
            <w:proofErr w:type="spellEnd"/>
            <w:r w:rsidRPr="003A2D00">
              <w:t>–</w:t>
            </w:r>
            <w:proofErr w:type="spellStart"/>
            <w:r w:rsidRPr="003A2D00">
              <w:t>tazobactam</w:t>
            </w:r>
            <w:proofErr w:type="spellEnd"/>
            <w:r w:rsidRPr="003A2D00">
              <w:t>: 24.3–32.2</w:t>
            </w:r>
          </w:p>
          <w:p w14:paraId="0C9F97B6" w14:textId="77777777" w:rsidR="008704A6" w:rsidRPr="003A2D00" w:rsidRDefault="008704A6" w:rsidP="0054243F">
            <w:pPr>
              <w:pStyle w:val="TableBullet"/>
              <w:keepNext w:val="0"/>
            </w:pPr>
            <w:r w:rsidRPr="003A2D00">
              <w:t>Trimethoprim: 18.3–21.3</w:t>
            </w:r>
          </w:p>
          <w:p w14:paraId="618BE766" w14:textId="77777777" w:rsidR="008704A6" w:rsidRPr="003A2D00" w:rsidRDefault="008704A6" w:rsidP="0054243F">
            <w:pPr>
              <w:pStyle w:val="TableBullet"/>
              <w:keepNext w:val="0"/>
            </w:pPr>
            <w:r w:rsidRPr="003A2D00">
              <w:t>Gentamicin: 7.2–7.8</w:t>
            </w:r>
          </w:p>
          <w:p w14:paraId="4F391C6E" w14:textId="77777777" w:rsidR="008704A6" w:rsidRPr="003A2D00" w:rsidRDefault="008704A6" w:rsidP="0054243F">
            <w:pPr>
              <w:pStyle w:val="TableBullet"/>
              <w:keepNext w:val="0"/>
            </w:pPr>
            <w:r w:rsidRPr="003A2D00">
              <w:t>Ciprofloxacin: 3.7–5.2</w:t>
            </w:r>
          </w:p>
          <w:p w14:paraId="5D0482C6" w14:textId="77777777" w:rsidR="008704A6" w:rsidRPr="003A2D00" w:rsidRDefault="008704A6" w:rsidP="0054243F">
            <w:pPr>
              <w:pStyle w:val="TableBullet"/>
              <w:keepNext w:val="0"/>
            </w:pPr>
            <w:r w:rsidRPr="003A2D00">
              <w:t>Meropenem: 1.1–2.6</w:t>
            </w:r>
          </w:p>
          <w:p w14:paraId="1119C577" w14:textId="77777777" w:rsidR="008704A6" w:rsidRPr="003A2D00" w:rsidRDefault="008704A6" w:rsidP="0054243F">
            <w:pPr>
              <w:pStyle w:val="TableBullet"/>
              <w:keepNext w:val="0"/>
            </w:pPr>
            <w:r w:rsidRPr="003A2D00">
              <w:t>Multidrug resistant: 13.4</w:t>
            </w:r>
          </w:p>
        </w:tc>
      </w:tr>
      <w:tr w:rsidR="008704A6" w:rsidRPr="003A2D00" w14:paraId="6B6209CB" w14:textId="77777777" w:rsidTr="00086A8D">
        <w:trPr>
          <w:cantSplit/>
        </w:trPr>
        <w:tc>
          <w:tcPr>
            <w:tcW w:w="902" w:type="pct"/>
          </w:tcPr>
          <w:p w14:paraId="6F82FF3D" w14:textId="77777777" w:rsidR="008704A6" w:rsidRPr="003A2D00" w:rsidRDefault="008704A6" w:rsidP="0054243F">
            <w:pPr>
              <w:pStyle w:val="TableText"/>
              <w:keepNext w:val="0"/>
              <w:rPr>
                <w:rStyle w:val="Emphasis"/>
              </w:rPr>
            </w:pPr>
            <w:r w:rsidRPr="003A2D00">
              <w:rPr>
                <w:rStyle w:val="Emphasis"/>
              </w:rPr>
              <w:t xml:space="preserve">Enterococcus </w:t>
            </w:r>
            <w:proofErr w:type="spellStart"/>
            <w:r w:rsidRPr="003A2D00">
              <w:rPr>
                <w:rStyle w:val="Emphasis"/>
              </w:rPr>
              <w:t>faecalis</w:t>
            </w:r>
            <w:proofErr w:type="spellEnd"/>
          </w:p>
        </w:tc>
        <w:tc>
          <w:tcPr>
            <w:tcW w:w="1567" w:type="pct"/>
          </w:tcPr>
          <w:p w14:paraId="0F86B1DC" w14:textId="77777777" w:rsidR="008704A6" w:rsidRPr="003A2D00" w:rsidRDefault="008704A6" w:rsidP="0054243F">
            <w:pPr>
              <w:pStyle w:val="TableText"/>
              <w:keepNext w:val="0"/>
            </w:pPr>
            <w:r w:rsidRPr="003A2D00">
              <w:t>Urinary tract infections, biliary tract infections, other intra-abdominal infections, septicaemia, endocarditis (heart valve infections)</w:t>
            </w:r>
          </w:p>
        </w:tc>
        <w:tc>
          <w:tcPr>
            <w:tcW w:w="701" w:type="pct"/>
          </w:tcPr>
          <w:p w14:paraId="3D621193" w14:textId="77777777" w:rsidR="008704A6" w:rsidRPr="003A2D00" w:rsidRDefault="008704A6" w:rsidP="0054243F">
            <w:pPr>
              <w:pStyle w:val="TableText"/>
              <w:keepNext w:val="0"/>
            </w:pPr>
            <w:r w:rsidRPr="003A2D00">
              <w:t>Community, hospitals</w:t>
            </w:r>
          </w:p>
        </w:tc>
        <w:tc>
          <w:tcPr>
            <w:tcW w:w="1830" w:type="pct"/>
          </w:tcPr>
          <w:p w14:paraId="76490745" w14:textId="77777777" w:rsidR="008704A6" w:rsidRPr="003A2D00" w:rsidRDefault="008704A6" w:rsidP="0054243F">
            <w:pPr>
              <w:pStyle w:val="TableBullet"/>
              <w:keepNext w:val="0"/>
            </w:pPr>
            <w:r w:rsidRPr="003A2D00">
              <w:t>Ampicillin: 0.3–0.6</w:t>
            </w:r>
          </w:p>
          <w:p w14:paraId="6AA8DE38" w14:textId="77777777" w:rsidR="008704A6" w:rsidRPr="003A2D00" w:rsidRDefault="008704A6" w:rsidP="0054243F">
            <w:pPr>
              <w:pStyle w:val="TableBullet"/>
              <w:keepNext w:val="0"/>
            </w:pPr>
            <w:r w:rsidRPr="003A2D00">
              <w:t>Vancomycin: 0.3–0.4</w:t>
            </w:r>
          </w:p>
        </w:tc>
      </w:tr>
      <w:tr w:rsidR="008704A6" w:rsidRPr="003A2D00" w14:paraId="2D9F7DA9" w14:textId="77777777" w:rsidTr="00086A8D">
        <w:trPr>
          <w:cantSplit/>
        </w:trPr>
        <w:tc>
          <w:tcPr>
            <w:tcW w:w="902" w:type="pct"/>
          </w:tcPr>
          <w:p w14:paraId="2B1EAFD3" w14:textId="77777777" w:rsidR="008704A6" w:rsidRPr="003A2D00" w:rsidRDefault="008704A6" w:rsidP="0054243F">
            <w:pPr>
              <w:pStyle w:val="TableText"/>
              <w:keepNext w:val="0"/>
              <w:rPr>
                <w:rStyle w:val="Emphasis"/>
              </w:rPr>
            </w:pPr>
            <w:r w:rsidRPr="003A2D00">
              <w:rPr>
                <w:rStyle w:val="Emphasis"/>
              </w:rPr>
              <w:t xml:space="preserve">Enterococcus </w:t>
            </w:r>
            <w:proofErr w:type="spellStart"/>
            <w:r w:rsidRPr="003A2D00">
              <w:rPr>
                <w:rStyle w:val="Emphasis"/>
              </w:rPr>
              <w:t>faecium</w:t>
            </w:r>
            <w:proofErr w:type="spellEnd"/>
          </w:p>
        </w:tc>
        <w:tc>
          <w:tcPr>
            <w:tcW w:w="1567" w:type="pct"/>
          </w:tcPr>
          <w:p w14:paraId="534C0DE3" w14:textId="77777777" w:rsidR="008704A6" w:rsidRPr="003A2D00" w:rsidRDefault="008704A6" w:rsidP="0054243F">
            <w:pPr>
              <w:pStyle w:val="TableText"/>
              <w:keepNext w:val="0"/>
            </w:pPr>
            <w:r w:rsidRPr="003A2D00">
              <w:t>Urinary tract infections, biliary tract infections, other intra-abdominal infections, septicaemia</w:t>
            </w:r>
          </w:p>
        </w:tc>
        <w:tc>
          <w:tcPr>
            <w:tcW w:w="701" w:type="pct"/>
          </w:tcPr>
          <w:p w14:paraId="27BDAE4F" w14:textId="77777777" w:rsidR="008704A6" w:rsidRPr="003A2D00" w:rsidRDefault="008704A6" w:rsidP="0054243F">
            <w:pPr>
              <w:pStyle w:val="TableText"/>
              <w:keepNext w:val="0"/>
            </w:pPr>
            <w:r w:rsidRPr="003A2D00">
              <w:t>Hospitals</w:t>
            </w:r>
          </w:p>
        </w:tc>
        <w:tc>
          <w:tcPr>
            <w:tcW w:w="1830" w:type="pct"/>
          </w:tcPr>
          <w:p w14:paraId="32D4D54E" w14:textId="77777777" w:rsidR="008704A6" w:rsidRPr="003A2D00" w:rsidRDefault="008704A6" w:rsidP="0054243F">
            <w:pPr>
              <w:pStyle w:val="TableBullet"/>
              <w:keepNext w:val="0"/>
            </w:pPr>
            <w:r w:rsidRPr="003A2D00">
              <w:t>Ampicillin: 83.3–94.5</w:t>
            </w:r>
          </w:p>
          <w:p w14:paraId="2A07EB8D" w14:textId="77777777" w:rsidR="008704A6" w:rsidRPr="003A2D00" w:rsidRDefault="008704A6" w:rsidP="0054243F">
            <w:pPr>
              <w:pStyle w:val="TableBullet"/>
              <w:keepNext w:val="0"/>
            </w:pPr>
            <w:r w:rsidRPr="003A2D00">
              <w:t>Linezolid: 0.2–1.1</w:t>
            </w:r>
          </w:p>
          <w:p w14:paraId="0CE44E60" w14:textId="77777777" w:rsidR="008704A6" w:rsidRPr="003A2D00" w:rsidRDefault="008704A6" w:rsidP="0054243F">
            <w:pPr>
              <w:pStyle w:val="TableBullet"/>
              <w:keepNext w:val="0"/>
            </w:pPr>
            <w:r w:rsidRPr="003A2D00">
              <w:t>Vancomycin: 45.7–49.9</w:t>
            </w:r>
          </w:p>
        </w:tc>
      </w:tr>
      <w:tr w:rsidR="008704A6" w:rsidRPr="003A2D00" w14:paraId="799CFEC2" w14:textId="77777777" w:rsidTr="00086A8D">
        <w:trPr>
          <w:cantSplit/>
        </w:trPr>
        <w:tc>
          <w:tcPr>
            <w:tcW w:w="902" w:type="pct"/>
          </w:tcPr>
          <w:p w14:paraId="5AA48C7E" w14:textId="77777777" w:rsidR="008704A6" w:rsidRPr="003A2D00" w:rsidRDefault="008704A6" w:rsidP="0054243F">
            <w:pPr>
              <w:pStyle w:val="TableText"/>
              <w:keepNext w:val="0"/>
              <w:rPr>
                <w:rStyle w:val="Emphasis"/>
              </w:rPr>
            </w:pPr>
            <w:proofErr w:type="spellStart"/>
            <w:r w:rsidRPr="003A2D00">
              <w:rPr>
                <w:rStyle w:val="Emphasis"/>
              </w:rPr>
              <w:t>Klebsiella</w:t>
            </w:r>
            <w:proofErr w:type="spellEnd"/>
            <w:r w:rsidRPr="003A2D00">
              <w:rPr>
                <w:rStyle w:val="Emphasis"/>
              </w:rPr>
              <w:t xml:space="preserve"> pneumoniae</w:t>
            </w:r>
          </w:p>
        </w:tc>
        <w:tc>
          <w:tcPr>
            <w:tcW w:w="1567" w:type="pct"/>
          </w:tcPr>
          <w:p w14:paraId="75AE9E47" w14:textId="77777777" w:rsidR="008704A6" w:rsidRPr="003A2D00" w:rsidRDefault="008704A6" w:rsidP="0054243F">
            <w:pPr>
              <w:pStyle w:val="TableText"/>
              <w:keepNext w:val="0"/>
            </w:pPr>
            <w:r w:rsidRPr="003A2D00">
              <w:t>Urinary tract infections, other intra-abdominal infections, septicaemia</w:t>
            </w:r>
          </w:p>
        </w:tc>
        <w:tc>
          <w:tcPr>
            <w:tcW w:w="701" w:type="pct"/>
          </w:tcPr>
          <w:p w14:paraId="46FB0832" w14:textId="77777777" w:rsidR="008704A6" w:rsidRPr="003A2D00" w:rsidRDefault="008704A6" w:rsidP="0054243F">
            <w:pPr>
              <w:pStyle w:val="TableText"/>
              <w:keepNext w:val="0"/>
            </w:pPr>
            <w:r w:rsidRPr="003A2D00">
              <w:t>Community</w:t>
            </w:r>
          </w:p>
        </w:tc>
        <w:tc>
          <w:tcPr>
            <w:tcW w:w="1830" w:type="pct"/>
          </w:tcPr>
          <w:p w14:paraId="2776507D" w14:textId="77777777" w:rsidR="008704A6" w:rsidRPr="003A2D00" w:rsidRDefault="008704A6" w:rsidP="0054243F">
            <w:pPr>
              <w:pStyle w:val="TableBullet"/>
              <w:keepNext w:val="0"/>
            </w:pPr>
            <w:r w:rsidRPr="003A2D00">
              <w:t>Amoxicillin–clavulanate: 6.2–9.4</w:t>
            </w:r>
          </w:p>
          <w:p w14:paraId="00FA9B96" w14:textId="77777777" w:rsidR="008704A6" w:rsidRPr="003A2D00" w:rsidRDefault="008704A6" w:rsidP="0054243F">
            <w:pPr>
              <w:pStyle w:val="TableBullet"/>
              <w:keepNext w:val="0"/>
            </w:pPr>
            <w:r w:rsidRPr="003A2D00">
              <w:t>Ceftriaxone: 4.3–6.6</w:t>
            </w:r>
          </w:p>
          <w:p w14:paraId="292F8A9B" w14:textId="77777777" w:rsidR="008704A6" w:rsidRPr="003A2D00" w:rsidRDefault="008704A6" w:rsidP="0054243F">
            <w:pPr>
              <w:pStyle w:val="TableBullet"/>
              <w:keepNext w:val="0"/>
            </w:pPr>
            <w:r w:rsidRPr="003A2D00">
              <w:t>Ciprofloxacin: 4.5–6.2</w:t>
            </w:r>
          </w:p>
          <w:p w14:paraId="1FE5303B" w14:textId="77777777" w:rsidR="008704A6" w:rsidRPr="003A2D00" w:rsidRDefault="008704A6" w:rsidP="0054243F">
            <w:pPr>
              <w:pStyle w:val="TableBullet"/>
              <w:keepNext w:val="0"/>
            </w:pPr>
            <w:r w:rsidRPr="003A2D00">
              <w:t>Gentamicin: 3.1–4.9</w:t>
            </w:r>
          </w:p>
          <w:p w14:paraId="36781732" w14:textId="77777777" w:rsidR="008704A6" w:rsidRPr="003A2D00" w:rsidRDefault="008704A6" w:rsidP="0054243F">
            <w:pPr>
              <w:pStyle w:val="TableBullet"/>
              <w:keepNext w:val="0"/>
            </w:pPr>
            <w:proofErr w:type="spellStart"/>
            <w:r w:rsidRPr="003A2D00">
              <w:t>Piperacillin</w:t>
            </w:r>
            <w:proofErr w:type="spellEnd"/>
            <w:r w:rsidRPr="003A2D00">
              <w:t>–</w:t>
            </w:r>
            <w:proofErr w:type="spellStart"/>
            <w:r w:rsidRPr="003A2D00">
              <w:t>tazobactam</w:t>
            </w:r>
            <w:proofErr w:type="spellEnd"/>
            <w:r w:rsidRPr="003A2D00">
              <w:t>: 7.6–8.9</w:t>
            </w:r>
          </w:p>
          <w:p w14:paraId="381EAD7F" w14:textId="77777777" w:rsidR="008704A6" w:rsidRPr="003A2D00" w:rsidRDefault="008704A6" w:rsidP="0054243F">
            <w:pPr>
              <w:pStyle w:val="TableBullet"/>
              <w:keepNext w:val="0"/>
            </w:pPr>
            <w:r w:rsidRPr="003A2D00">
              <w:t>Trimethoprim: 12.3–16.6</w:t>
            </w:r>
          </w:p>
          <w:p w14:paraId="0BF2B882" w14:textId="77777777" w:rsidR="008704A6" w:rsidRPr="003A2D00" w:rsidRDefault="008704A6" w:rsidP="0054243F">
            <w:pPr>
              <w:pStyle w:val="TableBullet"/>
              <w:keepNext w:val="0"/>
            </w:pPr>
            <w:r w:rsidRPr="003A2D00">
              <w:t>Multidrug resistant: 9.0</w:t>
            </w:r>
          </w:p>
        </w:tc>
      </w:tr>
      <w:tr w:rsidR="008704A6" w:rsidRPr="003A2D00" w14:paraId="5E1FA78A" w14:textId="77777777" w:rsidTr="00086A8D">
        <w:trPr>
          <w:cantSplit/>
        </w:trPr>
        <w:tc>
          <w:tcPr>
            <w:tcW w:w="902" w:type="pct"/>
          </w:tcPr>
          <w:p w14:paraId="16E646C6" w14:textId="77777777" w:rsidR="008704A6" w:rsidRPr="003A2D00" w:rsidRDefault="008704A6" w:rsidP="0054243F">
            <w:pPr>
              <w:pStyle w:val="TableText"/>
              <w:keepNext w:val="0"/>
              <w:rPr>
                <w:rStyle w:val="Emphasis"/>
              </w:rPr>
            </w:pPr>
            <w:r w:rsidRPr="003A2D00">
              <w:rPr>
                <w:rStyle w:val="Emphasis"/>
              </w:rPr>
              <w:lastRenderedPageBreak/>
              <w:t>Mycobacterium tuberculosis</w:t>
            </w:r>
          </w:p>
        </w:tc>
        <w:tc>
          <w:tcPr>
            <w:tcW w:w="1567" w:type="pct"/>
          </w:tcPr>
          <w:p w14:paraId="1B35DBCB" w14:textId="77777777" w:rsidR="008704A6" w:rsidRPr="003A2D00" w:rsidRDefault="008704A6" w:rsidP="0054243F">
            <w:pPr>
              <w:pStyle w:val="TableText"/>
              <w:keepNext w:val="0"/>
            </w:pPr>
            <w:r w:rsidRPr="003A2D00">
              <w:t xml:space="preserve">Pulmonary tuberculosis, </w:t>
            </w:r>
            <w:proofErr w:type="spellStart"/>
            <w:r w:rsidRPr="003A2D00">
              <w:t>extrapulmonary</w:t>
            </w:r>
            <w:proofErr w:type="spellEnd"/>
            <w:r w:rsidRPr="003A2D00">
              <w:t xml:space="preserve"> tuberculosis</w:t>
            </w:r>
          </w:p>
        </w:tc>
        <w:tc>
          <w:tcPr>
            <w:tcW w:w="701" w:type="pct"/>
          </w:tcPr>
          <w:p w14:paraId="7C3DC79F" w14:textId="77777777" w:rsidR="008704A6" w:rsidRPr="003A2D00" w:rsidRDefault="008704A6" w:rsidP="0054243F">
            <w:pPr>
              <w:pStyle w:val="TableText"/>
              <w:keepNext w:val="0"/>
            </w:pPr>
            <w:r w:rsidRPr="003A2D00">
              <w:t>Community</w:t>
            </w:r>
          </w:p>
        </w:tc>
        <w:tc>
          <w:tcPr>
            <w:tcW w:w="1830" w:type="pct"/>
          </w:tcPr>
          <w:p w14:paraId="69200689" w14:textId="77777777" w:rsidR="008704A6" w:rsidRPr="003A2D00" w:rsidRDefault="008704A6" w:rsidP="0054243F">
            <w:pPr>
              <w:pStyle w:val="TableBullet"/>
              <w:keepNext w:val="0"/>
            </w:pPr>
            <w:proofErr w:type="spellStart"/>
            <w:r w:rsidRPr="003A2D00">
              <w:t>Ethambutol</w:t>
            </w:r>
            <w:proofErr w:type="spellEnd"/>
            <w:r w:rsidRPr="003A2D00">
              <w:t>: 1.2</w:t>
            </w:r>
          </w:p>
          <w:p w14:paraId="0CA7A5A4" w14:textId="77777777" w:rsidR="008704A6" w:rsidRPr="003A2D00" w:rsidRDefault="008704A6" w:rsidP="0054243F">
            <w:pPr>
              <w:pStyle w:val="TableBullet"/>
              <w:keepNext w:val="0"/>
            </w:pPr>
            <w:r w:rsidRPr="003A2D00">
              <w:t>Isoniazid: 8.5</w:t>
            </w:r>
          </w:p>
          <w:p w14:paraId="168A3F53" w14:textId="77777777" w:rsidR="008704A6" w:rsidRPr="003A2D00" w:rsidRDefault="008704A6" w:rsidP="0054243F">
            <w:pPr>
              <w:pStyle w:val="TableBullet"/>
              <w:keepNext w:val="0"/>
            </w:pPr>
            <w:r w:rsidRPr="003A2D00">
              <w:t>Pyrazinamide: 2.1</w:t>
            </w:r>
          </w:p>
          <w:p w14:paraId="50AC1636" w14:textId="77777777" w:rsidR="008704A6" w:rsidRPr="003A2D00" w:rsidRDefault="008704A6" w:rsidP="0054243F">
            <w:pPr>
              <w:pStyle w:val="TableBullet"/>
              <w:keepNext w:val="0"/>
            </w:pPr>
            <w:r w:rsidRPr="003A2D00">
              <w:t>Rifampicin: 2.4</w:t>
            </w:r>
          </w:p>
          <w:p w14:paraId="74DD0542" w14:textId="77777777" w:rsidR="008704A6" w:rsidRPr="003A2D00" w:rsidRDefault="008704A6" w:rsidP="0054243F">
            <w:pPr>
              <w:pStyle w:val="TableBullet"/>
              <w:keepNext w:val="0"/>
            </w:pPr>
            <w:r w:rsidRPr="003A2D00">
              <w:t>Multidrug resistant: 1.7</w:t>
            </w:r>
          </w:p>
        </w:tc>
      </w:tr>
      <w:tr w:rsidR="008704A6" w:rsidRPr="003A2D00" w14:paraId="68DCD412" w14:textId="77777777" w:rsidTr="00086A8D">
        <w:trPr>
          <w:cantSplit/>
        </w:trPr>
        <w:tc>
          <w:tcPr>
            <w:tcW w:w="902" w:type="pct"/>
          </w:tcPr>
          <w:p w14:paraId="7F6B4EFE" w14:textId="77777777" w:rsidR="008704A6" w:rsidRPr="003A2D00" w:rsidRDefault="008704A6" w:rsidP="0054243F">
            <w:pPr>
              <w:pStyle w:val="TableText"/>
              <w:keepNext w:val="0"/>
              <w:rPr>
                <w:rStyle w:val="Emphasis"/>
              </w:rPr>
            </w:pPr>
            <w:r w:rsidRPr="003A2D00">
              <w:rPr>
                <w:rStyle w:val="Emphasis"/>
              </w:rPr>
              <w:t>Neisseria gonorrhoeae</w:t>
            </w:r>
          </w:p>
        </w:tc>
        <w:tc>
          <w:tcPr>
            <w:tcW w:w="1567" w:type="pct"/>
          </w:tcPr>
          <w:p w14:paraId="52C25BC3" w14:textId="77777777" w:rsidR="008704A6" w:rsidRPr="003A2D00" w:rsidRDefault="008704A6" w:rsidP="0054243F">
            <w:pPr>
              <w:pStyle w:val="TableText"/>
              <w:keepNext w:val="0"/>
            </w:pPr>
            <w:r w:rsidRPr="003A2D00">
              <w:t>Gonorrhoea</w:t>
            </w:r>
          </w:p>
        </w:tc>
        <w:tc>
          <w:tcPr>
            <w:tcW w:w="701" w:type="pct"/>
          </w:tcPr>
          <w:p w14:paraId="05471A7D" w14:textId="77777777" w:rsidR="008704A6" w:rsidRPr="003A2D00" w:rsidRDefault="008704A6" w:rsidP="0054243F">
            <w:pPr>
              <w:pStyle w:val="TableText"/>
              <w:keepNext w:val="0"/>
            </w:pPr>
            <w:r w:rsidRPr="003A2D00">
              <w:t>Community</w:t>
            </w:r>
          </w:p>
        </w:tc>
        <w:tc>
          <w:tcPr>
            <w:tcW w:w="1830" w:type="pct"/>
          </w:tcPr>
          <w:p w14:paraId="13CFEE4D" w14:textId="77777777" w:rsidR="008704A6" w:rsidRPr="003A2D00" w:rsidRDefault="008704A6" w:rsidP="0054243F">
            <w:pPr>
              <w:pStyle w:val="TableBullet"/>
              <w:keepNext w:val="0"/>
            </w:pPr>
            <w:r w:rsidRPr="003A2D00">
              <w:t>Azithromycin: 2.5</w:t>
            </w:r>
          </w:p>
          <w:p w14:paraId="2AF5BEFD" w14:textId="77777777" w:rsidR="008704A6" w:rsidRPr="003A2D00" w:rsidRDefault="008704A6" w:rsidP="0054243F">
            <w:pPr>
              <w:pStyle w:val="TableBullet"/>
              <w:keepNext w:val="0"/>
            </w:pPr>
            <w:r w:rsidRPr="003A2D00">
              <w:t>Benzylpenicillin: 28.5</w:t>
            </w:r>
          </w:p>
          <w:p w14:paraId="30ACC089" w14:textId="77777777" w:rsidR="008704A6" w:rsidRPr="003A2D00" w:rsidRDefault="008704A6" w:rsidP="0054243F">
            <w:pPr>
              <w:pStyle w:val="TableBullet"/>
              <w:keepNext w:val="0"/>
            </w:pPr>
            <w:r w:rsidRPr="003A2D00">
              <w:t>Ceftriaxone: 5.4 (decreased susceptibility)</w:t>
            </w:r>
          </w:p>
          <w:p w14:paraId="6E630C54" w14:textId="77777777" w:rsidR="008704A6" w:rsidRPr="003A2D00" w:rsidRDefault="008704A6" w:rsidP="0054243F">
            <w:pPr>
              <w:pStyle w:val="TableBullet"/>
              <w:keepNext w:val="0"/>
            </w:pPr>
            <w:r w:rsidRPr="003A2D00">
              <w:t>Ciprofloxacin: 36.4</w:t>
            </w:r>
          </w:p>
        </w:tc>
      </w:tr>
      <w:tr w:rsidR="008704A6" w:rsidRPr="003A2D00" w14:paraId="3243667E" w14:textId="77777777" w:rsidTr="00086A8D">
        <w:trPr>
          <w:cantSplit/>
        </w:trPr>
        <w:tc>
          <w:tcPr>
            <w:tcW w:w="902" w:type="pct"/>
          </w:tcPr>
          <w:p w14:paraId="7AC0A38E" w14:textId="77777777" w:rsidR="008704A6" w:rsidRPr="003A2D00" w:rsidRDefault="008704A6" w:rsidP="0054243F">
            <w:pPr>
              <w:pStyle w:val="TableText"/>
              <w:keepNext w:val="0"/>
              <w:rPr>
                <w:rStyle w:val="Emphasis"/>
              </w:rPr>
            </w:pPr>
            <w:r w:rsidRPr="003A2D00">
              <w:rPr>
                <w:rStyle w:val="Emphasis"/>
              </w:rPr>
              <w:t>Neisseria meningitidis</w:t>
            </w:r>
          </w:p>
        </w:tc>
        <w:tc>
          <w:tcPr>
            <w:tcW w:w="1567" w:type="pct"/>
          </w:tcPr>
          <w:p w14:paraId="4B4F89CD" w14:textId="77777777" w:rsidR="008704A6" w:rsidRPr="003A2D00" w:rsidRDefault="008704A6" w:rsidP="0054243F">
            <w:pPr>
              <w:pStyle w:val="TableText"/>
              <w:keepNext w:val="0"/>
            </w:pPr>
            <w:r w:rsidRPr="003A2D00">
              <w:t>Septicaemia</w:t>
            </w:r>
          </w:p>
        </w:tc>
        <w:tc>
          <w:tcPr>
            <w:tcW w:w="701" w:type="pct"/>
          </w:tcPr>
          <w:p w14:paraId="45666A32" w14:textId="77777777" w:rsidR="008704A6" w:rsidRPr="003A2D00" w:rsidRDefault="008704A6" w:rsidP="0054243F">
            <w:pPr>
              <w:pStyle w:val="TableText"/>
              <w:keepNext w:val="0"/>
            </w:pPr>
            <w:r w:rsidRPr="003A2D00">
              <w:t>Community</w:t>
            </w:r>
          </w:p>
        </w:tc>
        <w:tc>
          <w:tcPr>
            <w:tcW w:w="1830" w:type="pct"/>
          </w:tcPr>
          <w:p w14:paraId="0504C926" w14:textId="77777777" w:rsidR="008704A6" w:rsidRPr="003A2D00" w:rsidRDefault="008704A6" w:rsidP="0054243F">
            <w:pPr>
              <w:pStyle w:val="TableBullet"/>
              <w:keepNext w:val="0"/>
            </w:pPr>
            <w:r w:rsidRPr="003A2D00">
              <w:t>Benzylpenicillin: 15.8 (decreased susceptibility)</w:t>
            </w:r>
          </w:p>
          <w:p w14:paraId="23A56723" w14:textId="77777777" w:rsidR="008704A6" w:rsidRPr="003A2D00" w:rsidRDefault="008704A6" w:rsidP="0054243F">
            <w:pPr>
              <w:pStyle w:val="TableBullet"/>
              <w:keepNext w:val="0"/>
            </w:pPr>
            <w:r w:rsidRPr="003A2D00">
              <w:t>Ceftriaxone: 0.0</w:t>
            </w:r>
          </w:p>
          <w:p w14:paraId="1B726343" w14:textId="77777777" w:rsidR="008704A6" w:rsidRPr="003A2D00" w:rsidRDefault="008704A6" w:rsidP="0054243F">
            <w:pPr>
              <w:pStyle w:val="TableBullet"/>
              <w:keepNext w:val="0"/>
            </w:pPr>
            <w:r w:rsidRPr="003A2D00">
              <w:t>Ciprofloxacin: 0.0</w:t>
            </w:r>
          </w:p>
          <w:p w14:paraId="0E56C800" w14:textId="77777777" w:rsidR="008704A6" w:rsidRPr="003A2D00" w:rsidRDefault="008704A6" w:rsidP="0054243F">
            <w:pPr>
              <w:pStyle w:val="TableBullet"/>
              <w:keepNext w:val="0"/>
            </w:pPr>
            <w:r w:rsidRPr="003A2D00">
              <w:t>Rifampicin: 2.1</w:t>
            </w:r>
          </w:p>
        </w:tc>
      </w:tr>
      <w:tr w:rsidR="008704A6" w:rsidRPr="003A2D00" w14:paraId="514DF368" w14:textId="77777777" w:rsidTr="00086A8D">
        <w:trPr>
          <w:cantSplit/>
        </w:trPr>
        <w:tc>
          <w:tcPr>
            <w:tcW w:w="902" w:type="pct"/>
          </w:tcPr>
          <w:p w14:paraId="5EBFB5FB" w14:textId="77777777" w:rsidR="008704A6" w:rsidRPr="003A2D00" w:rsidRDefault="008704A6" w:rsidP="0054243F">
            <w:pPr>
              <w:pStyle w:val="TableText"/>
              <w:keepNext w:val="0"/>
              <w:rPr>
                <w:rStyle w:val="Emphasis"/>
              </w:rPr>
            </w:pPr>
            <w:r w:rsidRPr="003A2D00">
              <w:rPr>
                <w:rStyle w:val="Emphasis"/>
              </w:rPr>
              <w:t xml:space="preserve">Pseudomonas </w:t>
            </w:r>
            <w:proofErr w:type="spellStart"/>
            <w:r w:rsidRPr="003A2D00">
              <w:rPr>
                <w:rStyle w:val="Emphasis"/>
              </w:rPr>
              <w:t>aeruginosa</w:t>
            </w:r>
            <w:proofErr w:type="spellEnd"/>
          </w:p>
        </w:tc>
        <w:tc>
          <w:tcPr>
            <w:tcW w:w="1567" w:type="pct"/>
          </w:tcPr>
          <w:p w14:paraId="7BB53F96" w14:textId="77777777" w:rsidR="008704A6" w:rsidRPr="003A2D00" w:rsidRDefault="008704A6" w:rsidP="0054243F">
            <w:pPr>
              <w:pStyle w:val="TableText"/>
              <w:keepNext w:val="0"/>
            </w:pPr>
            <w:r w:rsidRPr="003A2D00">
              <w:t>Urinary tract infections, burn infections, cystic fibrosis exacerbations</w:t>
            </w:r>
          </w:p>
        </w:tc>
        <w:tc>
          <w:tcPr>
            <w:tcW w:w="701" w:type="pct"/>
          </w:tcPr>
          <w:p w14:paraId="735562C9" w14:textId="77777777" w:rsidR="008704A6" w:rsidRPr="003A2D00" w:rsidRDefault="008704A6" w:rsidP="0054243F">
            <w:pPr>
              <w:pStyle w:val="TableText"/>
              <w:keepNext w:val="0"/>
            </w:pPr>
            <w:r w:rsidRPr="003A2D00">
              <w:t>Community, hospitals</w:t>
            </w:r>
          </w:p>
        </w:tc>
        <w:tc>
          <w:tcPr>
            <w:tcW w:w="1830" w:type="pct"/>
          </w:tcPr>
          <w:p w14:paraId="2DBBBE9E" w14:textId="77777777" w:rsidR="008704A6" w:rsidRPr="003A2D00" w:rsidRDefault="008704A6" w:rsidP="0054243F">
            <w:pPr>
              <w:pStyle w:val="TableBullet"/>
              <w:keepNext w:val="0"/>
            </w:pPr>
            <w:proofErr w:type="spellStart"/>
            <w:r w:rsidRPr="003A2D00">
              <w:t>Ceftazidime</w:t>
            </w:r>
            <w:proofErr w:type="spellEnd"/>
            <w:r w:rsidRPr="003A2D00">
              <w:t>: 4.5</w:t>
            </w:r>
          </w:p>
          <w:p w14:paraId="168C8825" w14:textId="77777777" w:rsidR="008704A6" w:rsidRPr="003A2D00" w:rsidRDefault="008704A6" w:rsidP="0054243F">
            <w:pPr>
              <w:pStyle w:val="TableBullet"/>
              <w:keepNext w:val="0"/>
            </w:pPr>
            <w:r w:rsidRPr="003A2D00">
              <w:t>Ciprofloxacin: 6.7</w:t>
            </w:r>
          </w:p>
          <w:p w14:paraId="284FB7A1" w14:textId="77777777" w:rsidR="008704A6" w:rsidRPr="003A2D00" w:rsidRDefault="008704A6" w:rsidP="0054243F">
            <w:pPr>
              <w:pStyle w:val="TableBullet"/>
              <w:keepNext w:val="0"/>
            </w:pPr>
            <w:r w:rsidRPr="003A2D00">
              <w:t>Gentamicin: 5.3</w:t>
            </w:r>
          </w:p>
          <w:p w14:paraId="15445A35" w14:textId="77777777" w:rsidR="008704A6" w:rsidRPr="003A2D00" w:rsidRDefault="008704A6" w:rsidP="0054243F">
            <w:pPr>
              <w:pStyle w:val="TableBullet"/>
              <w:keepNext w:val="0"/>
            </w:pPr>
            <w:r w:rsidRPr="003A2D00">
              <w:t>Meropenem: 4.0</w:t>
            </w:r>
          </w:p>
          <w:p w14:paraId="7A455800" w14:textId="77777777" w:rsidR="008704A6" w:rsidRPr="003A2D00" w:rsidRDefault="008704A6" w:rsidP="0054243F">
            <w:pPr>
              <w:pStyle w:val="TableBullet"/>
              <w:keepNext w:val="0"/>
            </w:pPr>
            <w:proofErr w:type="spellStart"/>
            <w:r w:rsidRPr="003A2D00">
              <w:t>Piperacillin</w:t>
            </w:r>
            <w:proofErr w:type="spellEnd"/>
            <w:r w:rsidRPr="003A2D00">
              <w:t>–</w:t>
            </w:r>
            <w:proofErr w:type="spellStart"/>
            <w:r w:rsidRPr="003A2D00">
              <w:t>tazobactam</w:t>
            </w:r>
            <w:proofErr w:type="spellEnd"/>
            <w:r w:rsidRPr="003A2D00">
              <w:t>: 10.3</w:t>
            </w:r>
          </w:p>
        </w:tc>
      </w:tr>
      <w:tr w:rsidR="008704A6" w:rsidRPr="003A2D00" w14:paraId="3A171ABF" w14:textId="77777777" w:rsidTr="00086A8D">
        <w:trPr>
          <w:cantSplit/>
        </w:trPr>
        <w:tc>
          <w:tcPr>
            <w:tcW w:w="902" w:type="pct"/>
          </w:tcPr>
          <w:p w14:paraId="367FBCEA" w14:textId="77777777" w:rsidR="008704A6" w:rsidRPr="003A2D00" w:rsidRDefault="008704A6" w:rsidP="0054243F">
            <w:pPr>
              <w:pStyle w:val="TableText"/>
              <w:keepNext w:val="0"/>
            </w:pPr>
            <w:r w:rsidRPr="003A2D00">
              <w:rPr>
                <w:rStyle w:val="Emphasis"/>
              </w:rPr>
              <w:t>Salmonella</w:t>
            </w:r>
            <w:r w:rsidRPr="003A2D00">
              <w:t xml:space="preserve"> species (</w:t>
            </w:r>
            <w:proofErr w:type="spellStart"/>
            <w:r w:rsidRPr="003A2D00">
              <w:t>nontyphoidal</w:t>
            </w:r>
            <w:proofErr w:type="spellEnd"/>
            <w:r w:rsidRPr="003A2D00">
              <w:t>)</w:t>
            </w:r>
          </w:p>
        </w:tc>
        <w:tc>
          <w:tcPr>
            <w:tcW w:w="1567" w:type="pct"/>
          </w:tcPr>
          <w:p w14:paraId="5D7F3892" w14:textId="77777777" w:rsidR="008704A6" w:rsidRPr="003A2D00" w:rsidRDefault="008704A6" w:rsidP="0054243F">
            <w:pPr>
              <w:pStyle w:val="TableText"/>
              <w:keepNext w:val="0"/>
            </w:pPr>
            <w:r w:rsidRPr="003A2D00">
              <w:t>Gastroenteritis, septicaemia</w:t>
            </w:r>
          </w:p>
        </w:tc>
        <w:tc>
          <w:tcPr>
            <w:tcW w:w="701" w:type="pct"/>
          </w:tcPr>
          <w:p w14:paraId="74AA1187" w14:textId="77777777" w:rsidR="008704A6" w:rsidRPr="003A2D00" w:rsidRDefault="008704A6" w:rsidP="0054243F">
            <w:pPr>
              <w:pStyle w:val="TableText"/>
              <w:keepNext w:val="0"/>
            </w:pPr>
            <w:r w:rsidRPr="003A2D00">
              <w:t>Community</w:t>
            </w:r>
          </w:p>
        </w:tc>
        <w:tc>
          <w:tcPr>
            <w:tcW w:w="1830" w:type="pct"/>
          </w:tcPr>
          <w:p w14:paraId="3B6F55BD" w14:textId="77777777" w:rsidR="008704A6" w:rsidRPr="003A2D00" w:rsidRDefault="008704A6" w:rsidP="0054243F">
            <w:pPr>
              <w:pStyle w:val="TableBullet"/>
              <w:keepNext w:val="0"/>
            </w:pPr>
            <w:r w:rsidRPr="003A2D00">
              <w:t>Ampicillin: 6.7–7.7</w:t>
            </w:r>
          </w:p>
          <w:p w14:paraId="39390A81" w14:textId="77777777" w:rsidR="008704A6" w:rsidRPr="003A2D00" w:rsidRDefault="008704A6" w:rsidP="0054243F">
            <w:pPr>
              <w:pStyle w:val="TableBullet"/>
              <w:keepNext w:val="0"/>
            </w:pPr>
            <w:r w:rsidRPr="003A2D00">
              <w:t>Ceftriaxone: 0.6–1.9</w:t>
            </w:r>
          </w:p>
          <w:p w14:paraId="5C54BE58" w14:textId="77777777" w:rsidR="008704A6" w:rsidRPr="003A2D00" w:rsidRDefault="008704A6" w:rsidP="0054243F">
            <w:pPr>
              <w:pStyle w:val="TableBullet"/>
              <w:keepNext w:val="0"/>
            </w:pPr>
            <w:r w:rsidRPr="003A2D00">
              <w:t>Ciprofloxacin: 0–1.1</w:t>
            </w:r>
          </w:p>
        </w:tc>
      </w:tr>
      <w:tr w:rsidR="008704A6" w:rsidRPr="003A2D00" w14:paraId="714C5A02" w14:textId="77777777" w:rsidTr="00086A8D">
        <w:trPr>
          <w:cantSplit/>
        </w:trPr>
        <w:tc>
          <w:tcPr>
            <w:tcW w:w="902" w:type="pct"/>
          </w:tcPr>
          <w:p w14:paraId="2369F6FE" w14:textId="77777777" w:rsidR="008704A6" w:rsidRPr="003A2D00" w:rsidRDefault="008704A6" w:rsidP="0054243F">
            <w:pPr>
              <w:pStyle w:val="TableText"/>
              <w:keepNext w:val="0"/>
            </w:pPr>
            <w:r w:rsidRPr="003A2D00">
              <w:rPr>
                <w:rStyle w:val="Emphasis"/>
              </w:rPr>
              <w:t>Salmonella</w:t>
            </w:r>
            <w:r w:rsidRPr="003A2D00">
              <w:t xml:space="preserve"> </w:t>
            </w:r>
            <w:proofErr w:type="spellStart"/>
            <w:r w:rsidRPr="003A2D00">
              <w:t>Typhi</w:t>
            </w:r>
            <w:proofErr w:type="spellEnd"/>
            <w:r w:rsidRPr="003A2D00">
              <w:t>/</w:t>
            </w:r>
            <w:proofErr w:type="spellStart"/>
            <w:r w:rsidRPr="003A2D00">
              <w:t>Paratyphi</w:t>
            </w:r>
            <w:proofErr w:type="spellEnd"/>
          </w:p>
        </w:tc>
        <w:tc>
          <w:tcPr>
            <w:tcW w:w="1567" w:type="pct"/>
          </w:tcPr>
          <w:p w14:paraId="33352D70" w14:textId="77777777" w:rsidR="008704A6" w:rsidRPr="003A2D00" w:rsidRDefault="008704A6" w:rsidP="0054243F">
            <w:pPr>
              <w:pStyle w:val="TableText"/>
              <w:keepNext w:val="0"/>
            </w:pPr>
            <w:r w:rsidRPr="003A2D00">
              <w:t>Typhoid fever (septicaemia)</w:t>
            </w:r>
          </w:p>
        </w:tc>
        <w:tc>
          <w:tcPr>
            <w:tcW w:w="701" w:type="pct"/>
          </w:tcPr>
          <w:p w14:paraId="1A1D0040" w14:textId="77777777" w:rsidR="008704A6" w:rsidRPr="003A2D00" w:rsidRDefault="008704A6" w:rsidP="0054243F">
            <w:pPr>
              <w:pStyle w:val="TableText"/>
              <w:keepNext w:val="0"/>
            </w:pPr>
            <w:r w:rsidRPr="003A2D00">
              <w:t>Community</w:t>
            </w:r>
          </w:p>
        </w:tc>
        <w:tc>
          <w:tcPr>
            <w:tcW w:w="1830" w:type="pct"/>
          </w:tcPr>
          <w:p w14:paraId="659F5391" w14:textId="77777777" w:rsidR="008704A6" w:rsidRPr="003A2D00" w:rsidRDefault="008704A6" w:rsidP="0054243F">
            <w:pPr>
              <w:pStyle w:val="TableBullet"/>
              <w:keepNext w:val="0"/>
            </w:pPr>
            <w:r w:rsidRPr="003A2D00">
              <w:t>Ceftriaxone: 0</w:t>
            </w:r>
          </w:p>
          <w:p w14:paraId="2C55C3FC" w14:textId="77777777" w:rsidR="008704A6" w:rsidRPr="003A2D00" w:rsidRDefault="008704A6" w:rsidP="0054243F">
            <w:pPr>
              <w:pStyle w:val="TableBullet"/>
              <w:keepNext w:val="0"/>
            </w:pPr>
            <w:r w:rsidRPr="003A2D00">
              <w:t>Ciprofloxacin: 12.2</w:t>
            </w:r>
          </w:p>
        </w:tc>
      </w:tr>
      <w:tr w:rsidR="008704A6" w:rsidRPr="003A2D00" w14:paraId="24DF0769" w14:textId="77777777" w:rsidTr="00086A8D">
        <w:trPr>
          <w:cantSplit/>
        </w:trPr>
        <w:tc>
          <w:tcPr>
            <w:tcW w:w="902" w:type="pct"/>
          </w:tcPr>
          <w:p w14:paraId="1925F929" w14:textId="77777777" w:rsidR="008704A6" w:rsidRPr="003A2D00" w:rsidRDefault="008704A6" w:rsidP="0054243F">
            <w:pPr>
              <w:pStyle w:val="TableText"/>
              <w:keepNext w:val="0"/>
              <w:rPr>
                <w:rStyle w:val="Emphasis"/>
              </w:rPr>
            </w:pPr>
            <w:proofErr w:type="spellStart"/>
            <w:r w:rsidRPr="003A2D00">
              <w:rPr>
                <w:rStyle w:val="Emphasis"/>
              </w:rPr>
              <w:t>Shigella</w:t>
            </w:r>
            <w:proofErr w:type="spellEnd"/>
            <w:r w:rsidRPr="003A2D00">
              <w:rPr>
                <w:rStyle w:val="Emphasis"/>
              </w:rPr>
              <w:t xml:space="preserve"> </w:t>
            </w:r>
            <w:proofErr w:type="spellStart"/>
            <w:r w:rsidRPr="003A2D00">
              <w:rPr>
                <w:rStyle w:val="Emphasis"/>
              </w:rPr>
              <w:t>sonnei</w:t>
            </w:r>
            <w:proofErr w:type="spellEnd"/>
          </w:p>
        </w:tc>
        <w:tc>
          <w:tcPr>
            <w:tcW w:w="1567" w:type="pct"/>
          </w:tcPr>
          <w:p w14:paraId="60D46C3D" w14:textId="77777777" w:rsidR="008704A6" w:rsidRPr="003A2D00" w:rsidRDefault="008704A6" w:rsidP="0054243F">
            <w:pPr>
              <w:pStyle w:val="TableText"/>
              <w:keepNext w:val="0"/>
            </w:pPr>
            <w:r w:rsidRPr="003A2D00">
              <w:t>Bacillary dysentery</w:t>
            </w:r>
          </w:p>
        </w:tc>
        <w:tc>
          <w:tcPr>
            <w:tcW w:w="701" w:type="pct"/>
          </w:tcPr>
          <w:p w14:paraId="504951E7" w14:textId="77777777" w:rsidR="008704A6" w:rsidRPr="003A2D00" w:rsidRDefault="008704A6" w:rsidP="0054243F">
            <w:pPr>
              <w:pStyle w:val="TableText"/>
              <w:keepNext w:val="0"/>
            </w:pPr>
            <w:r w:rsidRPr="003A2D00">
              <w:t>Community</w:t>
            </w:r>
          </w:p>
        </w:tc>
        <w:tc>
          <w:tcPr>
            <w:tcW w:w="1830" w:type="pct"/>
          </w:tcPr>
          <w:p w14:paraId="27D7DA6B" w14:textId="77777777" w:rsidR="008704A6" w:rsidRPr="003A2D00" w:rsidRDefault="008704A6" w:rsidP="0054243F">
            <w:pPr>
              <w:pStyle w:val="TableBullet"/>
              <w:keepNext w:val="0"/>
            </w:pPr>
            <w:r w:rsidRPr="003A2D00">
              <w:t>Ampicillin: 10.6</w:t>
            </w:r>
          </w:p>
          <w:p w14:paraId="1EE309FF" w14:textId="77777777" w:rsidR="008704A6" w:rsidRPr="003A2D00" w:rsidRDefault="008704A6" w:rsidP="0054243F">
            <w:pPr>
              <w:pStyle w:val="TableBullet"/>
              <w:keepNext w:val="0"/>
            </w:pPr>
            <w:r w:rsidRPr="003A2D00">
              <w:t>Ceftriaxone: 3.1</w:t>
            </w:r>
          </w:p>
          <w:p w14:paraId="07034E49" w14:textId="77777777" w:rsidR="008704A6" w:rsidRPr="003A2D00" w:rsidRDefault="008704A6" w:rsidP="0054243F">
            <w:pPr>
              <w:pStyle w:val="TableBullet"/>
              <w:keepNext w:val="0"/>
            </w:pPr>
            <w:r w:rsidRPr="003A2D00">
              <w:t>Ciprofloxacin: 9.4</w:t>
            </w:r>
          </w:p>
        </w:tc>
      </w:tr>
      <w:tr w:rsidR="008704A6" w:rsidRPr="003A2D00" w14:paraId="404745FE" w14:textId="77777777" w:rsidTr="00086A8D">
        <w:trPr>
          <w:cantSplit/>
        </w:trPr>
        <w:tc>
          <w:tcPr>
            <w:tcW w:w="902" w:type="pct"/>
          </w:tcPr>
          <w:p w14:paraId="1B2C0629" w14:textId="77777777" w:rsidR="008704A6" w:rsidRPr="003A2D00" w:rsidRDefault="008704A6" w:rsidP="0054243F">
            <w:pPr>
              <w:pStyle w:val="TableText"/>
              <w:keepNext w:val="0"/>
              <w:rPr>
                <w:rStyle w:val="Emphasis"/>
              </w:rPr>
            </w:pPr>
            <w:proofErr w:type="spellStart"/>
            <w:r w:rsidRPr="003A2D00">
              <w:rPr>
                <w:rStyle w:val="Emphasis"/>
              </w:rPr>
              <w:t>Shigella</w:t>
            </w:r>
            <w:proofErr w:type="spellEnd"/>
            <w:r w:rsidRPr="003A2D00">
              <w:rPr>
                <w:rStyle w:val="Emphasis"/>
              </w:rPr>
              <w:t xml:space="preserve"> </w:t>
            </w:r>
            <w:proofErr w:type="spellStart"/>
            <w:r w:rsidRPr="003A2D00">
              <w:rPr>
                <w:rStyle w:val="Emphasis"/>
              </w:rPr>
              <w:t>flexneri</w:t>
            </w:r>
            <w:proofErr w:type="spellEnd"/>
          </w:p>
        </w:tc>
        <w:tc>
          <w:tcPr>
            <w:tcW w:w="1567" w:type="pct"/>
          </w:tcPr>
          <w:p w14:paraId="02F52385" w14:textId="77777777" w:rsidR="008704A6" w:rsidRPr="003A2D00" w:rsidRDefault="008704A6" w:rsidP="0054243F">
            <w:pPr>
              <w:pStyle w:val="TableText"/>
              <w:keepNext w:val="0"/>
            </w:pPr>
            <w:r w:rsidRPr="003A2D00">
              <w:t>Bacillary dysentery</w:t>
            </w:r>
          </w:p>
        </w:tc>
        <w:tc>
          <w:tcPr>
            <w:tcW w:w="701" w:type="pct"/>
          </w:tcPr>
          <w:p w14:paraId="116069E1" w14:textId="77777777" w:rsidR="008704A6" w:rsidRPr="003A2D00" w:rsidRDefault="008704A6" w:rsidP="0054243F">
            <w:pPr>
              <w:pStyle w:val="TableText"/>
              <w:keepNext w:val="0"/>
            </w:pPr>
            <w:r w:rsidRPr="003A2D00">
              <w:t>Community</w:t>
            </w:r>
          </w:p>
        </w:tc>
        <w:tc>
          <w:tcPr>
            <w:tcW w:w="1830" w:type="pct"/>
          </w:tcPr>
          <w:p w14:paraId="3ACA97EF" w14:textId="77777777" w:rsidR="008704A6" w:rsidRPr="003A2D00" w:rsidRDefault="008704A6" w:rsidP="0054243F">
            <w:pPr>
              <w:pStyle w:val="TableBullet"/>
              <w:keepNext w:val="0"/>
            </w:pPr>
            <w:r w:rsidRPr="003A2D00">
              <w:t>Ampicillin: 57.1</w:t>
            </w:r>
          </w:p>
          <w:p w14:paraId="09338957" w14:textId="77777777" w:rsidR="008704A6" w:rsidRPr="003A2D00" w:rsidRDefault="008704A6" w:rsidP="0054243F">
            <w:pPr>
              <w:pStyle w:val="TableBullet"/>
              <w:keepNext w:val="0"/>
            </w:pPr>
            <w:r w:rsidRPr="003A2D00">
              <w:t>Ceftriaxone: 0</w:t>
            </w:r>
          </w:p>
          <w:p w14:paraId="19287618" w14:textId="77777777" w:rsidR="008704A6" w:rsidRPr="003A2D00" w:rsidRDefault="008704A6" w:rsidP="0054243F">
            <w:pPr>
              <w:pStyle w:val="TableBullet"/>
              <w:keepNext w:val="0"/>
            </w:pPr>
            <w:r w:rsidRPr="003A2D00">
              <w:t>Ciprofloxacin: 0</w:t>
            </w:r>
          </w:p>
        </w:tc>
      </w:tr>
      <w:tr w:rsidR="008704A6" w:rsidRPr="003A2D00" w14:paraId="6E6984DD" w14:textId="77777777" w:rsidTr="00086A8D">
        <w:trPr>
          <w:cantSplit/>
        </w:trPr>
        <w:tc>
          <w:tcPr>
            <w:tcW w:w="902" w:type="pct"/>
          </w:tcPr>
          <w:p w14:paraId="095501DC" w14:textId="77777777" w:rsidR="008704A6" w:rsidRPr="003A2D00" w:rsidRDefault="008704A6" w:rsidP="0054243F">
            <w:pPr>
              <w:pStyle w:val="TableText"/>
              <w:keepNext w:val="0"/>
              <w:rPr>
                <w:rStyle w:val="Emphasis"/>
              </w:rPr>
            </w:pPr>
            <w:r w:rsidRPr="003A2D00">
              <w:rPr>
                <w:rStyle w:val="Emphasis"/>
              </w:rPr>
              <w:t>Staphylococcus aureus</w:t>
            </w:r>
          </w:p>
        </w:tc>
        <w:tc>
          <w:tcPr>
            <w:tcW w:w="1567" w:type="pct"/>
          </w:tcPr>
          <w:p w14:paraId="1D350D92" w14:textId="77777777" w:rsidR="008704A6" w:rsidRPr="003A2D00" w:rsidRDefault="008704A6" w:rsidP="0054243F">
            <w:pPr>
              <w:pStyle w:val="TableText"/>
              <w:keepNext w:val="0"/>
            </w:pPr>
            <w:r w:rsidRPr="003A2D00">
              <w:t>Skin, wound and soft tissue infections; bone and joint infections; device-related infections; septicaemia; endocarditis (heart valve infections)</w:t>
            </w:r>
          </w:p>
        </w:tc>
        <w:tc>
          <w:tcPr>
            <w:tcW w:w="701" w:type="pct"/>
          </w:tcPr>
          <w:p w14:paraId="175659CE" w14:textId="77777777" w:rsidR="008704A6" w:rsidRPr="003A2D00" w:rsidRDefault="008704A6" w:rsidP="0054243F">
            <w:pPr>
              <w:pStyle w:val="TableText"/>
              <w:keepNext w:val="0"/>
            </w:pPr>
            <w:r w:rsidRPr="003A2D00">
              <w:t>Community, hospitals</w:t>
            </w:r>
          </w:p>
        </w:tc>
        <w:tc>
          <w:tcPr>
            <w:tcW w:w="1830" w:type="pct"/>
          </w:tcPr>
          <w:p w14:paraId="66BFFD6A" w14:textId="77777777" w:rsidR="008704A6" w:rsidRPr="003A2D00" w:rsidRDefault="008704A6" w:rsidP="0054243F">
            <w:pPr>
              <w:pStyle w:val="TableBullet"/>
              <w:keepNext w:val="0"/>
            </w:pPr>
            <w:r w:rsidRPr="003A2D00">
              <w:t>Benzylpenicillin: 83.1–88.7</w:t>
            </w:r>
          </w:p>
          <w:p w14:paraId="6E69B395" w14:textId="77777777" w:rsidR="008704A6" w:rsidRPr="003A2D00" w:rsidRDefault="008704A6" w:rsidP="0054243F">
            <w:pPr>
              <w:pStyle w:val="TableBullet"/>
              <w:keepNext w:val="0"/>
            </w:pPr>
            <w:r w:rsidRPr="003A2D00">
              <w:t>Clindamycin: 7.1–10.0</w:t>
            </w:r>
          </w:p>
          <w:p w14:paraId="681B406E" w14:textId="77777777" w:rsidR="008704A6" w:rsidRPr="003A2D00" w:rsidRDefault="008704A6" w:rsidP="0054243F">
            <w:pPr>
              <w:pStyle w:val="TableBullet"/>
              <w:keepNext w:val="0"/>
            </w:pPr>
            <w:r w:rsidRPr="003A2D00">
              <w:t>Erythromycin (and other macrolides): 16.5–17.0</w:t>
            </w:r>
          </w:p>
          <w:p w14:paraId="7883ABFA" w14:textId="77777777" w:rsidR="008704A6" w:rsidRPr="003A2D00" w:rsidRDefault="008704A6" w:rsidP="0054243F">
            <w:pPr>
              <w:pStyle w:val="TableBullet"/>
              <w:keepNext w:val="0"/>
            </w:pPr>
            <w:proofErr w:type="spellStart"/>
            <w:r w:rsidRPr="003A2D00">
              <w:t>Oxacillin</w:t>
            </w:r>
            <w:proofErr w:type="spellEnd"/>
            <w:r w:rsidRPr="003A2D00">
              <w:t xml:space="preserve"> (methicillin): 15.8–17.4</w:t>
            </w:r>
          </w:p>
        </w:tc>
      </w:tr>
      <w:tr w:rsidR="008704A6" w:rsidRPr="003A2D00" w14:paraId="689C396B" w14:textId="77777777" w:rsidTr="00086A8D">
        <w:trPr>
          <w:cantSplit/>
        </w:trPr>
        <w:tc>
          <w:tcPr>
            <w:tcW w:w="902" w:type="pct"/>
          </w:tcPr>
          <w:p w14:paraId="611AF39E" w14:textId="77777777" w:rsidR="008704A6" w:rsidRPr="003A2D00" w:rsidRDefault="008704A6" w:rsidP="0054243F">
            <w:pPr>
              <w:pStyle w:val="TableText"/>
              <w:keepNext w:val="0"/>
            </w:pPr>
            <w:r w:rsidRPr="003A2D00">
              <w:rPr>
                <w:rStyle w:val="Emphasis"/>
              </w:rPr>
              <w:lastRenderedPageBreak/>
              <w:t>Staphylococcus aureus</w:t>
            </w:r>
            <w:r w:rsidRPr="003A2D00">
              <w:t xml:space="preserve"> (methicillin resistant)</w:t>
            </w:r>
          </w:p>
        </w:tc>
        <w:tc>
          <w:tcPr>
            <w:tcW w:w="1567" w:type="pct"/>
          </w:tcPr>
          <w:p w14:paraId="6200CC70" w14:textId="77777777" w:rsidR="008704A6" w:rsidRPr="003A2D00" w:rsidRDefault="008704A6" w:rsidP="0054243F">
            <w:pPr>
              <w:pStyle w:val="TableText"/>
              <w:keepNext w:val="0"/>
            </w:pPr>
            <w:r w:rsidRPr="003A2D00">
              <w:t>Skin, wound and soft tissue infections; bone and joint infections; device-related infections; septicaemia; endocarditis (heart valve infections)</w:t>
            </w:r>
          </w:p>
        </w:tc>
        <w:tc>
          <w:tcPr>
            <w:tcW w:w="701" w:type="pct"/>
          </w:tcPr>
          <w:p w14:paraId="53AFCEEF" w14:textId="77777777" w:rsidR="008704A6" w:rsidRPr="003A2D00" w:rsidRDefault="008704A6" w:rsidP="0054243F">
            <w:pPr>
              <w:pStyle w:val="TableText"/>
              <w:keepNext w:val="0"/>
            </w:pPr>
            <w:r w:rsidRPr="003A2D00">
              <w:t>Community, hospitals</w:t>
            </w:r>
          </w:p>
        </w:tc>
        <w:tc>
          <w:tcPr>
            <w:tcW w:w="1830" w:type="pct"/>
          </w:tcPr>
          <w:p w14:paraId="1AA29665" w14:textId="77777777" w:rsidR="008704A6" w:rsidRPr="003A2D00" w:rsidRDefault="008704A6" w:rsidP="0054243F">
            <w:pPr>
              <w:pStyle w:val="TableBullet"/>
              <w:keepNext w:val="0"/>
            </w:pPr>
            <w:r w:rsidRPr="003A2D00">
              <w:t>Clindamycin: 14.2–19.6</w:t>
            </w:r>
          </w:p>
          <w:p w14:paraId="6A7065EC" w14:textId="77777777" w:rsidR="008704A6" w:rsidRPr="003A2D00" w:rsidRDefault="008704A6" w:rsidP="0054243F">
            <w:pPr>
              <w:pStyle w:val="TableBullet"/>
              <w:keepNext w:val="0"/>
            </w:pPr>
            <w:proofErr w:type="spellStart"/>
            <w:r w:rsidRPr="003A2D00">
              <w:t>Fusidic</w:t>
            </w:r>
            <w:proofErr w:type="spellEnd"/>
            <w:r w:rsidRPr="003A2D00">
              <w:t xml:space="preserve"> acid: 4.6–5.9</w:t>
            </w:r>
          </w:p>
          <w:p w14:paraId="750308A4" w14:textId="77777777" w:rsidR="008704A6" w:rsidRPr="003A2D00" w:rsidRDefault="008704A6" w:rsidP="0054243F">
            <w:pPr>
              <w:pStyle w:val="TableBullet"/>
              <w:keepNext w:val="0"/>
            </w:pPr>
            <w:r w:rsidRPr="003A2D00">
              <w:t>Linezolid: 0.1–0.3</w:t>
            </w:r>
          </w:p>
          <w:p w14:paraId="106F69BA" w14:textId="77777777" w:rsidR="008704A6" w:rsidRPr="003A2D00" w:rsidRDefault="008704A6" w:rsidP="0054243F">
            <w:pPr>
              <w:pStyle w:val="TableBullet"/>
              <w:keepNext w:val="0"/>
            </w:pPr>
            <w:r w:rsidRPr="003A2D00">
              <w:t>Rifampicin: 0.8–0.9</w:t>
            </w:r>
          </w:p>
          <w:p w14:paraId="1D37B8A6" w14:textId="77777777" w:rsidR="008704A6" w:rsidRPr="003A2D00" w:rsidRDefault="008704A6" w:rsidP="0054243F">
            <w:pPr>
              <w:pStyle w:val="TableBullet"/>
              <w:keepNext w:val="0"/>
            </w:pPr>
            <w:r w:rsidRPr="003A2D00">
              <w:t>Trimethoprim–sulfamethoxazole: 2.5–11.9</w:t>
            </w:r>
          </w:p>
          <w:p w14:paraId="7DB374FE" w14:textId="77777777" w:rsidR="008704A6" w:rsidRPr="003A2D00" w:rsidRDefault="008704A6" w:rsidP="0054243F">
            <w:pPr>
              <w:pStyle w:val="TableBullet"/>
              <w:keepNext w:val="0"/>
            </w:pPr>
            <w:r w:rsidRPr="003A2D00">
              <w:t>Vancomycin: 0.0</w:t>
            </w:r>
          </w:p>
        </w:tc>
      </w:tr>
      <w:tr w:rsidR="008704A6" w:rsidRPr="003A2D00" w14:paraId="1BFBA0BC" w14:textId="77777777" w:rsidTr="00086A8D">
        <w:trPr>
          <w:cantSplit/>
        </w:trPr>
        <w:tc>
          <w:tcPr>
            <w:tcW w:w="902" w:type="pct"/>
          </w:tcPr>
          <w:p w14:paraId="4C53B588" w14:textId="77777777" w:rsidR="008704A6" w:rsidRPr="003A2D00" w:rsidRDefault="008704A6" w:rsidP="0054243F">
            <w:pPr>
              <w:pStyle w:val="TableText"/>
              <w:keepNext w:val="0"/>
              <w:rPr>
                <w:rStyle w:val="Emphasis"/>
              </w:rPr>
            </w:pPr>
            <w:r w:rsidRPr="003A2D00">
              <w:rPr>
                <w:rStyle w:val="Emphasis"/>
              </w:rPr>
              <w:t xml:space="preserve">Streptococcus </w:t>
            </w:r>
            <w:proofErr w:type="spellStart"/>
            <w:r w:rsidRPr="003A2D00">
              <w:rPr>
                <w:rStyle w:val="Emphasis"/>
              </w:rPr>
              <w:t>agalactiae</w:t>
            </w:r>
            <w:proofErr w:type="spellEnd"/>
          </w:p>
        </w:tc>
        <w:tc>
          <w:tcPr>
            <w:tcW w:w="1567" w:type="pct"/>
          </w:tcPr>
          <w:p w14:paraId="4267FF51" w14:textId="77777777" w:rsidR="008704A6" w:rsidRPr="003A2D00" w:rsidRDefault="008704A6" w:rsidP="0054243F">
            <w:pPr>
              <w:pStyle w:val="TableText"/>
              <w:keepNext w:val="0"/>
            </w:pPr>
            <w:r w:rsidRPr="003A2D00">
              <w:t>Skin and soft tissue infections, urinary tract infections, newborn septicaemia</w:t>
            </w:r>
          </w:p>
        </w:tc>
        <w:tc>
          <w:tcPr>
            <w:tcW w:w="701" w:type="pct"/>
          </w:tcPr>
          <w:p w14:paraId="2ABAA942" w14:textId="77777777" w:rsidR="008704A6" w:rsidRPr="003A2D00" w:rsidRDefault="008704A6" w:rsidP="0054243F">
            <w:pPr>
              <w:pStyle w:val="TableText"/>
              <w:keepNext w:val="0"/>
            </w:pPr>
            <w:r w:rsidRPr="003A2D00">
              <w:t>Community</w:t>
            </w:r>
          </w:p>
        </w:tc>
        <w:tc>
          <w:tcPr>
            <w:tcW w:w="1830" w:type="pct"/>
          </w:tcPr>
          <w:p w14:paraId="55FC12DB" w14:textId="77777777" w:rsidR="008704A6" w:rsidRPr="003A2D00" w:rsidRDefault="008704A6" w:rsidP="0054243F">
            <w:pPr>
              <w:pStyle w:val="TableBullet"/>
              <w:keepNext w:val="0"/>
            </w:pPr>
            <w:r w:rsidRPr="003A2D00">
              <w:t>Benzylpenicillin: 0.0</w:t>
            </w:r>
          </w:p>
          <w:p w14:paraId="426C3925" w14:textId="77777777" w:rsidR="008704A6" w:rsidRPr="003A2D00" w:rsidRDefault="008704A6" w:rsidP="0054243F">
            <w:pPr>
              <w:pStyle w:val="TableBullet"/>
              <w:keepNext w:val="0"/>
            </w:pPr>
            <w:r w:rsidRPr="003A2D00">
              <w:t>Clindamycin: 17.1</w:t>
            </w:r>
          </w:p>
          <w:p w14:paraId="4CD91543" w14:textId="77777777" w:rsidR="008704A6" w:rsidRPr="003A2D00" w:rsidRDefault="008704A6" w:rsidP="0054243F">
            <w:pPr>
              <w:pStyle w:val="TableBullet"/>
              <w:keepNext w:val="0"/>
            </w:pPr>
            <w:r w:rsidRPr="003A2D00">
              <w:t>Erythromycin (and other macrolides): 22.7</w:t>
            </w:r>
          </w:p>
          <w:p w14:paraId="3F11767E" w14:textId="77777777" w:rsidR="008704A6" w:rsidRPr="003A2D00" w:rsidRDefault="008704A6" w:rsidP="0054243F">
            <w:pPr>
              <w:pStyle w:val="TableBullet"/>
              <w:keepNext w:val="0"/>
            </w:pPr>
            <w:r w:rsidRPr="003A2D00">
              <w:t>Trimethoprim: 17.2</w:t>
            </w:r>
          </w:p>
        </w:tc>
      </w:tr>
      <w:tr w:rsidR="008704A6" w:rsidRPr="003A2D00" w14:paraId="184C65FB" w14:textId="77777777" w:rsidTr="00086A8D">
        <w:trPr>
          <w:cantSplit/>
        </w:trPr>
        <w:tc>
          <w:tcPr>
            <w:tcW w:w="902" w:type="pct"/>
          </w:tcPr>
          <w:p w14:paraId="1F52016C" w14:textId="77777777" w:rsidR="008704A6" w:rsidRPr="003A2D00" w:rsidRDefault="008704A6" w:rsidP="0054243F">
            <w:pPr>
              <w:pStyle w:val="TableText"/>
              <w:keepNext w:val="0"/>
              <w:rPr>
                <w:rStyle w:val="Emphasis"/>
              </w:rPr>
            </w:pPr>
            <w:r w:rsidRPr="003A2D00">
              <w:rPr>
                <w:rStyle w:val="Emphasis"/>
              </w:rPr>
              <w:t>Streptococcus pneumoniae</w:t>
            </w:r>
          </w:p>
        </w:tc>
        <w:tc>
          <w:tcPr>
            <w:tcW w:w="1567" w:type="pct"/>
          </w:tcPr>
          <w:p w14:paraId="280D5DC2" w14:textId="77777777" w:rsidR="008704A6" w:rsidRPr="003A2D00" w:rsidRDefault="008704A6" w:rsidP="0054243F">
            <w:pPr>
              <w:pStyle w:val="TableText"/>
              <w:keepNext w:val="0"/>
            </w:pPr>
            <w:r w:rsidRPr="003A2D00">
              <w:t>Otitis media (middle ear infections), sinusitis, acute exacerbation of chronic obstructive lung disease, pneumonia, meningitis, septicaemia</w:t>
            </w:r>
          </w:p>
        </w:tc>
        <w:tc>
          <w:tcPr>
            <w:tcW w:w="701" w:type="pct"/>
          </w:tcPr>
          <w:p w14:paraId="23D2A6EE" w14:textId="77777777" w:rsidR="008704A6" w:rsidRPr="003A2D00" w:rsidRDefault="008704A6" w:rsidP="0054243F">
            <w:pPr>
              <w:pStyle w:val="TableText"/>
              <w:keepNext w:val="0"/>
            </w:pPr>
            <w:r w:rsidRPr="003A2D00">
              <w:t>Community</w:t>
            </w:r>
          </w:p>
        </w:tc>
        <w:tc>
          <w:tcPr>
            <w:tcW w:w="1830" w:type="pct"/>
          </w:tcPr>
          <w:p w14:paraId="635ACEED" w14:textId="77777777" w:rsidR="008704A6" w:rsidRPr="003A2D00" w:rsidRDefault="008704A6" w:rsidP="0054243F">
            <w:pPr>
              <w:pStyle w:val="TableBullet"/>
              <w:keepNext w:val="0"/>
            </w:pPr>
            <w:r w:rsidRPr="003A2D00">
              <w:t>Benzylpenicillin (outside the central nervous system): 2.0–2.3</w:t>
            </w:r>
          </w:p>
          <w:p w14:paraId="2DC14B77" w14:textId="77777777" w:rsidR="008704A6" w:rsidRPr="003A2D00" w:rsidRDefault="008704A6" w:rsidP="0054243F">
            <w:pPr>
              <w:pStyle w:val="TableBullet"/>
              <w:keepNext w:val="0"/>
            </w:pPr>
            <w:r w:rsidRPr="003A2D00">
              <w:t>Erythromycin (and other macrolides): 21.1–25.9</w:t>
            </w:r>
          </w:p>
          <w:p w14:paraId="6B78E740" w14:textId="77777777" w:rsidR="008704A6" w:rsidRPr="003A2D00" w:rsidRDefault="008704A6" w:rsidP="0054243F">
            <w:pPr>
              <w:pStyle w:val="TableBullet"/>
              <w:keepNext w:val="0"/>
            </w:pPr>
            <w:r w:rsidRPr="003A2D00">
              <w:t>Tetracycline (and doxycycline): 21.1–25.6</w:t>
            </w:r>
          </w:p>
        </w:tc>
      </w:tr>
      <w:tr w:rsidR="008704A6" w:rsidRPr="003A2D00" w14:paraId="01270DCA" w14:textId="77777777" w:rsidTr="00086A8D">
        <w:trPr>
          <w:cantSplit/>
        </w:trPr>
        <w:tc>
          <w:tcPr>
            <w:tcW w:w="902" w:type="pct"/>
          </w:tcPr>
          <w:p w14:paraId="45F11F08" w14:textId="77777777" w:rsidR="008704A6" w:rsidRPr="003A2D00" w:rsidRDefault="008704A6" w:rsidP="0054243F">
            <w:pPr>
              <w:pStyle w:val="TableText"/>
              <w:keepNext w:val="0"/>
              <w:rPr>
                <w:rStyle w:val="Emphasis"/>
              </w:rPr>
            </w:pPr>
            <w:r w:rsidRPr="003A2D00">
              <w:rPr>
                <w:rStyle w:val="Emphasis"/>
              </w:rPr>
              <w:t>Streptococcus pyogenes</w:t>
            </w:r>
          </w:p>
        </w:tc>
        <w:tc>
          <w:tcPr>
            <w:tcW w:w="1567" w:type="pct"/>
          </w:tcPr>
          <w:p w14:paraId="4E404F5F" w14:textId="77777777" w:rsidR="008704A6" w:rsidRPr="003A2D00" w:rsidRDefault="008704A6" w:rsidP="0054243F">
            <w:pPr>
              <w:pStyle w:val="TableText"/>
              <w:keepNext w:val="0"/>
            </w:pPr>
            <w:r w:rsidRPr="003A2D00">
              <w:t>Skin, wound and soft tissue infections; septicaemia</w:t>
            </w:r>
          </w:p>
        </w:tc>
        <w:tc>
          <w:tcPr>
            <w:tcW w:w="701" w:type="pct"/>
          </w:tcPr>
          <w:p w14:paraId="1431C4B5" w14:textId="77777777" w:rsidR="008704A6" w:rsidRPr="003A2D00" w:rsidRDefault="008704A6" w:rsidP="0054243F">
            <w:pPr>
              <w:pStyle w:val="TableText"/>
              <w:keepNext w:val="0"/>
            </w:pPr>
            <w:r w:rsidRPr="003A2D00">
              <w:t>Community</w:t>
            </w:r>
          </w:p>
        </w:tc>
        <w:tc>
          <w:tcPr>
            <w:tcW w:w="1830" w:type="pct"/>
          </w:tcPr>
          <w:p w14:paraId="54541B62" w14:textId="77777777" w:rsidR="008704A6" w:rsidRPr="003A2D00" w:rsidRDefault="008704A6" w:rsidP="0054243F">
            <w:pPr>
              <w:pStyle w:val="TableBullet"/>
              <w:keepNext w:val="0"/>
            </w:pPr>
            <w:r w:rsidRPr="003A2D00">
              <w:t>Benzylpenicillin: 0.0</w:t>
            </w:r>
          </w:p>
          <w:p w14:paraId="39AB7151" w14:textId="77777777" w:rsidR="008704A6" w:rsidRPr="003A2D00" w:rsidRDefault="008704A6" w:rsidP="0054243F">
            <w:pPr>
              <w:pStyle w:val="TableBullet"/>
              <w:keepNext w:val="0"/>
            </w:pPr>
            <w:r w:rsidRPr="003A2D00">
              <w:t>Erythromycin (and other macrolides): 3.4</w:t>
            </w:r>
          </w:p>
        </w:tc>
      </w:tr>
    </w:tbl>
    <w:p w14:paraId="75F5C63E" w14:textId="576D2185" w:rsidR="0032113D" w:rsidRPr="003A2D00" w:rsidRDefault="006F2435" w:rsidP="00C805A6">
      <w:pPr>
        <w:pStyle w:val="TFAbbrevs"/>
      </w:pPr>
      <w:r>
        <w:t>M</w:t>
      </w:r>
      <w:r w:rsidR="00C47E12" w:rsidRPr="003A2D00">
        <w:t>ultidrug resistant = resistant to three or more antimicrobial classes where all agents have been tested</w:t>
      </w:r>
    </w:p>
    <w:p w14:paraId="567065BD" w14:textId="3327261D" w:rsidR="00C805A6" w:rsidRPr="003A2D00" w:rsidRDefault="00C805A6" w:rsidP="00C805A6">
      <w:pPr>
        <w:pStyle w:val="TFNoteSourceSpace"/>
      </w:pPr>
      <w:r w:rsidRPr="003A2D00">
        <w:t xml:space="preserve">Sources: </w:t>
      </w:r>
      <w:r w:rsidR="00555D9B" w:rsidRPr="003A2D00">
        <w:t>Australian Group on Antimicrobial Resistance</w:t>
      </w:r>
      <w:r w:rsidRPr="003A2D00">
        <w:t xml:space="preserve">, </w:t>
      </w:r>
      <w:r w:rsidR="00555D9B" w:rsidRPr="003A2D00">
        <w:t xml:space="preserve">National Neisseria Network, National Notifiable Diseases Surveillance System, </w:t>
      </w:r>
      <w:proofErr w:type="spellStart"/>
      <w:r w:rsidRPr="003A2D00">
        <w:t>OrgTRx</w:t>
      </w:r>
      <w:proofErr w:type="spellEnd"/>
      <w:r w:rsidRPr="003A2D00">
        <w:t xml:space="preserve">, </w:t>
      </w:r>
      <w:r w:rsidR="00555D9B" w:rsidRPr="003A2D00">
        <w:t xml:space="preserve">Sullivan </w:t>
      </w:r>
      <w:proofErr w:type="spellStart"/>
      <w:r w:rsidR="00555D9B" w:rsidRPr="003A2D00">
        <w:t>Nicolaides</w:t>
      </w:r>
      <w:proofErr w:type="spellEnd"/>
      <w:r w:rsidR="00555D9B" w:rsidRPr="003A2D00">
        <w:t xml:space="preserve"> Pathology</w:t>
      </w:r>
    </w:p>
    <w:p w14:paraId="70C332E1" w14:textId="77777777" w:rsidR="00D570D8" w:rsidRPr="003A2D00" w:rsidRDefault="004603C1" w:rsidP="00D570D8">
      <w:pPr>
        <w:pStyle w:val="Heading2"/>
      </w:pPr>
      <w:bookmarkStart w:id="20" w:name="_Toc452639778"/>
      <w:r w:rsidRPr="003A2D00">
        <w:t>Resistance</w:t>
      </w:r>
      <w:r w:rsidR="008D7132" w:rsidRPr="003A2D00">
        <w:t xml:space="preserve"> trends</w:t>
      </w:r>
      <w:r w:rsidRPr="003A2D00">
        <w:t xml:space="preserve"> of concern</w:t>
      </w:r>
      <w:bookmarkEnd w:id="20"/>
    </w:p>
    <w:p w14:paraId="0B83D368" w14:textId="32704271" w:rsidR="005B7B1D" w:rsidRPr="003A2D00" w:rsidRDefault="00BA5804" w:rsidP="005B7B1D">
      <w:r w:rsidRPr="003A2D00">
        <w:t xml:space="preserve">In the </w:t>
      </w:r>
      <w:r w:rsidRPr="003A2D00">
        <w:rPr>
          <w:i/>
        </w:rPr>
        <w:t>Enterobacteriaceae</w:t>
      </w:r>
      <w:r w:rsidRPr="003A2D00">
        <w:t>, the resistance types of greatest concern are the extended-spectrum β-lactam</w:t>
      </w:r>
      <w:r w:rsidR="005B7B1D" w:rsidRPr="003A2D00">
        <w:t>ases (ESBLs) and</w:t>
      </w:r>
      <w:r w:rsidRPr="003A2D00">
        <w:t xml:space="preserve"> the plasmid-borne </w:t>
      </w:r>
      <w:proofErr w:type="spellStart"/>
      <w:r w:rsidRPr="003A2D00">
        <w:t>AmpC</w:t>
      </w:r>
      <w:proofErr w:type="spellEnd"/>
      <w:r w:rsidRPr="003A2D00">
        <w:t xml:space="preserve"> enzymes (</w:t>
      </w:r>
      <w:r w:rsidR="005B7B1D" w:rsidRPr="003A2D00">
        <w:t xml:space="preserve">which confer resistance to third-generation </w:t>
      </w:r>
      <w:proofErr w:type="spellStart"/>
      <w:r w:rsidR="005B7B1D" w:rsidRPr="003A2D00">
        <w:t>cephalosporins</w:t>
      </w:r>
      <w:proofErr w:type="spellEnd"/>
      <w:r w:rsidRPr="003A2D00">
        <w:t>)</w:t>
      </w:r>
      <w:r w:rsidR="005B7B1D" w:rsidRPr="003A2D00">
        <w:t>,</w:t>
      </w:r>
      <w:r w:rsidRPr="003A2D00">
        <w:t xml:space="preserve"> and the </w:t>
      </w:r>
      <w:proofErr w:type="spellStart"/>
      <w:r w:rsidRPr="003A2D00">
        <w:t>carbapenemases</w:t>
      </w:r>
      <w:proofErr w:type="spellEnd"/>
      <w:r w:rsidR="005B7B1D" w:rsidRPr="003A2D00">
        <w:t xml:space="preserve"> (which confer resistance to carbapenems and almost all other β-lactams)</w:t>
      </w:r>
      <w:r w:rsidRPr="003A2D00">
        <w:t xml:space="preserve">. </w:t>
      </w:r>
      <w:r w:rsidR="005B7B1D" w:rsidRPr="003A2D00">
        <w:t xml:space="preserve">ESBLs were found in 7–12% of </w:t>
      </w:r>
      <w:r w:rsidR="005B7B1D" w:rsidRPr="003A2D00">
        <w:rPr>
          <w:i/>
        </w:rPr>
        <w:t>E. coli</w:t>
      </w:r>
      <w:r w:rsidR="005B7B1D" w:rsidRPr="003A2D00">
        <w:t xml:space="preserve">, 4–7% of </w:t>
      </w:r>
      <w:r w:rsidR="005B7B1D" w:rsidRPr="003A2D00">
        <w:rPr>
          <w:i/>
        </w:rPr>
        <w:t>K. pneumoniae</w:t>
      </w:r>
      <w:r w:rsidR="005B7B1D" w:rsidRPr="003A2D00">
        <w:t xml:space="preserve"> and </w:t>
      </w:r>
      <w:r w:rsidR="00D971F6" w:rsidRPr="003A2D00">
        <w:t xml:space="preserve">about </w:t>
      </w:r>
      <w:r w:rsidR="005B7B1D" w:rsidRPr="003A2D00">
        <w:t xml:space="preserve">3% of </w:t>
      </w:r>
      <w:r w:rsidR="005B7B1D" w:rsidRPr="003A2D00">
        <w:rPr>
          <w:i/>
        </w:rPr>
        <w:t>E. cloacae</w:t>
      </w:r>
      <w:r w:rsidR="005B7B1D" w:rsidRPr="003A2D00">
        <w:t xml:space="preserve"> complex. Resistance to carbapenems was less than 0.5% in </w:t>
      </w:r>
      <w:r w:rsidR="005B7B1D" w:rsidRPr="003A2D00">
        <w:rPr>
          <w:i/>
        </w:rPr>
        <w:t>E. coli</w:t>
      </w:r>
      <w:r w:rsidR="005B7B1D" w:rsidRPr="003A2D00">
        <w:t xml:space="preserve"> and </w:t>
      </w:r>
      <w:r w:rsidR="005B7B1D" w:rsidRPr="003A2D00">
        <w:rPr>
          <w:i/>
        </w:rPr>
        <w:t>K. pneumoniae</w:t>
      </w:r>
      <w:r w:rsidR="005B7B1D" w:rsidRPr="003A2D00">
        <w:t xml:space="preserve">, but 1–3% in </w:t>
      </w:r>
      <w:r w:rsidR="005B7B1D" w:rsidRPr="003A2D00">
        <w:rPr>
          <w:i/>
        </w:rPr>
        <w:t>E. cloacae</w:t>
      </w:r>
      <w:r w:rsidR="005B7B1D" w:rsidRPr="003A2D00">
        <w:t xml:space="preserve"> complex. Carbapenemase-producing </w:t>
      </w:r>
      <w:r w:rsidR="005B7B1D" w:rsidRPr="003A2D00">
        <w:rPr>
          <w:i/>
        </w:rPr>
        <w:t>Enterobacteriaceae</w:t>
      </w:r>
      <w:r w:rsidR="005B7B1D" w:rsidRPr="003A2D00">
        <w:t xml:space="preserve"> are almost always highly multidrug resistant</w:t>
      </w:r>
      <w:r w:rsidR="00F84AC9" w:rsidRPr="003A2D00">
        <w:t>, and infections</w:t>
      </w:r>
      <w:r w:rsidR="005B7B1D" w:rsidRPr="003A2D00">
        <w:t xml:space="preserve"> </w:t>
      </w:r>
      <w:r w:rsidR="00D971F6" w:rsidRPr="003A2D00">
        <w:t>cause</w:t>
      </w:r>
      <w:r w:rsidR="00003719" w:rsidRPr="003A2D00">
        <w:t>d</w:t>
      </w:r>
      <w:r w:rsidR="00D971F6" w:rsidRPr="003A2D00">
        <w:t xml:space="preserve"> by these bacteria </w:t>
      </w:r>
      <w:r w:rsidR="005B7B1D" w:rsidRPr="003A2D00">
        <w:t xml:space="preserve">require ‘last-line’ reserve agents that can </w:t>
      </w:r>
      <w:r w:rsidR="00D971F6" w:rsidRPr="003A2D00">
        <w:t xml:space="preserve">be </w:t>
      </w:r>
      <w:r w:rsidR="005B7B1D" w:rsidRPr="003A2D00">
        <w:t>significant</w:t>
      </w:r>
      <w:r w:rsidR="00D971F6" w:rsidRPr="003A2D00">
        <w:t>ly</w:t>
      </w:r>
      <w:r w:rsidR="005B7B1D" w:rsidRPr="003A2D00">
        <w:t xml:space="preserve"> toxic</w:t>
      </w:r>
      <w:r w:rsidR="00D971F6" w:rsidRPr="003A2D00">
        <w:t xml:space="preserve"> to </w:t>
      </w:r>
      <w:r w:rsidR="005B7B1D" w:rsidRPr="003A2D00">
        <w:t>patients.</w:t>
      </w:r>
    </w:p>
    <w:p w14:paraId="5B520563" w14:textId="79A7B56B" w:rsidR="005B7B1D" w:rsidRPr="003A2D00" w:rsidRDefault="00464D65" w:rsidP="005B7B1D">
      <w:r w:rsidRPr="003A2D00">
        <w:t xml:space="preserve">Resistance to ceftriaxone in </w:t>
      </w:r>
      <w:r w:rsidR="005B7B1D" w:rsidRPr="003A2D00">
        <w:rPr>
          <w:i/>
        </w:rPr>
        <w:t>Neisseria gonorrhoeae</w:t>
      </w:r>
      <w:r w:rsidR="005B7B1D" w:rsidRPr="003A2D00">
        <w:t xml:space="preserve"> is an emerging concern around the world. </w:t>
      </w:r>
      <w:r w:rsidR="00D971F6" w:rsidRPr="003A2D00">
        <w:t>R</w:t>
      </w:r>
      <w:r w:rsidR="00A05F83" w:rsidRPr="003A2D00">
        <w:t xml:space="preserve">esistance </w:t>
      </w:r>
      <w:r w:rsidR="00D971F6" w:rsidRPr="003A2D00">
        <w:t xml:space="preserve">or decreased susceptibility </w:t>
      </w:r>
      <w:r w:rsidR="00A05F83" w:rsidRPr="003A2D00">
        <w:t xml:space="preserve">to ceftriaxone can mean that this antimicrobial is no longer effective. Rates of reduced susceptibility to ceftriaxone and resistance to azithromycin are low in Australia (around 5% and 2%, respectively), but </w:t>
      </w:r>
      <w:r w:rsidR="00D971F6" w:rsidRPr="003A2D00">
        <w:t xml:space="preserve">are </w:t>
      </w:r>
      <w:r w:rsidR="00A05F83" w:rsidRPr="003A2D00">
        <w:t>slowly trending upwards.</w:t>
      </w:r>
    </w:p>
    <w:p w14:paraId="74A5812D" w14:textId="6D6FEFB5" w:rsidR="00A05F83" w:rsidRPr="003A2D00" w:rsidRDefault="00A05F83" w:rsidP="005B7B1D">
      <w:proofErr w:type="spellStart"/>
      <w:r w:rsidRPr="003A2D00">
        <w:rPr>
          <w:i/>
        </w:rPr>
        <w:t>Shigella</w:t>
      </w:r>
      <w:proofErr w:type="spellEnd"/>
      <w:r w:rsidRPr="003A2D00">
        <w:t xml:space="preserve"> species are an uncommon but important cause of gastroenteritis</w:t>
      </w:r>
      <w:r w:rsidR="00D971F6" w:rsidRPr="003A2D00">
        <w:t>.</w:t>
      </w:r>
      <w:r w:rsidRPr="003A2D00">
        <w:t xml:space="preserve"> The prevalence of resistance to two key antimicrobials (ceftriaxone and ciprofloxacin) was very low in both </w:t>
      </w:r>
      <w:proofErr w:type="spellStart"/>
      <w:r w:rsidRPr="003A2D00">
        <w:rPr>
          <w:i/>
        </w:rPr>
        <w:t>Shigella</w:t>
      </w:r>
      <w:proofErr w:type="spellEnd"/>
      <w:r w:rsidRPr="003A2D00">
        <w:t xml:space="preserve"> species; however, the presence of any resistance to ciprofloxacin in Australia is of concern, </w:t>
      </w:r>
      <w:r w:rsidR="00D971F6" w:rsidRPr="003A2D00">
        <w:t xml:space="preserve">because these </w:t>
      </w:r>
      <w:r w:rsidRPr="003A2D00">
        <w:t>organism</w:t>
      </w:r>
      <w:r w:rsidR="00D971F6" w:rsidRPr="003A2D00">
        <w:t>s</w:t>
      </w:r>
      <w:r w:rsidRPr="003A2D00">
        <w:t xml:space="preserve"> </w:t>
      </w:r>
      <w:r w:rsidR="00D971F6" w:rsidRPr="003A2D00">
        <w:t xml:space="preserve">have the capacity </w:t>
      </w:r>
      <w:r w:rsidRPr="003A2D00">
        <w:t>to cause outbreaks.</w:t>
      </w:r>
    </w:p>
    <w:p w14:paraId="0C598FDD" w14:textId="4B89D738" w:rsidR="00666848" w:rsidRPr="003A2D00" w:rsidRDefault="00A77EC3" w:rsidP="00F23E72">
      <w:r w:rsidRPr="003A2D00">
        <w:rPr>
          <w:i/>
        </w:rPr>
        <w:lastRenderedPageBreak/>
        <w:t xml:space="preserve">Streptococcus </w:t>
      </w:r>
      <w:proofErr w:type="spellStart"/>
      <w:r w:rsidRPr="003A2D00">
        <w:rPr>
          <w:i/>
        </w:rPr>
        <w:t>agalactiae</w:t>
      </w:r>
      <w:proofErr w:type="spellEnd"/>
      <w:r w:rsidRPr="003A2D00">
        <w:t xml:space="preserve"> is an important cause of bloodstream infection in newborns. </w:t>
      </w:r>
      <w:r w:rsidR="00D971F6" w:rsidRPr="003A2D00">
        <w:t xml:space="preserve">The data </w:t>
      </w:r>
      <w:r w:rsidR="00AB3A79" w:rsidRPr="003A2D00">
        <w:t>revealed</w:t>
      </w:r>
      <w:r w:rsidR="00D971F6" w:rsidRPr="003A2D00">
        <w:t xml:space="preserve"> no r</w:t>
      </w:r>
      <w:r w:rsidRPr="003A2D00">
        <w:t>esistance to benzylpenicillin, but resistance to erythromycin exceeded 20%. This is important, because an erythromycin resistance rate of 20% is the threshold at which protocols may need to be reconsidered and alternative agents used for treatment.</w:t>
      </w:r>
    </w:p>
    <w:p w14:paraId="62F0D624" w14:textId="77777777" w:rsidR="00CF5B2F" w:rsidRPr="003A2D00" w:rsidRDefault="0041386E" w:rsidP="00CF5B2F">
      <w:pPr>
        <w:pStyle w:val="Heading1"/>
      </w:pPr>
      <w:bookmarkStart w:id="21" w:name="_Toc452639779"/>
      <w:r w:rsidRPr="003A2D00">
        <w:lastRenderedPageBreak/>
        <w:t>International comparisons</w:t>
      </w:r>
      <w:bookmarkEnd w:id="21"/>
    </w:p>
    <w:p w14:paraId="4C542082" w14:textId="77777777" w:rsidR="00CF5B2F" w:rsidRPr="003A2D00" w:rsidRDefault="00CF5B2F" w:rsidP="00CF5B2F">
      <w:pPr>
        <w:pStyle w:val="BoxName"/>
      </w:pPr>
      <w:bookmarkStart w:id="22" w:name="_Toc452639780"/>
      <w:r w:rsidRPr="003A2D00">
        <w:t>Key messages</w:t>
      </w:r>
      <w:bookmarkEnd w:id="22"/>
    </w:p>
    <w:p w14:paraId="526FF79D" w14:textId="19158F54" w:rsidR="0024268E" w:rsidRPr="003A2D00" w:rsidRDefault="0024268E" w:rsidP="0024268E">
      <w:pPr>
        <w:pStyle w:val="BoxBullet"/>
      </w:pPr>
      <w:r w:rsidRPr="003A2D00">
        <w:t>A</w:t>
      </w:r>
      <w:r w:rsidR="00003719" w:rsidRPr="003A2D00">
        <w:t>U</w:t>
      </w:r>
      <w:r w:rsidRPr="003A2D00">
        <w:t xml:space="preserve"> in Australian hospitals can appear comparatively high or low, depending on the measure used. These comparative differences may reflect different healthcare practices (e.g. indications treated in hospitals or community primary care) in different countries.</w:t>
      </w:r>
    </w:p>
    <w:p w14:paraId="2C7B1A74" w14:textId="03C0F68B" w:rsidR="00CF5B2F" w:rsidRPr="003A2D00" w:rsidRDefault="00FB1CD7" w:rsidP="00CF5B2F">
      <w:pPr>
        <w:pStyle w:val="BoxBullet"/>
      </w:pPr>
      <w:r w:rsidRPr="003A2D00">
        <w:t>A</w:t>
      </w:r>
      <w:r w:rsidR="00003719" w:rsidRPr="003A2D00">
        <w:t>U</w:t>
      </w:r>
      <w:r w:rsidRPr="003A2D00">
        <w:t xml:space="preserve"> </w:t>
      </w:r>
      <w:r w:rsidR="00CF5B2F" w:rsidRPr="003A2D00">
        <w:t xml:space="preserve">in the Australian community is higher than </w:t>
      </w:r>
      <w:r w:rsidR="005A2FB6" w:rsidRPr="003A2D00">
        <w:t xml:space="preserve">in </w:t>
      </w:r>
      <w:r w:rsidR="00CF5B2F" w:rsidRPr="003A2D00">
        <w:t>many other countries.</w:t>
      </w:r>
    </w:p>
    <w:p w14:paraId="09B29482" w14:textId="7892105F" w:rsidR="00CF5B2F" w:rsidRPr="003A2D00" w:rsidRDefault="00CF5B2F" w:rsidP="00CF5B2F">
      <w:pPr>
        <w:pStyle w:val="BoxBullet"/>
      </w:pPr>
      <w:r w:rsidRPr="003A2D00">
        <w:t xml:space="preserve">Rates of </w:t>
      </w:r>
      <w:r w:rsidR="00003719" w:rsidRPr="003A2D00">
        <w:t>AMR</w:t>
      </w:r>
      <w:r w:rsidRPr="003A2D00">
        <w:t xml:space="preserve"> in gram-negative organisms (</w:t>
      </w:r>
      <w:r w:rsidRPr="003A2D00">
        <w:rPr>
          <w:rStyle w:val="Emphasis"/>
        </w:rPr>
        <w:t xml:space="preserve">Escherichia coli </w:t>
      </w:r>
      <w:r w:rsidRPr="003A2D00">
        <w:t xml:space="preserve">and </w:t>
      </w:r>
      <w:proofErr w:type="spellStart"/>
      <w:r w:rsidRPr="003A2D00">
        <w:rPr>
          <w:rStyle w:val="Emphasis"/>
        </w:rPr>
        <w:t>Klebsiella</w:t>
      </w:r>
      <w:proofErr w:type="spellEnd"/>
      <w:r w:rsidRPr="003A2D00">
        <w:rPr>
          <w:rStyle w:val="Emphasis"/>
        </w:rPr>
        <w:t xml:space="preserve"> pneumoniae</w:t>
      </w:r>
      <w:r w:rsidRPr="003A2D00">
        <w:t xml:space="preserve">) in Australia are lower than </w:t>
      </w:r>
      <w:r w:rsidR="00003719" w:rsidRPr="003A2D00">
        <w:t xml:space="preserve">in </w:t>
      </w:r>
      <w:r w:rsidRPr="003A2D00">
        <w:t xml:space="preserve">other countries, but rates of </w:t>
      </w:r>
      <w:r w:rsidR="00003719" w:rsidRPr="003A2D00">
        <w:t>AMR</w:t>
      </w:r>
      <w:r w:rsidR="00FB1CD7" w:rsidRPr="003A2D00">
        <w:t xml:space="preserve"> </w:t>
      </w:r>
      <w:r w:rsidRPr="003A2D00">
        <w:t>in gram-positive organisms (</w:t>
      </w:r>
      <w:r w:rsidRPr="003A2D00">
        <w:rPr>
          <w:rStyle w:val="Emphasis"/>
        </w:rPr>
        <w:t>Staphylococcus aureus</w:t>
      </w:r>
      <w:r w:rsidRPr="003A2D00">
        <w:t xml:space="preserve"> and </w:t>
      </w:r>
      <w:r w:rsidRPr="003A2D00">
        <w:rPr>
          <w:rStyle w:val="Emphasis"/>
        </w:rPr>
        <w:t xml:space="preserve">Enterococcus </w:t>
      </w:r>
      <w:proofErr w:type="spellStart"/>
      <w:r w:rsidRPr="003A2D00">
        <w:rPr>
          <w:rStyle w:val="Emphasis"/>
        </w:rPr>
        <w:t>faecium</w:t>
      </w:r>
      <w:proofErr w:type="spellEnd"/>
      <w:r w:rsidRPr="003A2D00">
        <w:t>) are high to very high.</w:t>
      </w:r>
    </w:p>
    <w:p w14:paraId="22F7F3D4" w14:textId="77777777" w:rsidR="00CF5B2F" w:rsidRPr="003A2D00" w:rsidRDefault="00CF5B2F" w:rsidP="00CF5B2F">
      <w:pPr>
        <w:pStyle w:val="BoxBullet"/>
      </w:pPr>
      <w:r w:rsidRPr="003A2D00">
        <w:t>Australia has low rates of resistance to fluoroquinolones compared with other countries, reflecting the restricted use of this antimicrobial class in Australia.</w:t>
      </w:r>
    </w:p>
    <w:p w14:paraId="1D51D320" w14:textId="771110DB" w:rsidR="00C177A5" w:rsidRPr="003A2D00" w:rsidRDefault="00C177A5" w:rsidP="00C177A5">
      <w:r w:rsidRPr="003A2D00">
        <w:t xml:space="preserve">Many countries, particularly in Europe, have established systems for reporting country-wide data on </w:t>
      </w:r>
      <w:r w:rsidR="00003719" w:rsidRPr="003A2D00">
        <w:t>AU</w:t>
      </w:r>
      <w:r w:rsidRPr="003A2D00">
        <w:t xml:space="preserve"> and </w:t>
      </w:r>
      <w:r w:rsidR="00003719" w:rsidRPr="003A2D00">
        <w:t>AMR</w:t>
      </w:r>
      <w:r w:rsidRPr="003A2D00">
        <w:t xml:space="preserve">. </w:t>
      </w:r>
      <w:r w:rsidR="006035D7" w:rsidRPr="003A2D00">
        <w:t>Comparing Australia’s national data with that from other countries</w:t>
      </w:r>
      <w:r w:rsidRPr="003A2D00">
        <w:t xml:space="preserve"> provide</w:t>
      </w:r>
      <w:r w:rsidR="006035D7" w:rsidRPr="003A2D00">
        <w:t>s</w:t>
      </w:r>
      <w:r w:rsidRPr="003A2D00">
        <w:t xml:space="preserve"> a benchmark that can help to inform practices in Australia.</w:t>
      </w:r>
    </w:p>
    <w:p w14:paraId="671D348F" w14:textId="77777777" w:rsidR="000B3B14" w:rsidRPr="003A2D00" w:rsidRDefault="000B3B14" w:rsidP="000B3B14">
      <w:pPr>
        <w:pStyle w:val="Heading2"/>
      </w:pPr>
      <w:bookmarkStart w:id="23" w:name="_Toc452639781"/>
      <w:r w:rsidRPr="003A2D00">
        <w:t>Antimicrobial use</w:t>
      </w:r>
      <w:r w:rsidR="00464D65" w:rsidRPr="003A2D00">
        <w:t xml:space="preserve"> in hospitals</w:t>
      </w:r>
      <w:bookmarkEnd w:id="23"/>
    </w:p>
    <w:p w14:paraId="66764C28" w14:textId="49C63312" w:rsidR="00EC0E57" w:rsidRPr="003A2D00" w:rsidRDefault="00EC0E57" w:rsidP="00EC0E57">
      <w:r w:rsidRPr="003A2D00">
        <w:t>A</w:t>
      </w:r>
      <w:r w:rsidR="00003719" w:rsidRPr="003A2D00">
        <w:t>U</w:t>
      </w:r>
      <w:r w:rsidRPr="003A2D00">
        <w:t xml:space="preserve"> in Australian hospitals is high compared </w:t>
      </w:r>
      <w:r w:rsidR="000E5DD5" w:rsidRPr="003A2D00">
        <w:t xml:space="preserve">with </w:t>
      </w:r>
      <w:r w:rsidR="00D971F6" w:rsidRPr="003A2D00">
        <w:t>Denmark, Canada, Sweden, Norway and the Netherlands</w:t>
      </w:r>
      <w:r w:rsidR="00D051B0" w:rsidRPr="003A2D00">
        <w:t>,</w:t>
      </w:r>
      <w:r w:rsidR="00D971F6" w:rsidRPr="003A2D00">
        <w:t xml:space="preserve"> </w:t>
      </w:r>
      <w:r w:rsidR="00D051B0" w:rsidRPr="003A2D00">
        <w:t>but lower than England and Scotland (Figure </w:t>
      </w:r>
      <w:r w:rsidR="008704A6" w:rsidRPr="003A2D00">
        <w:t>6</w:t>
      </w:r>
      <w:r w:rsidR="00D051B0" w:rsidRPr="003A2D00">
        <w:t>)</w:t>
      </w:r>
      <w:r w:rsidRPr="003A2D00">
        <w:t xml:space="preserve">. </w:t>
      </w:r>
      <w:r w:rsidR="0090705E" w:rsidRPr="003A2D00">
        <w:t>These countries are g</w:t>
      </w:r>
      <w:r w:rsidR="00003719" w:rsidRPr="003A2D00">
        <w:t>ood comparators because they have</w:t>
      </w:r>
      <w:r w:rsidR="0090705E" w:rsidRPr="003A2D00">
        <w:t xml:space="preserve"> high data capture, and they have near universal care in the public hospital system. However, because of some limitations in data collection, these comparisons are indicative only.</w:t>
      </w:r>
    </w:p>
    <w:p w14:paraId="63547E2F" w14:textId="42A1DA3F" w:rsidR="00EC0E57" w:rsidRPr="003A2D00" w:rsidRDefault="000E5DD5" w:rsidP="00EC0E57">
      <w:pPr>
        <w:pStyle w:val="FigureName"/>
      </w:pPr>
      <w:bookmarkStart w:id="24" w:name="_Toc444512683"/>
      <w:r w:rsidRPr="003A2D00">
        <w:lastRenderedPageBreak/>
        <w:t>Figure </w:t>
      </w:r>
      <w:r w:rsidR="008704A6" w:rsidRPr="003A2D00">
        <w:t>6</w:t>
      </w:r>
      <w:r w:rsidR="00EC0E57" w:rsidRPr="003A2D00">
        <w:tab/>
        <w:t xml:space="preserve">Antimicrobial use in </w:t>
      </w:r>
      <w:r w:rsidR="00464D65" w:rsidRPr="003A2D00">
        <w:t xml:space="preserve">Australian </w:t>
      </w:r>
      <w:r w:rsidR="00EC0E57" w:rsidRPr="003A2D00">
        <w:t>hospitals</w:t>
      </w:r>
      <w:r w:rsidR="00BC7D1B" w:rsidRPr="003A2D00">
        <w:t xml:space="preserve"> </w:t>
      </w:r>
      <w:r w:rsidR="00464D65" w:rsidRPr="003A2D00">
        <w:t>and other</w:t>
      </w:r>
      <w:r w:rsidR="00BC7D1B" w:rsidRPr="003A2D00">
        <w:t xml:space="preserve"> countries</w:t>
      </w:r>
      <w:bookmarkEnd w:id="24"/>
    </w:p>
    <w:p w14:paraId="3B79C13E" w14:textId="77777777" w:rsidR="00CA417D" w:rsidRPr="003A2D00" w:rsidRDefault="00464D65" w:rsidP="0054243F">
      <w:pPr>
        <w:keepNext/>
      </w:pPr>
      <w:r w:rsidRPr="003A2D00">
        <w:rPr>
          <w:noProof/>
          <w:lang w:val="en-US" w:eastAsia="en-US"/>
        </w:rPr>
        <w:drawing>
          <wp:inline distT="0" distB="0" distL="0" distR="0" wp14:anchorId="7B4A9CA9" wp14:editId="2CFCE03B">
            <wp:extent cx="2950464" cy="3553968"/>
            <wp:effectExtent l="0" t="0" r="0" b="2540"/>
            <wp:docPr id="16" name="Picture 16" descr="Bar chart ranking antimicrobial use in hospitals in England (4.2 DDD/1000 inhabitants/day), Scotland (4.1 DDD/1000 inhabitants/day), Australia (3.0 DDD/1000 inhabitants/day), Denmark (2.2 DDD/1000 inhabitants/day), Canada and Sweden (each 1.6 DDD/1000 inhabitants/day), Norway (1.4 DDD/1000 inhabitants/day) and Netherlands (1.0 DDD/1000 inhabitants/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5.5-01.png"/>
                    <pic:cNvPicPr/>
                  </pic:nvPicPr>
                  <pic:blipFill>
                    <a:blip r:embed="rId20">
                      <a:extLst>
                        <a:ext uri="{28A0092B-C50C-407E-A947-70E740481C1C}">
                          <a14:useLocalDpi xmlns:a14="http://schemas.microsoft.com/office/drawing/2010/main" val="0"/>
                        </a:ext>
                      </a:extLst>
                    </a:blip>
                    <a:stretch>
                      <a:fillRect/>
                    </a:stretch>
                  </pic:blipFill>
                  <pic:spPr>
                    <a:xfrm>
                      <a:off x="0" y="0"/>
                      <a:ext cx="2950464" cy="3553968"/>
                    </a:xfrm>
                    <a:prstGeom prst="rect">
                      <a:avLst/>
                    </a:prstGeom>
                  </pic:spPr>
                </pic:pic>
              </a:graphicData>
            </a:graphic>
          </wp:inline>
        </w:drawing>
      </w:r>
    </w:p>
    <w:p w14:paraId="48F73E24" w14:textId="77777777" w:rsidR="00EC0E57" w:rsidRPr="003A2D00" w:rsidRDefault="00EC0E57" w:rsidP="00EC0E57">
      <w:pPr>
        <w:pStyle w:val="TFNoteSourceSpace"/>
      </w:pPr>
      <w:r w:rsidRPr="003A2D00">
        <w:t xml:space="preserve">Sources: NAUSP (Australia), CIPARS (Canada), DANMAP (Denmark), ESPAUR (England), </w:t>
      </w:r>
      <w:proofErr w:type="spellStart"/>
      <w:r w:rsidRPr="003A2D00">
        <w:t>NethMAP</w:t>
      </w:r>
      <w:proofErr w:type="spellEnd"/>
      <w:r w:rsidRPr="003A2D00">
        <w:t xml:space="preserve"> (Netherlands), SAPG (Scotland), NORM (Norway), SWEDRES (Sweden)</w:t>
      </w:r>
    </w:p>
    <w:p w14:paraId="5017C404" w14:textId="77777777" w:rsidR="00464D65" w:rsidRPr="003A2D00" w:rsidRDefault="00464D65" w:rsidP="00464D65">
      <w:pPr>
        <w:pStyle w:val="Heading2"/>
      </w:pPr>
      <w:bookmarkStart w:id="25" w:name="_Toc452639782"/>
      <w:r w:rsidRPr="003A2D00">
        <w:t>Antimicrobial use in the community</w:t>
      </w:r>
      <w:bookmarkEnd w:id="25"/>
    </w:p>
    <w:p w14:paraId="3AC7BE98" w14:textId="640B7F47" w:rsidR="0024268E" w:rsidRPr="003A2D00" w:rsidRDefault="000E5DD5" w:rsidP="00EC0E57">
      <w:r w:rsidRPr="003A2D00">
        <w:t xml:space="preserve">Figure </w:t>
      </w:r>
      <w:r w:rsidR="008704A6" w:rsidRPr="003A2D00">
        <w:t xml:space="preserve">7 </w:t>
      </w:r>
      <w:r w:rsidR="00CA417D" w:rsidRPr="003A2D00">
        <w:t xml:space="preserve">compares Australia’s </w:t>
      </w:r>
      <w:r w:rsidR="00003719" w:rsidRPr="003A2D00">
        <w:t>AU</w:t>
      </w:r>
      <w:r w:rsidR="00CA417D" w:rsidRPr="003A2D00">
        <w:t xml:space="preserve"> with </w:t>
      </w:r>
      <w:r w:rsidR="00D051B0" w:rsidRPr="003A2D00">
        <w:t>Norway, Denmark, Sweden, the Netherlands</w:t>
      </w:r>
      <w:r w:rsidR="00CA417D" w:rsidRPr="003A2D00">
        <w:t>, England and Canada. These countries have been selected because their data is readily accessible and comparable. A</w:t>
      </w:r>
      <w:r w:rsidR="00003719" w:rsidRPr="003A2D00">
        <w:t>U</w:t>
      </w:r>
      <w:r w:rsidR="00CA417D" w:rsidRPr="003A2D00">
        <w:t xml:space="preserve"> in the Australian community is higher than </w:t>
      </w:r>
      <w:r w:rsidR="00003719" w:rsidRPr="003A2D00">
        <w:t xml:space="preserve">in </w:t>
      </w:r>
      <w:r w:rsidR="00CA417D" w:rsidRPr="003A2D00">
        <w:t>any of these countries.</w:t>
      </w:r>
      <w:r w:rsidR="00EC0E57" w:rsidRPr="003A2D00">
        <w:t xml:space="preserve"> </w:t>
      </w:r>
    </w:p>
    <w:p w14:paraId="1BE7B1B3" w14:textId="53A20896" w:rsidR="00CA417D" w:rsidRPr="003A2D00" w:rsidRDefault="000E5DD5" w:rsidP="00CA417D">
      <w:pPr>
        <w:pStyle w:val="FigureName"/>
      </w:pPr>
      <w:bookmarkStart w:id="26" w:name="_Toc444512684"/>
      <w:r w:rsidRPr="003A2D00">
        <w:lastRenderedPageBreak/>
        <w:t>Figure </w:t>
      </w:r>
      <w:r w:rsidR="008704A6" w:rsidRPr="003A2D00">
        <w:t>7</w:t>
      </w:r>
      <w:r w:rsidR="00CA417D" w:rsidRPr="003A2D00">
        <w:tab/>
      </w:r>
      <w:r w:rsidR="00BC7D1B" w:rsidRPr="003A2D00">
        <w:t>A</w:t>
      </w:r>
      <w:r w:rsidR="00CA417D" w:rsidRPr="003A2D00">
        <w:t xml:space="preserve">ntimicrobial use in </w:t>
      </w:r>
      <w:r w:rsidR="00BC7D1B" w:rsidRPr="003A2D00">
        <w:t xml:space="preserve">the community in </w:t>
      </w:r>
      <w:r w:rsidR="0024268E" w:rsidRPr="003A2D00">
        <w:t xml:space="preserve">Australia and </w:t>
      </w:r>
      <w:r w:rsidR="00464D65" w:rsidRPr="003A2D00">
        <w:t>other</w:t>
      </w:r>
      <w:r w:rsidR="00BC7D1B" w:rsidRPr="003A2D00">
        <w:t xml:space="preserve"> countries</w:t>
      </w:r>
      <w:bookmarkEnd w:id="26"/>
    </w:p>
    <w:p w14:paraId="2298E9C2" w14:textId="77777777" w:rsidR="00CA417D" w:rsidRPr="003A2D00" w:rsidRDefault="00464D65" w:rsidP="00CA417D">
      <w:r w:rsidRPr="003A2D00">
        <w:rPr>
          <w:noProof/>
          <w:lang w:val="en-US" w:eastAsia="en-US"/>
        </w:rPr>
        <w:drawing>
          <wp:inline distT="0" distB="0" distL="0" distR="0" wp14:anchorId="6D78F577" wp14:editId="7C32F492">
            <wp:extent cx="2950464" cy="3608832"/>
            <wp:effectExtent l="0" t="0" r="0" b="0"/>
            <wp:docPr id="17" name="Picture 17" descr="Bar chart showing Australia’s community antimicrobial use (24 defined daily doses [DDD]/1000 inhabitants/day) is higher than that in England (21 DDD/1000 inhabitants/day), Canada (19 DDD/1000 inhabitants/day), Norway (19 DDD/1000 inhabitants/day), Denmark (16 DDD/1000 inhabitants/day), Sweden (12 DDD/1000 inhabitants/day) and the Netherlands (11 DDD/1000 inhabitants/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5.2-01.png"/>
                    <pic:cNvPicPr/>
                  </pic:nvPicPr>
                  <pic:blipFill>
                    <a:blip r:embed="rId21">
                      <a:extLst>
                        <a:ext uri="{28A0092B-C50C-407E-A947-70E740481C1C}">
                          <a14:useLocalDpi xmlns:a14="http://schemas.microsoft.com/office/drawing/2010/main" val="0"/>
                        </a:ext>
                      </a:extLst>
                    </a:blip>
                    <a:stretch>
                      <a:fillRect/>
                    </a:stretch>
                  </pic:blipFill>
                  <pic:spPr>
                    <a:xfrm>
                      <a:off x="0" y="0"/>
                      <a:ext cx="2950464" cy="3608832"/>
                    </a:xfrm>
                    <a:prstGeom prst="rect">
                      <a:avLst/>
                    </a:prstGeom>
                  </pic:spPr>
                </pic:pic>
              </a:graphicData>
            </a:graphic>
          </wp:inline>
        </w:drawing>
      </w:r>
    </w:p>
    <w:p w14:paraId="5F4C8720" w14:textId="77777777" w:rsidR="00CA417D" w:rsidRPr="003A2D00" w:rsidRDefault="00CA417D" w:rsidP="00CA417D">
      <w:pPr>
        <w:pStyle w:val="TFNoteSourceSpace"/>
      </w:pPr>
      <w:r w:rsidRPr="003A2D00">
        <w:t xml:space="preserve">Sources: PBS (Australia), CIPARS (Canada), DANMAP (Denmark), ESPAUR (England), </w:t>
      </w:r>
      <w:proofErr w:type="spellStart"/>
      <w:r w:rsidRPr="003A2D00">
        <w:t>NethMAP</w:t>
      </w:r>
      <w:proofErr w:type="spellEnd"/>
      <w:r w:rsidRPr="003A2D00">
        <w:t xml:space="preserve"> (Netherlands), SWEDRES (Sweden)</w:t>
      </w:r>
    </w:p>
    <w:p w14:paraId="15E8B3B0" w14:textId="3BF3105C" w:rsidR="0066762C" w:rsidRPr="003A2D00" w:rsidRDefault="00D051B0" w:rsidP="0066762C">
      <w:r w:rsidRPr="003A2D00">
        <w:t>Countries also have differing p</w:t>
      </w:r>
      <w:r w:rsidR="00CA417D" w:rsidRPr="003A2D00">
        <w:t>atterns of use</w:t>
      </w:r>
      <w:r w:rsidRPr="003A2D00">
        <w:t xml:space="preserve"> </w:t>
      </w:r>
      <w:r w:rsidR="00464D65" w:rsidRPr="003A2D00">
        <w:t>of</w:t>
      </w:r>
      <w:r w:rsidRPr="003A2D00">
        <w:t xml:space="preserve"> antimicrobial classes</w:t>
      </w:r>
      <w:r w:rsidR="00CA417D" w:rsidRPr="003A2D00">
        <w:t xml:space="preserve">. Australia tends to use more β-lactamase-inhibitor combinations and </w:t>
      </w:r>
      <w:proofErr w:type="spellStart"/>
      <w:r w:rsidR="00CA417D" w:rsidRPr="003A2D00">
        <w:t>cephalosporins</w:t>
      </w:r>
      <w:proofErr w:type="spellEnd"/>
      <w:r w:rsidR="00CA417D" w:rsidRPr="003A2D00">
        <w:t>, but fewer narrow-spectrum penicillins (β-lactamase-sensitive penicillins) than Scandinavian countries.</w:t>
      </w:r>
      <w:r w:rsidR="0024268E" w:rsidRPr="003A2D00">
        <w:t xml:space="preserve"> </w:t>
      </w:r>
      <w:r w:rsidR="0066762C" w:rsidRPr="003A2D00">
        <w:t>Australia also uses far fewer fluoroquinolones than comparator countries – this</w:t>
      </w:r>
      <w:r w:rsidRPr="003A2D00">
        <w:t xml:space="preserve"> likely</w:t>
      </w:r>
      <w:r w:rsidR="0066762C" w:rsidRPr="003A2D00">
        <w:t xml:space="preserve"> stems from the conservative restrictions placed on their prescription on the </w:t>
      </w:r>
      <w:r w:rsidR="008704A6" w:rsidRPr="003A2D00">
        <w:t>PBS/RPBS</w:t>
      </w:r>
      <w:r w:rsidR="0066762C" w:rsidRPr="003A2D00">
        <w:t xml:space="preserve"> in the 1990s.</w:t>
      </w:r>
    </w:p>
    <w:p w14:paraId="1B423158" w14:textId="77777777" w:rsidR="0066762C" w:rsidRPr="003A2D00" w:rsidRDefault="00FF5293" w:rsidP="00FF5293">
      <w:pPr>
        <w:pStyle w:val="Heading2"/>
      </w:pPr>
      <w:bookmarkStart w:id="27" w:name="_Toc452639783"/>
      <w:r w:rsidRPr="003A2D00">
        <w:t>Antimicrobial resistance</w:t>
      </w:r>
      <w:bookmarkEnd w:id="27"/>
    </w:p>
    <w:p w14:paraId="556BBE9B" w14:textId="74226D88" w:rsidR="00FF5293" w:rsidRPr="003A2D00" w:rsidRDefault="007E71EC" w:rsidP="007E71EC">
      <w:r w:rsidRPr="003A2D00">
        <w:t xml:space="preserve">Comparisons </w:t>
      </w:r>
      <w:r w:rsidR="00003719" w:rsidRPr="003A2D00">
        <w:t xml:space="preserve">of AMR </w:t>
      </w:r>
      <w:r w:rsidRPr="003A2D00">
        <w:t xml:space="preserve">are available from other countries for </w:t>
      </w:r>
      <w:r w:rsidR="006F2435">
        <w:t>four</w:t>
      </w:r>
      <w:r w:rsidR="00D051B0" w:rsidRPr="003A2D00">
        <w:t xml:space="preserve"> </w:t>
      </w:r>
      <w:r w:rsidRPr="003A2D00">
        <w:t>of the priority organisms</w:t>
      </w:r>
      <w:r w:rsidR="00003719" w:rsidRPr="003A2D00">
        <w:t xml:space="preserve">: </w:t>
      </w:r>
      <w:r w:rsidRPr="003A2D00">
        <w:rPr>
          <w:rStyle w:val="Emphasis"/>
        </w:rPr>
        <w:t>Escherichia coli</w:t>
      </w:r>
      <w:r w:rsidRPr="003A2D00">
        <w:t xml:space="preserve">, </w:t>
      </w:r>
      <w:proofErr w:type="spellStart"/>
      <w:r w:rsidRPr="003A2D00">
        <w:rPr>
          <w:rStyle w:val="Emphasis"/>
        </w:rPr>
        <w:t>Klebsiella</w:t>
      </w:r>
      <w:proofErr w:type="spellEnd"/>
      <w:r w:rsidRPr="003A2D00">
        <w:rPr>
          <w:rStyle w:val="Emphasis"/>
        </w:rPr>
        <w:t xml:space="preserve"> pneumoniae</w:t>
      </w:r>
      <w:r w:rsidR="00961866" w:rsidRPr="003A2D00">
        <w:t xml:space="preserve">, </w:t>
      </w:r>
      <w:r w:rsidR="00961866" w:rsidRPr="003A2D00">
        <w:rPr>
          <w:rStyle w:val="Emphasis"/>
        </w:rPr>
        <w:t xml:space="preserve">Enterococcus </w:t>
      </w:r>
      <w:proofErr w:type="spellStart"/>
      <w:r w:rsidR="00961866" w:rsidRPr="003A2D00">
        <w:rPr>
          <w:rStyle w:val="Emphasis"/>
        </w:rPr>
        <w:t>faecium</w:t>
      </w:r>
      <w:proofErr w:type="spellEnd"/>
      <w:r w:rsidRPr="003A2D00">
        <w:rPr>
          <w:rStyle w:val="Emphasis"/>
        </w:rPr>
        <w:t xml:space="preserve"> </w:t>
      </w:r>
      <w:r w:rsidRPr="003A2D00">
        <w:t xml:space="preserve">and </w:t>
      </w:r>
      <w:r w:rsidRPr="003A2D00">
        <w:rPr>
          <w:rStyle w:val="Emphasis"/>
        </w:rPr>
        <w:t>Staphyl</w:t>
      </w:r>
      <w:r w:rsidR="0024268E" w:rsidRPr="003A2D00">
        <w:rPr>
          <w:rStyle w:val="Emphasis"/>
        </w:rPr>
        <w:t>o</w:t>
      </w:r>
      <w:r w:rsidRPr="003A2D00">
        <w:rPr>
          <w:rStyle w:val="Emphasis"/>
        </w:rPr>
        <w:t>coccus aureus</w:t>
      </w:r>
      <w:r w:rsidRPr="003A2D00">
        <w:t>.</w:t>
      </w:r>
    </w:p>
    <w:p w14:paraId="217C1EA5" w14:textId="78D576B4" w:rsidR="007E71EC" w:rsidRPr="003A2D00" w:rsidRDefault="00067136" w:rsidP="00AE7977">
      <w:r w:rsidRPr="003A2D00">
        <w:t xml:space="preserve">Resistance to some key antimicrobials, including fluoroquinolones, is very low in Australia for </w:t>
      </w:r>
      <w:r w:rsidRPr="003A2D00">
        <w:rPr>
          <w:rStyle w:val="Emphasis"/>
        </w:rPr>
        <w:t>E. coli</w:t>
      </w:r>
      <w:r w:rsidRPr="003A2D00">
        <w:t xml:space="preserve"> </w:t>
      </w:r>
      <w:r w:rsidR="000E5DD5" w:rsidRPr="003A2D00">
        <w:t>(Figure </w:t>
      </w:r>
      <w:r w:rsidR="008704A6" w:rsidRPr="003A2D00">
        <w:t>8</w:t>
      </w:r>
      <w:r w:rsidR="00AE7977" w:rsidRPr="003A2D00">
        <w:t xml:space="preserve">) </w:t>
      </w:r>
      <w:r w:rsidRPr="003A2D00">
        <w:t xml:space="preserve">and </w:t>
      </w:r>
      <w:r w:rsidRPr="003A2D00">
        <w:rPr>
          <w:rStyle w:val="Emphasis"/>
        </w:rPr>
        <w:t xml:space="preserve">K. pneumoniae </w:t>
      </w:r>
      <w:r w:rsidRPr="003A2D00">
        <w:t xml:space="preserve">compared with many European countries. </w:t>
      </w:r>
      <w:r w:rsidR="00D051B0" w:rsidRPr="003A2D00">
        <w:t>These organisms are b</w:t>
      </w:r>
      <w:r w:rsidRPr="003A2D00">
        <w:t xml:space="preserve">oth gram-negative. </w:t>
      </w:r>
    </w:p>
    <w:p w14:paraId="31B06DB8" w14:textId="5D21DD10" w:rsidR="00067136" w:rsidRPr="003A2D00" w:rsidRDefault="000E5DD5" w:rsidP="00067136">
      <w:pPr>
        <w:pStyle w:val="FigureName"/>
      </w:pPr>
      <w:bookmarkStart w:id="28" w:name="_Toc444512685"/>
      <w:r w:rsidRPr="003A2D00">
        <w:lastRenderedPageBreak/>
        <w:t xml:space="preserve">Figure </w:t>
      </w:r>
      <w:r w:rsidR="008704A6" w:rsidRPr="003A2D00">
        <w:t>8</w:t>
      </w:r>
      <w:r w:rsidR="00067136" w:rsidRPr="003A2D00">
        <w:tab/>
        <w:t xml:space="preserve">Combined resistance to some key antimicrobials in invasive isolates of </w:t>
      </w:r>
      <w:r w:rsidR="00067136" w:rsidRPr="003A2D00">
        <w:rPr>
          <w:rStyle w:val="Emphasis"/>
        </w:rPr>
        <w:t>E</w:t>
      </w:r>
      <w:r w:rsidR="00464D65" w:rsidRPr="003A2D00">
        <w:rPr>
          <w:rStyle w:val="Emphasis"/>
        </w:rPr>
        <w:t>scherichia</w:t>
      </w:r>
      <w:r w:rsidR="00067136" w:rsidRPr="003A2D00">
        <w:rPr>
          <w:rStyle w:val="Emphasis"/>
        </w:rPr>
        <w:t xml:space="preserve"> coli </w:t>
      </w:r>
      <w:r w:rsidR="00067136" w:rsidRPr="003A2D00">
        <w:t>in Australia and European countries, 2014</w:t>
      </w:r>
      <w:bookmarkEnd w:id="28"/>
    </w:p>
    <w:p w14:paraId="586DF426" w14:textId="77777777" w:rsidR="00067136" w:rsidRPr="003A2D00" w:rsidRDefault="00464D65" w:rsidP="00067136">
      <w:r w:rsidRPr="003A2D00">
        <w:rPr>
          <w:noProof/>
          <w:lang w:val="en-US" w:eastAsia="en-US"/>
        </w:rPr>
        <w:drawing>
          <wp:inline distT="0" distB="0" distL="0" distR="0" wp14:anchorId="152FAD6B" wp14:editId="49DD8DA2">
            <wp:extent cx="5731510" cy="6856095"/>
            <wp:effectExtent l="0" t="0" r="0" b="1905"/>
            <wp:docPr id="18" name="Picture 18" descr="Bar chart showing Australia has the seventh lowest rate of resistance (2.3%) compared with 30 European countries. Iceland has the lowest (1.4%) and Bulgaria has the highest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5.8-01.png"/>
                    <pic:cNvPicPr/>
                  </pic:nvPicPr>
                  <pic:blipFill>
                    <a:blip r:embed="rId22">
                      <a:extLst>
                        <a:ext uri="{28A0092B-C50C-407E-A947-70E740481C1C}">
                          <a14:useLocalDpi xmlns:a14="http://schemas.microsoft.com/office/drawing/2010/main" val="0"/>
                        </a:ext>
                      </a:extLst>
                    </a:blip>
                    <a:stretch>
                      <a:fillRect/>
                    </a:stretch>
                  </pic:blipFill>
                  <pic:spPr>
                    <a:xfrm>
                      <a:off x="0" y="0"/>
                      <a:ext cx="5731510" cy="6856095"/>
                    </a:xfrm>
                    <a:prstGeom prst="rect">
                      <a:avLst/>
                    </a:prstGeom>
                  </pic:spPr>
                </pic:pic>
              </a:graphicData>
            </a:graphic>
          </wp:inline>
        </w:drawing>
      </w:r>
    </w:p>
    <w:p w14:paraId="0D3C3A83" w14:textId="77777777" w:rsidR="007136AD" w:rsidRPr="003A2D00" w:rsidRDefault="007136AD" w:rsidP="007136AD">
      <w:pPr>
        <w:pStyle w:val="TFNoteSourceSpace"/>
      </w:pPr>
      <w:r w:rsidRPr="003A2D00">
        <w:t>Sources: Australian Group on Antimicrobial Resistance, 2014; EARS-Net 2014 (Polish data is from 2013)</w:t>
      </w:r>
    </w:p>
    <w:p w14:paraId="5A9D6BDC" w14:textId="05D0E41E" w:rsidR="009814FC" w:rsidRPr="003A2D00" w:rsidRDefault="009B51A2" w:rsidP="009B51A2">
      <w:r w:rsidRPr="003A2D00">
        <w:t>In contrast to the gram-negative pathogens discussed</w:t>
      </w:r>
      <w:r w:rsidR="00D051B0" w:rsidRPr="003A2D00">
        <w:t xml:space="preserve"> </w:t>
      </w:r>
      <w:r w:rsidR="00464D65" w:rsidRPr="003A2D00">
        <w:t xml:space="preserve">above </w:t>
      </w:r>
      <w:r w:rsidR="00D051B0" w:rsidRPr="003A2D00">
        <w:t>(</w:t>
      </w:r>
      <w:r w:rsidR="00D051B0" w:rsidRPr="003A2D00">
        <w:rPr>
          <w:rStyle w:val="Emphasis"/>
        </w:rPr>
        <w:t>E. coli</w:t>
      </w:r>
      <w:r w:rsidR="00D051B0" w:rsidRPr="003A2D00">
        <w:t xml:space="preserve"> and </w:t>
      </w:r>
      <w:r w:rsidR="00D051B0" w:rsidRPr="003A2D00">
        <w:rPr>
          <w:rStyle w:val="Emphasis"/>
        </w:rPr>
        <w:t>K. pneumoniae</w:t>
      </w:r>
      <w:r w:rsidR="00D051B0" w:rsidRPr="003A2D00">
        <w:t>)</w:t>
      </w:r>
      <w:r w:rsidRPr="003A2D00">
        <w:t xml:space="preserve">, rates of resistance to methicillin in </w:t>
      </w:r>
      <w:r w:rsidRPr="003A2D00">
        <w:rPr>
          <w:rStyle w:val="Emphasis"/>
        </w:rPr>
        <w:t>S. aureus</w:t>
      </w:r>
      <w:r w:rsidRPr="003A2D00">
        <w:t xml:space="preserve"> and to vancomycin in </w:t>
      </w:r>
      <w:r w:rsidRPr="003A2D00">
        <w:rPr>
          <w:rStyle w:val="Emphasis"/>
        </w:rPr>
        <w:t xml:space="preserve">E. </w:t>
      </w:r>
      <w:proofErr w:type="spellStart"/>
      <w:r w:rsidRPr="003A2D00">
        <w:rPr>
          <w:rStyle w:val="Emphasis"/>
        </w:rPr>
        <w:t>faecium</w:t>
      </w:r>
      <w:proofErr w:type="spellEnd"/>
      <w:r w:rsidRPr="003A2D00">
        <w:t xml:space="preserve"> </w:t>
      </w:r>
      <w:r w:rsidR="00D051B0" w:rsidRPr="003A2D00">
        <w:t xml:space="preserve">(both gram-positive bacteria) </w:t>
      </w:r>
      <w:r w:rsidRPr="003A2D00">
        <w:t>are high to very high in Australia compared with other</w:t>
      </w:r>
      <w:r w:rsidR="00003719" w:rsidRPr="003A2D00">
        <w:t xml:space="preserve"> countries (see Figure</w:t>
      </w:r>
      <w:r w:rsidR="000E5DD5" w:rsidRPr="003A2D00">
        <w:t> </w:t>
      </w:r>
      <w:r w:rsidR="008704A6" w:rsidRPr="003A2D00">
        <w:t>9</w:t>
      </w:r>
      <w:r w:rsidRPr="003A2D00">
        <w:t>). The reasons for this are not clear, but it is likely that the drivers of resistance in gram-negative and gram-positive bacteria are different.</w:t>
      </w:r>
    </w:p>
    <w:p w14:paraId="643FC092" w14:textId="3D05A8E9" w:rsidR="00723419" w:rsidRPr="003A2D00" w:rsidRDefault="000E5DD5" w:rsidP="00723419">
      <w:pPr>
        <w:pStyle w:val="FigureName"/>
      </w:pPr>
      <w:bookmarkStart w:id="29" w:name="_Toc444512688"/>
      <w:r w:rsidRPr="003A2D00">
        <w:lastRenderedPageBreak/>
        <w:t>Figure </w:t>
      </w:r>
      <w:r w:rsidR="008704A6" w:rsidRPr="003A2D00">
        <w:t>9</w:t>
      </w:r>
      <w:r w:rsidR="00723419" w:rsidRPr="003A2D00">
        <w:tab/>
        <w:t xml:space="preserve">Vancomycin resistance in </w:t>
      </w:r>
      <w:r w:rsidR="00723419" w:rsidRPr="003A2D00">
        <w:rPr>
          <w:rStyle w:val="Emphasis"/>
        </w:rPr>
        <w:t xml:space="preserve">Enterococcus </w:t>
      </w:r>
      <w:proofErr w:type="spellStart"/>
      <w:r w:rsidR="00723419" w:rsidRPr="003A2D00">
        <w:rPr>
          <w:rStyle w:val="Emphasis"/>
        </w:rPr>
        <w:t>faecium</w:t>
      </w:r>
      <w:proofErr w:type="spellEnd"/>
      <w:r w:rsidR="00723419" w:rsidRPr="003A2D00">
        <w:rPr>
          <w:rStyle w:val="Emphasis"/>
        </w:rPr>
        <w:t xml:space="preserve"> </w:t>
      </w:r>
      <w:r w:rsidR="00723419" w:rsidRPr="003A2D00">
        <w:t>in Australia and European countries, 2014</w:t>
      </w:r>
      <w:bookmarkEnd w:id="29"/>
    </w:p>
    <w:p w14:paraId="7CCB7F38" w14:textId="77777777" w:rsidR="00723419" w:rsidRPr="003A2D00" w:rsidRDefault="00464D65" w:rsidP="00723419">
      <w:r w:rsidRPr="003A2D00">
        <w:rPr>
          <w:noProof/>
          <w:lang w:val="en-US" w:eastAsia="en-US"/>
        </w:rPr>
        <w:drawing>
          <wp:inline distT="0" distB="0" distL="0" distR="0" wp14:anchorId="2257D4F6" wp14:editId="538F5EC9">
            <wp:extent cx="5731510" cy="6856095"/>
            <wp:effectExtent l="0" t="0" r="0" b="1905"/>
            <wp:docPr id="19" name="Picture 19" descr="Bar chart showing Australia has the highest rate of resistance (45.3%) compared with 30 European countries. Estonia, Finland, Iceland and Malta all have the lowest (0%), and Ireland is the second highest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5.13-01.png"/>
                    <pic:cNvPicPr/>
                  </pic:nvPicPr>
                  <pic:blipFill>
                    <a:blip r:embed="rId23">
                      <a:extLst>
                        <a:ext uri="{28A0092B-C50C-407E-A947-70E740481C1C}">
                          <a14:useLocalDpi xmlns:a14="http://schemas.microsoft.com/office/drawing/2010/main" val="0"/>
                        </a:ext>
                      </a:extLst>
                    </a:blip>
                    <a:stretch>
                      <a:fillRect/>
                    </a:stretch>
                  </pic:blipFill>
                  <pic:spPr>
                    <a:xfrm>
                      <a:off x="0" y="0"/>
                      <a:ext cx="5731510" cy="6856095"/>
                    </a:xfrm>
                    <a:prstGeom prst="rect">
                      <a:avLst/>
                    </a:prstGeom>
                  </pic:spPr>
                </pic:pic>
              </a:graphicData>
            </a:graphic>
          </wp:inline>
        </w:drawing>
      </w:r>
    </w:p>
    <w:p w14:paraId="25DC93E9" w14:textId="77777777" w:rsidR="00723419" w:rsidRPr="003A2D00" w:rsidRDefault="00464D65" w:rsidP="00723419">
      <w:pPr>
        <w:pStyle w:val="TFNoteSourceSpace"/>
      </w:pPr>
      <w:r w:rsidRPr="003A2D00">
        <w:t>Sources: Australian Group on Antimicrobial Resistance, 2014; EARS-Net, 2014 (Polish data is from 2013)</w:t>
      </w:r>
    </w:p>
    <w:p w14:paraId="1A232232" w14:textId="77777777" w:rsidR="00014ED3" w:rsidRPr="003A2D00" w:rsidRDefault="00A20473" w:rsidP="00014ED3">
      <w:pPr>
        <w:pStyle w:val="Heading1"/>
      </w:pPr>
      <w:bookmarkStart w:id="30" w:name="_Toc452639784"/>
      <w:r w:rsidRPr="003A2D00">
        <w:lastRenderedPageBreak/>
        <w:t>Using information for action</w:t>
      </w:r>
      <w:bookmarkEnd w:id="30"/>
    </w:p>
    <w:p w14:paraId="50E395C1" w14:textId="77777777" w:rsidR="00014ED3" w:rsidRPr="003A2D00" w:rsidRDefault="00014ED3" w:rsidP="00014ED3">
      <w:pPr>
        <w:pStyle w:val="BoxName"/>
      </w:pPr>
      <w:bookmarkStart w:id="31" w:name="_Toc452639785"/>
      <w:r w:rsidRPr="003A2D00">
        <w:t>Key messages</w:t>
      </w:r>
      <w:bookmarkEnd w:id="31"/>
    </w:p>
    <w:p w14:paraId="45F4F2CA" w14:textId="63767E89" w:rsidR="00014ED3" w:rsidRPr="003A2D00" w:rsidRDefault="00014ED3" w:rsidP="00014ED3">
      <w:pPr>
        <w:pStyle w:val="BoxBullet"/>
      </w:pPr>
      <w:r w:rsidRPr="003A2D00">
        <w:t xml:space="preserve">Effective surveillance systems should be more than just data collections – they should also provide meaningful and accessible information </w:t>
      </w:r>
      <w:r w:rsidR="003858F3" w:rsidRPr="003A2D00">
        <w:t xml:space="preserve">so that </w:t>
      </w:r>
      <w:r w:rsidRPr="003A2D00">
        <w:t xml:space="preserve">actions </w:t>
      </w:r>
      <w:r w:rsidR="003858F3" w:rsidRPr="003A2D00">
        <w:t xml:space="preserve">can be taken </w:t>
      </w:r>
      <w:r w:rsidRPr="003A2D00">
        <w:t xml:space="preserve">to prevent and contain </w:t>
      </w:r>
      <w:r w:rsidR="00003719" w:rsidRPr="003A2D00">
        <w:t>AMR</w:t>
      </w:r>
      <w:r w:rsidRPr="003A2D00">
        <w:t>.</w:t>
      </w:r>
    </w:p>
    <w:p w14:paraId="61131BE1" w14:textId="61929731" w:rsidR="00014ED3" w:rsidRPr="003A2D00" w:rsidRDefault="00014ED3" w:rsidP="00014ED3">
      <w:pPr>
        <w:pStyle w:val="BoxBullet"/>
      </w:pPr>
      <w:r w:rsidRPr="003A2D00">
        <w:t xml:space="preserve">AURA 2016 provides valuable data and comprehensive analyses of </w:t>
      </w:r>
      <w:r w:rsidR="00003719" w:rsidRPr="003A2D00">
        <w:t>AMR</w:t>
      </w:r>
      <w:r w:rsidRPr="003A2D00">
        <w:t xml:space="preserve">, </w:t>
      </w:r>
      <w:r w:rsidR="00003719" w:rsidRPr="003A2D00">
        <w:t>AU</w:t>
      </w:r>
      <w:r w:rsidRPr="003A2D00">
        <w:t xml:space="preserve"> and appropriateness of prescribing in Australia, and sets a baseline that will allow </w:t>
      </w:r>
      <w:r w:rsidR="00003719" w:rsidRPr="003A2D00">
        <w:t>trends in AMR and AU</w:t>
      </w:r>
      <w:r w:rsidRPr="003A2D00">
        <w:t xml:space="preserve"> to be monitored over time. </w:t>
      </w:r>
    </w:p>
    <w:p w14:paraId="3521612D" w14:textId="587A055E" w:rsidR="00014ED3" w:rsidRPr="003A2D00" w:rsidRDefault="00472AD5" w:rsidP="00014ED3">
      <w:pPr>
        <w:pStyle w:val="BoxBullet"/>
      </w:pPr>
      <w:r w:rsidRPr="003A2D00">
        <w:t>AURA 2016</w:t>
      </w:r>
      <w:r w:rsidR="00014ED3" w:rsidRPr="003A2D00">
        <w:t xml:space="preserve"> highlights areas where additional work would improve understanding and inform further action. The Australian Commission on Safety and Quality in Health Care, in partnership with a number of organisations and the jurisdictions, is undertaking a range of activities to strengthen the </w:t>
      </w:r>
      <w:r w:rsidR="00996BEF" w:rsidRPr="003A2D00">
        <w:t>AURA</w:t>
      </w:r>
      <w:r w:rsidR="00014ED3" w:rsidRPr="003A2D00">
        <w:t xml:space="preserve"> Surveillance System.</w:t>
      </w:r>
    </w:p>
    <w:p w14:paraId="5C99DE67" w14:textId="5C2CCB7A" w:rsidR="00014ED3" w:rsidRPr="003A2D00" w:rsidRDefault="00014ED3" w:rsidP="00014ED3">
      <w:pPr>
        <w:pStyle w:val="BoxBullet"/>
      </w:pPr>
      <w:r w:rsidRPr="003A2D00">
        <w:t xml:space="preserve">A national alert system for critical </w:t>
      </w:r>
      <w:r w:rsidR="00682A17" w:rsidRPr="003A2D00">
        <w:t xml:space="preserve">antimicrobial resistances </w:t>
      </w:r>
      <w:r w:rsidR="002A5544" w:rsidRPr="003A2D00">
        <w:t>was</w:t>
      </w:r>
      <w:r w:rsidRPr="003A2D00">
        <w:t xml:space="preserve"> established in</w:t>
      </w:r>
      <w:r w:rsidR="002A5544" w:rsidRPr="003A2D00">
        <w:t xml:space="preserve"> March</w:t>
      </w:r>
      <w:r w:rsidRPr="003A2D00">
        <w:t xml:space="preserve"> 2016.</w:t>
      </w:r>
    </w:p>
    <w:p w14:paraId="15F5F435" w14:textId="77777777" w:rsidR="00014ED3" w:rsidRPr="003A2D00" w:rsidRDefault="00014ED3" w:rsidP="00014ED3">
      <w:pPr>
        <w:pStyle w:val="BoxBullet"/>
      </w:pPr>
      <w:r w:rsidRPr="003A2D00">
        <w:t>Future AURA reports will continue to improve and expand in line with the development of the AURA Surveillance System, the implementation of the National Antimicrobial Resistance Strategy, and the achievement of a better understanding of where investment in research and data collection is most valuable.</w:t>
      </w:r>
    </w:p>
    <w:p w14:paraId="5FF66E7A" w14:textId="73F50BF7" w:rsidR="003D56FE" w:rsidRPr="003A2D00" w:rsidRDefault="003D56FE" w:rsidP="003858F3">
      <w:pPr>
        <w:rPr>
          <w:rStyle w:val="Superscript"/>
        </w:rPr>
      </w:pPr>
      <w:r w:rsidRPr="003A2D00">
        <w:t xml:space="preserve">Under the National Safety and Quality Health Service Standards, Standard 3: Preventing and Controlling Healthcare Associated Infections requires healthcare organisations to monitor patterns of </w:t>
      </w:r>
      <w:r w:rsidR="00003719" w:rsidRPr="003A2D00">
        <w:t>AU</w:t>
      </w:r>
      <w:r w:rsidRPr="003A2D00">
        <w:t xml:space="preserve"> locally, and use this information to guide antimicrobial stewardship practices, as well as meet infection control requirements.</w:t>
      </w:r>
      <w:r w:rsidR="00555D9B" w:rsidRPr="003A2D00">
        <w:rPr>
          <w:rStyle w:val="Superscript"/>
        </w:rPr>
        <w:t>7</w:t>
      </w:r>
    </w:p>
    <w:p w14:paraId="0BF92546" w14:textId="493CA665" w:rsidR="00436A1F" w:rsidRPr="003A2D00" w:rsidRDefault="003D56FE" w:rsidP="003858F3">
      <w:r w:rsidRPr="003A2D00">
        <w:t>Information from n</w:t>
      </w:r>
      <w:r w:rsidR="00436A1F" w:rsidRPr="003A2D00">
        <w:t>ational surveillance can be used at every level</w:t>
      </w:r>
      <w:r w:rsidRPr="003A2D00">
        <w:t xml:space="preserve"> in the health system to take action to ensure effective and efficient use of antimicrobials (Table </w:t>
      </w:r>
      <w:r w:rsidR="008704A6" w:rsidRPr="003A2D00">
        <w:t>2</w:t>
      </w:r>
      <w:r w:rsidRPr="003A2D00">
        <w:t>).</w:t>
      </w:r>
    </w:p>
    <w:p w14:paraId="7017B7EF" w14:textId="36C8473C" w:rsidR="003D56FE" w:rsidRPr="003A2D00" w:rsidRDefault="003D56FE" w:rsidP="003D56FE">
      <w:pPr>
        <w:pStyle w:val="TableName"/>
      </w:pPr>
      <w:r w:rsidRPr="003A2D00">
        <w:lastRenderedPageBreak/>
        <w:t xml:space="preserve">Table </w:t>
      </w:r>
      <w:r w:rsidR="008704A6" w:rsidRPr="003A2D00">
        <w:t>2</w:t>
      </w:r>
      <w:r w:rsidRPr="003A2D00">
        <w:tab/>
        <w:t>Uses and outcomes of national surveillance of antimicrobial use and resistance at different health system levels</w:t>
      </w:r>
    </w:p>
    <w:tbl>
      <w:tblPr>
        <w:tblStyle w:val="TableGrid"/>
        <w:tblW w:w="0" w:type="auto"/>
        <w:tblLook w:val="04A0" w:firstRow="1" w:lastRow="0" w:firstColumn="1" w:lastColumn="0" w:noHBand="0" w:noVBand="1"/>
      </w:tblPr>
      <w:tblGrid>
        <w:gridCol w:w="1454"/>
        <w:gridCol w:w="4183"/>
        <w:gridCol w:w="3605"/>
      </w:tblGrid>
      <w:tr w:rsidR="003D56FE" w:rsidRPr="003A2D00" w14:paraId="337B2B97" w14:textId="77777777" w:rsidTr="00D71080">
        <w:trPr>
          <w:tblHeader/>
        </w:trPr>
        <w:tc>
          <w:tcPr>
            <w:tcW w:w="1454" w:type="dxa"/>
          </w:tcPr>
          <w:p w14:paraId="58F82CEE" w14:textId="77777777" w:rsidR="003D56FE" w:rsidRPr="003A2D00" w:rsidRDefault="003D56FE" w:rsidP="00BA5804">
            <w:pPr>
              <w:pStyle w:val="TableHeading"/>
            </w:pPr>
            <w:r w:rsidRPr="003A2D00">
              <w:t>Level</w:t>
            </w:r>
          </w:p>
        </w:tc>
        <w:tc>
          <w:tcPr>
            <w:tcW w:w="4183" w:type="dxa"/>
          </w:tcPr>
          <w:p w14:paraId="43E08FE3" w14:textId="77777777" w:rsidR="003D56FE" w:rsidRPr="003A2D00" w:rsidRDefault="003D56FE" w:rsidP="00BA5804">
            <w:pPr>
              <w:pStyle w:val="TableHeading"/>
            </w:pPr>
            <w:r w:rsidRPr="003A2D00">
              <w:t>Use of surveillance data</w:t>
            </w:r>
          </w:p>
        </w:tc>
        <w:tc>
          <w:tcPr>
            <w:tcW w:w="3605" w:type="dxa"/>
          </w:tcPr>
          <w:p w14:paraId="18FCC0BF" w14:textId="77777777" w:rsidR="003D56FE" w:rsidRPr="003A2D00" w:rsidRDefault="003D56FE" w:rsidP="00BA5804">
            <w:pPr>
              <w:pStyle w:val="TableHeading"/>
            </w:pPr>
            <w:r w:rsidRPr="003A2D00">
              <w:t>Impact or outcome</w:t>
            </w:r>
          </w:p>
        </w:tc>
      </w:tr>
      <w:tr w:rsidR="003D56FE" w:rsidRPr="003A2D00" w14:paraId="39DB3FE5" w14:textId="77777777" w:rsidTr="00BA5804">
        <w:tc>
          <w:tcPr>
            <w:tcW w:w="1454" w:type="dxa"/>
          </w:tcPr>
          <w:p w14:paraId="17440F48" w14:textId="77777777" w:rsidR="003D56FE" w:rsidRPr="003A2D00" w:rsidRDefault="003D56FE" w:rsidP="00BA5804">
            <w:pPr>
              <w:pStyle w:val="TableText"/>
            </w:pPr>
            <w:r w:rsidRPr="003A2D00">
              <w:t>Global</w:t>
            </w:r>
          </w:p>
        </w:tc>
        <w:tc>
          <w:tcPr>
            <w:tcW w:w="4183" w:type="dxa"/>
          </w:tcPr>
          <w:p w14:paraId="290B0550" w14:textId="77777777" w:rsidR="003D56FE" w:rsidRPr="003A2D00" w:rsidRDefault="003D56FE" w:rsidP="0054243F">
            <w:pPr>
              <w:pStyle w:val="TableBullet"/>
            </w:pPr>
            <w:r w:rsidRPr="003A2D00">
              <w:t>Inform strategies to prevent and contain antimicrobial resistance, including the response to the Global Action Plan</w:t>
            </w:r>
            <w:r w:rsidR="007136AD" w:rsidRPr="003A2D00">
              <w:t xml:space="preserve"> on Antimicrobial Resistance</w:t>
            </w:r>
          </w:p>
        </w:tc>
        <w:tc>
          <w:tcPr>
            <w:tcW w:w="3605" w:type="dxa"/>
          </w:tcPr>
          <w:p w14:paraId="26D7A4D5" w14:textId="77777777" w:rsidR="003D56FE" w:rsidRPr="003A2D00" w:rsidRDefault="003D56FE" w:rsidP="0054243F">
            <w:pPr>
              <w:pStyle w:val="TableBullet"/>
            </w:pPr>
            <w:r w:rsidRPr="003A2D00">
              <w:t>Coordinated efforts</w:t>
            </w:r>
            <w:r w:rsidR="007136AD" w:rsidRPr="003A2D00">
              <w:t xml:space="preserve"> internationally</w:t>
            </w:r>
            <w:r w:rsidRPr="003A2D00">
              <w:t>; avoidance of duplication of effort and inefficient use of resources</w:t>
            </w:r>
          </w:p>
        </w:tc>
      </w:tr>
      <w:tr w:rsidR="003D56FE" w:rsidRPr="003A2D00" w14:paraId="0A662C56" w14:textId="77777777" w:rsidTr="00BA5804">
        <w:tc>
          <w:tcPr>
            <w:tcW w:w="1454" w:type="dxa"/>
          </w:tcPr>
          <w:p w14:paraId="2B2EF6BB" w14:textId="77777777" w:rsidR="003D56FE" w:rsidRPr="003A2D00" w:rsidRDefault="003D56FE" w:rsidP="00BA5804">
            <w:pPr>
              <w:pStyle w:val="TableText"/>
            </w:pPr>
            <w:r w:rsidRPr="003A2D00">
              <w:t>National</w:t>
            </w:r>
          </w:p>
        </w:tc>
        <w:tc>
          <w:tcPr>
            <w:tcW w:w="4183" w:type="dxa"/>
          </w:tcPr>
          <w:p w14:paraId="43BC22CC" w14:textId="77777777" w:rsidR="003D56FE" w:rsidRPr="003A2D00" w:rsidRDefault="003D56FE" w:rsidP="0054243F">
            <w:pPr>
              <w:pStyle w:val="TableBullet"/>
            </w:pPr>
            <w:r w:rsidRPr="003A2D00">
              <w:t>Inform policy and program development</w:t>
            </w:r>
          </w:p>
          <w:p w14:paraId="238FD529" w14:textId="77777777" w:rsidR="003D56FE" w:rsidRPr="003A2D00" w:rsidRDefault="003D56FE" w:rsidP="0054243F">
            <w:pPr>
              <w:pStyle w:val="TableBullet"/>
            </w:pPr>
            <w:r w:rsidRPr="003A2D00">
              <w:t>Develop and revise guidelines</w:t>
            </w:r>
          </w:p>
          <w:p w14:paraId="5FF152B2" w14:textId="77777777" w:rsidR="003D56FE" w:rsidRPr="003A2D00" w:rsidRDefault="003D56FE" w:rsidP="0054243F">
            <w:pPr>
              <w:pStyle w:val="TableBullet"/>
            </w:pPr>
            <w:r w:rsidRPr="003A2D00">
              <w:t>Inform public health priorities</w:t>
            </w:r>
          </w:p>
          <w:p w14:paraId="47FE5779" w14:textId="77777777" w:rsidR="003D56FE" w:rsidRPr="003A2D00" w:rsidRDefault="003D56FE" w:rsidP="0054243F">
            <w:pPr>
              <w:pStyle w:val="TableBullet"/>
            </w:pPr>
            <w:r w:rsidRPr="003A2D00">
              <w:t>Inform regulatory decisions</w:t>
            </w:r>
          </w:p>
          <w:p w14:paraId="036E8A83" w14:textId="77777777" w:rsidR="003D56FE" w:rsidRPr="003A2D00" w:rsidRDefault="003D56FE" w:rsidP="0054243F">
            <w:pPr>
              <w:pStyle w:val="TableBullet"/>
            </w:pPr>
            <w:r w:rsidRPr="003A2D00">
              <w:t>Coordinate, where necessary, the response to critical antimicrobial resistances</w:t>
            </w:r>
          </w:p>
        </w:tc>
        <w:tc>
          <w:tcPr>
            <w:tcW w:w="3605" w:type="dxa"/>
          </w:tcPr>
          <w:p w14:paraId="42C476FE" w14:textId="77777777" w:rsidR="003D56FE" w:rsidRPr="003A2D00" w:rsidRDefault="003D56FE" w:rsidP="0054243F">
            <w:pPr>
              <w:pStyle w:val="TableBullet"/>
            </w:pPr>
            <w:r w:rsidRPr="003A2D00">
              <w:t>Coordinated and integrated efforts across Australia</w:t>
            </w:r>
          </w:p>
          <w:p w14:paraId="0615B8FB" w14:textId="77777777" w:rsidR="003D56FE" w:rsidRPr="003A2D00" w:rsidRDefault="007136AD" w:rsidP="0054243F">
            <w:pPr>
              <w:pStyle w:val="TableBullet"/>
            </w:pPr>
            <w:r w:rsidRPr="003A2D00">
              <w:t>Increased awareness of antimicrobial resistance and One Health approach</w:t>
            </w:r>
            <w:r w:rsidR="003D56FE" w:rsidRPr="003A2D00">
              <w:t xml:space="preserve"> </w:t>
            </w:r>
          </w:p>
        </w:tc>
      </w:tr>
      <w:tr w:rsidR="003D56FE" w:rsidRPr="003A2D00" w14:paraId="13ECCCAE" w14:textId="77777777" w:rsidTr="00BA5804">
        <w:tc>
          <w:tcPr>
            <w:tcW w:w="1454" w:type="dxa"/>
          </w:tcPr>
          <w:p w14:paraId="0CBF86BC" w14:textId="77777777" w:rsidR="003D56FE" w:rsidRPr="003A2D00" w:rsidRDefault="007136AD" w:rsidP="00BA5804">
            <w:pPr>
              <w:pStyle w:val="TableText"/>
            </w:pPr>
            <w:r w:rsidRPr="003A2D00">
              <w:t>State and territory</w:t>
            </w:r>
          </w:p>
        </w:tc>
        <w:tc>
          <w:tcPr>
            <w:tcW w:w="4183" w:type="dxa"/>
          </w:tcPr>
          <w:p w14:paraId="2AA08336" w14:textId="77777777" w:rsidR="003D56FE" w:rsidRPr="003A2D00" w:rsidRDefault="003D56FE" w:rsidP="0054243F">
            <w:pPr>
              <w:pStyle w:val="TableBullet"/>
            </w:pPr>
            <w:r w:rsidRPr="003A2D00">
              <w:t>Inform policy and program development</w:t>
            </w:r>
          </w:p>
          <w:p w14:paraId="6AD668D6" w14:textId="77777777" w:rsidR="003D56FE" w:rsidRPr="003A2D00" w:rsidRDefault="003D56FE" w:rsidP="0054243F">
            <w:pPr>
              <w:pStyle w:val="TableBullet"/>
            </w:pPr>
            <w:r w:rsidRPr="003A2D00">
              <w:t>Develop and revise guidelines</w:t>
            </w:r>
          </w:p>
          <w:p w14:paraId="3E80B8C0" w14:textId="77777777" w:rsidR="003D56FE" w:rsidRPr="003A2D00" w:rsidRDefault="003D56FE" w:rsidP="0054243F">
            <w:pPr>
              <w:pStyle w:val="TableBullet"/>
            </w:pPr>
            <w:r w:rsidRPr="003A2D00">
              <w:t>Inform public health priorities</w:t>
            </w:r>
          </w:p>
          <w:p w14:paraId="6B3C83E0" w14:textId="77777777" w:rsidR="003D56FE" w:rsidRPr="003A2D00" w:rsidRDefault="003D56FE" w:rsidP="0054243F">
            <w:pPr>
              <w:pStyle w:val="TableBullet"/>
            </w:pPr>
            <w:r w:rsidRPr="003A2D00">
              <w:t>Inform regulatory decisions</w:t>
            </w:r>
          </w:p>
          <w:p w14:paraId="0B9C1852" w14:textId="77777777" w:rsidR="003D56FE" w:rsidRPr="003A2D00" w:rsidRDefault="003D56FE" w:rsidP="0054243F">
            <w:pPr>
              <w:pStyle w:val="TableBullet"/>
            </w:pPr>
            <w:r w:rsidRPr="003A2D00">
              <w:t>Detect and respond to critical antimicrobial resistances and outbreaks</w:t>
            </w:r>
          </w:p>
        </w:tc>
        <w:tc>
          <w:tcPr>
            <w:tcW w:w="3605" w:type="dxa"/>
          </w:tcPr>
          <w:p w14:paraId="7E5DC3A6" w14:textId="77777777" w:rsidR="003D56FE" w:rsidRPr="003A2D00" w:rsidRDefault="003D56FE" w:rsidP="0054243F">
            <w:pPr>
              <w:pStyle w:val="TableBullet"/>
            </w:pPr>
            <w:r w:rsidRPr="003A2D00">
              <w:t xml:space="preserve">Improved </w:t>
            </w:r>
            <w:r w:rsidR="007136AD" w:rsidRPr="003A2D00">
              <w:t>knowledge of local antimicrobial resistance profiles</w:t>
            </w:r>
          </w:p>
          <w:p w14:paraId="6E27AA8B" w14:textId="77777777" w:rsidR="003D56FE" w:rsidRPr="003A2D00" w:rsidRDefault="003D56FE" w:rsidP="0054243F">
            <w:pPr>
              <w:pStyle w:val="TableBullet"/>
            </w:pPr>
            <w:r w:rsidRPr="003A2D00">
              <w:t>Timely response to emerging resistance</w:t>
            </w:r>
          </w:p>
          <w:p w14:paraId="02C67E6D" w14:textId="77777777" w:rsidR="003D56FE" w:rsidRPr="003A2D00" w:rsidRDefault="003D56FE" w:rsidP="0054243F">
            <w:pPr>
              <w:pStyle w:val="TableBullet"/>
            </w:pPr>
            <w:r w:rsidRPr="003A2D00">
              <w:t>Appropriate and effective use of antimicrobials</w:t>
            </w:r>
          </w:p>
        </w:tc>
      </w:tr>
      <w:tr w:rsidR="003D56FE" w:rsidRPr="003A2D00" w14:paraId="1D91BD44" w14:textId="77777777" w:rsidTr="00BA5804">
        <w:tc>
          <w:tcPr>
            <w:tcW w:w="1454" w:type="dxa"/>
          </w:tcPr>
          <w:p w14:paraId="7E74E1B6" w14:textId="77777777" w:rsidR="003D56FE" w:rsidRPr="003A2D00" w:rsidRDefault="003D56FE" w:rsidP="00BA5804">
            <w:pPr>
              <w:pStyle w:val="TableText"/>
            </w:pPr>
            <w:r w:rsidRPr="003A2D00">
              <w:t>Healthcare services</w:t>
            </w:r>
          </w:p>
        </w:tc>
        <w:tc>
          <w:tcPr>
            <w:tcW w:w="4183" w:type="dxa"/>
          </w:tcPr>
          <w:p w14:paraId="6504044B" w14:textId="77777777" w:rsidR="003D56FE" w:rsidRPr="003A2D00" w:rsidRDefault="003D56FE" w:rsidP="0054243F">
            <w:pPr>
              <w:pStyle w:val="TableBullet"/>
            </w:pPr>
            <w:r w:rsidRPr="003A2D00">
              <w:t>Inform clinical practice</w:t>
            </w:r>
          </w:p>
          <w:p w14:paraId="662590C7" w14:textId="77777777" w:rsidR="003D56FE" w:rsidRPr="003A2D00" w:rsidRDefault="003D56FE" w:rsidP="0054243F">
            <w:pPr>
              <w:pStyle w:val="TableBullet"/>
            </w:pPr>
            <w:r w:rsidRPr="003A2D00">
              <w:t>Inform policy development</w:t>
            </w:r>
          </w:p>
          <w:p w14:paraId="4A3012D6" w14:textId="77777777" w:rsidR="003D56FE" w:rsidRPr="003A2D00" w:rsidRDefault="003D56FE" w:rsidP="0054243F">
            <w:pPr>
              <w:pStyle w:val="TableBullet"/>
            </w:pPr>
            <w:r w:rsidRPr="003A2D00">
              <w:t>Develop local strategies to improve antimicrobial stewardship</w:t>
            </w:r>
          </w:p>
          <w:p w14:paraId="314F6ED7" w14:textId="77777777" w:rsidR="003D56FE" w:rsidRPr="003A2D00" w:rsidRDefault="003D56FE" w:rsidP="0054243F">
            <w:pPr>
              <w:pStyle w:val="TableBullet"/>
            </w:pPr>
            <w:r w:rsidRPr="003A2D00">
              <w:t>Detect and respond to outbreaks of resistant organisms</w:t>
            </w:r>
          </w:p>
        </w:tc>
        <w:tc>
          <w:tcPr>
            <w:tcW w:w="3605" w:type="dxa"/>
          </w:tcPr>
          <w:p w14:paraId="4F5BF271" w14:textId="77777777" w:rsidR="003D56FE" w:rsidRPr="003A2D00" w:rsidRDefault="003D56FE" w:rsidP="0054243F">
            <w:pPr>
              <w:pStyle w:val="TableBullet"/>
            </w:pPr>
            <w:r w:rsidRPr="003A2D00">
              <w:t>Appropriate and effective use of antimicrobials</w:t>
            </w:r>
          </w:p>
          <w:p w14:paraId="1570A5B5" w14:textId="77777777" w:rsidR="003D56FE" w:rsidRPr="003A2D00" w:rsidRDefault="003D56FE" w:rsidP="0054243F">
            <w:pPr>
              <w:pStyle w:val="TableBullet"/>
            </w:pPr>
            <w:r w:rsidRPr="003A2D00">
              <w:t>Improved capacity for timely response to emerging resistance</w:t>
            </w:r>
          </w:p>
        </w:tc>
      </w:tr>
      <w:tr w:rsidR="003D56FE" w:rsidRPr="003A2D00" w14:paraId="575DA553" w14:textId="77777777" w:rsidTr="00BA5804">
        <w:tc>
          <w:tcPr>
            <w:tcW w:w="1454" w:type="dxa"/>
          </w:tcPr>
          <w:p w14:paraId="7B168921" w14:textId="77777777" w:rsidR="003D56FE" w:rsidRPr="003A2D00" w:rsidRDefault="003D56FE" w:rsidP="00BA5804">
            <w:pPr>
              <w:pStyle w:val="TableText"/>
            </w:pPr>
            <w:r w:rsidRPr="003A2D00">
              <w:t>Individual</w:t>
            </w:r>
          </w:p>
        </w:tc>
        <w:tc>
          <w:tcPr>
            <w:tcW w:w="4183" w:type="dxa"/>
          </w:tcPr>
          <w:p w14:paraId="2A97B65E" w14:textId="77777777" w:rsidR="003D56FE" w:rsidRPr="003A2D00" w:rsidRDefault="003D56FE" w:rsidP="0054243F">
            <w:pPr>
              <w:pStyle w:val="TableBullet"/>
            </w:pPr>
            <w:r w:rsidRPr="003A2D00">
              <w:t>Raise awareness of appropriate use in the community</w:t>
            </w:r>
          </w:p>
        </w:tc>
        <w:tc>
          <w:tcPr>
            <w:tcW w:w="3605" w:type="dxa"/>
          </w:tcPr>
          <w:p w14:paraId="193C05E6" w14:textId="77777777" w:rsidR="003D56FE" w:rsidRPr="003A2D00" w:rsidRDefault="003D56FE" w:rsidP="0054243F">
            <w:pPr>
              <w:pStyle w:val="TableBullet"/>
            </w:pPr>
            <w:r w:rsidRPr="003A2D00">
              <w:t>Appropriate use of antimicrobials as prescribed</w:t>
            </w:r>
          </w:p>
          <w:p w14:paraId="2EBB028D" w14:textId="77777777" w:rsidR="007136AD" w:rsidRPr="003A2D00" w:rsidRDefault="007136AD" w:rsidP="0054243F">
            <w:pPr>
              <w:pStyle w:val="TableBullet"/>
            </w:pPr>
            <w:r w:rsidRPr="003A2D00">
              <w:t>Decreased complications from unnecessary or inappropriate antimicrobial therapy</w:t>
            </w:r>
          </w:p>
        </w:tc>
      </w:tr>
    </w:tbl>
    <w:p w14:paraId="3DF7F480" w14:textId="77777777" w:rsidR="00AD0126" w:rsidRPr="003A2D00" w:rsidRDefault="00AD0126" w:rsidP="003858F3"/>
    <w:p w14:paraId="0E41A967" w14:textId="0946E6F6" w:rsidR="00472AD5" w:rsidRPr="003A2D00" w:rsidRDefault="00472AD5" w:rsidP="003858F3">
      <w:r w:rsidRPr="003A2D00">
        <w:t>AURA 2016 provides a baseline that will allow AU and AMR trends to be monitored over time. This will help to guide actions under the National Antimicrobial Resistance Strategy</w:t>
      </w:r>
      <w:r w:rsidR="00555D9B" w:rsidRPr="003A2D00">
        <w:rPr>
          <w:rStyle w:val="Superscript"/>
        </w:rPr>
        <w:t>8</w:t>
      </w:r>
      <w:r w:rsidRPr="003A2D00">
        <w:t xml:space="preserve"> to ensure that prevention and containment activities are targeted to best effect. As successive reports are released, the impact of specific strategies can also be tracked.</w:t>
      </w:r>
    </w:p>
    <w:p w14:paraId="080C7A56" w14:textId="6A615506" w:rsidR="007136AD" w:rsidRPr="003A2D00" w:rsidRDefault="00472AD5" w:rsidP="007136AD">
      <w:r w:rsidRPr="003A2D00">
        <w:t>AURA 2016 also shines a light on gaps in surveillance coverage; jurisdictional differences in data collection, analysis and reporting; and the use of different diagnostic systems for susceptibility testing as factors contributing to the currently fragmented picture of AMR and AU in Australia</w:t>
      </w:r>
      <w:r w:rsidR="003858F3" w:rsidRPr="003A2D00">
        <w:t>.</w:t>
      </w:r>
      <w:r w:rsidRPr="003A2D00">
        <w:t xml:space="preserve"> </w:t>
      </w:r>
    </w:p>
    <w:p w14:paraId="61BDE545" w14:textId="1234E4DB" w:rsidR="007136AD" w:rsidRPr="003A2D00" w:rsidRDefault="007136AD" w:rsidP="007136AD">
      <w:pPr>
        <w:pStyle w:val="NormalBeforeBullet"/>
      </w:pPr>
      <w:r w:rsidRPr="003A2D00">
        <w:t>AURA 2016</w:t>
      </w:r>
      <w:r w:rsidR="002A5544" w:rsidRPr="003A2D00">
        <w:t xml:space="preserve"> provides guidance on</w:t>
      </w:r>
      <w:r w:rsidRPr="003A2D00">
        <w:t xml:space="preserve"> future work in relation to surveillance</w:t>
      </w:r>
      <w:r w:rsidR="008704A6" w:rsidRPr="003A2D00">
        <w:t>,</w:t>
      </w:r>
      <w:r w:rsidRPr="003A2D00">
        <w:t xml:space="preserve"> </w:t>
      </w:r>
      <w:r w:rsidR="002A5544" w:rsidRPr="003A2D00">
        <w:t>such as:</w:t>
      </w:r>
    </w:p>
    <w:p w14:paraId="4D117277" w14:textId="123C542B" w:rsidR="007136AD" w:rsidRPr="003A2D00" w:rsidRDefault="007136AD" w:rsidP="007136AD">
      <w:pPr>
        <w:pStyle w:val="Bullet"/>
      </w:pPr>
      <w:r w:rsidRPr="003A2D00">
        <w:t>improv</w:t>
      </w:r>
      <w:r w:rsidR="002A5544" w:rsidRPr="003A2D00">
        <w:t>ing</w:t>
      </w:r>
      <w:r w:rsidRPr="003A2D00">
        <w:t xml:space="preserve"> data analysis and interpretation at the national level</w:t>
      </w:r>
    </w:p>
    <w:p w14:paraId="31611660" w14:textId="2F75A859" w:rsidR="007136AD" w:rsidRPr="003A2D00" w:rsidRDefault="007136AD" w:rsidP="007136AD">
      <w:pPr>
        <w:pStyle w:val="Bullet"/>
      </w:pPr>
      <w:r w:rsidRPr="003A2D00">
        <w:t>increas</w:t>
      </w:r>
      <w:r w:rsidR="002A5544" w:rsidRPr="003A2D00">
        <w:t>ing</w:t>
      </w:r>
      <w:r w:rsidRPr="003A2D00">
        <w:t xml:space="preserve"> data coverage across geographical areas (jurisdictional, urban, regional, rural and remote areas), patient settings (primary care, residential aged care and hospitals) and hospital types </w:t>
      </w:r>
    </w:p>
    <w:p w14:paraId="74A41DDD" w14:textId="4FC8370C" w:rsidR="007136AD" w:rsidRPr="003A2D00" w:rsidRDefault="007136AD" w:rsidP="007136AD">
      <w:pPr>
        <w:pStyle w:val="Bullet"/>
      </w:pPr>
      <w:r w:rsidRPr="003A2D00">
        <w:lastRenderedPageBreak/>
        <w:t>improv</w:t>
      </w:r>
      <w:r w:rsidR="002A5544" w:rsidRPr="003A2D00">
        <w:t>ing</w:t>
      </w:r>
      <w:r w:rsidRPr="003A2D00">
        <w:t xml:space="preserve"> data collection methods to allow better benchmarking and comparisons between hospitals</w:t>
      </w:r>
    </w:p>
    <w:p w14:paraId="571AA1F1" w14:textId="4EF4A398" w:rsidR="007136AD" w:rsidRPr="003A2D00" w:rsidRDefault="007136AD" w:rsidP="007136AD">
      <w:pPr>
        <w:pStyle w:val="Bullet"/>
      </w:pPr>
      <w:r w:rsidRPr="003A2D00">
        <w:t>increas</w:t>
      </w:r>
      <w:r w:rsidR="002A5544" w:rsidRPr="003A2D00">
        <w:t>ing</w:t>
      </w:r>
      <w:r w:rsidRPr="003A2D00">
        <w:t xml:space="preserve"> participation in national data collection surveys such as NAPS, NAUSP and </w:t>
      </w:r>
      <w:proofErr w:type="spellStart"/>
      <w:r w:rsidRPr="003A2D00">
        <w:t>acNAPS</w:t>
      </w:r>
      <w:proofErr w:type="spellEnd"/>
    </w:p>
    <w:p w14:paraId="33C381BA" w14:textId="10C5AE6C" w:rsidR="007136AD" w:rsidRPr="003A2D00" w:rsidRDefault="007136AD" w:rsidP="007136AD">
      <w:pPr>
        <w:pStyle w:val="Bullet"/>
      </w:pPr>
      <w:r w:rsidRPr="003A2D00">
        <w:t>improv</w:t>
      </w:r>
      <w:r w:rsidR="002A5544" w:rsidRPr="003A2D00">
        <w:t>ing</w:t>
      </w:r>
      <w:r w:rsidRPr="003A2D00">
        <w:t xml:space="preserve"> data collection and reporting of </w:t>
      </w:r>
      <w:r w:rsidR="00003719" w:rsidRPr="003A2D00">
        <w:t>AMR</w:t>
      </w:r>
      <w:r w:rsidRPr="003A2D00">
        <w:t xml:space="preserve"> in all jurisdictions</w:t>
      </w:r>
    </w:p>
    <w:p w14:paraId="6E549AFA" w14:textId="09A6141B" w:rsidR="007136AD" w:rsidRPr="003A2D00" w:rsidRDefault="007136AD" w:rsidP="007136AD">
      <w:pPr>
        <w:pStyle w:val="BulletLast"/>
      </w:pPr>
      <w:r w:rsidRPr="003A2D00">
        <w:t>continu</w:t>
      </w:r>
      <w:r w:rsidR="002A5544" w:rsidRPr="003A2D00">
        <w:t>ing</w:t>
      </w:r>
      <w:r w:rsidRPr="003A2D00">
        <w:t xml:space="preserve"> to monitor emerging resistances and changes in pa</w:t>
      </w:r>
      <w:r w:rsidR="00003719" w:rsidRPr="003A2D00">
        <w:t>tterns of resistance, and ensuring that</w:t>
      </w:r>
      <w:r w:rsidRPr="003A2D00">
        <w:t xml:space="preserve"> they can be rapidly identified and contained to prevent outbreaks.</w:t>
      </w:r>
    </w:p>
    <w:p w14:paraId="3ECA63EE" w14:textId="57DA546E" w:rsidR="00472AD5" w:rsidRPr="003A2D00" w:rsidRDefault="00472AD5" w:rsidP="00472AD5">
      <w:r w:rsidRPr="003A2D00">
        <w:t>The Commission has establish</w:t>
      </w:r>
      <w:r w:rsidR="007136AD" w:rsidRPr="003A2D00">
        <w:t>ed</w:t>
      </w:r>
      <w:r w:rsidRPr="003A2D00">
        <w:t xml:space="preserve"> a national alert system for </w:t>
      </w:r>
      <w:r w:rsidR="0082366A" w:rsidRPr="003A2D00">
        <w:t>critical antimicrobial r</w:t>
      </w:r>
      <w:r w:rsidR="002A5544" w:rsidRPr="003A2D00">
        <w:t>esistance</w:t>
      </w:r>
      <w:r w:rsidR="0082366A" w:rsidRPr="003A2D00">
        <w:t>s</w:t>
      </w:r>
      <w:r w:rsidR="002A5544" w:rsidRPr="003A2D00">
        <w:t>.</w:t>
      </w:r>
      <w:r w:rsidR="0020248C" w:rsidRPr="003A2D00">
        <w:t xml:space="preserve"> </w:t>
      </w:r>
      <w:r w:rsidRPr="003A2D00">
        <w:t xml:space="preserve">Although </w:t>
      </w:r>
      <w:r w:rsidR="00003719" w:rsidRPr="003A2D00">
        <w:t xml:space="preserve">critical antimicrobial resistances </w:t>
      </w:r>
      <w:r w:rsidRPr="003A2D00">
        <w:t>are not currently widespread in Australia, outbreaks have the potential to spread</w:t>
      </w:r>
      <w:r w:rsidR="00003719" w:rsidRPr="003A2D00">
        <w:t>,</w:t>
      </w:r>
      <w:r w:rsidRPr="003A2D00">
        <w:t xml:space="preserve"> and cause great harm to patients and the healthcare system.</w:t>
      </w:r>
    </w:p>
    <w:p w14:paraId="756865B8" w14:textId="7D15CF1F" w:rsidR="00300456" w:rsidRPr="003A2D00" w:rsidRDefault="00300456" w:rsidP="00300456">
      <w:pPr>
        <w:pStyle w:val="NormalBeforeBullet"/>
      </w:pPr>
      <w:r w:rsidRPr="003A2D00">
        <w:t xml:space="preserve">Other areas identified in AURA 2016 that </w:t>
      </w:r>
      <w:r w:rsidR="00A01E10" w:rsidRPr="003A2D00">
        <w:t xml:space="preserve">warrant further </w:t>
      </w:r>
      <w:r w:rsidR="002A5544" w:rsidRPr="003A2D00">
        <w:t xml:space="preserve">consideration are: </w:t>
      </w:r>
    </w:p>
    <w:p w14:paraId="41132FE4" w14:textId="77777777" w:rsidR="007136AD" w:rsidRPr="003A2D00" w:rsidRDefault="007136AD" w:rsidP="007136AD">
      <w:pPr>
        <w:pStyle w:val="Bullet"/>
      </w:pPr>
      <w:r w:rsidRPr="003A2D00">
        <w:t>assessing factors that drive variation in AU and prescribing across jurisdictions</w:t>
      </w:r>
    </w:p>
    <w:p w14:paraId="182114F9" w14:textId="77777777" w:rsidR="007136AD" w:rsidRPr="003A2D00" w:rsidRDefault="007136AD" w:rsidP="007136AD">
      <w:pPr>
        <w:pStyle w:val="Bullet"/>
      </w:pPr>
      <w:r w:rsidRPr="003A2D00">
        <w:t>improving appropriateness of prescribing in hospitals (particularly for surgical prophylaxis) and the community (particularly for upper respiratory tract infections)</w:t>
      </w:r>
    </w:p>
    <w:p w14:paraId="482E5173" w14:textId="77777777" w:rsidR="007136AD" w:rsidRPr="003A2D00" w:rsidRDefault="007136AD" w:rsidP="007136AD">
      <w:pPr>
        <w:pStyle w:val="Bullet"/>
      </w:pPr>
      <w:r w:rsidRPr="003A2D00">
        <w:t xml:space="preserve">advancing a response to the issue of inappropriate surgical prophylaxis </w:t>
      </w:r>
    </w:p>
    <w:p w14:paraId="33F77D13" w14:textId="77777777" w:rsidR="007136AD" w:rsidRPr="003A2D00" w:rsidRDefault="007136AD" w:rsidP="007136AD">
      <w:pPr>
        <w:pStyle w:val="BulletLast"/>
      </w:pPr>
      <w:r w:rsidRPr="003A2D00">
        <w:t>promoting the Antimicrobial Stewardship Clinical Care Standard in community and primary care.</w:t>
      </w:r>
    </w:p>
    <w:p w14:paraId="388602A4" w14:textId="5F2CE864" w:rsidR="007C539F" w:rsidRPr="003A2D00" w:rsidRDefault="007C539F" w:rsidP="007C539F">
      <w:r w:rsidRPr="003A2D00">
        <w:t xml:space="preserve">As successive </w:t>
      </w:r>
      <w:r w:rsidR="00C85D0C" w:rsidRPr="003A2D00">
        <w:t xml:space="preserve">AURA </w:t>
      </w:r>
      <w:r w:rsidRPr="003A2D00">
        <w:t>reports are released, the impact of specific strategies can also be tracked.</w:t>
      </w:r>
      <w:r w:rsidR="003858F3" w:rsidRPr="003A2D00">
        <w:t xml:space="preserve"> </w:t>
      </w:r>
      <w:r w:rsidR="00C85D0C" w:rsidRPr="003A2D00">
        <w:t xml:space="preserve">In addition, </w:t>
      </w:r>
      <w:r w:rsidR="00003719" w:rsidRPr="003A2D00">
        <w:t>AMR and AU</w:t>
      </w:r>
      <w:r w:rsidRPr="003A2D00">
        <w:t xml:space="preserve"> surveillance </w:t>
      </w:r>
      <w:r w:rsidR="00C85D0C" w:rsidRPr="003A2D00">
        <w:t xml:space="preserve">will be better integrated </w:t>
      </w:r>
      <w:r w:rsidRPr="003A2D00">
        <w:t xml:space="preserve">across jurisdictions and existing programs, to provide coordination of data and reports from a single, trusted source of information. Achieving these objectives will support the objectives of the National Strategy by informing strategic planning for coordinated and integrated action. </w:t>
      </w:r>
    </w:p>
    <w:p w14:paraId="08202506" w14:textId="105E5F35" w:rsidR="00300456" w:rsidRPr="003A2D00" w:rsidRDefault="00283CB6" w:rsidP="00300456">
      <w:r w:rsidRPr="003A2D00">
        <w:t>AURA 2016 is the first report of its kind in Australia. It is anticipated that regular reports will continue to be produced, with increasing capability to provide greater reach of surveillance, along with improved analyses and data reporting.</w:t>
      </w:r>
      <w:r w:rsidR="006172CE" w:rsidRPr="003A2D00">
        <w:t xml:space="preserve"> In turn, this will result in the prevention and containment of </w:t>
      </w:r>
      <w:r w:rsidR="00003719" w:rsidRPr="003A2D00">
        <w:t>AMR</w:t>
      </w:r>
      <w:r w:rsidR="006172CE" w:rsidRPr="003A2D00">
        <w:t>, and improved health outcomes for all Australians.</w:t>
      </w:r>
    </w:p>
    <w:p w14:paraId="7974A61A" w14:textId="0B152351" w:rsidR="00AD0126" w:rsidRPr="003A2D00" w:rsidRDefault="00AD0126" w:rsidP="00AD0126">
      <w:pPr>
        <w:pStyle w:val="Heading1"/>
      </w:pPr>
      <w:bookmarkStart w:id="32" w:name="_Toc452639786"/>
      <w:r w:rsidRPr="003A2D00">
        <w:lastRenderedPageBreak/>
        <w:t>References</w:t>
      </w:r>
      <w:bookmarkEnd w:id="32"/>
    </w:p>
    <w:p w14:paraId="672747A3" w14:textId="77777777" w:rsidR="00C805A6" w:rsidRPr="003A2D00" w:rsidRDefault="00C805A6" w:rsidP="00555D9B">
      <w:pPr>
        <w:pStyle w:val="References"/>
        <w:rPr>
          <w:noProof/>
        </w:rPr>
      </w:pPr>
      <w:bookmarkStart w:id="33" w:name="_ENREF_15"/>
      <w:r w:rsidRPr="003A2D00">
        <w:rPr>
          <w:noProof/>
        </w:rPr>
        <w:t>1.</w:t>
      </w:r>
      <w:r w:rsidRPr="003A2D00">
        <w:rPr>
          <w:noProof/>
        </w:rPr>
        <w:tab/>
        <w:t>Australian Commission on Safety and Quality in Health Care and SA Health. Antimicrobial use in hospitals: 2014 report of the National Antimicrobial Utilisation Surveillance Program. Sydney: ACSQHC, 2015.</w:t>
      </w:r>
      <w:bookmarkEnd w:id="33"/>
    </w:p>
    <w:p w14:paraId="26C8A497" w14:textId="7A5EF0F2" w:rsidR="00C805A6" w:rsidRPr="003A2D00" w:rsidRDefault="00C805A6" w:rsidP="00555D9B">
      <w:pPr>
        <w:pStyle w:val="References"/>
        <w:rPr>
          <w:noProof/>
        </w:rPr>
      </w:pPr>
      <w:r w:rsidRPr="003A2D00">
        <w:rPr>
          <w:noProof/>
        </w:rPr>
        <w:t>2.</w:t>
      </w:r>
      <w:r w:rsidRPr="003A2D00">
        <w:rPr>
          <w:noProof/>
        </w:rPr>
        <w:tab/>
        <w:t>Australian Commission on Safety and Quality in Health Care. Antimicrobial prescribing practice in Australian hospitals: results of the 2014 National Antimicrobial Prescribing Survey. Sydney: ACSQHC, 2015.</w:t>
      </w:r>
    </w:p>
    <w:p w14:paraId="7CF8F1AD" w14:textId="755C6870" w:rsidR="00C805A6" w:rsidRPr="003A2D00" w:rsidRDefault="00C805A6" w:rsidP="00555D9B">
      <w:pPr>
        <w:pStyle w:val="References"/>
        <w:rPr>
          <w:noProof/>
        </w:rPr>
      </w:pPr>
      <w:r w:rsidRPr="003A2D00">
        <w:rPr>
          <w:noProof/>
        </w:rPr>
        <w:t>3.</w:t>
      </w:r>
      <w:r w:rsidRPr="003A2D00">
        <w:rPr>
          <w:noProof/>
        </w:rPr>
        <w:tab/>
        <w:t>Australian Commission on Safety and Quality in Health Care and National Health Performance Authority. Australian atlas of healthcare variation. Sydney: ACSQHC, 2015.</w:t>
      </w:r>
    </w:p>
    <w:p w14:paraId="5D9420E9" w14:textId="16BF6649" w:rsidR="00C805A6" w:rsidRPr="003A2D00" w:rsidRDefault="00C805A6" w:rsidP="00555D9B">
      <w:pPr>
        <w:pStyle w:val="References"/>
        <w:rPr>
          <w:noProof/>
        </w:rPr>
      </w:pPr>
      <w:r w:rsidRPr="003A2D00">
        <w:rPr>
          <w:noProof/>
        </w:rPr>
        <w:t>4.</w:t>
      </w:r>
      <w:r w:rsidRPr="003A2D00">
        <w:rPr>
          <w:noProof/>
        </w:rPr>
        <w:tab/>
        <w:t>NPS MedicineWise. MedicineInsight post market review report 3: antibiotics (unpublished). 2015.</w:t>
      </w:r>
    </w:p>
    <w:p w14:paraId="7098B6A5" w14:textId="2DA3D719" w:rsidR="00C805A6" w:rsidRPr="003A2D00" w:rsidRDefault="00C805A6" w:rsidP="00555D9B">
      <w:pPr>
        <w:pStyle w:val="References"/>
        <w:rPr>
          <w:noProof/>
        </w:rPr>
      </w:pPr>
      <w:r w:rsidRPr="003A2D00">
        <w:rPr>
          <w:noProof/>
        </w:rPr>
        <w:t>5.</w:t>
      </w:r>
      <w:r w:rsidRPr="003A2D00">
        <w:rPr>
          <w:noProof/>
        </w:rPr>
        <w:tab/>
        <w:t>Productivity Commission. Report on government services 2015. Canberra: Productivity Commission, 2015.</w:t>
      </w:r>
    </w:p>
    <w:p w14:paraId="71B21FCC" w14:textId="2281565D" w:rsidR="00C805A6" w:rsidRPr="003A2D00" w:rsidRDefault="00C805A6" w:rsidP="00555D9B">
      <w:pPr>
        <w:pStyle w:val="References"/>
        <w:rPr>
          <w:noProof/>
        </w:rPr>
      </w:pPr>
      <w:r w:rsidRPr="003A2D00">
        <w:rPr>
          <w:noProof/>
        </w:rPr>
        <w:t>6.</w:t>
      </w:r>
      <w:r w:rsidRPr="003A2D00">
        <w:rPr>
          <w:noProof/>
        </w:rPr>
        <w:tab/>
        <w:t xml:space="preserve">McGeer A, Campbell B, Emori TG, et al. Definitions of infection for surveillance in long-term care facilities. </w:t>
      </w:r>
      <w:r w:rsidRPr="003A2D00">
        <w:rPr>
          <w:rStyle w:val="Emphasis"/>
        </w:rPr>
        <w:t>American Journal of Infection Control</w:t>
      </w:r>
      <w:r w:rsidR="00003719" w:rsidRPr="003A2D00">
        <w:rPr>
          <w:noProof/>
        </w:rPr>
        <w:t xml:space="preserve"> 1991;19:</w:t>
      </w:r>
      <w:r w:rsidRPr="003A2D00">
        <w:rPr>
          <w:noProof/>
        </w:rPr>
        <w:t>1–7.</w:t>
      </w:r>
    </w:p>
    <w:p w14:paraId="70E9DC76" w14:textId="3634BC20" w:rsidR="00555D9B" w:rsidRPr="003A2D00" w:rsidRDefault="00555D9B" w:rsidP="00555D9B">
      <w:pPr>
        <w:pStyle w:val="References"/>
        <w:rPr>
          <w:noProof/>
        </w:rPr>
      </w:pPr>
      <w:r w:rsidRPr="003A2D00">
        <w:rPr>
          <w:noProof/>
        </w:rPr>
        <w:t>7.</w:t>
      </w:r>
      <w:r w:rsidRPr="003A2D00">
        <w:rPr>
          <w:noProof/>
        </w:rPr>
        <w:tab/>
        <w:t>Australian Commission on Safety and Quality in Health Care. National Safety and Quality H</w:t>
      </w:r>
      <w:r w:rsidR="00003719" w:rsidRPr="003A2D00">
        <w:rPr>
          <w:noProof/>
        </w:rPr>
        <w:t>ealth Service Standards. Sydney:</w:t>
      </w:r>
      <w:r w:rsidRPr="003A2D00">
        <w:rPr>
          <w:noProof/>
        </w:rPr>
        <w:t xml:space="preserve"> ACSQHC, 2012.</w:t>
      </w:r>
    </w:p>
    <w:p w14:paraId="64F2A2FB" w14:textId="6A4EC2B7" w:rsidR="00C805A6" w:rsidRPr="003A2D00" w:rsidRDefault="00555D9B" w:rsidP="0054243F">
      <w:pPr>
        <w:pStyle w:val="References"/>
        <w:rPr>
          <w:noProof/>
        </w:rPr>
      </w:pPr>
      <w:r w:rsidRPr="003A2D00">
        <w:rPr>
          <w:noProof/>
        </w:rPr>
        <w:t>8.</w:t>
      </w:r>
      <w:r w:rsidRPr="003A2D00">
        <w:rPr>
          <w:noProof/>
        </w:rPr>
        <w:tab/>
      </w:r>
      <w:r w:rsidR="00C805A6" w:rsidRPr="003A2D00">
        <w:rPr>
          <w:noProof/>
        </w:rPr>
        <w:t>Australian Government Department of Health. First National Antimicrobial Resistance Strategy 2015–</w:t>
      </w:r>
      <w:r w:rsidR="00003719" w:rsidRPr="003A2D00">
        <w:rPr>
          <w:noProof/>
        </w:rPr>
        <w:t>20</w:t>
      </w:r>
      <w:r w:rsidR="00C805A6" w:rsidRPr="003A2D00">
        <w:rPr>
          <w:noProof/>
        </w:rPr>
        <w:t>19: responding to the threat of antimicrobial resistance. Canberra: DoH, 2015.</w:t>
      </w:r>
    </w:p>
    <w:sectPr w:rsidR="00C805A6" w:rsidRPr="003A2D00" w:rsidSect="0020248C">
      <w:footerReference w:type="first" r:id="rId24"/>
      <w:footnotePr>
        <w:numRestart w:val="eachSect"/>
      </w:footnotePr>
      <w:pgSz w:w="11906" w:h="16838" w:code="9"/>
      <w:pgMar w:top="1440" w:right="1440" w:bottom="1440" w:left="1440" w:header="576" w:footer="576"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677AF" w14:textId="77777777" w:rsidR="00F07390" w:rsidRDefault="00F07390">
      <w:pPr>
        <w:spacing w:after="0"/>
      </w:pPr>
      <w:r>
        <w:separator/>
      </w:r>
    </w:p>
  </w:endnote>
  <w:endnote w:type="continuationSeparator" w:id="0">
    <w:p w14:paraId="57CE264D" w14:textId="77777777" w:rsidR="00F07390" w:rsidRDefault="00F073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F11F0" w14:textId="77777777" w:rsidR="0020248C" w:rsidRDefault="0020248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8A9F6" w14:textId="6F8D6F23" w:rsidR="0020248C" w:rsidRPr="0020248C" w:rsidRDefault="0020248C">
    <w:pPr>
      <w:pStyle w:val="Footer"/>
      <w:jc w:val="right"/>
      <w:rPr>
        <w:rFonts w:asciiTheme="minorHAnsi" w:hAnsiTheme="minorHAnsi"/>
        <w:b/>
      </w:rPr>
    </w:pPr>
    <w:r>
      <w:rPr>
        <w:rStyle w:val="PageNumber"/>
        <w:rFonts w:asciiTheme="minorHAnsi" w:hAnsiTheme="minorHAnsi"/>
        <w:b w:val="0"/>
      </w:rPr>
      <w:t>AURA 2016: first Australian report on antimicrobial use and resistance in human health – summary report</w:t>
    </w:r>
    <w:r>
      <w:rPr>
        <w:rStyle w:val="PageNumber"/>
        <w:rFonts w:asciiTheme="minorHAnsi" w:hAnsiTheme="minorHAnsi"/>
        <w:b w:val="0"/>
      </w:rPr>
      <w:tab/>
    </w:r>
    <w:r w:rsidRPr="0020248C">
      <w:rPr>
        <w:rStyle w:val="PageNumber"/>
        <w:rFonts w:asciiTheme="minorHAnsi" w:hAnsiTheme="minorHAnsi"/>
        <w:b w:val="0"/>
      </w:rPr>
      <w:fldChar w:fldCharType="begin"/>
    </w:r>
    <w:r w:rsidRPr="0020248C">
      <w:rPr>
        <w:rStyle w:val="PageNumber"/>
        <w:rFonts w:asciiTheme="minorHAnsi" w:hAnsiTheme="minorHAnsi"/>
        <w:b w:val="0"/>
      </w:rPr>
      <w:instrText xml:space="preserve"> PAGE </w:instrText>
    </w:r>
    <w:r w:rsidRPr="0020248C">
      <w:rPr>
        <w:rStyle w:val="PageNumber"/>
        <w:rFonts w:asciiTheme="minorHAnsi" w:hAnsiTheme="minorHAnsi"/>
        <w:b w:val="0"/>
      </w:rPr>
      <w:fldChar w:fldCharType="separate"/>
    </w:r>
    <w:r w:rsidR="00D4626D">
      <w:rPr>
        <w:rStyle w:val="PageNumber"/>
        <w:rFonts w:asciiTheme="minorHAnsi" w:hAnsiTheme="minorHAnsi"/>
        <w:b w:val="0"/>
        <w:noProof/>
      </w:rPr>
      <w:t>23</w:t>
    </w:r>
    <w:r w:rsidRPr="0020248C">
      <w:rPr>
        <w:rStyle w:val="PageNumber"/>
        <w:rFonts w:asciiTheme="minorHAnsi" w:hAnsiTheme="minorHAnsi"/>
        <w:b w:val="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0537E" w14:textId="77777777" w:rsidR="0020248C" w:rsidRDefault="0020248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6D789" w14:textId="77777777" w:rsidR="0020248C" w:rsidRDefault="0020248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01428" w14:textId="77777777" w:rsidR="00F07390" w:rsidRDefault="00F07390">
      <w:pPr>
        <w:spacing w:after="0"/>
      </w:pPr>
      <w:r>
        <w:separator/>
      </w:r>
    </w:p>
  </w:footnote>
  <w:footnote w:type="continuationSeparator" w:id="0">
    <w:p w14:paraId="421714D3" w14:textId="77777777" w:rsidR="00F07390" w:rsidRDefault="00F0739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12F35" w14:textId="099C1FF8" w:rsidR="0020248C" w:rsidRDefault="0020248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B77E8" w14:textId="458333D3" w:rsidR="0020248C" w:rsidRDefault="0020248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B42E6" w14:textId="46BE324A" w:rsidR="0020248C" w:rsidRDefault="0020248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466BED4"/>
    <w:lvl w:ilvl="0">
      <w:start w:val="1"/>
      <w:numFmt w:val="decimal"/>
      <w:lvlText w:val="%1."/>
      <w:lvlJc w:val="left"/>
      <w:pPr>
        <w:tabs>
          <w:tab w:val="num" w:pos="1492"/>
        </w:tabs>
        <w:ind w:left="1492" w:hanging="360"/>
      </w:pPr>
    </w:lvl>
  </w:abstractNum>
  <w:abstractNum w:abstractNumId="2">
    <w:nsid w:val="FFFFFF7D"/>
    <w:multiLevelType w:val="singleLevel"/>
    <w:tmpl w:val="1EAC1CB8"/>
    <w:lvl w:ilvl="0">
      <w:start w:val="1"/>
      <w:numFmt w:val="decimal"/>
      <w:lvlText w:val="%1."/>
      <w:lvlJc w:val="left"/>
      <w:pPr>
        <w:tabs>
          <w:tab w:val="num" w:pos="1209"/>
        </w:tabs>
        <w:ind w:left="1209" w:hanging="360"/>
      </w:pPr>
    </w:lvl>
  </w:abstractNum>
  <w:abstractNum w:abstractNumId="3">
    <w:nsid w:val="FFFFFF7E"/>
    <w:multiLevelType w:val="singleLevel"/>
    <w:tmpl w:val="3E9C713A"/>
    <w:lvl w:ilvl="0">
      <w:start w:val="1"/>
      <w:numFmt w:val="decimal"/>
      <w:lvlText w:val="%1."/>
      <w:lvlJc w:val="left"/>
      <w:pPr>
        <w:tabs>
          <w:tab w:val="num" w:pos="926"/>
        </w:tabs>
        <w:ind w:left="926" w:hanging="360"/>
      </w:pPr>
    </w:lvl>
  </w:abstractNum>
  <w:abstractNum w:abstractNumId="4">
    <w:nsid w:val="FFFFFF7F"/>
    <w:multiLevelType w:val="singleLevel"/>
    <w:tmpl w:val="815641AE"/>
    <w:lvl w:ilvl="0">
      <w:start w:val="1"/>
      <w:numFmt w:val="decimal"/>
      <w:lvlText w:val="%1."/>
      <w:lvlJc w:val="left"/>
      <w:pPr>
        <w:tabs>
          <w:tab w:val="num" w:pos="643"/>
        </w:tabs>
        <w:ind w:left="643" w:hanging="360"/>
      </w:pPr>
    </w:lvl>
  </w:abstractNum>
  <w:abstractNum w:abstractNumId="5">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A863BAC"/>
    <w:lvl w:ilvl="0">
      <w:start w:val="1"/>
      <w:numFmt w:val="decimal"/>
      <w:lvlText w:val="%1."/>
      <w:lvlJc w:val="left"/>
      <w:pPr>
        <w:tabs>
          <w:tab w:val="num" w:pos="360"/>
        </w:tabs>
        <w:ind w:left="360" w:hanging="360"/>
      </w:pPr>
    </w:lvl>
  </w:abstractNum>
  <w:abstractNum w:abstractNumId="1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nsid w:val="006971CA"/>
    <w:multiLevelType w:val="hybridMultilevel"/>
    <w:tmpl w:val="C2F02C9C"/>
    <w:lvl w:ilvl="0" w:tplc="44303C18">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FC5EFF"/>
    <w:multiLevelType w:val="hybridMultilevel"/>
    <w:tmpl w:val="38A0C8C6"/>
    <w:lvl w:ilvl="0" w:tplc="69FE925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55F39FD"/>
    <w:multiLevelType w:val="hybridMultilevel"/>
    <w:tmpl w:val="CC6E320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AEB7FB8"/>
    <w:multiLevelType w:val="hybridMultilevel"/>
    <w:tmpl w:val="FD86AA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7C233F2"/>
    <w:multiLevelType w:val="hybridMultilevel"/>
    <w:tmpl w:val="60F2A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C6264B4"/>
    <w:multiLevelType w:val="hybridMultilevel"/>
    <w:tmpl w:val="04C2F852"/>
    <w:lvl w:ilvl="0" w:tplc="2E5E2236">
      <w:start w:val="1"/>
      <w:numFmt w:val="bullet"/>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634A5BB2"/>
    <w:multiLevelType w:val="hybridMultilevel"/>
    <w:tmpl w:val="0A2EC3E2"/>
    <w:lvl w:ilvl="0" w:tplc="DF183732">
      <w:start w:val="1"/>
      <w:numFmt w:val="bulle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7A0F659F"/>
    <w:multiLevelType w:val="hybridMultilevel"/>
    <w:tmpl w:val="5AF6119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7ABF3A34"/>
    <w:multiLevelType w:val="hybridMultilevel"/>
    <w:tmpl w:val="FBEAD7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23"/>
  </w:num>
  <w:num w:numId="3">
    <w:abstractNumId w:val="27"/>
  </w:num>
  <w:num w:numId="4">
    <w:abstractNumId w:val="12"/>
  </w:num>
  <w:num w:numId="5">
    <w:abstractNumId w:val="11"/>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5"/>
  </w:num>
  <w:num w:numId="17">
    <w:abstractNumId w:val="0"/>
  </w:num>
  <w:num w:numId="18">
    <w:abstractNumId w:val="14"/>
  </w:num>
  <w:num w:numId="19">
    <w:abstractNumId w:val="26"/>
  </w:num>
  <w:num w:numId="20">
    <w:abstractNumId w:val="15"/>
  </w:num>
  <w:num w:numId="21">
    <w:abstractNumId w:val="26"/>
  </w:num>
  <w:num w:numId="22">
    <w:abstractNumId w:val="18"/>
  </w:num>
  <w:num w:numId="23">
    <w:abstractNumId w:val="19"/>
  </w:num>
  <w:num w:numId="24">
    <w:abstractNumId w:val="13"/>
  </w:num>
  <w:num w:numId="25">
    <w:abstractNumId w:val="16"/>
  </w:num>
  <w:num w:numId="26">
    <w:abstractNumId w:val="24"/>
  </w:num>
  <w:num w:numId="27">
    <w:abstractNumId w:val="28"/>
  </w:num>
  <w:num w:numId="28">
    <w:abstractNumId w:val="17"/>
  </w:num>
  <w:num w:numId="29">
    <w:abstractNumId w:val="22"/>
  </w:num>
  <w:num w:numId="30">
    <w:abstractNumId w:val="2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rawingGridVerticalSpacing w:val="299"/>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52"/>
    <w:rsid w:val="00003719"/>
    <w:rsid w:val="00013A29"/>
    <w:rsid w:val="00014ED3"/>
    <w:rsid w:val="000166FF"/>
    <w:rsid w:val="0002015F"/>
    <w:rsid w:val="00022D09"/>
    <w:rsid w:val="00030280"/>
    <w:rsid w:val="000343DC"/>
    <w:rsid w:val="0004271A"/>
    <w:rsid w:val="00053F82"/>
    <w:rsid w:val="00054A2E"/>
    <w:rsid w:val="000552F3"/>
    <w:rsid w:val="00067136"/>
    <w:rsid w:val="000743C6"/>
    <w:rsid w:val="0007619D"/>
    <w:rsid w:val="00080EA9"/>
    <w:rsid w:val="00086A8D"/>
    <w:rsid w:val="000877D1"/>
    <w:rsid w:val="00090BC2"/>
    <w:rsid w:val="000B3B14"/>
    <w:rsid w:val="000B3FC9"/>
    <w:rsid w:val="000C10BA"/>
    <w:rsid w:val="000C57EE"/>
    <w:rsid w:val="000D4155"/>
    <w:rsid w:val="000E5DD5"/>
    <w:rsid w:val="000F1020"/>
    <w:rsid w:val="00100909"/>
    <w:rsid w:val="0010316E"/>
    <w:rsid w:val="0010385B"/>
    <w:rsid w:val="00104E39"/>
    <w:rsid w:val="00114675"/>
    <w:rsid w:val="00114BAC"/>
    <w:rsid w:val="00120B13"/>
    <w:rsid w:val="001745E6"/>
    <w:rsid w:val="00191002"/>
    <w:rsid w:val="0019176F"/>
    <w:rsid w:val="00193F60"/>
    <w:rsid w:val="001A0532"/>
    <w:rsid w:val="001A1987"/>
    <w:rsid w:val="001A3A7A"/>
    <w:rsid w:val="001A52E8"/>
    <w:rsid w:val="001B2F4D"/>
    <w:rsid w:val="001C7358"/>
    <w:rsid w:val="001D37E5"/>
    <w:rsid w:val="001D4D1F"/>
    <w:rsid w:val="001E20E3"/>
    <w:rsid w:val="001F1F85"/>
    <w:rsid w:val="001F5CBC"/>
    <w:rsid w:val="0020013A"/>
    <w:rsid w:val="0020248C"/>
    <w:rsid w:val="0020319C"/>
    <w:rsid w:val="002134F8"/>
    <w:rsid w:val="00223521"/>
    <w:rsid w:val="00234363"/>
    <w:rsid w:val="00241368"/>
    <w:rsid w:val="0024268E"/>
    <w:rsid w:val="0024461C"/>
    <w:rsid w:val="002507D7"/>
    <w:rsid w:val="00252760"/>
    <w:rsid w:val="00271B40"/>
    <w:rsid w:val="00273F57"/>
    <w:rsid w:val="00281F93"/>
    <w:rsid w:val="00283CB6"/>
    <w:rsid w:val="002844E4"/>
    <w:rsid w:val="00284611"/>
    <w:rsid w:val="00292D88"/>
    <w:rsid w:val="0029345F"/>
    <w:rsid w:val="002A0BEB"/>
    <w:rsid w:val="002A5544"/>
    <w:rsid w:val="002A7B4D"/>
    <w:rsid w:val="002B4D5D"/>
    <w:rsid w:val="002B7140"/>
    <w:rsid w:val="002C19BF"/>
    <w:rsid w:val="002C1C8B"/>
    <w:rsid w:val="002C3F92"/>
    <w:rsid w:val="002C61F5"/>
    <w:rsid w:val="002D0313"/>
    <w:rsid w:val="002E52DD"/>
    <w:rsid w:val="002E6060"/>
    <w:rsid w:val="002E6755"/>
    <w:rsid w:val="002F7088"/>
    <w:rsid w:val="00300456"/>
    <w:rsid w:val="00302D91"/>
    <w:rsid w:val="003129FA"/>
    <w:rsid w:val="0032113D"/>
    <w:rsid w:val="0033188B"/>
    <w:rsid w:val="00332031"/>
    <w:rsid w:val="00332F50"/>
    <w:rsid w:val="003375F1"/>
    <w:rsid w:val="003408F2"/>
    <w:rsid w:val="00341FEA"/>
    <w:rsid w:val="003551FC"/>
    <w:rsid w:val="0035760B"/>
    <w:rsid w:val="00380DCC"/>
    <w:rsid w:val="0038236A"/>
    <w:rsid w:val="003858F3"/>
    <w:rsid w:val="00385BF5"/>
    <w:rsid w:val="0039330C"/>
    <w:rsid w:val="0039361E"/>
    <w:rsid w:val="003A2D00"/>
    <w:rsid w:val="003A7A12"/>
    <w:rsid w:val="003A7A49"/>
    <w:rsid w:val="003B1E9A"/>
    <w:rsid w:val="003D0620"/>
    <w:rsid w:val="003D56FE"/>
    <w:rsid w:val="003E6F30"/>
    <w:rsid w:val="003F0E40"/>
    <w:rsid w:val="003F6FF6"/>
    <w:rsid w:val="00402875"/>
    <w:rsid w:val="004111F4"/>
    <w:rsid w:val="0041386E"/>
    <w:rsid w:val="00422EF0"/>
    <w:rsid w:val="004329AE"/>
    <w:rsid w:val="0043410F"/>
    <w:rsid w:val="00436A1F"/>
    <w:rsid w:val="0044143B"/>
    <w:rsid w:val="004603C1"/>
    <w:rsid w:val="00464D65"/>
    <w:rsid w:val="00471E42"/>
    <w:rsid w:val="00472AD5"/>
    <w:rsid w:val="004822BC"/>
    <w:rsid w:val="0048295D"/>
    <w:rsid w:val="0048650A"/>
    <w:rsid w:val="0048716B"/>
    <w:rsid w:val="004900B9"/>
    <w:rsid w:val="004957C3"/>
    <w:rsid w:val="00497D20"/>
    <w:rsid w:val="004A46FB"/>
    <w:rsid w:val="004A4D82"/>
    <w:rsid w:val="004B5B8D"/>
    <w:rsid w:val="004C0F5B"/>
    <w:rsid w:val="004C1955"/>
    <w:rsid w:val="004C2469"/>
    <w:rsid w:val="004D4B62"/>
    <w:rsid w:val="004D79BE"/>
    <w:rsid w:val="004E0272"/>
    <w:rsid w:val="004E3BD6"/>
    <w:rsid w:val="004E3C85"/>
    <w:rsid w:val="004E408A"/>
    <w:rsid w:val="004F5461"/>
    <w:rsid w:val="00513BF1"/>
    <w:rsid w:val="00525BAB"/>
    <w:rsid w:val="00526CBF"/>
    <w:rsid w:val="00533770"/>
    <w:rsid w:val="0054243F"/>
    <w:rsid w:val="00551E4C"/>
    <w:rsid w:val="005529A9"/>
    <w:rsid w:val="005548ED"/>
    <w:rsid w:val="00554916"/>
    <w:rsid w:val="00555D9B"/>
    <w:rsid w:val="0058000E"/>
    <w:rsid w:val="0058670E"/>
    <w:rsid w:val="00592328"/>
    <w:rsid w:val="005A21C1"/>
    <w:rsid w:val="005A2FB6"/>
    <w:rsid w:val="005A3244"/>
    <w:rsid w:val="005A4B0B"/>
    <w:rsid w:val="005A72C4"/>
    <w:rsid w:val="005B08C1"/>
    <w:rsid w:val="005B7395"/>
    <w:rsid w:val="005B7B1D"/>
    <w:rsid w:val="005C7DFE"/>
    <w:rsid w:val="005F1827"/>
    <w:rsid w:val="005F5B0C"/>
    <w:rsid w:val="005F5B53"/>
    <w:rsid w:val="00600D70"/>
    <w:rsid w:val="006035D7"/>
    <w:rsid w:val="006078B2"/>
    <w:rsid w:val="00611A75"/>
    <w:rsid w:val="006172CE"/>
    <w:rsid w:val="00626946"/>
    <w:rsid w:val="006363F6"/>
    <w:rsid w:val="006407D6"/>
    <w:rsid w:val="00643EDB"/>
    <w:rsid w:val="00652D1A"/>
    <w:rsid w:val="00665ADA"/>
    <w:rsid w:val="00666848"/>
    <w:rsid w:val="0066762C"/>
    <w:rsid w:val="0067109B"/>
    <w:rsid w:val="0067766B"/>
    <w:rsid w:val="00682A17"/>
    <w:rsid w:val="006928ED"/>
    <w:rsid w:val="00692B58"/>
    <w:rsid w:val="0069522F"/>
    <w:rsid w:val="00697FBA"/>
    <w:rsid w:val="006A3A42"/>
    <w:rsid w:val="006A5371"/>
    <w:rsid w:val="006B0B5E"/>
    <w:rsid w:val="006B4086"/>
    <w:rsid w:val="006C62B2"/>
    <w:rsid w:val="006C682F"/>
    <w:rsid w:val="006D70AD"/>
    <w:rsid w:val="006F1A4F"/>
    <w:rsid w:val="006F2435"/>
    <w:rsid w:val="006F3E72"/>
    <w:rsid w:val="006F5743"/>
    <w:rsid w:val="00704FE3"/>
    <w:rsid w:val="007136AD"/>
    <w:rsid w:val="00716C7B"/>
    <w:rsid w:val="00721310"/>
    <w:rsid w:val="00723419"/>
    <w:rsid w:val="00726ABB"/>
    <w:rsid w:val="007532F6"/>
    <w:rsid w:val="00762AF6"/>
    <w:rsid w:val="00770969"/>
    <w:rsid w:val="00772D67"/>
    <w:rsid w:val="00773806"/>
    <w:rsid w:val="007754ED"/>
    <w:rsid w:val="00786C87"/>
    <w:rsid w:val="00793655"/>
    <w:rsid w:val="00793721"/>
    <w:rsid w:val="007B6376"/>
    <w:rsid w:val="007C1D1B"/>
    <w:rsid w:val="007C3611"/>
    <w:rsid w:val="007C3B62"/>
    <w:rsid w:val="007C539F"/>
    <w:rsid w:val="007D0C83"/>
    <w:rsid w:val="007E052D"/>
    <w:rsid w:val="007E35BB"/>
    <w:rsid w:val="007E71EC"/>
    <w:rsid w:val="008126DC"/>
    <w:rsid w:val="008141AE"/>
    <w:rsid w:val="0082366A"/>
    <w:rsid w:val="00824CBF"/>
    <w:rsid w:val="00834A42"/>
    <w:rsid w:val="00852A3A"/>
    <w:rsid w:val="00854532"/>
    <w:rsid w:val="00862FEF"/>
    <w:rsid w:val="008704A6"/>
    <w:rsid w:val="00870638"/>
    <w:rsid w:val="00877169"/>
    <w:rsid w:val="0088030E"/>
    <w:rsid w:val="0088689C"/>
    <w:rsid w:val="008945DF"/>
    <w:rsid w:val="0089722A"/>
    <w:rsid w:val="00897A9F"/>
    <w:rsid w:val="008A5CC8"/>
    <w:rsid w:val="008B7077"/>
    <w:rsid w:val="008C2CEA"/>
    <w:rsid w:val="008C6F89"/>
    <w:rsid w:val="008C757D"/>
    <w:rsid w:val="008D09FB"/>
    <w:rsid w:val="008D32BA"/>
    <w:rsid w:val="008D5825"/>
    <w:rsid w:val="008D7132"/>
    <w:rsid w:val="008E2B5B"/>
    <w:rsid w:val="008E4E27"/>
    <w:rsid w:val="008E7567"/>
    <w:rsid w:val="008F3AA8"/>
    <w:rsid w:val="00903B40"/>
    <w:rsid w:val="0090705E"/>
    <w:rsid w:val="0091205C"/>
    <w:rsid w:val="00927289"/>
    <w:rsid w:val="00932C6D"/>
    <w:rsid w:val="009409C9"/>
    <w:rsid w:val="0094456F"/>
    <w:rsid w:val="00945106"/>
    <w:rsid w:val="00945E3D"/>
    <w:rsid w:val="009529E6"/>
    <w:rsid w:val="00953E99"/>
    <w:rsid w:val="00955EF9"/>
    <w:rsid w:val="0096081E"/>
    <w:rsid w:val="00961243"/>
    <w:rsid w:val="00961866"/>
    <w:rsid w:val="00967D83"/>
    <w:rsid w:val="00973749"/>
    <w:rsid w:val="00976B1E"/>
    <w:rsid w:val="00976D59"/>
    <w:rsid w:val="009814FC"/>
    <w:rsid w:val="0098406E"/>
    <w:rsid w:val="00996BEF"/>
    <w:rsid w:val="009A78F5"/>
    <w:rsid w:val="009B51A2"/>
    <w:rsid w:val="009B6145"/>
    <w:rsid w:val="009B7690"/>
    <w:rsid w:val="009C18A5"/>
    <w:rsid w:val="009C4F4D"/>
    <w:rsid w:val="009C71D9"/>
    <w:rsid w:val="009C7BA5"/>
    <w:rsid w:val="009E2500"/>
    <w:rsid w:val="009E3B68"/>
    <w:rsid w:val="00A01E10"/>
    <w:rsid w:val="00A05F83"/>
    <w:rsid w:val="00A112CF"/>
    <w:rsid w:val="00A12451"/>
    <w:rsid w:val="00A20473"/>
    <w:rsid w:val="00A206D6"/>
    <w:rsid w:val="00A217BD"/>
    <w:rsid w:val="00A32211"/>
    <w:rsid w:val="00A42BEA"/>
    <w:rsid w:val="00A564A7"/>
    <w:rsid w:val="00A570A3"/>
    <w:rsid w:val="00A60418"/>
    <w:rsid w:val="00A77EC3"/>
    <w:rsid w:val="00A87FF8"/>
    <w:rsid w:val="00A9331B"/>
    <w:rsid w:val="00A968F2"/>
    <w:rsid w:val="00AA1DF7"/>
    <w:rsid w:val="00AA4F27"/>
    <w:rsid w:val="00AA512C"/>
    <w:rsid w:val="00AB3A79"/>
    <w:rsid w:val="00AC2A59"/>
    <w:rsid w:val="00AD0126"/>
    <w:rsid w:val="00AD0CD0"/>
    <w:rsid w:val="00AE767C"/>
    <w:rsid w:val="00AE7977"/>
    <w:rsid w:val="00AE7B17"/>
    <w:rsid w:val="00B0370E"/>
    <w:rsid w:val="00B1647E"/>
    <w:rsid w:val="00B26341"/>
    <w:rsid w:val="00B455D9"/>
    <w:rsid w:val="00B50D30"/>
    <w:rsid w:val="00B55F41"/>
    <w:rsid w:val="00B64994"/>
    <w:rsid w:val="00B7037D"/>
    <w:rsid w:val="00B743B7"/>
    <w:rsid w:val="00B77EA9"/>
    <w:rsid w:val="00B80DED"/>
    <w:rsid w:val="00B84F46"/>
    <w:rsid w:val="00B85898"/>
    <w:rsid w:val="00B859E2"/>
    <w:rsid w:val="00BA34C3"/>
    <w:rsid w:val="00BA5804"/>
    <w:rsid w:val="00BA5C7A"/>
    <w:rsid w:val="00BA7CAC"/>
    <w:rsid w:val="00BB08E1"/>
    <w:rsid w:val="00BB1574"/>
    <w:rsid w:val="00BB5800"/>
    <w:rsid w:val="00BC35D6"/>
    <w:rsid w:val="00BC7D1B"/>
    <w:rsid w:val="00BD0D38"/>
    <w:rsid w:val="00BD346C"/>
    <w:rsid w:val="00BD7FD3"/>
    <w:rsid w:val="00BE1CBD"/>
    <w:rsid w:val="00BF399A"/>
    <w:rsid w:val="00C049B6"/>
    <w:rsid w:val="00C177A5"/>
    <w:rsid w:val="00C3030C"/>
    <w:rsid w:val="00C43206"/>
    <w:rsid w:val="00C45C28"/>
    <w:rsid w:val="00C47E12"/>
    <w:rsid w:val="00C653BF"/>
    <w:rsid w:val="00C75DE5"/>
    <w:rsid w:val="00C805A6"/>
    <w:rsid w:val="00C82853"/>
    <w:rsid w:val="00C831DF"/>
    <w:rsid w:val="00C85D0C"/>
    <w:rsid w:val="00C92341"/>
    <w:rsid w:val="00C9562E"/>
    <w:rsid w:val="00CA15C8"/>
    <w:rsid w:val="00CA417D"/>
    <w:rsid w:val="00CB6098"/>
    <w:rsid w:val="00CC0548"/>
    <w:rsid w:val="00CD4E02"/>
    <w:rsid w:val="00CE4353"/>
    <w:rsid w:val="00CE4957"/>
    <w:rsid w:val="00CF4C32"/>
    <w:rsid w:val="00CF5A7A"/>
    <w:rsid w:val="00CF5B2F"/>
    <w:rsid w:val="00CF6C64"/>
    <w:rsid w:val="00D03C40"/>
    <w:rsid w:val="00D051B0"/>
    <w:rsid w:val="00D1175F"/>
    <w:rsid w:val="00D13E2D"/>
    <w:rsid w:val="00D20FD9"/>
    <w:rsid w:val="00D24575"/>
    <w:rsid w:val="00D266A7"/>
    <w:rsid w:val="00D32106"/>
    <w:rsid w:val="00D4626D"/>
    <w:rsid w:val="00D473C7"/>
    <w:rsid w:val="00D56059"/>
    <w:rsid w:val="00D570D8"/>
    <w:rsid w:val="00D625B5"/>
    <w:rsid w:val="00D641CF"/>
    <w:rsid w:val="00D71080"/>
    <w:rsid w:val="00D71222"/>
    <w:rsid w:val="00D81BDD"/>
    <w:rsid w:val="00D85147"/>
    <w:rsid w:val="00D94E34"/>
    <w:rsid w:val="00D96F7C"/>
    <w:rsid w:val="00D971F6"/>
    <w:rsid w:val="00DA0743"/>
    <w:rsid w:val="00DB3864"/>
    <w:rsid w:val="00DB3917"/>
    <w:rsid w:val="00DC05C4"/>
    <w:rsid w:val="00DC122C"/>
    <w:rsid w:val="00DE3FBF"/>
    <w:rsid w:val="00DF0B2D"/>
    <w:rsid w:val="00DF4C70"/>
    <w:rsid w:val="00DF56DD"/>
    <w:rsid w:val="00DF7E4D"/>
    <w:rsid w:val="00E03016"/>
    <w:rsid w:val="00E17195"/>
    <w:rsid w:val="00E3088E"/>
    <w:rsid w:val="00E31DDC"/>
    <w:rsid w:val="00E33785"/>
    <w:rsid w:val="00E35DF1"/>
    <w:rsid w:val="00E50CBE"/>
    <w:rsid w:val="00E50F86"/>
    <w:rsid w:val="00E574C7"/>
    <w:rsid w:val="00E60191"/>
    <w:rsid w:val="00E61CC5"/>
    <w:rsid w:val="00E66234"/>
    <w:rsid w:val="00E72F4D"/>
    <w:rsid w:val="00E874AB"/>
    <w:rsid w:val="00E914CA"/>
    <w:rsid w:val="00E94098"/>
    <w:rsid w:val="00E95CDB"/>
    <w:rsid w:val="00EA1208"/>
    <w:rsid w:val="00EA3052"/>
    <w:rsid w:val="00EA444C"/>
    <w:rsid w:val="00EA56F8"/>
    <w:rsid w:val="00EB5486"/>
    <w:rsid w:val="00EC034A"/>
    <w:rsid w:val="00EC0E57"/>
    <w:rsid w:val="00ED6A6C"/>
    <w:rsid w:val="00EE05CF"/>
    <w:rsid w:val="00EE66C2"/>
    <w:rsid w:val="00EE7B06"/>
    <w:rsid w:val="00EF39CC"/>
    <w:rsid w:val="00F01F29"/>
    <w:rsid w:val="00F07390"/>
    <w:rsid w:val="00F20508"/>
    <w:rsid w:val="00F22C18"/>
    <w:rsid w:val="00F23E72"/>
    <w:rsid w:val="00F25C7F"/>
    <w:rsid w:val="00F33809"/>
    <w:rsid w:val="00F54283"/>
    <w:rsid w:val="00F61DE1"/>
    <w:rsid w:val="00F65E61"/>
    <w:rsid w:val="00F71800"/>
    <w:rsid w:val="00F7415F"/>
    <w:rsid w:val="00F81BD5"/>
    <w:rsid w:val="00F84AC9"/>
    <w:rsid w:val="00F9550C"/>
    <w:rsid w:val="00FA5DE1"/>
    <w:rsid w:val="00FB1CD7"/>
    <w:rsid w:val="00FB2918"/>
    <w:rsid w:val="00FB4E38"/>
    <w:rsid w:val="00FB798A"/>
    <w:rsid w:val="00FC5E34"/>
    <w:rsid w:val="00FC66AF"/>
    <w:rsid w:val="00FD03F4"/>
    <w:rsid w:val="00FD1C52"/>
    <w:rsid w:val="00FD2FAD"/>
    <w:rsid w:val="00FF03FD"/>
    <w:rsid w:val="00FF1D83"/>
    <w:rsid w:val="00FF3513"/>
    <w:rsid w:val="00FF52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5A63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395"/>
    <w:pPr>
      <w:spacing w:after="240"/>
    </w:pPr>
    <w:rPr>
      <w:rFonts w:ascii="Calibri" w:hAnsi="Calibri"/>
      <w:color w:val="000000"/>
      <w:sz w:val="22"/>
    </w:rPr>
  </w:style>
  <w:style w:type="paragraph" w:styleId="Heading1">
    <w:name w:val="heading 1"/>
    <w:basedOn w:val="Normal"/>
    <w:next w:val="Normal"/>
    <w:qFormat/>
    <w:rsid w:val="00CF6C64"/>
    <w:pPr>
      <w:keepNext/>
      <w:pageBreakBefore/>
      <w:spacing w:after="480"/>
      <w:ind w:left="720" w:hanging="720"/>
      <w:outlineLvl w:val="0"/>
    </w:pPr>
    <w:rPr>
      <w:rFonts w:cs="Arial"/>
      <w:b/>
      <w:bCs/>
      <w:kern w:val="32"/>
      <w:sz w:val="40"/>
      <w:szCs w:val="32"/>
    </w:rPr>
  </w:style>
  <w:style w:type="paragraph" w:styleId="Heading2">
    <w:name w:val="heading 2"/>
    <w:basedOn w:val="Normal"/>
    <w:next w:val="Normal"/>
    <w:qFormat/>
    <w:rsid w:val="00D20FD9"/>
    <w:pPr>
      <w:keepNext/>
      <w:spacing w:before="240"/>
      <w:ind w:left="720" w:hanging="720"/>
      <w:outlineLvl w:val="1"/>
    </w:pPr>
    <w:rPr>
      <w:rFonts w:cs="Arial"/>
      <w:b/>
      <w:bCs/>
      <w:iCs/>
      <w:sz w:val="28"/>
      <w:szCs w:val="28"/>
    </w:rPr>
  </w:style>
  <w:style w:type="paragraph" w:styleId="Heading3">
    <w:name w:val="heading 3"/>
    <w:basedOn w:val="Normal"/>
    <w:next w:val="Normal"/>
    <w:qFormat/>
    <w:rsid w:val="00D20FD9"/>
    <w:pPr>
      <w:keepNext/>
      <w:spacing w:before="240"/>
      <w:ind w:left="720" w:hanging="720"/>
      <w:outlineLvl w:val="2"/>
    </w:pPr>
    <w:rPr>
      <w:rFonts w:cs="Arial"/>
      <w:b/>
      <w:bCs/>
      <w:szCs w:val="26"/>
    </w:rPr>
  </w:style>
  <w:style w:type="paragraph" w:styleId="Heading4">
    <w:name w:val="heading 4"/>
    <w:basedOn w:val="Normal"/>
    <w:next w:val="Normal"/>
    <w:rsid w:val="00D20FD9"/>
    <w:pPr>
      <w:keepNext/>
      <w:spacing w:before="120" w:after="120"/>
      <w:outlineLvl w:val="3"/>
    </w:pPr>
    <w:rPr>
      <w:b/>
      <w:bCs/>
      <w:i/>
      <w:szCs w:val="28"/>
    </w:rPr>
  </w:style>
  <w:style w:type="paragraph" w:styleId="Heading5">
    <w:name w:val="heading 5"/>
    <w:basedOn w:val="Normal"/>
    <w:next w:val="Normal"/>
    <w:rsid w:val="00D20FD9"/>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rsid w:val="005B7395"/>
    <w:pPr>
      <w:numPr>
        <w:ilvl w:val="1"/>
      </w:numPr>
      <w:jc w:val="center"/>
    </w:pPr>
    <w:rPr>
      <w:rFonts w:eastAsiaTheme="majorEastAsia" w:cstheme="majorBidi"/>
      <w:b/>
      <w:iCs/>
      <w:color w:val="auto"/>
      <w:sz w:val="40"/>
      <w:szCs w:val="24"/>
    </w:rPr>
  </w:style>
  <w:style w:type="paragraph" w:styleId="Header">
    <w:name w:val="header"/>
    <w:basedOn w:val="Normal"/>
    <w:semiHidden/>
    <w:rsid w:val="00D20FD9"/>
    <w:pPr>
      <w:tabs>
        <w:tab w:val="right" w:pos="9000"/>
      </w:tabs>
      <w:spacing w:after="0"/>
    </w:pPr>
    <w:rPr>
      <w:sz w:val="18"/>
    </w:rPr>
  </w:style>
  <w:style w:type="paragraph" w:styleId="Footer">
    <w:name w:val="footer"/>
    <w:basedOn w:val="Normal"/>
    <w:link w:val="FooterChar"/>
    <w:uiPriority w:val="99"/>
    <w:rsid w:val="00D20FD9"/>
    <w:pPr>
      <w:tabs>
        <w:tab w:val="right" w:pos="9000"/>
      </w:tabs>
      <w:spacing w:after="0"/>
    </w:pPr>
    <w:rPr>
      <w:sz w:val="20"/>
    </w:rPr>
  </w:style>
  <w:style w:type="character" w:styleId="PageNumber">
    <w:name w:val="page number"/>
    <w:basedOn w:val="DefaultParagraphFont"/>
    <w:semiHidden/>
    <w:rsid w:val="00D20FD9"/>
    <w:rPr>
      <w:rFonts w:ascii="Times New Roman" w:hAnsi="Times New Roman"/>
      <w:b/>
      <w:sz w:val="20"/>
    </w:rPr>
  </w:style>
  <w:style w:type="paragraph" w:customStyle="1" w:styleId="TableText">
    <w:name w:val="TableText"/>
    <w:basedOn w:val="Normal"/>
    <w:link w:val="TableTextChar"/>
    <w:qFormat/>
    <w:rsid w:val="00D20FD9"/>
    <w:pPr>
      <w:keepNext/>
      <w:spacing w:before="60" w:after="60"/>
    </w:pPr>
    <w:rPr>
      <w:sz w:val="21"/>
      <w:szCs w:val="21"/>
    </w:rPr>
  </w:style>
  <w:style w:type="paragraph" w:customStyle="1" w:styleId="TFListNotesSpace">
    <w:name w:val="TFListNotes+Space"/>
    <w:basedOn w:val="TableText"/>
    <w:next w:val="Normal"/>
    <w:rsid w:val="009E3B68"/>
    <w:pPr>
      <w:keepNext w:val="0"/>
      <w:keepLines/>
      <w:spacing w:before="0" w:after="360"/>
      <w:ind w:left="170" w:hanging="170"/>
    </w:pPr>
    <w:rPr>
      <w:sz w:val="18"/>
      <w:szCs w:val="18"/>
    </w:rPr>
  </w:style>
  <w:style w:type="paragraph" w:customStyle="1" w:styleId="TFListNotes">
    <w:name w:val="TFListNotes"/>
    <w:basedOn w:val="TFListNotesSpace"/>
    <w:rsid w:val="00C831DF"/>
    <w:pPr>
      <w:keepNext/>
      <w:spacing w:after="0"/>
    </w:pPr>
  </w:style>
  <w:style w:type="paragraph" w:customStyle="1" w:styleId="TableName">
    <w:name w:val="TableName"/>
    <w:basedOn w:val="TableText"/>
    <w:rsid w:val="005B7395"/>
    <w:pPr>
      <w:tabs>
        <w:tab w:val="left" w:pos="1080"/>
      </w:tabs>
      <w:spacing w:before="120" w:after="120"/>
      <w:ind w:left="1080" w:hanging="1080"/>
    </w:pPr>
    <w:rPr>
      <w:b/>
      <w:bCs/>
      <w:sz w:val="22"/>
    </w:rPr>
  </w:style>
  <w:style w:type="paragraph" w:customStyle="1" w:styleId="TableHeading">
    <w:name w:val="TableHeading"/>
    <w:basedOn w:val="TableText"/>
    <w:qFormat/>
    <w:rsid w:val="00D20FD9"/>
    <w:rPr>
      <w:b/>
      <w:bCs/>
    </w:rPr>
  </w:style>
  <w:style w:type="paragraph" w:customStyle="1" w:styleId="TableBullet">
    <w:name w:val="TableBullet"/>
    <w:basedOn w:val="TableText"/>
    <w:rsid w:val="00D20FD9"/>
    <w:pPr>
      <w:numPr>
        <w:numId w:val="1"/>
      </w:numPr>
      <w:tabs>
        <w:tab w:val="clear" w:pos="360"/>
        <w:tab w:val="left" w:pos="216"/>
      </w:tabs>
      <w:ind w:left="216" w:hanging="216"/>
    </w:pPr>
  </w:style>
  <w:style w:type="paragraph" w:customStyle="1" w:styleId="References">
    <w:name w:val="References"/>
    <w:basedOn w:val="Normal"/>
    <w:rsid w:val="00BD346C"/>
    <w:pPr>
      <w:keepLines/>
      <w:ind w:left="720" w:hanging="720"/>
    </w:pPr>
  </w:style>
  <w:style w:type="character" w:customStyle="1" w:styleId="FooterChar">
    <w:name w:val="Footer Char"/>
    <w:basedOn w:val="DefaultParagraphFont"/>
    <w:link w:val="Footer"/>
    <w:uiPriority w:val="99"/>
    <w:rsid w:val="005A72C4"/>
    <w:rPr>
      <w:color w:val="000000"/>
    </w:rPr>
  </w:style>
  <w:style w:type="paragraph" w:styleId="FootnoteText">
    <w:name w:val="footnote text"/>
    <w:basedOn w:val="Normal"/>
    <w:semiHidden/>
    <w:rsid w:val="00D20FD9"/>
    <w:pPr>
      <w:spacing w:after="0"/>
      <w:ind w:left="360" w:hanging="360"/>
    </w:pPr>
    <w:rPr>
      <w:sz w:val="20"/>
    </w:rPr>
  </w:style>
  <w:style w:type="character" w:styleId="FootnoteReference">
    <w:name w:val="footnote reference"/>
    <w:basedOn w:val="DefaultParagraphFont"/>
    <w:semiHidden/>
    <w:rsid w:val="00D20FD9"/>
    <w:rPr>
      <w:vertAlign w:val="superscript"/>
    </w:rPr>
  </w:style>
  <w:style w:type="paragraph" w:customStyle="1" w:styleId="TFAbbrevs">
    <w:name w:val="TFAbbrevs"/>
    <w:basedOn w:val="TFListNotes"/>
    <w:rsid w:val="003D0620"/>
    <w:pPr>
      <w:ind w:left="0" w:firstLine="0"/>
    </w:pPr>
  </w:style>
  <w:style w:type="paragraph" w:styleId="TOC1">
    <w:name w:val="toc 1"/>
    <w:basedOn w:val="Normal"/>
    <w:next w:val="Normal"/>
    <w:autoRedefine/>
    <w:uiPriority w:val="39"/>
    <w:rsid w:val="0054243F"/>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D20FD9"/>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D20FD9"/>
    <w:pPr>
      <w:tabs>
        <w:tab w:val="left" w:pos="2160"/>
        <w:tab w:val="right" w:leader="dot" w:pos="9016"/>
      </w:tabs>
      <w:spacing w:after="20"/>
      <w:ind w:left="2160" w:right="720" w:hanging="720"/>
    </w:pPr>
  </w:style>
  <w:style w:type="paragraph" w:customStyle="1" w:styleId="BulletBeforeDash">
    <w:name w:val="BulletBeforeDash"/>
    <w:basedOn w:val="Normal"/>
    <w:rsid w:val="00D20FD9"/>
    <w:pPr>
      <w:numPr>
        <w:numId w:val="3"/>
      </w:numPr>
      <w:spacing w:after="0"/>
    </w:pPr>
  </w:style>
  <w:style w:type="paragraph" w:customStyle="1" w:styleId="Bullet">
    <w:name w:val="Bullet"/>
    <w:basedOn w:val="BulletBeforeDash"/>
    <w:qFormat/>
    <w:rsid w:val="00D20FD9"/>
    <w:pPr>
      <w:spacing w:after="120"/>
    </w:pPr>
  </w:style>
  <w:style w:type="paragraph" w:customStyle="1" w:styleId="BulletLast">
    <w:name w:val="BulletLast"/>
    <w:basedOn w:val="Bullet"/>
    <w:qFormat/>
    <w:rsid w:val="00D20FD9"/>
    <w:pPr>
      <w:spacing w:after="240"/>
    </w:pPr>
  </w:style>
  <w:style w:type="paragraph" w:customStyle="1" w:styleId="Dash">
    <w:name w:val="Dash"/>
    <w:basedOn w:val="Normal"/>
    <w:rsid w:val="00D20FD9"/>
    <w:pPr>
      <w:numPr>
        <w:numId w:val="4"/>
      </w:numPr>
      <w:tabs>
        <w:tab w:val="clear" w:pos="216"/>
        <w:tab w:val="left" w:pos="720"/>
      </w:tabs>
      <w:spacing w:after="0"/>
      <w:ind w:left="720" w:hanging="360"/>
    </w:pPr>
  </w:style>
  <w:style w:type="paragraph" w:customStyle="1" w:styleId="DashLast">
    <w:name w:val="DashLast"/>
    <w:basedOn w:val="Dash"/>
    <w:rsid w:val="00D20FD9"/>
    <w:pPr>
      <w:spacing w:after="120"/>
    </w:pPr>
  </w:style>
  <w:style w:type="paragraph" w:customStyle="1" w:styleId="DashLastSpace">
    <w:name w:val="DashLast+Space"/>
    <w:basedOn w:val="DashLast"/>
    <w:rsid w:val="00D20FD9"/>
    <w:pPr>
      <w:spacing w:after="240"/>
    </w:pPr>
  </w:style>
  <w:style w:type="paragraph" w:customStyle="1" w:styleId="NormalBeforeBullet">
    <w:name w:val="NormalBeforeBullet"/>
    <w:basedOn w:val="Normal"/>
    <w:qFormat/>
    <w:rsid w:val="00D20FD9"/>
    <w:pPr>
      <w:keepNext/>
      <w:spacing w:after="120"/>
    </w:pPr>
  </w:style>
  <w:style w:type="paragraph" w:customStyle="1" w:styleId="BoxText">
    <w:name w:val="BoxText"/>
    <w:basedOn w:val="Normal"/>
    <w:qFormat/>
    <w:rsid w:val="00D20FD9"/>
    <w:pPr>
      <w:pBdr>
        <w:top w:val="single" w:sz="4" w:space="4" w:color="000000"/>
        <w:left w:val="single" w:sz="4" w:space="4" w:color="000000"/>
        <w:bottom w:val="single" w:sz="4" w:space="4" w:color="000000"/>
        <w:right w:val="single" w:sz="4" w:space="4" w:color="000000"/>
      </w:pBdr>
      <w:spacing w:after="120"/>
    </w:pPr>
  </w:style>
  <w:style w:type="paragraph" w:customStyle="1" w:styleId="BoxName">
    <w:name w:val="BoxName"/>
    <w:basedOn w:val="BoxText"/>
    <w:rsid w:val="00D20FD9"/>
    <w:pPr>
      <w:keepNext/>
      <w:spacing w:before="180"/>
      <w:ind w:left="1080" w:hanging="1080"/>
    </w:pPr>
    <w:rPr>
      <w:b/>
      <w:bCs/>
      <w:sz w:val="24"/>
    </w:rPr>
  </w:style>
  <w:style w:type="paragraph" w:customStyle="1" w:styleId="BoxHeading">
    <w:name w:val="BoxHeading"/>
    <w:basedOn w:val="BoxText"/>
    <w:rsid w:val="00D20FD9"/>
    <w:pPr>
      <w:keepNext/>
      <w:spacing w:before="120" w:after="60"/>
    </w:pPr>
    <w:rPr>
      <w:b/>
      <w:bCs/>
    </w:rPr>
  </w:style>
  <w:style w:type="paragraph" w:customStyle="1" w:styleId="BoxBullet">
    <w:name w:val="BoxBullet"/>
    <w:basedOn w:val="BoxText"/>
    <w:rsid w:val="00A9331B"/>
    <w:pPr>
      <w:numPr>
        <w:numId w:val="24"/>
      </w:numPr>
    </w:pPr>
  </w:style>
  <w:style w:type="paragraph" w:customStyle="1" w:styleId="FigureName">
    <w:name w:val="FigureName"/>
    <w:basedOn w:val="Normal"/>
    <w:next w:val="Normal"/>
    <w:rsid w:val="00D71080"/>
    <w:pPr>
      <w:keepNext/>
      <w:keepLines/>
      <w:tabs>
        <w:tab w:val="left" w:pos="1080"/>
      </w:tabs>
      <w:spacing w:before="120" w:after="120"/>
      <w:ind w:left="1077" w:hanging="1077"/>
    </w:pPr>
    <w:rPr>
      <w:b/>
      <w:bCs/>
    </w:rPr>
  </w:style>
  <w:style w:type="paragraph" w:styleId="TOC4">
    <w:name w:val="toc 4"/>
    <w:basedOn w:val="Normal"/>
    <w:next w:val="Normal"/>
    <w:autoRedefine/>
    <w:semiHidden/>
    <w:rsid w:val="00D20FD9"/>
    <w:pPr>
      <w:tabs>
        <w:tab w:val="right" w:leader="dot" w:pos="9016"/>
      </w:tabs>
      <w:spacing w:after="0"/>
      <w:ind w:left="2160" w:right="720"/>
    </w:pPr>
    <w:rPr>
      <w:noProof/>
      <w:szCs w:val="24"/>
    </w:rPr>
  </w:style>
  <w:style w:type="paragraph" w:customStyle="1" w:styleId="NumberList">
    <w:name w:val="NumberList"/>
    <w:basedOn w:val="Normal"/>
    <w:rsid w:val="00D20FD9"/>
    <w:pPr>
      <w:tabs>
        <w:tab w:val="left" w:pos="360"/>
      </w:tabs>
      <w:ind w:left="360" w:hanging="360"/>
    </w:pPr>
  </w:style>
  <w:style w:type="paragraph" w:customStyle="1" w:styleId="TFNoteSourceSpace">
    <w:name w:val="TFNoteSource+Space"/>
    <w:basedOn w:val="TFListNotesSpace"/>
    <w:next w:val="Normal"/>
    <w:rsid w:val="00C831DF"/>
    <w:pPr>
      <w:ind w:left="624" w:hanging="624"/>
    </w:pPr>
  </w:style>
  <w:style w:type="paragraph" w:customStyle="1" w:styleId="TFNoteSource">
    <w:name w:val="TFNoteSource"/>
    <w:basedOn w:val="TFNoteSourceSpace"/>
    <w:rsid w:val="00C831DF"/>
    <w:pPr>
      <w:spacing w:after="0"/>
    </w:pPr>
  </w:style>
  <w:style w:type="paragraph" w:customStyle="1" w:styleId="TFAbbrevsSpace">
    <w:name w:val="TFAbbrevs+Space"/>
    <w:basedOn w:val="TFAbbrevs"/>
    <w:next w:val="Normal"/>
    <w:rsid w:val="00EE7B06"/>
    <w:pPr>
      <w:spacing w:after="360"/>
    </w:pPr>
  </w:style>
  <w:style w:type="character" w:styleId="Strong">
    <w:name w:val="Strong"/>
    <w:basedOn w:val="DefaultParagraphFont"/>
    <w:uiPriority w:val="22"/>
    <w:qFormat/>
    <w:rsid w:val="00692B58"/>
    <w:rPr>
      <w:b/>
      <w:bCs/>
    </w:rPr>
  </w:style>
  <w:style w:type="character" w:styleId="Emphasis">
    <w:name w:val="Emphasis"/>
    <w:basedOn w:val="DefaultParagraphFont"/>
    <w:uiPriority w:val="20"/>
    <w:qFormat/>
    <w:rsid w:val="00692B58"/>
    <w:rPr>
      <w:i/>
      <w:iCs/>
    </w:rPr>
  </w:style>
  <w:style w:type="character" w:customStyle="1" w:styleId="Roman">
    <w:name w:val="Roman"/>
    <w:uiPriority w:val="1"/>
    <w:rsid w:val="00114BAC"/>
    <w:rPr>
      <w:b w:val="0"/>
      <w:i/>
    </w:rPr>
  </w:style>
  <w:style w:type="table" w:styleId="TableGrid">
    <w:name w:val="Table Grid"/>
    <w:basedOn w:val="TableNormal"/>
    <w:uiPriority w:val="59"/>
    <w:rsid w:val="00BB15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perscript">
    <w:name w:val="Superscript"/>
    <w:basedOn w:val="DefaultParagraphFont"/>
    <w:uiPriority w:val="1"/>
    <w:rsid w:val="00C92341"/>
    <w:rPr>
      <w:noProof/>
      <w:vertAlign w:val="superscript"/>
    </w:rPr>
  </w:style>
  <w:style w:type="paragraph" w:customStyle="1" w:styleId="ImprintText">
    <w:name w:val="ImprintText"/>
    <w:basedOn w:val="Normal"/>
    <w:rsid w:val="001D4D1F"/>
    <w:pPr>
      <w:spacing w:after="120"/>
    </w:pPr>
    <w:rPr>
      <w:sz w:val="20"/>
    </w:rPr>
  </w:style>
  <w:style w:type="paragraph" w:customStyle="1" w:styleId="TableHeadingCA">
    <w:name w:val="TableHeadingCA"/>
    <w:basedOn w:val="TableHeading"/>
    <w:rsid w:val="00C45C28"/>
    <w:pPr>
      <w:jc w:val="center"/>
    </w:pPr>
  </w:style>
  <w:style w:type="paragraph" w:customStyle="1" w:styleId="TableTextCA">
    <w:name w:val="TableTextCA"/>
    <w:basedOn w:val="TableText"/>
    <w:rsid w:val="00C45C28"/>
    <w:pPr>
      <w:jc w:val="center"/>
    </w:pPr>
  </w:style>
  <w:style w:type="paragraph" w:styleId="BalloonText">
    <w:name w:val="Balloon Text"/>
    <w:basedOn w:val="Normal"/>
    <w:link w:val="BalloonTextChar"/>
    <w:uiPriority w:val="99"/>
    <w:semiHidden/>
    <w:unhideWhenUsed/>
    <w:rsid w:val="00704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E3"/>
    <w:rPr>
      <w:rFonts w:ascii="Tahoma" w:hAnsi="Tahoma" w:cs="Tahoma"/>
      <w:color w:val="000000"/>
      <w:sz w:val="16"/>
      <w:szCs w:val="16"/>
    </w:rPr>
  </w:style>
  <w:style w:type="paragraph" w:styleId="Title">
    <w:name w:val="Title"/>
    <w:basedOn w:val="Normal"/>
    <w:next w:val="Normal"/>
    <w:link w:val="TitleChar"/>
    <w:uiPriority w:val="10"/>
    <w:rsid w:val="005B7395"/>
    <w:pPr>
      <w:spacing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5B7395"/>
    <w:rPr>
      <w:rFonts w:ascii="Calibri" w:eastAsiaTheme="majorEastAsia" w:hAnsi="Calibri" w:cstheme="majorBidi"/>
      <w:b/>
      <w:spacing w:val="5"/>
      <w:kern w:val="28"/>
      <w:sz w:val="48"/>
      <w:szCs w:val="52"/>
    </w:rPr>
  </w:style>
  <w:style w:type="character" w:customStyle="1" w:styleId="SubtitleChar">
    <w:name w:val="Subtitle Char"/>
    <w:basedOn w:val="DefaultParagraphFont"/>
    <w:link w:val="Subtitle"/>
    <w:uiPriority w:val="11"/>
    <w:rsid w:val="005B7395"/>
    <w:rPr>
      <w:rFonts w:ascii="Calibri" w:eastAsiaTheme="majorEastAsia" w:hAnsi="Calibri" w:cstheme="majorBidi"/>
      <w:b/>
      <w:iCs/>
      <w:sz w:val="40"/>
      <w:szCs w:val="24"/>
    </w:rPr>
  </w:style>
  <w:style w:type="character" w:customStyle="1" w:styleId="StrongEmphasis">
    <w:name w:val="StrongEmphasis"/>
    <w:basedOn w:val="DefaultParagraphFont"/>
    <w:rsid w:val="00D03C40"/>
    <w:rPr>
      <w:b/>
      <w:bCs/>
      <w:i/>
      <w:iCs/>
    </w:rPr>
  </w:style>
  <w:style w:type="character" w:styleId="CommentReference">
    <w:name w:val="annotation reference"/>
    <w:basedOn w:val="DefaultParagraphFont"/>
    <w:uiPriority w:val="99"/>
    <w:semiHidden/>
    <w:unhideWhenUsed/>
    <w:rsid w:val="002B7140"/>
    <w:rPr>
      <w:sz w:val="16"/>
      <w:szCs w:val="16"/>
    </w:rPr>
  </w:style>
  <w:style w:type="paragraph" w:styleId="CommentText">
    <w:name w:val="annotation text"/>
    <w:basedOn w:val="Normal"/>
    <w:link w:val="CommentTextChar"/>
    <w:uiPriority w:val="99"/>
    <w:semiHidden/>
    <w:unhideWhenUsed/>
    <w:rsid w:val="002B7140"/>
    <w:rPr>
      <w:sz w:val="20"/>
    </w:rPr>
  </w:style>
  <w:style w:type="character" w:customStyle="1" w:styleId="CommentTextChar">
    <w:name w:val="Comment Text Char"/>
    <w:basedOn w:val="DefaultParagraphFont"/>
    <w:link w:val="CommentText"/>
    <w:uiPriority w:val="99"/>
    <w:semiHidden/>
    <w:rsid w:val="002B7140"/>
    <w:rPr>
      <w:rFonts w:ascii="Calibri" w:hAnsi="Calibri"/>
      <w:color w:val="000000"/>
    </w:rPr>
  </w:style>
  <w:style w:type="paragraph" w:styleId="CommentSubject">
    <w:name w:val="annotation subject"/>
    <w:basedOn w:val="CommentText"/>
    <w:next w:val="CommentText"/>
    <w:link w:val="CommentSubjectChar"/>
    <w:uiPriority w:val="99"/>
    <w:semiHidden/>
    <w:unhideWhenUsed/>
    <w:rsid w:val="002B7140"/>
    <w:rPr>
      <w:b/>
      <w:bCs/>
    </w:rPr>
  </w:style>
  <w:style w:type="character" w:customStyle="1" w:styleId="CommentSubjectChar">
    <w:name w:val="Comment Subject Char"/>
    <w:basedOn w:val="CommentTextChar"/>
    <w:link w:val="CommentSubject"/>
    <w:uiPriority w:val="99"/>
    <w:semiHidden/>
    <w:rsid w:val="002B7140"/>
    <w:rPr>
      <w:rFonts w:ascii="Calibri" w:hAnsi="Calibri"/>
      <w:b/>
      <w:bCs/>
      <w:color w:val="000000"/>
    </w:rPr>
  </w:style>
  <w:style w:type="character" w:customStyle="1" w:styleId="TableTextChar">
    <w:name w:val="TableText Char"/>
    <w:link w:val="TableText"/>
    <w:rsid w:val="0032113D"/>
    <w:rPr>
      <w:rFonts w:ascii="Calibri" w:hAnsi="Calibri"/>
      <w:color w:val="000000"/>
      <w:sz w:val="21"/>
      <w:szCs w:val="21"/>
    </w:rPr>
  </w:style>
  <w:style w:type="character" w:styleId="Hyperlink">
    <w:name w:val="Hyperlink"/>
    <w:basedOn w:val="DefaultParagraphFont"/>
    <w:uiPriority w:val="99"/>
    <w:unhideWhenUsed/>
    <w:rsid w:val="00EA1208"/>
    <w:rPr>
      <w:color w:val="0000FF" w:themeColor="hyperlink"/>
      <w:u w:val="single"/>
    </w:rPr>
  </w:style>
  <w:style w:type="paragraph" w:styleId="DocumentMap">
    <w:name w:val="Document Map"/>
    <w:basedOn w:val="Normal"/>
    <w:link w:val="DocumentMapChar"/>
    <w:uiPriority w:val="99"/>
    <w:semiHidden/>
    <w:unhideWhenUsed/>
    <w:rsid w:val="0020248C"/>
    <w:pPr>
      <w:spacing w:after="0"/>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20248C"/>
    <w:rPr>
      <w:color w:val="000000"/>
      <w:sz w:val="24"/>
      <w:szCs w:val="24"/>
    </w:rPr>
  </w:style>
  <w:style w:type="character" w:styleId="FollowedHyperlink">
    <w:name w:val="FollowedHyperlink"/>
    <w:basedOn w:val="DefaultParagraphFont"/>
    <w:uiPriority w:val="99"/>
    <w:semiHidden/>
    <w:unhideWhenUsed/>
    <w:rsid w:val="00D710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821557">
      <w:bodyDiv w:val="1"/>
      <w:marLeft w:val="0"/>
      <w:marRight w:val="0"/>
      <w:marTop w:val="0"/>
      <w:marBottom w:val="0"/>
      <w:divBdr>
        <w:top w:val="none" w:sz="0" w:space="0" w:color="auto"/>
        <w:left w:val="none" w:sz="0" w:space="0" w:color="auto"/>
        <w:bottom w:val="none" w:sz="0" w:space="0" w:color="auto"/>
        <w:right w:val="none" w:sz="0" w:space="0" w:color="auto"/>
      </w:divBdr>
    </w:div>
    <w:div w:id="1437363237">
      <w:bodyDiv w:val="1"/>
      <w:marLeft w:val="0"/>
      <w:marRight w:val="0"/>
      <w:marTop w:val="0"/>
      <w:marBottom w:val="0"/>
      <w:divBdr>
        <w:top w:val="none" w:sz="0" w:space="0" w:color="auto"/>
        <w:left w:val="none" w:sz="0" w:space="0" w:color="auto"/>
        <w:bottom w:val="none" w:sz="0" w:space="0" w:color="auto"/>
        <w:right w:val="none" w:sz="0" w:space="0" w:color="auto"/>
      </w:divBdr>
    </w:div>
    <w:div w:id="1753234040">
      <w:bodyDiv w:val="1"/>
      <w:marLeft w:val="0"/>
      <w:marRight w:val="0"/>
      <w:marTop w:val="0"/>
      <w:marBottom w:val="0"/>
      <w:divBdr>
        <w:top w:val="none" w:sz="0" w:space="0" w:color="auto"/>
        <w:left w:val="none" w:sz="0" w:space="0" w:color="auto"/>
        <w:bottom w:val="none" w:sz="0" w:space="0" w:color="auto"/>
        <w:right w:val="none" w:sz="0" w:space="0" w:color="auto"/>
      </w:divBdr>
    </w:div>
    <w:div w:id="18199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image" Target="media/image6.png"/><Relationship Id="rId21" Type="http://schemas.openxmlformats.org/officeDocument/2006/relationships/image" Target="media/image7.png"/><Relationship Id="rId22" Type="http://schemas.openxmlformats.org/officeDocument/2006/relationships/image" Target="media/image8.png"/><Relationship Id="rId23" Type="http://schemas.openxmlformats.org/officeDocument/2006/relationships/image" Target="media/image9.png"/><Relationship Id="rId24" Type="http://schemas.openxmlformats.org/officeDocument/2006/relationships/footer" Target="footer4.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yperlink" Target="http://www.safetyandquality.gov.au/antimicrobial-use-and-resistance-in-australia/" TargetMode="Externa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image" Target="media/image3.png"/><Relationship Id="rId18" Type="http://schemas.openxmlformats.org/officeDocument/2006/relationships/image" Target="media/image4.png"/><Relationship Id="rId19" Type="http://schemas.openxmlformats.org/officeDocument/2006/relationships/image" Target="media/image5.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02-Project%20resources\03-Templates%20and%20forms\01-Word%20templates\BT_basic-Calibri(12Mar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3DC14-9A91-1043-B3BE-C1EFE2B29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G:\02-Project resources\03-Templates and forms\01-Word templates\BT_basic-Calibri(12Mar13).dotx</Template>
  <TotalTime>32</TotalTime>
  <Pages>26</Pages>
  <Words>6425</Words>
  <Characters>39970</Characters>
  <Application>Microsoft Macintosh Word</Application>
  <DocSecurity>0</DocSecurity>
  <Lines>850</Lines>
  <Paragraphs>483</Paragraphs>
  <ScaleCrop>false</ScaleCrop>
  <HeadingPairs>
    <vt:vector size="2" baseType="variant">
      <vt:variant>
        <vt:lpstr>Title</vt:lpstr>
      </vt:variant>
      <vt:variant>
        <vt:i4>1</vt:i4>
      </vt:variant>
    </vt:vector>
  </HeadingPairs>
  <TitlesOfParts>
    <vt:vector size="1" baseType="lpstr">
      <vt:lpstr>AURA 2016: first Australian report on antimicrobial use and resistance in human health – summary report</vt:lpstr>
    </vt:vector>
  </TitlesOfParts>
  <Manager/>
  <Company/>
  <LinksUpToDate>false</LinksUpToDate>
  <CharactersWithSpaces>45912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AURA 2016: first Australian report on antimicrobial use and resistance in human health – summary report</dc:title>
  <dc:subject>Antimicrobial resistance</dc:subject>
  <dc:creator>Australian Commission on Safety and Quality in Health Care</dc:creator>
  <cp:keywords>antimicrobial resistance, antimicrobial use, surveillance, prescribing, appropriateness, hospital, community, residential aged care, Biotext</cp:keywords>
  <dc:description/>
  <cp:lastModifiedBy>Biotext</cp:lastModifiedBy>
  <cp:revision>6</cp:revision>
  <cp:lastPrinted>2012-11-09T00:35:00Z</cp:lastPrinted>
  <dcterms:created xsi:type="dcterms:W3CDTF">2016-05-31T01:41:00Z</dcterms:created>
  <dcterms:modified xsi:type="dcterms:W3CDTF">2016-06-02T04:08:00Z</dcterms:modified>
  <cp:category/>
</cp:coreProperties>
</file>